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453B1F" w:rsidRPr="00E24D59" w14:paraId="5A1CD792" w14:textId="77777777" w:rsidTr="00E31DCE">
        <w:trPr>
          <w:cantSplit/>
          <w:trHeight w:val="23"/>
        </w:trPr>
        <w:tc>
          <w:tcPr>
            <w:tcW w:w="3969" w:type="dxa"/>
            <w:vMerge w:val="restart"/>
            <w:tcMar>
              <w:left w:w="0" w:type="dxa"/>
            </w:tcMar>
          </w:tcPr>
          <w:p w14:paraId="53369709" w14:textId="77777777" w:rsidR="00453B1F" w:rsidRPr="00E24D59" w:rsidRDefault="00453B1F"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ADM 1</w:t>
            </w:r>
          </w:p>
        </w:tc>
        <w:tc>
          <w:tcPr>
            <w:tcW w:w="5245" w:type="dxa"/>
          </w:tcPr>
          <w:p w14:paraId="704D21F6" w14:textId="2A8403D0" w:rsidR="00453B1F" w:rsidRPr="00E24D59" w:rsidRDefault="00453B1F"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sidR="00FD65D8">
              <w:rPr>
                <w:rFonts w:hint="eastAsia"/>
                <w:b/>
                <w:lang w:val="fr-CH" w:eastAsia="zh-CN"/>
              </w:rPr>
              <w:t>82</w:t>
            </w:r>
            <w:r w:rsidRPr="00E24D59">
              <w:rPr>
                <w:b/>
                <w:lang w:val="fr-CH"/>
              </w:rPr>
              <w:t>-C</w:t>
            </w:r>
          </w:p>
        </w:tc>
      </w:tr>
      <w:tr w:rsidR="00453B1F" w:rsidRPr="00813E5E" w14:paraId="0C2F723C" w14:textId="77777777" w:rsidTr="00E31DCE">
        <w:trPr>
          <w:cantSplit/>
        </w:trPr>
        <w:tc>
          <w:tcPr>
            <w:tcW w:w="3969" w:type="dxa"/>
            <w:vMerge/>
          </w:tcPr>
          <w:p w14:paraId="1F86E9F6" w14:textId="77777777" w:rsidR="00453B1F" w:rsidRPr="00E24D59" w:rsidRDefault="00453B1F" w:rsidP="00E31DCE">
            <w:pPr>
              <w:tabs>
                <w:tab w:val="left" w:pos="851"/>
              </w:tabs>
              <w:spacing w:line="240" w:lineRule="atLeast"/>
              <w:rPr>
                <w:b/>
                <w:lang w:val="fr-CH"/>
              </w:rPr>
            </w:pPr>
            <w:bookmarkStart w:id="3" w:name="ddate" w:colFirst="1" w:colLast="1"/>
            <w:bookmarkEnd w:id="0"/>
            <w:bookmarkEnd w:id="1"/>
          </w:p>
        </w:tc>
        <w:tc>
          <w:tcPr>
            <w:tcW w:w="5245" w:type="dxa"/>
          </w:tcPr>
          <w:p w14:paraId="15CA47C1" w14:textId="23CAF416" w:rsidR="00453B1F" w:rsidRPr="00E85629" w:rsidRDefault="00453B1F" w:rsidP="00E31DCE">
            <w:pPr>
              <w:tabs>
                <w:tab w:val="left" w:pos="851"/>
              </w:tabs>
              <w:spacing w:before="0"/>
              <w:jc w:val="right"/>
              <w:rPr>
                <w:b/>
              </w:rPr>
            </w:pPr>
            <w:r>
              <w:rPr>
                <w:rFonts w:hint="eastAsia"/>
                <w:b/>
                <w:lang w:eastAsia="zh-CN"/>
              </w:rPr>
              <w:t>2025</w:t>
            </w:r>
            <w:r>
              <w:rPr>
                <w:rFonts w:hint="eastAsia"/>
                <w:b/>
                <w:lang w:eastAsia="zh-CN"/>
              </w:rPr>
              <w:t>年</w:t>
            </w:r>
            <w:r w:rsidR="00FD65D8">
              <w:rPr>
                <w:rFonts w:hint="eastAsia"/>
                <w:b/>
                <w:lang w:eastAsia="zh-CN"/>
              </w:rPr>
              <w:t>6</w:t>
            </w:r>
            <w:r>
              <w:rPr>
                <w:rFonts w:hint="eastAsia"/>
                <w:b/>
                <w:lang w:eastAsia="zh-CN"/>
              </w:rPr>
              <w:t>月</w:t>
            </w:r>
            <w:r w:rsidR="00FD65D8">
              <w:rPr>
                <w:rFonts w:hint="eastAsia"/>
                <w:b/>
                <w:lang w:eastAsia="zh-CN"/>
              </w:rPr>
              <w:t>2</w:t>
            </w:r>
            <w:r>
              <w:rPr>
                <w:rFonts w:hint="eastAsia"/>
                <w:b/>
                <w:lang w:eastAsia="zh-CN"/>
              </w:rPr>
              <w:t>日</w:t>
            </w:r>
          </w:p>
        </w:tc>
      </w:tr>
      <w:tr w:rsidR="00453B1F" w:rsidRPr="00813E5E" w14:paraId="5D3D3D3B" w14:textId="77777777" w:rsidTr="00E31DCE">
        <w:trPr>
          <w:cantSplit/>
          <w:trHeight w:val="23"/>
        </w:trPr>
        <w:tc>
          <w:tcPr>
            <w:tcW w:w="3969" w:type="dxa"/>
            <w:vMerge/>
          </w:tcPr>
          <w:p w14:paraId="133E2757" w14:textId="77777777" w:rsidR="00453B1F" w:rsidRPr="00813E5E" w:rsidRDefault="00453B1F" w:rsidP="00E31DCE">
            <w:pPr>
              <w:tabs>
                <w:tab w:val="left" w:pos="851"/>
              </w:tabs>
              <w:spacing w:line="240" w:lineRule="atLeast"/>
              <w:rPr>
                <w:b/>
              </w:rPr>
            </w:pPr>
            <w:bookmarkStart w:id="4" w:name="dorlang" w:colFirst="1" w:colLast="1"/>
            <w:bookmarkEnd w:id="3"/>
          </w:p>
        </w:tc>
        <w:tc>
          <w:tcPr>
            <w:tcW w:w="5245" w:type="dxa"/>
          </w:tcPr>
          <w:p w14:paraId="5277E947" w14:textId="77777777" w:rsidR="00453B1F" w:rsidRPr="00E85629" w:rsidRDefault="00453B1F"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453B1F" w:rsidRPr="00813E5E" w14:paraId="21C6B0C0" w14:textId="77777777" w:rsidTr="00E31DCE">
        <w:trPr>
          <w:cantSplit/>
          <w:trHeight w:val="23"/>
        </w:trPr>
        <w:tc>
          <w:tcPr>
            <w:tcW w:w="3969" w:type="dxa"/>
          </w:tcPr>
          <w:p w14:paraId="1162E49E" w14:textId="77777777" w:rsidR="00453B1F" w:rsidRPr="00813E5E" w:rsidRDefault="00453B1F" w:rsidP="00E31DCE">
            <w:pPr>
              <w:tabs>
                <w:tab w:val="left" w:pos="851"/>
              </w:tabs>
              <w:spacing w:line="240" w:lineRule="atLeast"/>
              <w:rPr>
                <w:b/>
              </w:rPr>
            </w:pPr>
          </w:p>
        </w:tc>
        <w:tc>
          <w:tcPr>
            <w:tcW w:w="5245" w:type="dxa"/>
          </w:tcPr>
          <w:p w14:paraId="19E92F42" w14:textId="77777777" w:rsidR="00453B1F" w:rsidRDefault="00453B1F" w:rsidP="00E31DCE">
            <w:pPr>
              <w:tabs>
                <w:tab w:val="left" w:pos="851"/>
              </w:tabs>
              <w:spacing w:before="0" w:line="240" w:lineRule="atLeast"/>
              <w:jc w:val="right"/>
              <w:rPr>
                <w:b/>
              </w:rPr>
            </w:pPr>
          </w:p>
        </w:tc>
      </w:tr>
      <w:tr w:rsidR="00453B1F" w:rsidRPr="00813E5E" w14:paraId="264EC4C5" w14:textId="77777777" w:rsidTr="00E31DCE">
        <w:trPr>
          <w:cantSplit/>
        </w:trPr>
        <w:tc>
          <w:tcPr>
            <w:tcW w:w="9214" w:type="dxa"/>
            <w:gridSpan w:val="2"/>
            <w:tcMar>
              <w:left w:w="0" w:type="dxa"/>
            </w:tcMar>
          </w:tcPr>
          <w:p w14:paraId="5E776AF3" w14:textId="63F1518F" w:rsidR="00453B1F" w:rsidRPr="00E24D59" w:rsidRDefault="00453B1F" w:rsidP="00DA0E66">
            <w:pPr>
              <w:pStyle w:val="Source"/>
              <w:spacing w:before="840"/>
              <w:jc w:val="left"/>
              <w:rPr>
                <w:sz w:val="34"/>
                <w:szCs w:val="34"/>
                <w:lang w:eastAsia="zh-CN"/>
              </w:rPr>
            </w:pPr>
            <w:bookmarkStart w:id="5" w:name="dsource" w:colFirst="0" w:colLast="0"/>
            <w:bookmarkEnd w:id="4"/>
            <w:r w:rsidRPr="00A27F55">
              <w:rPr>
                <w:rFonts w:cstheme="minorHAnsi" w:hint="eastAsia"/>
                <w:sz w:val="34"/>
                <w:szCs w:val="34"/>
                <w:lang w:val="ru-RU" w:eastAsia="zh-CN"/>
              </w:rPr>
              <w:t>安哥拉、博茨瓦纳、科摩罗、斯威士兰、莱索托、马达加斯加、马拉维、毛里求斯、莫桑比克、纳米比亚、刚果民主共和国、塞舌尔、南非、坦桑尼亚、赞比亚</w:t>
            </w:r>
            <w:r w:rsidR="00380BFF">
              <w:rPr>
                <w:rFonts w:cstheme="minorHAnsi" w:hint="eastAsia"/>
                <w:sz w:val="34"/>
                <w:szCs w:val="34"/>
                <w:lang w:val="ru-RU" w:eastAsia="zh-CN"/>
              </w:rPr>
              <w:t>和</w:t>
            </w:r>
            <w:r w:rsidRPr="00A27F55">
              <w:rPr>
                <w:rFonts w:cstheme="minorHAnsi" w:hint="eastAsia"/>
                <w:sz w:val="34"/>
                <w:szCs w:val="34"/>
                <w:lang w:val="ru-RU" w:eastAsia="zh-CN"/>
              </w:rPr>
              <w:t>津巴布韦</w:t>
            </w:r>
            <w:r>
              <w:rPr>
                <w:rFonts w:cstheme="minorHAnsi" w:hint="eastAsia"/>
                <w:sz w:val="34"/>
                <w:szCs w:val="34"/>
                <w:lang w:val="ru-RU" w:eastAsia="zh-CN"/>
              </w:rPr>
              <w:t>提交的</w:t>
            </w:r>
            <w:r w:rsidRPr="00A27F55">
              <w:rPr>
                <w:rFonts w:cstheme="minorHAnsi" w:hint="eastAsia"/>
                <w:sz w:val="34"/>
                <w:szCs w:val="34"/>
                <w:lang w:val="ru-RU" w:eastAsia="zh-CN"/>
              </w:rPr>
              <w:t>文稿</w:t>
            </w:r>
          </w:p>
        </w:tc>
      </w:tr>
      <w:tr w:rsidR="00453B1F" w:rsidRPr="00813E5E" w14:paraId="3760CE66" w14:textId="77777777" w:rsidTr="00E31DCE">
        <w:trPr>
          <w:cantSplit/>
        </w:trPr>
        <w:tc>
          <w:tcPr>
            <w:tcW w:w="9214" w:type="dxa"/>
            <w:gridSpan w:val="2"/>
            <w:tcMar>
              <w:left w:w="0" w:type="dxa"/>
            </w:tcMar>
          </w:tcPr>
          <w:p w14:paraId="36DF80E6" w14:textId="1186F9C2" w:rsidR="00453B1F" w:rsidRPr="00A90012" w:rsidRDefault="00453B1F" w:rsidP="00E31DCE">
            <w:pPr>
              <w:pStyle w:val="Subtitle"/>
              <w:framePr w:hSpace="0" w:wrap="auto" w:hAnchor="text" w:xAlign="left" w:yAlign="inline"/>
              <w:rPr>
                <w:rFonts w:eastAsia="SimSun"/>
                <w:sz w:val="32"/>
                <w:szCs w:val="32"/>
                <w:lang w:eastAsia="zh-CN"/>
              </w:rPr>
            </w:pPr>
            <w:bookmarkStart w:id="6" w:name="dtitle1" w:colFirst="0" w:colLast="0"/>
            <w:bookmarkEnd w:id="5"/>
            <w:r w:rsidRPr="00A90012">
              <w:rPr>
                <w:rFonts w:eastAsia="SimSun" w:hint="eastAsia"/>
                <w:sz w:val="32"/>
                <w:szCs w:val="32"/>
                <w:lang w:eastAsia="zh-CN"/>
              </w:rPr>
              <w:t>安哥拉主管部门代表</w:t>
            </w:r>
            <w:r w:rsidRPr="00A90012">
              <w:rPr>
                <w:rFonts w:eastAsia="SimSun" w:hint="eastAsia"/>
                <w:sz w:val="32"/>
                <w:szCs w:val="32"/>
                <w:lang w:eastAsia="zh-CN"/>
              </w:rPr>
              <w:t>16</w:t>
            </w:r>
            <w:r w:rsidRPr="00A90012">
              <w:rPr>
                <w:rFonts w:eastAsia="SimSun" w:hint="eastAsia"/>
                <w:sz w:val="32"/>
                <w:szCs w:val="32"/>
                <w:lang w:eastAsia="zh-CN"/>
              </w:rPr>
              <w:t>个</w:t>
            </w:r>
            <w:r w:rsidR="00380BFF" w:rsidRPr="00A90012">
              <w:rPr>
                <w:rFonts w:eastAsia="SimSun" w:hint="eastAsia"/>
                <w:sz w:val="32"/>
                <w:szCs w:val="32"/>
                <w:lang w:eastAsia="zh-CN"/>
              </w:rPr>
              <w:t>南部非洲发展共同体</w:t>
            </w:r>
            <w:r w:rsidRPr="00A90012">
              <w:rPr>
                <w:rFonts w:eastAsia="SimSun" w:hint="eastAsia"/>
                <w:sz w:val="32"/>
                <w:szCs w:val="32"/>
                <w:lang w:eastAsia="zh-CN"/>
              </w:rPr>
              <w:t>成员国</w:t>
            </w:r>
            <w:r w:rsidR="00E45C97" w:rsidRPr="00A90012">
              <w:rPr>
                <w:rFonts w:eastAsia="SimSun" w:hint="eastAsia"/>
                <w:sz w:val="32"/>
                <w:szCs w:val="32"/>
                <w:lang w:eastAsia="zh-CN"/>
              </w:rPr>
              <w:t>提出免除</w:t>
            </w:r>
            <w:r w:rsidR="00380BFF" w:rsidRPr="00A90012">
              <w:rPr>
                <w:rFonts w:eastAsia="SimSun" w:hint="eastAsia"/>
                <w:sz w:val="32"/>
                <w:szCs w:val="32"/>
                <w:lang w:eastAsia="zh-CN"/>
              </w:rPr>
              <w:t>对</w:t>
            </w:r>
            <w:r w:rsidR="004872D9" w:rsidRPr="00A90012">
              <w:rPr>
                <w:rFonts w:eastAsia="SimSun" w:hint="eastAsia"/>
                <w:sz w:val="32"/>
                <w:szCs w:val="32"/>
                <w:lang w:eastAsia="zh-CN"/>
              </w:rPr>
              <w:t>根据</w:t>
            </w:r>
            <w:r w:rsidRPr="00A90012">
              <w:rPr>
                <w:rFonts w:eastAsia="SimSun" w:hint="eastAsia"/>
                <w:sz w:val="32"/>
                <w:szCs w:val="32"/>
                <w:lang w:eastAsia="zh-CN"/>
              </w:rPr>
              <w:t>第</w:t>
            </w:r>
            <w:r w:rsidRPr="00A90012">
              <w:rPr>
                <w:rFonts w:eastAsia="SimSun" w:hint="eastAsia"/>
                <w:sz w:val="32"/>
                <w:szCs w:val="32"/>
                <w:lang w:eastAsia="zh-CN"/>
              </w:rPr>
              <w:t>170</w:t>
            </w:r>
            <w:r w:rsidRPr="00A90012">
              <w:rPr>
                <w:rFonts w:eastAsia="SimSun" w:hint="eastAsia"/>
                <w:sz w:val="32"/>
                <w:szCs w:val="32"/>
                <w:lang w:eastAsia="zh-CN"/>
              </w:rPr>
              <w:t>号决议（</w:t>
            </w:r>
            <w:r w:rsidRPr="00A90012">
              <w:rPr>
                <w:rFonts w:eastAsia="SimSun" w:hint="eastAsia"/>
                <w:sz w:val="32"/>
                <w:szCs w:val="32"/>
                <w:lang w:eastAsia="zh-CN"/>
              </w:rPr>
              <w:t>WRC-23</w:t>
            </w:r>
            <w:r w:rsidRPr="00A90012">
              <w:rPr>
                <w:rFonts w:eastAsia="SimSun" w:hint="eastAsia"/>
                <w:sz w:val="32"/>
                <w:szCs w:val="32"/>
                <w:lang w:eastAsia="zh-CN"/>
              </w:rPr>
              <w:t>，修订版）</w:t>
            </w:r>
            <w:r w:rsidR="00E45C97" w:rsidRPr="00A90012">
              <w:rPr>
                <w:rFonts w:eastAsia="SimSun" w:hint="eastAsia"/>
                <w:sz w:val="32"/>
                <w:szCs w:val="32"/>
                <w:lang w:eastAsia="zh-CN"/>
              </w:rPr>
              <w:t>提交</w:t>
            </w:r>
            <w:r w:rsidR="00380BFF" w:rsidRPr="00A90012">
              <w:rPr>
                <w:rFonts w:eastAsia="SimSun" w:hint="eastAsia"/>
                <w:sz w:val="32"/>
                <w:szCs w:val="32"/>
                <w:lang w:eastAsia="zh-CN"/>
              </w:rPr>
              <w:t>的七项</w:t>
            </w:r>
            <w:r w:rsidRPr="00A90012">
              <w:rPr>
                <w:rFonts w:eastAsia="SimSun" w:hint="eastAsia"/>
                <w:sz w:val="32"/>
                <w:szCs w:val="32"/>
                <w:lang w:eastAsia="zh-CN"/>
              </w:rPr>
              <w:t>资料</w:t>
            </w:r>
            <w:r w:rsidR="00380BFF" w:rsidRPr="00A90012">
              <w:rPr>
                <w:rFonts w:eastAsia="SimSun" w:hint="eastAsia"/>
                <w:sz w:val="32"/>
                <w:szCs w:val="32"/>
                <w:lang w:eastAsia="zh-CN"/>
              </w:rPr>
              <w:t>收取</w:t>
            </w:r>
            <w:r w:rsidRPr="00A90012">
              <w:rPr>
                <w:rFonts w:eastAsia="SimSun" w:hint="eastAsia"/>
                <w:sz w:val="32"/>
                <w:szCs w:val="32"/>
                <w:lang w:eastAsia="zh-CN"/>
              </w:rPr>
              <w:t>成本回收费的提案</w:t>
            </w:r>
          </w:p>
        </w:tc>
      </w:tr>
      <w:tr w:rsidR="00453B1F" w:rsidRPr="00813E5E" w14:paraId="703968B7" w14:textId="77777777" w:rsidTr="00E31DCE">
        <w:trPr>
          <w:cantSplit/>
        </w:trPr>
        <w:tc>
          <w:tcPr>
            <w:tcW w:w="9214" w:type="dxa"/>
            <w:gridSpan w:val="2"/>
            <w:tcBorders>
              <w:top w:val="single" w:sz="4" w:space="0" w:color="auto"/>
              <w:bottom w:val="single" w:sz="4" w:space="0" w:color="auto"/>
            </w:tcBorders>
            <w:tcMar>
              <w:left w:w="0" w:type="dxa"/>
            </w:tcMar>
          </w:tcPr>
          <w:p w14:paraId="17DAE68A" w14:textId="77777777" w:rsidR="00453B1F" w:rsidRPr="00A90012" w:rsidRDefault="00453B1F" w:rsidP="00477D57">
            <w:pPr>
              <w:rPr>
                <w:rFonts w:cs="Calibri"/>
                <w:b/>
                <w:bCs/>
                <w:lang w:eastAsia="zh-CN"/>
              </w:rPr>
            </w:pPr>
            <w:r w:rsidRPr="00A90012">
              <w:rPr>
                <w:rFonts w:cs="Calibri"/>
                <w:b/>
                <w:bCs/>
                <w:lang w:eastAsia="zh-CN"/>
              </w:rPr>
              <w:t>目的</w:t>
            </w:r>
          </w:p>
          <w:p w14:paraId="43CAFA8C" w14:textId="5C42361F" w:rsidR="00453B1F" w:rsidRPr="00A90012" w:rsidRDefault="004872D9" w:rsidP="00D62844">
            <w:pPr>
              <w:ind w:firstLineChars="200" w:firstLine="480"/>
              <w:rPr>
                <w:rFonts w:cs="Calibri"/>
                <w:lang w:eastAsia="zh-CN"/>
              </w:rPr>
            </w:pPr>
            <w:r w:rsidRPr="00A90012">
              <w:rPr>
                <w:rFonts w:cs="Calibri"/>
                <w:lang w:eastAsia="zh-CN"/>
              </w:rPr>
              <w:t>建议免除根据第</w:t>
            </w:r>
            <w:r w:rsidRPr="00A90012">
              <w:rPr>
                <w:rFonts w:cs="Calibri"/>
                <w:b/>
                <w:bCs/>
                <w:lang w:eastAsia="zh-CN"/>
              </w:rPr>
              <w:t>170</w:t>
            </w:r>
            <w:r w:rsidRPr="00A90012">
              <w:rPr>
                <w:rFonts w:cs="Calibri"/>
                <w:lang w:eastAsia="zh-CN"/>
              </w:rPr>
              <w:t>号决议</w:t>
            </w:r>
            <w:r w:rsidRPr="00A90012">
              <w:rPr>
                <w:rFonts w:cs="Calibri"/>
                <w:b/>
                <w:bCs/>
                <w:lang w:eastAsia="zh-CN"/>
              </w:rPr>
              <w:t>（</w:t>
            </w:r>
            <w:r w:rsidRPr="00A90012">
              <w:rPr>
                <w:rFonts w:cs="Calibri"/>
                <w:b/>
                <w:bCs/>
                <w:lang w:eastAsia="zh-CN"/>
              </w:rPr>
              <w:t>WRC-23</w:t>
            </w:r>
            <w:r w:rsidRPr="00A90012">
              <w:rPr>
                <w:rFonts w:cs="Calibri"/>
                <w:b/>
                <w:bCs/>
                <w:lang w:eastAsia="zh-CN"/>
              </w:rPr>
              <w:t>，修订版）</w:t>
            </w:r>
            <w:r w:rsidRPr="00A90012">
              <w:rPr>
                <w:rFonts w:cs="Calibri"/>
                <w:lang w:eastAsia="zh-CN"/>
              </w:rPr>
              <w:t>提交的七（</w:t>
            </w:r>
            <w:r w:rsidRPr="00A90012">
              <w:rPr>
                <w:rFonts w:cs="Calibri"/>
                <w:lang w:eastAsia="zh-CN"/>
              </w:rPr>
              <w:t>7</w:t>
            </w:r>
            <w:r w:rsidRPr="00A90012">
              <w:rPr>
                <w:rFonts w:cs="Calibri"/>
                <w:lang w:eastAsia="zh-CN"/>
              </w:rPr>
              <w:t>）</w:t>
            </w:r>
            <w:proofErr w:type="gramStart"/>
            <w:r w:rsidRPr="00A90012">
              <w:rPr>
                <w:rFonts w:cs="Calibri"/>
                <w:lang w:eastAsia="zh-CN"/>
              </w:rPr>
              <w:t>份协调</w:t>
            </w:r>
            <w:proofErr w:type="gramEnd"/>
            <w:r w:rsidRPr="00A90012">
              <w:rPr>
                <w:rFonts w:cs="Calibri"/>
                <w:lang w:eastAsia="zh-CN"/>
              </w:rPr>
              <w:t>申报资料的成本回收费，因为这些资料将由安哥拉主管部门代表</w:t>
            </w:r>
            <w:r w:rsidRPr="00A90012">
              <w:rPr>
                <w:rFonts w:cs="Calibri"/>
                <w:lang w:eastAsia="zh-CN"/>
              </w:rPr>
              <w:t>16</w:t>
            </w:r>
            <w:r w:rsidRPr="00A90012">
              <w:rPr>
                <w:rFonts w:cs="Calibri"/>
                <w:lang w:eastAsia="zh-CN"/>
              </w:rPr>
              <w:t>个</w:t>
            </w:r>
            <w:r w:rsidR="00380BFF" w:rsidRPr="00A90012">
              <w:rPr>
                <w:rFonts w:cs="Calibri"/>
                <w:lang w:eastAsia="zh-CN"/>
              </w:rPr>
              <w:t>南部非洲发展共同体（</w:t>
            </w:r>
            <w:r w:rsidRPr="00A90012">
              <w:rPr>
                <w:rFonts w:cs="Calibri"/>
                <w:lang w:eastAsia="zh-CN"/>
              </w:rPr>
              <w:t>SADC</w:t>
            </w:r>
            <w:r w:rsidR="00380BFF" w:rsidRPr="00A90012">
              <w:rPr>
                <w:rFonts w:cs="Calibri"/>
                <w:lang w:eastAsia="zh-CN"/>
              </w:rPr>
              <w:t>）</w:t>
            </w:r>
            <w:r w:rsidRPr="00A90012">
              <w:rPr>
                <w:rFonts w:cs="Calibri"/>
                <w:lang w:eastAsia="zh-CN"/>
              </w:rPr>
              <w:t>成员国</w:t>
            </w:r>
            <w:r w:rsidR="00380BFF" w:rsidRPr="00A90012">
              <w:rPr>
                <w:rFonts w:cs="Calibri"/>
                <w:lang w:eastAsia="zh-CN"/>
              </w:rPr>
              <w:t>申报</w:t>
            </w:r>
            <w:r w:rsidRPr="00A90012">
              <w:rPr>
                <w:rFonts w:cs="Calibri"/>
                <w:lang w:eastAsia="zh-CN"/>
              </w:rPr>
              <w:t>。</w:t>
            </w:r>
          </w:p>
          <w:p w14:paraId="5CFAB276" w14:textId="77777777" w:rsidR="00453B1F" w:rsidRPr="00A90012" w:rsidRDefault="00453B1F" w:rsidP="00477D57">
            <w:pPr>
              <w:rPr>
                <w:rFonts w:cs="Calibri"/>
                <w:b/>
                <w:bCs/>
                <w:lang w:eastAsia="zh-CN"/>
              </w:rPr>
            </w:pPr>
            <w:r w:rsidRPr="00A90012">
              <w:rPr>
                <w:rFonts w:cs="Calibri"/>
                <w:b/>
                <w:bCs/>
                <w:lang w:eastAsia="zh-CN"/>
              </w:rPr>
              <w:t>理事会需采取的行动</w:t>
            </w:r>
          </w:p>
          <w:p w14:paraId="2B34C508" w14:textId="73232FFB" w:rsidR="00453B1F" w:rsidRPr="00477D57" w:rsidRDefault="00652F71" w:rsidP="00D62844">
            <w:pPr>
              <w:ind w:firstLineChars="200" w:firstLine="480"/>
              <w:rPr>
                <w:rFonts w:asciiTheme="majorEastAsia" w:eastAsiaTheme="majorEastAsia" w:hAnsiTheme="majorEastAsia"/>
                <w:lang w:eastAsia="zh-CN"/>
              </w:rPr>
            </w:pPr>
            <w:r w:rsidRPr="00A90012">
              <w:rPr>
                <w:rFonts w:cs="Calibri" w:hint="eastAsia"/>
                <w:lang w:eastAsia="zh-CN"/>
              </w:rPr>
              <w:t>请理事会</w:t>
            </w:r>
            <w:r w:rsidRPr="00A90012">
              <w:rPr>
                <w:rFonts w:cs="Calibri" w:hint="eastAsia"/>
                <w:b/>
                <w:bCs/>
                <w:lang w:eastAsia="zh-CN"/>
              </w:rPr>
              <w:t>审议</w:t>
            </w:r>
            <w:r w:rsidRPr="00A90012">
              <w:rPr>
                <w:rFonts w:cs="Calibri" w:hint="eastAsia"/>
                <w:lang w:eastAsia="zh-CN"/>
              </w:rPr>
              <w:t>并</w:t>
            </w:r>
            <w:r w:rsidRPr="00A90012">
              <w:rPr>
                <w:rFonts w:cs="Calibri" w:hint="eastAsia"/>
                <w:b/>
                <w:bCs/>
                <w:lang w:eastAsia="zh-CN"/>
              </w:rPr>
              <w:t>批准</w:t>
            </w:r>
            <w:r w:rsidRPr="00A90012">
              <w:rPr>
                <w:rFonts w:cs="Calibri" w:hint="eastAsia"/>
                <w:lang w:eastAsia="zh-CN"/>
              </w:rPr>
              <w:t>本文稿中提出的</w:t>
            </w:r>
            <w:r w:rsidR="007226BB" w:rsidRPr="00A90012">
              <w:rPr>
                <w:rFonts w:cs="Calibri" w:hint="eastAsia"/>
                <w:lang w:eastAsia="zh-CN"/>
              </w:rPr>
              <w:t>提案</w:t>
            </w:r>
            <w:r w:rsidRPr="00A90012">
              <w:rPr>
                <w:rFonts w:cs="Calibri" w:hint="eastAsia"/>
                <w:lang w:eastAsia="zh-CN"/>
              </w:rPr>
              <w:t>。</w:t>
            </w:r>
          </w:p>
          <w:p w14:paraId="227797FA" w14:textId="77777777" w:rsidR="00453B1F" w:rsidRPr="00E24D59" w:rsidRDefault="00453B1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10E2404" w14:textId="77777777" w:rsidR="00453B1F" w:rsidRPr="00477D57" w:rsidRDefault="00453B1F" w:rsidP="00477D57">
            <w:pPr>
              <w:rPr>
                <w:b/>
                <w:bCs/>
                <w:lang w:eastAsia="zh-CN"/>
              </w:rPr>
            </w:pPr>
            <w:r w:rsidRPr="00477D57">
              <w:rPr>
                <w:rFonts w:hint="eastAsia"/>
                <w:b/>
                <w:bCs/>
                <w:lang w:eastAsia="zh-CN"/>
              </w:rPr>
              <w:t>参考文件</w:t>
            </w:r>
          </w:p>
          <w:p w14:paraId="76889141" w14:textId="42877161" w:rsidR="00453B1F" w:rsidRPr="00D62844" w:rsidRDefault="00652F71" w:rsidP="00D62844">
            <w:pPr>
              <w:spacing w:after="120"/>
              <w:ind w:firstLineChars="200" w:firstLine="480"/>
              <w:rPr>
                <w:rFonts w:asciiTheme="majorEastAsia" w:eastAsiaTheme="majorEastAsia" w:hAnsiTheme="majorEastAsia"/>
                <w:sz w:val="22"/>
                <w:szCs w:val="22"/>
                <w:lang w:eastAsia="zh-CN"/>
              </w:rPr>
            </w:pPr>
            <w:r>
              <w:fldChar w:fldCharType="begin"/>
            </w:r>
            <w:r>
              <w:instrText>HYPERLINK "https://www.unoosa.org/oosa/oosadoc/data/resolutions/2021/general_assembly_76th_session/ares763.html"</w:instrText>
            </w:r>
            <w:r>
              <w:fldChar w:fldCharType="separate"/>
            </w:r>
            <w:r w:rsidRPr="00ED3626">
              <w:rPr>
                <w:rStyle w:val="Hyperlink"/>
                <w:rFonts w:asciiTheme="minorHAnsi" w:eastAsia="STKaiti" w:hAnsiTheme="minorHAnsi" w:cstheme="minorHAnsi"/>
                <w:noProof w:val="0"/>
                <w:sz w:val="22"/>
                <w:szCs w:val="22"/>
                <w:lang w:eastAsia="zh-CN"/>
              </w:rPr>
              <w:t>联大第</w:t>
            </w:r>
            <w:r w:rsidRPr="00ED3626">
              <w:rPr>
                <w:rStyle w:val="Hyperlink"/>
                <w:rFonts w:asciiTheme="minorHAnsi" w:eastAsia="STKaiti" w:hAnsiTheme="minorHAnsi" w:cstheme="minorHAnsi"/>
                <w:noProof w:val="0"/>
                <w:sz w:val="22"/>
                <w:szCs w:val="22"/>
                <w:lang w:eastAsia="zh-CN"/>
              </w:rPr>
              <w:t>76/3</w:t>
            </w:r>
            <w:r w:rsidRPr="00ED3626">
              <w:rPr>
                <w:rStyle w:val="Hyperlink"/>
                <w:rFonts w:asciiTheme="minorHAnsi" w:eastAsia="STKaiti" w:hAnsiTheme="minorHAnsi" w:cstheme="minorHAnsi"/>
                <w:noProof w:val="0"/>
                <w:sz w:val="22"/>
                <w:szCs w:val="22"/>
                <w:lang w:eastAsia="zh-CN"/>
              </w:rPr>
              <w:t>号决议</w:t>
            </w:r>
            <w:r>
              <w:fldChar w:fldCharType="end"/>
            </w:r>
            <w:r w:rsidR="004A2471" w:rsidRPr="00ED3626">
              <w:rPr>
                <w:rFonts w:asciiTheme="minorHAnsi" w:eastAsia="STKaiti" w:hAnsiTheme="minorHAnsi" w:cstheme="minorHAnsi"/>
                <w:sz w:val="22"/>
                <w:szCs w:val="22"/>
                <w:lang w:eastAsia="zh-CN"/>
              </w:rPr>
              <w:t>；</w:t>
            </w:r>
            <w:r w:rsidRPr="00ED3626">
              <w:rPr>
                <w:rFonts w:asciiTheme="minorHAnsi" w:eastAsia="STKaiti" w:hAnsiTheme="minorHAnsi" w:cstheme="minorHAnsi"/>
                <w:sz w:val="22"/>
                <w:szCs w:val="22"/>
                <w:lang w:eastAsia="zh-CN"/>
              </w:rPr>
              <w:t>全权代表大会</w:t>
            </w:r>
            <w:hyperlink r:id="rId8" w:history="1">
              <w:r w:rsidRPr="00ED3626">
                <w:rPr>
                  <w:rStyle w:val="Hyperlink"/>
                  <w:rFonts w:asciiTheme="minorHAnsi" w:eastAsia="STKaiti" w:hAnsiTheme="minorHAnsi" w:cstheme="minorHAnsi"/>
                  <w:noProof w:val="0"/>
                  <w:sz w:val="22"/>
                  <w:szCs w:val="22"/>
                  <w:lang w:eastAsia="zh-CN"/>
                </w:rPr>
                <w:t>第</w:t>
              </w:r>
              <w:r w:rsidRPr="00ED3626">
                <w:rPr>
                  <w:rStyle w:val="Hyperlink"/>
                  <w:rFonts w:asciiTheme="minorHAnsi" w:eastAsia="STKaiti" w:hAnsiTheme="minorHAnsi" w:cstheme="minorHAnsi"/>
                  <w:noProof w:val="0"/>
                  <w:sz w:val="22"/>
                  <w:szCs w:val="22"/>
                  <w:lang w:eastAsia="zh-CN"/>
                </w:rPr>
                <w:t>30</w:t>
              </w:r>
              <w:r w:rsidRPr="00ED3626">
                <w:rPr>
                  <w:rStyle w:val="Hyperlink"/>
                  <w:rFonts w:asciiTheme="minorHAnsi" w:eastAsia="STKaiti" w:hAnsiTheme="minorHAnsi" w:cstheme="minorHAnsi"/>
                  <w:noProof w:val="0"/>
                  <w:sz w:val="22"/>
                  <w:szCs w:val="22"/>
                  <w:lang w:eastAsia="zh-CN"/>
                </w:rPr>
                <w:t>号决议（</w:t>
              </w:r>
              <w:r w:rsidRPr="00ED3626">
                <w:rPr>
                  <w:rStyle w:val="Hyperlink"/>
                  <w:rFonts w:asciiTheme="minorHAnsi" w:eastAsia="STKaiti" w:hAnsiTheme="minorHAnsi" w:cstheme="minorHAnsi"/>
                  <w:noProof w:val="0"/>
                  <w:sz w:val="22"/>
                  <w:szCs w:val="22"/>
                  <w:lang w:eastAsia="zh-CN"/>
                </w:rPr>
                <w:t>2022</w:t>
              </w:r>
              <w:r w:rsidRPr="00ED3626">
                <w:rPr>
                  <w:rStyle w:val="Hyperlink"/>
                  <w:rFonts w:asciiTheme="minorHAnsi" w:eastAsia="STKaiti" w:hAnsiTheme="minorHAnsi" w:cstheme="minorHAnsi"/>
                  <w:noProof w:val="0"/>
                  <w:sz w:val="22"/>
                  <w:szCs w:val="22"/>
                  <w:lang w:eastAsia="zh-CN"/>
                </w:rPr>
                <w:t>年，布加勒斯特，修订版）</w:t>
              </w:r>
            </w:hyperlink>
            <w:r w:rsidRPr="00ED3626">
              <w:rPr>
                <w:rFonts w:asciiTheme="minorHAnsi" w:eastAsia="STKaiti" w:hAnsiTheme="minorHAnsi" w:cstheme="minorHAnsi"/>
                <w:sz w:val="22"/>
                <w:szCs w:val="22"/>
                <w:lang w:eastAsia="zh-CN"/>
              </w:rPr>
              <w:t>、</w:t>
            </w:r>
            <w:hyperlink r:id="rId9" w:history="1">
              <w:r w:rsidRPr="00ED3626">
                <w:rPr>
                  <w:rStyle w:val="Hyperlink"/>
                  <w:rFonts w:asciiTheme="minorHAnsi" w:eastAsia="STKaiti" w:hAnsiTheme="minorHAnsi" w:cstheme="minorHAnsi"/>
                  <w:noProof w:val="0"/>
                  <w:sz w:val="22"/>
                  <w:szCs w:val="22"/>
                  <w:lang w:eastAsia="zh-CN"/>
                </w:rPr>
                <w:t>第</w:t>
              </w:r>
              <w:r w:rsidRPr="00ED3626">
                <w:rPr>
                  <w:rStyle w:val="Hyperlink"/>
                  <w:rFonts w:asciiTheme="minorHAnsi" w:eastAsia="STKaiti" w:hAnsiTheme="minorHAnsi" w:cstheme="minorHAnsi"/>
                  <w:noProof w:val="0"/>
                  <w:sz w:val="22"/>
                  <w:szCs w:val="22"/>
                  <w:lang w:eastAsia="zh-CN"/>
                </w:rPr>
                <w:t>140</w:t>
              </w:r>
              <w:r w:rsidRPr="00ED3626">
                <w:rPr>
                  <w:rStyle w:val="Hyperlink"/>
                  <w:rFonts w:asciiTheme="minorHAnsi" w:eastAsia="STKaiti" w:hAnsiTheme="minorHAnsi" w:cstheme="minorHAnsi"/>
                  <w:noProof w:val="0"/>
                  <w:sz w:val="22"/>
                  <w:szCs w:val="22"/>
                  <w:lang w:eastAsia="zh-CN"/>
                </w:rPr>
                <w:t>号决议（</w:t>
              </w:r>
              <w:r w:rsidRPr="00ED3626">
                <w:rPr>
                  <w:rStyle w:val="Hyperlink"/>
                  <w:rFonts w:asciiTheme="minorHAnsi" w:eastAsia="STKaiti" w:hAnsiTheme="minorHAnsi" w:cstheme="minorHAnsi"/>
                  <w:noProof w:val="0"/>
                  <w:sz w:val="22"/>
                  <w:szCs w:val="22"/>
                  <w:lang w:eastAsia="zh-CN"/>
                </w:rPr>
                <w:t>2022</w:t>
              </w:r>
              <w:r w:rsidRPr="00ED3626">
                <w:rPr>
                  <w:rStyle w:val="Hyperlink"/>
                  <w:rFonts w:asciiTheme="minorHAnsi" w:eastAsia="STKaiti" w:hAnsiTheme="minorHAnsi" w:cstheme="minorHAnsi"/>
                  <w:noProof w:val="0"/>
                  <w:sz w:val="22"/>
                  <w:szCs w:val="22"/>
                  <w:lang w:eastAsia="zh-CN"/>
                </w:rPr>
                <w:t>年，布加勒斯特，修订版）</w:t>
              </w:r>
            </w:hyperlink>
            <w:r w:rsidRPr="00ED3626">
              <w:rPr>
                <w:rFonts w:asciiTheme="minorHAnsi" w:eastAsia="STKaiti" w:hAnsiTheme="minorHAnsi" w:cstheme="minorHAnsi"/>
                <w:sz w:val="22"/>
                <w:szCs w:val="22"/>
                <w:lang w:eastAsia="zh-CN"/>
              </w:rPr>
              <w:t>、</w:t>
            </w:r>
            <w:hyperlink r:id="rId10" w:history="1">
              <w:r w:rsidRPr="00ED3626">
                <w:rPr>
                  <w:rStyle w:val="Hyperlink"/>
                  <w:rFonts w:asciiTheme="minorHAnsi" w:eastAsia="STKaiti" w:hAnsiTheme="minorHAnsi" w:cstheme="minorHAnsi"/>
                  <w:noProof w:val="0"/>
                  <w:sz w:val="22"/>
                  <w:szCs w:val="22"/>
                  <w:lang w:eastAsia="zh-CN"/>
                </w:rPr>
                <w:t>第</w:t>
              </w:r>
              <w:r w:rsidRPr="00ED3626">
                <w:rPr>
                  <w:rStyle w:val="Hyperlink"/>
                  <w:rFonts w:asciiTheme="minorHAnsi" w:eastAsia="STKaiti" w:hAnsiTheme="minorHAnsi" w:cstheme="minorHAnsi"/>
                  <w:noProof w:val="0"/>
                  <w:sz w:val="22"/>
                  <w:szCs w:val="22"/>
                  <w:lang w:eastAsia="zh-CN"/>
                </w:rPr>
                <w:t>200</w:t>
              </w:r>
              <w:r w:rsidRPr="00ED3626">
                <w:rPr>
                  <w:rStyle w:val="Hyperlink"/>
                  <w:rFonts w:asciiTheme="minorHAnsi" w:eastAsia="STKaiti" w:hAnsiTheme="minorHAnsi" w:cstheme="minorHAnsi"/>
                  <w:noProof w:val="0"/>
                  <w:sz w:val="22"/>
                  <w:szCs w:val="22"/>
                  <w:lang w:eastAsia="zh-CN"/>
                </w:rPr>
                <w:t>号决议（</w:t>
              </w:r>
              <w:r w:rsidRPr="00ED3626">
                <w:rPr>
                  <w:rStyle w:val="Hyperlink"/>
                  <w:rFonts w:asciiTheme="minorHAnsi" w:eastAsia="STKaiti" w:hAnsiTheme="minorHAnsi" w:cstheme="minorHAnsi"/>
                  <w:noProof w:val="0"/>
                  <w:sz w:val="22"/>
                  <w:szCs w:val="22"/>
                  <w:lang w:eastAsia="zh-CN"/>
                </w:rPr>
                <w:t>2022</w:t>
              </w:r>
              <w:r w:rsidRPr="00ED3626">
                <w:rPr>
                  <w:rStyle w:val="Hyperlink"/>
                  <w:rFonts w:asciiTheme="minorHAnsi" w:eastAsia="STKaiti" w:hAnsiTheme="minorHAnsi" w:cstheme="minorHAnsi"/>
                  <w:noProof w:val="0"/>
                  <w:sz w:val="22"/>
                  <w:szCs w:val="22"/>
                  <w:lang w:eastAsia="zh-CN"/>
                </w:rPr>
                <w:t>年，布加勒斯特，修订版）</w:t>
              </w:r>
            </w:hyperlink>
            <w:r w:rsidRPr="00ED3626">
              <w:rPr>
                <w:rFonts w:asciiTheme="minorHAnsi" w:eastAsia="STKaiti" w:hAnsiTheme="minorHAnsi" w:cstheme="minorHAnsi"/>
                <w:sz w:val="22"/>
                <w:szCs w:val="22"/>
                <w:lang w:eastAsia="zh-CN"/>
              </w:rPr>
              <w:t>、</w:t>
            </w:r>
            <w:hyperlink r:id="rId11" w:history="1">
              <w:r w:rsidRPr="00ED3626">
                <w:rPr>
                  <w:rStyle w:val="Hyperlink"/>
                  <w:rFonts w:asciiTheme="minorHAnsi" w:eastAsia="STKaiti" w:hAnsiTheme="minorHAnsi" w:cstheme="minorHAnsi"/>
                  <w:noProof w:val="0"/>
                  <w:sz w:val="22"/>
                  <w:szCs w:val="22"/>
                  <w:lang w:eastAsia="zh-CN"/>
                </w:rPr>
                <w:t>第</w:t>
              </w:r>
              <w:r w:rsidRPr="00ED3626">
                <w:rPr>
                  <w:rStyle w:val="Hyperlink"/>
                  <w:rFonts w:asciiTheme="minorHAnsi" w:eastAsia="STKaiti" w:hAnsiTheme="minorHAnsi" w:cstheme="minorHAnsi"/>
                  <w:noProof w:val="0"/>
                  <w:sz w:val="22"/>
                  <w:szCs w:val="22"/>
                  <w:lang w:eastAsia="zh-CN"/>
                </w:rPr>
                <w:t>203</w:t>
              </w:r>
              <w:r w:rsidRPr="00ED3626">
                <w:rPr>
                  <w:rStyle w:val="Hyperlink"/>
                  <w:rFonts w:asciiTheme="minorHAnsi" w:eastAsia="STKaiti" w:hAnsiTheme="minorHAnsi" w:cstheme="minorHAnsi"/>
                  <w:noProof w:val="0"/>
                  <w:sz w:val="22"/>
                  <w:szCs w:val="22"/>
                  <w:lang w:eastAsia="zh-CN"/>
                </w:rPr>
                <w:t>号决议（</w:t>
              </w:r>
              <w:r w:rsidRPr="00ED3626">
                <w:rPr>
                  <w:rStyle w:val="Hyperlink"/>
                  <w:rFonts w:asciiTheme="minorHAnsi" w:eastAsia="STKaiti" w:hAnsiTheme="minorHAnsi" w:cstheme="minorHAnsi"/>
                  <w:noProof w:val="0"/>
                  <w:sz w:val="22"/>
                  <w:szCs w:val="22"/>
                  <w:lang w:eastAsia="zh-CN"/>
                </w:rPr>
                <w:t>2022</w:t>
              </w:r>
              <w:r w:rsidRPr="00ED3626">
                <w:rPr>
                  <w:rStyle w:val="Hyperlink"/>
                  <w:rFonts w:asciiTheme="minorHAnsi" w:eastAsia="STKaiti" w:hAnsiTheme="minorHAnsi" w:cstheme="minorHAnsi"/>
                  <w:noProof w:val="0"/>
                  <w:sz w:val="22"/>
                  <w:szCs w:val="22"/>
                  <w:lang w:eastAsia="zh-CN"/>
                </w:rPr>
                <w:t>年，布加勒斯特，修订版）</w:t>
              </w:r>
            </w:hyperlink>
            <w:r w:rsidR="00ED3626">
              <w:rPr>
                <w:rFonts w:asciiTheme="minorHAnsi" w:eastAsia="STKaiti" w:hAnsiTheme="minorHAnsi" w:cstheme="minorHAnsi" w:hint="eastAsia"/>
                <w:sz w:val="22"/>
                <w:szCs w:val="22"/>
                <w:lang w:eastAsia="zh-CN"/>
              </w:rPr>
              <w:t>以及</w:t>
            </w:r>
            <w:hyperlink r:id="rId12" w:history="1">
              <w:r w:rsidRPr="00ED3626">
                <w:rPr>
                  <w:rStyle w:val="Hyperlink"/>
                  <w:rFonts w:asciiTheme="minorHAnsi" w:eastAsia="STKaiti" w:hAnsiTheme="minorHAnsi" w:cstheme="minorHAnsi"/>
                  <w:noProof w:val="0"/>
                  <w:sz w:val="22"/>
                  <w:szCs w:val="22"/>
                  <w:lang w:eastAsia="zh-CN"/>
                </w:rPr>
                <w:t>第</w:t>
              </w:r>
              <w:r w:rsidRPr="00ED3626">
                <w:rPr>
                  <w:rStyle w:val="Hyperlink"/>
                  <w:rFonts w:asciiTheme="minorHAnsi" w:eastAsia="STKaiti" w:hAnsiTheme="minorHAnsi" w:cstheme="minorHAnsi"/>
                  <w:noProof w:val="0"/>
                  <w:sz w:val="22"/>
                  <w:szCs w:val="22"/>
                  <w:lang w:eastAsia="zh-CN"/>
                </w:rPr>
                <w:t>218</w:t>
              </w:r>
              <w:r w:rsidRPr="00ED3626">
                <w:rPr>
                  <w:rStyle w:val="Hyperlink"/>
                  <w:rFonts w:asciiTheme="minorHAnsi" w:eastAsia="STKaiti" w:hAnsiTheme="minorHAnsi" w:cstheme="minorHAnsi"/>
                  <w:noProof w:val="0"/>
                  <w:sz w:val="22"/>
                  <w:szCs w:val="22"/>
                  <w:lang w:eastAsia="zh-CN"/>
                </w:rPr>
                <w:t>号决议（</w:t>
              </w:r>
              <w:r w:rsidRPr="00ED3626">
                <w:rPr>
                  <w:rStyle w:val="Hyperlink"/>
                  <w:rFonts w:asciiTheme="minorHAnsi" w:eastAsia="STKaiti" w:hAnsiTheme="minorHAnsi" w:cstheme="minorHAnsi"/>
                  <w:noProof w:val="0"/>
                  <w:sz w:val="22"/>
                  <w:szCs w:val="22"/>
                  <w:lang w:eastAsia="zh-CN"/>
                </w:rPr>
                <w:t>2022</w:t>
              </w:r>
              <w:r w:rsidRPr="00ED3626">
                <w:rPr>
                  <w:rStyle w:val="Hyperlink"/>
                  <w:rFonts w:asciiTheme="minorHAnsi" w:eastAsia="STKaiti" w:hAnsiTheme="minorHAnsi" w:cstheme="minorHAnsi"/>
                  <w:noProof w:val="0"/>
                  <w:sz w:val="22"/>
                  <w:szCs w:val="22"/>
                  <w:lang w:eastAsia="zh-CN"/>
                </w:rPr>
                <w:t>年，布加勒斯特）</w:t>
              </w:r>
            </w:hyperlink>
            <w:r w:rsidR="004A2471">
              <w:rPr>
                <w:rFonts w:asciiTheme="majorEastAsia" w:eastAsiaTheme="majorEastAsia" w:hAnsiTheme="majorEastAsia" w:hint="eastAsia"/>
                <w:sz w:val="22"/>
                <w:szCs w:val="22"/>
                <w:lang w:eastAsia="zh-CN"/>
              </w:rPr>
              <w:t>。</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E36B681" w14:textId="168C9EDD" w:rsidR="00AE195F" w:rsidRPr="00C126E1" w:rsidRDefault="00C126E1" w:rsidP="00891C7E">
      <w:pPr>
        <w:ind w:firstLineChars="200" w:firstLine="480"/>
        <w:rPr>
          <w:lang w:eastAsia="zh-CN"/>
        </w:rPr>
      </w:pPr>
      <w:r w:rsidRPr="00C126E1">
        <w:rPr>
          <w:rFonts w:hint="eastAsia"/>
          <w:lang w:eastAsia="zh-CN"/>
        </w:rPr>
        <w:lastRenderedPageBreak/>
        <w:t>自</w:t>
      </w:r>
      <w:r w:rsidRPr="00C126E1">
        <w:rPr>
          <w:rFonts w:hint="eastAsia"/>
          <w:lang w:eastAsia="zh-CN"/>
        </w:rPr>
        <w:t>2018</w:t>
      </w:r>
      <w:r w:rsidRPr="00C126E1">
        <w:rPr>
          <w:rFonts w:hint="eastAsia"/>
          <w:lang w:eastAsia="zh-CN"/>
        </w:rPr>
        <w:t>年以来，南部非洲发展共同体（</w:t>
      </w:r>
      <w:r w:rsidRPr="00C126E1">
        <w:rPr>
          <w:rFonts w:hint="eastAsia"/>
          <w:lang w:eastAsia="zh-CN"/>
        </w:rPr>
        <w:t>SADC</w:t>
      </w:r>
      <w:r w:rsidRPr="00C126E1">
        <w:rPr>
          <w:rFonts w:hint="eastAsia"/>
          <w:lang w:eastAsia="zh-CN"/>
        </w:rPr>
        <w:t>）区域的</w:t>
      </w:r>
      <w:r w:rsidRPr="00C126E1">
        <w:rPr>
          <w:rFonts w:hint="eastAsia"/>
          <w:lang w:eastAsia="zh-CN"/>
        </w:rPr>
        <w:t>16</w:t>
      </w:r>
      <w:r w:rsidRPr="00C126E1">
        <w:rPr>
          <w:rFonts w:hint="eastAsia"/>
          <w:lang w:eastAsia="zh-CN"/>
        </w:rPr>
        <w:t>个主管部门，即安哥拉、博茨瓦纳、科摩罗、刚果民主共和国、斯威士兰、莱索托、马达加斯加、马拉维、毛里求斯、莫桑比克、纳米比亚、塞舌尔、南非、坦桑尼亚联合共和国、赞比亚</w:t>
      </w:r>
      <w:r w:rsidR="003321A4">
        <w:rPr>
          <w:rFonts w:hint="eastAsia"/>
          <w:lang w:eastAsia="zh-CN"/>
        </w:rPr>
        <w:t>和</w:t>
      </w:r>
      <w:r w:rsidRPr="00C126E1">
        <w:rPr>
          <w:rFonts w:hint="eastAsia"/>
          <w:lang w:eastAsia="zh-CN"/>
        </w:rPr>
        <w:t>津巴布韦计划开发一个区域</w:t>
      </w:r>
      <w:r w:rsidR="007226BB">
        <w:rPr>
          <w:rFonts w:hint="eastAsia"/>
          <w:lang w:eastAsia="zh-CN"/>
        </w:rPr>
        <w:t>共用</w:t>
      </w:r>
      <w:r w:rsidRPr="00C126E1">
        <w:rPr>
          <w:rFonts w:hint="eastAsia"/>
          <w:lang w:eastAsia="zh-CN"/>
        </w:rPr>
        <w:t>卫星系统，以提供基本电信服务，包括向</w:t>
      </w:r>
      <w:r>
        <w:rPr>
          <w:rFonts w:hint="eastAsia"/>
          <w:lang w:eastAsia="zh-CN"/>
        </w:rPr>
        <w:t>这些</w:t>
      </w:r>
      <w:r w:rsidRPr="00C126E1">
        <w:rPr>
          <w:rFonts w:hint="eastAsia"/>
          <w:lang w:eastAsia="zh-CN"/>
        </w:rPr>
        <w:t>国家</w:t>
      </w:r>
      <w:r>
        <w:rPr>
          <w:rFonts w:hint="eastAsia"/>
          <w:lang w:eastAsia="zh-CN"/>
        </w:rPr>
        <w:t>的</w:t>
      </w:r>
      <w:r w:rsidRPr="00C126E1">
        <w:rPr>
          <w:rFonts w:hint="eastAsia"/>
          <w:lang w:eastAsia="zh-CN"/>
        </w:rPr>
        <w:t>学校和村庄提供互联网接入。</w:t>
      </w:r>
    </w:p>
    <w:p w14:paraId="64041DF2" w14:textId="30FC19AC" w:rsidR="00E323D0" w:rsidRDefault="00C126E1" w:rsidP="00891C7E">
      <w:pPr>
        <w:ind w:firstLineChars="200" w:firstLine="480"/>
        <w:rPr>
          <w:lang w:eastAsia="zh-CN"/>
        </w:rPr>
      </w:pPr>
      <w:r>
        <w:rPr>
          <w:rFonts w:hint="eastAsia"/>
          <w:lang w:eastAsia="zh-CN"/>
        </w:rPr>
        <w:t>SADC</w:t>
      </w:r>
      <w:r>
        <w:rPr>
          <w:rFonts w:hint="eastAsia"/>
          <w:lang w:eastAsia="zh-CN"/>
        </w:rPr>
        <w:t>区域包括</w:t>
      </w:r>
      <w:r w:rsidR="00AE4210">
        <w:rPr>
          <w:rStyle w:val="FootnoteReference"/>
          <w:lang w:eastAsia="zh-CN"/>
        </w:rPr>
        <w:footnoteReference w:id="1"/>
      </w:r>
      <w:r>
        <w:rPr>
          <w:rFonts w:hint="eastAsia"/>
          <w:lang w:eastAsia="zh-CN"/>
        </w:rPr>
        <w:t>：</w:t>
      </w:r>
    </w:p>
    <w:p w14:paraId="3B2DC510" w14:textId="012409CA" w:rsidR="00C126E1" w:rsidRDefault="00C126E1" w:rsidP="007C1215">
      <w:pPr>
        <w:pStyle w:val="enumlev1"/>
        <w:rPr>
          <w:lang w:eastAsia="zh-CN"/>
        </w:rPr>
      </w:pPr>
      <w:r>
        <w:rPr>
          <w:lang w:eastAsia="zh-CN"/>
        </w:rPr>
        <w:t>–</w:t>
      </w:r>
      <w:r>
        <w:rPr>
          <w:lang w:eastAsia="zh-CN"/>
        </w:rPr>
        <w:tab/>
      </w:r>
      <w:r w:rsidR="00F93D0B">
        <w:rPr>
          <w:rFonts w:hint="eastAsia"/>
          <w:lang w:eastAsia="zh-CN"/>
        </w:rPr>
        <w:t>9</w:t>
      </w:r>
      <w:r w:rsidR="00F93D0B">
        <w:rPr>
          <w:rFonts w:hint="eastAsia"/>
          <w:lang w:eastAsia="zh-CN"/>
        </w:rPr>
        <w:t>个联合国确定的最不发达国家（</w:t>
      </w:r>
      <w:r w:rsidR="00F93D0B">
        <w:rPr>
          <w:rFonts w:hint="eastAsia"/>
          <w:lang w:eastAsia="zh-CN"/>
        </w:rPr>
        <w:t>LDC</w:t>
      </w:r>
      <w:r w:rsidR="00F93D0B">
        <w:rPr>
          <w:rFonts w:hint="eastAsia"/>
          <w:lang w:eastAsia="zh-CN"/>
        </w:rPr>
        <w:t>）：安哥拉、</w:t>
      </w:r>
      <w:r w:rsidR="00F93D0B" w:rsidRPr="00F93D0B">
        <w:rPr>
          <w:rFonts w:hint="eastAsia"/>
          <w:lang w:eastAsia="zh-CN"/>
        </w:rPr>
        <w:t>科摩罗、刚果民主共和国、莱索托、马达加斯加、马拉维、莫桑比克、坦桑尼亚联合共和国</w:t>
      </w:r>
      <w:r w:rsidR="00FD65D8">
        <w:rPr>
          <w:rFonts w:hint="eastAsia"/>
          <w:lang w:eastAsia="zh-CN"/>
        </w:rPr>
        <w:t>、</w:t>
      </w:r>
      <w:proofErr w:type="gramStart"/>
      <w:r w:rsidR="00F93D0B" w:rsidRPr="00F93D0B">
        <w:rPr>
          <w:rFonts w:hint="eastAsia"/>
          <w:lang w:eastAsia="zh-CN"/>
        </w:rPr>
        <w:t>赞比亚</w:t>
      </w:r>
      <w:r w:rsidR="00F93D0B">
        <w:rPr>
          <w:rFonts w:hint="eastAsia"/>
          <w:lang w:eastAsia="zh-CN"/>
        </w:rPr>
        <w:t>；</w:t>
      </w:r>
      <w:proofErr w:type="gramEnd"/>
    </w:p>
    <w:p w14:paraId="515C8D4E" w14:textId="581F41AA" w:rsidR="00F93D0B" w:rsidRDefault="00F93D0B" w:rsidP="007C1215">
      <w:pPr>
        <w:pStyle w:val="enumlev1"/>
        <w:rPr>
          <w:lang w:eastAsia="zh-CN"/>
        </w:rPr>
      </w:pPr>
      <w:r>
        <w:rPr>
          <w:lang w:eastAsia="zh-CN"/>
        </w:rPr>
        <w:t>–</w:t>
      </w:r>
      <w:r>
        <w:rPr>
          <w:lang w:eastAsia="zh-CN"/>
        </w:rPr>
        <w:tab/>
      </w:r>
      <w:r w:rsidRPr="00F93D0B">
        <w:rPr>
          <w:rFonts w:hint="eastAsia"/>
          <w:lang w:eastAsia="zh-CN"/>
        </w:rPr>
        <w:t>4</w:t>
      </w:r>
      <w:r w:rsidRPr="00F93D0B">
        <w:rPr>
          <w:rFonts w:hint="eastAsia"/>
          <w:lang w:eastAsia="zh-CN"/>
        </w:rPr>
        <w:t>个小岛屿发展中国家（</w:t>
      </w:r>
      <w:r w:rsidRPr="00F93D0B">
        <w:rPr>
          <w:rFonts w:hint="eastAsia"/>
          <w:lang w:eastAsia="zh-CN"/>
        </w:rPr>
        <w:t>SID</w:t>
      </w:r>
      <w:r w:rsidR="00950ADC">
        <w:rPr>
          <w:rFonts w:hint="eastAsia"/>
          <w:lang w:eastAsia="zh-CN"/>
        </w:rPr>
        <w:t>S</w:t>
      </w:r>
      <w:r w:rsidRPr="00F93D0B">
        <w:rPr>
          <w:rFonts w:hint="eastAsia"/>
          <w:lang w:eastAsia="zh-CN"/>
        </w:rPr>
        <w:t>）</w:t>
      </w:r>
      <w:r>
        <w:rPr>
          <w:rFonts w:hint="eastAsia"/>
          <w:lang w:eastAsia="zh-CN"/>
        </w:rPr>
        <w:t>：</w:t>
      </w:r>
      <w:r w:rsidRPr="00F93D0B">
        <w:rPr>
          <w:rFonts w:hint="eastAsia"/>
          <w:lang w:eastAsia="zh-CN"/>
        </w:rPr>
        <w:t>科摩罗、马达加斯加、毛里求斯</w:t>
      </w:r>
      <w:r w:rsidR="00ED3626">
        <w:rPr>
          <w:rFonts w:hint="eastAsia"/>
          <w:lang w:eastAsia="zh-CN"/>
        </w:rPr>
        <w:t>、</w:t>
      </w:r>
      <w:proofErr w:type="gramStart"/>
      <w:r w:rsidRPr="00F93D0B">
        <w:rPr>
          <w:rFonts w:hint="eastAsia"/>
          <w:lang w:eastAsia="zh-CN"/>
        </w:rPr>
        <w:t>塞舌尔</w:t>
      </w:r>
      <w:r>
        <w:rPr>
          <w:rFonts w:hint="eastAsia"/>
          <w:lang w:eastAsia="zh-CN"/>
        </w:rPr>
        <w:t>；</w:t>
      </w:r>
      <w:proofErr w:type="gramEnd"/>
    </w:p>
    <w:p w14:paraId="02CBEEAE" w14:textId="6F2A5E3D" w:rsidR="00F93D0B" w:rsidRDefault="00F93D0B" w:rsidP="007C1215">
      <w:pPr>
        <w:pStyle w:val="enumlev1"/>
        <w:rPr>
          <w:lang w:eastAsia="zh-CN"/>
        </w:rPr>
      </w:pPr>
      <w:r>
        <w:rPr>
          <w:lang w:eastAsia="zh-CN"/>
        </w:rPr>
        <w:t>–</w:t>
      </w:r>
      <w:r>
        <w:rPr>
          <w:lang w:eastAsia="zh-CN"/>
        </w:rPr>
        <w:tab/>
      </w:r>
      <w:r w:rsidRPr="00F93D0B">
        <w:rPr>
          <w:rFonts w:hint="eastAsia"/>
          <w:lang w:eastAsia="zh-CN"/>
        </w:rPr>
        <w:t>6</w:t>
      </w:r>
      <w:r w:rsidRPr="00F93D0B">
        <w:rPr>
          <w:rFonts w:hint="eastAsia"/>
          <w:lang w:eastAsia="zh-CN"/>
        </w:rPr>
        <w:t>个内陆发展中国家</w:t>
      </w:r>
      <w:r>
        <w:rPr>
          <w:rFonts w:hint="eastAsia"/>
          <w:lang w:eastAsia="zh-CN"/>
        </w:rPr>
        <w:t>（</w:t>
      </w:r>
      <w:r>
        <w:rPr>
          <w:rFonts w:hint="eastAsia"/>
          <w:lang w:eastAsia="zh-CN"/>
        </w:rPr>
        <w:t>LLDC</w:t>
      </w:r>
      <w:r>
        <w:rPr>
          <w:rFonts w:hint="eastAsia"/>
          <w:lang w:eastAsia="zh-CN"/>
        </w:rPr>
        <w:t>）：</w:t>
      </w:r>
      <w:r w:rsidRPr="00F93D0B">
        <w:rPr>
          <w:rFonts w:hint="eastAsia"/>
          <w:lang w:eastAsia="zh-CN"/>
        </w:rPr>
        <w:t>博茨瓦纳、斯威士兰、莱索托、马拉维、赞比亚</w:t>
      </w:r>
      <w:r w:rsidR="00ED3626">
        <w:rPr>
          <w:rFonts w:hint="eastAsia"/>
          <w:lang w:eastAsia="zh-CN"/>
        </w:rPr>
        <w:t>、</w:t>
      </w:r>
      <w:r w:rsidRPr="00F93D0B">
        <w:rPr>
          <w:rFonts w:hint="eastAsia"/>
          <w:lang w:eastAsia="zh-CN"/>
        </w:rPr>
        <w:t>津巴布韦。</w:t>
      </w:r>
    </w:p>
    <w:p w14:paraId="3EB70E42" w14:textId="68F80472" w:rsidR="00F93D0B" w:rsidRPr="00C126E1" w:rsidRDefault="00F93D0B" w:rsidP="00891C7E">
      <w:pPr>
        <w:ind w:firstLineChars="200" w:firstLine="480"/>
        <w:rPr>
          <w:lang w:eastAsia="zh-CN"/>
        </w:rPr>
      </w:pPr>
      <w:r w:rsidRPr="00F93D0B">
        <w:rPr>
          <w:rFonts w:hint="eastAsia"/>
          <w:lang w:eastAsia="zh-CN"/>
        </w:rPr>
        <w:t>该举措的目标与以下目标相一致：</w:t>
      </w:r>
    </w:p>
    <w:p w14:paraId="0CFDB7C4" w14:textId="2495B0F8" w:rsidR="00E323D0" w:rsidRDefault="0042340E" w:rsidP="007C1215">
      <w:pPr>
        <w:pStyle w:val="enumlev1"/>
        <w:rPr>
          <w:lang w:eastAsia="zh-CN"/>
        </w:rPr>
      </w:pPr>
      <w:r>
        <w:rPr>
          <w:lang w:eastAsia="zh-CN"/>
        </w:rPr>
        <w:t>–</w:t>
      </w:r>
      <w:r>
        <w:rPr>
          <w:lang w:eastAsia="zh-CN"/>
        </w:rPr>
        <w:tab/>
      </w:r>
      <w:r w:rsidRPr="00AF7F2C">
        <w:rPr>
          <w:rFonts w:hint="eastAsia"/>
          <w:b/>
          <w:bCs/>
          <w:lang w:eastAsia="zh-CN"/>
        </w:rPr>
        <w:t>第</w:t>
      </w:r>
      <w:r w:rsidRPr="00AF7F2C">
        <w:rPr>
          <w:rFonts w:hint="eastAsia"/>
          <w:b/>
          <w:bCs/>
          <w:lang w:eastAsia="zh-CN"/>
        </w:rPr>
        <w:t>30</w:t>
      </w:r>
      <w:r w:rsidRPr="00AF7F2C">
        <w:rPr>
          <w:rFonts w:hint="eastAsia"/>
          <w:b/>
          <w:bCs/>
          <w:lang w:eastAsia="zh-CN"/>
        </w:rPr>
        <w:t>号决议（</w:t>
      </w:r>
      <w:r w:rsidRPr="00AF7F2C">
        <w:rPr>
          <w:rFonts w:hint="eastAsia"/>
          <w:b/>
          <w:bCs/>
          <w:lang w:eastAsia="zh-CN"/>
        </w:rPr>
        <w:t>2022</w:t>
      </w:r>
      <w:r w:rsidRPr="00AF7F2C">
        <w:rPr>
          <w:rFonts w:hint="eastAsia"/>
          <w:b/>
          <w:bCs/>
          <w:lang w:eastAsia="zh-CN"/>
        </w:rPr>
        <w:t>年，布加勒斯特，修订版）</w:t>
      </w:r>
      <w:r w:rsidRPr="0042340E">
        <w:rPr>
          <w:rFonts w:hint="eastAsia"/>
          <w:lang w:eastAsia="zh-CN"/>
        </w:rPr>
        <w:t>鼓励</w:t>
      </w:r>
      <w:r>
        <w:rPr>
          <w:rFonts w:hint="eastAsia"/>
          <w:lang w:eastAsia="zh-CN"/>
        </w:rPr>
        <w:t>LDC</w:t>
      </w:r>
      <w:r w:rsidRPr="0042340E">
        <w:rPr>
          <w:rFonts w:hint="eastAsia"/>
          <w:lang w:eastAsia="zh-CN"/>
        </w:rPr>
        <w:t>、</w:t>
      </w:r>
      <w:r>
        <w:rPr>
          <w:rFonts w:hint="eastAsia"/>
          <w:lang w:eastAsia="zh-CN"/>
        </w:rPr>
        <w:t>SID</w:t>
      </w:r>
      <w:r w:rsidR="00950ADC">
        <w:rPr>
          <w:rFonts w:hint="eastAsia"/>
          <w:lang w:eastAsia="zh-CN"/>
        </w:rPr>
        <w:t>S</w:t>
      </w:r>
      <w:r w:rsidRPr="0042340E">
        <w:rPr>
          <w:rFonts w:hint="eastAsia"/>
          <w:lang w:eastAsia="zh-CN"/>
        </w:rPr>
        <w:t>、</w:t>
      </w:r>
      <w:proofErr w:type="gramStart"/>
      <w:r>
        <w:rPr>
          <w:lang w:eastAsia="zh-CN"/>
        </w:rPr>
        <w:t>LLDC</w:t>
      </w:r>
      <w:r>
        <w:rPr>
          <w:rFonts w:hint="eastAsia"/>
          <w:lang w:eastAsia="zh-CN"/>
        </w:rPr>
        <w:t>以及</w:t>
      </w:r>
      <w:r w:rsidRPr="0042340E">
        <w:rPr>
          <w:rFonts w:hint="eastAsia"/>
          <w:lang w:eastAsia="zh-CN"/>
        </w:rPr>
        <w:t>经济转型国家优先开展促进社会经济发展和改善国际</w:t>
      </w:r>
      <w:r w:rsidR="007050DF">
        <w:rPr>
          <w:rFonts w:hint="eastAsia"/>
          <w:lang w:eastAsia="zh-CN"/>
        </w:rPr>
        <w:t>互联互通</w:t>
      </w:r>
      <w:r w:rsidRPr="0042340E">
        <w:rPr>
          <w:rFonts w:hint="eastAsia"/>
          <w:lang w:eastAsia="zh-CN"/>
        </w:rPr>
        <w:t>的</w:t>
      </w:r>
      <w:r w:rsidRPr="0042340E">
        <w:rPr>
          <w:lang w:eastAsia="zh-CN"/>
        </w:rPr>
        <w:t>ICT</w:t>
      </w:r>
      <w:r w:rsidRPr="0042340E">
        <w:rPr>
          <w:rFonts w:hint="eastAsia"/>
          <w:lang w:eastAsia="zh-CN"/>
        </w:rPr>
        <w:t>项目</w:t>
      </w:r>
      <w:r>
        <w:rPr>
          <w:rFonts w:hint="eastAsia"/>
          <w:lang w:eastAsia="zh-CN"/>
        </w:rPr>
        <w:t>；</w:t>
      </w:r>
      <w:proofErr w:type="gramEnd"/>
    </w:p>
    <w:p w14:paraId="0E284674" w14:textId="7077905B" w:rsidR="007050DF" w:rsidRDefault="007050DF" w:rsidP="007C1215">
      <w:pPr>
        <w:pStyle w:val="enumlev1"/>
        <w:rPr>
          <w:lang w:eastAsia="zh-CN"/>
        </w:rPr>
      </w:pPr>
      <w:r>
        <w:rPr>
          <w:lang w:eastAsia="zh-CN"/>
        </w:rPr>
        <w:t>–</w:t>
      </w:r>
      <w:r>
        <w:rPr>
          <w:lang w:eastAsia="zh-CN"/>
        </w:rPr>
        <w:tab/>
      </w:r>
      <w:r w:rsidRPr="00AF7F2C">
        <w:rPr>
          <w:rFonts w:hint="eastAsia"/>
          <w:b/>
          <w:bCs/>
          <w:lang w:eastAsia="zh-CN"/>
        </w:rPr>
        <w:t>第</w:t>
      </w:r>
      <w:r w:rsidRPr="00AF7F2C">
        <w:rPr>
          <w:rFonts w:hint="eastAsia"/>
          <w:b/>
          <w:bCs/>
          <w:lang w:eastAsia="zh-CN"/>
        </w:rPr>
        <w:t>200</w:t>
      </w:r>
      <w:r w:rsidRPr="00AF7F2C">
        <w:rPr>
          <w:rFonts w:hint="eastAsia"/>
          <w:b/>
          <w:bCs/>
          <w:lang w:eastAsia="zh-CN"/>
        </w:rPr>
        <w:t>号决议（</w:t>
      </w:r>
      <w:r w:rsidRPr="00AF7F2C">
        <w:rPr>
          <w:rFonts w:hint="eastAsia"/>
          <w:b/>
          <w:bCs/>
          <w:lang w:eastAsia="zh-CN"/>
        </w:rPr>
        <w:t>2022</w:t>
      </w:r>
      <w:r w:rsidRPr="00AF7F2C">
        <w:rPr>
          <w:rFonts w:hint="eastAsia"/>
          <w:b/>
          <w:bCs/>
          <w:lang w:eastAsia="zh-CN"/>
        </w:rPr>
        <w:t>年，布加勒斯特，修订版）</w:t>
      </w:r>
      <w:r w:rsidRPr="007050DF">
        <w:rPr>
          <w:rFonts w:hint="eastAsia"/>
          <w:lang w:eastAsia="zh-CN"/>
        </w:rPr>
        <w:t>请成员国为落实</w:t>
      </w:r>
      <w:r w:rsidR="00B16B68">
        <w:rPr>
          <w:rFonts w:hint="eastAsia"/>
          <w:lang w:eastAsia="zh-CN"/>
        </w:rPr>
        <w:t>《</w:t>
      </w:r>
      <w:r w:rsidRPr="007050DF">
        <w:rPr>
          <w:rFonts w:hint="eastAsia"/>
          <w:lang w:eastAsia="zh-CN"/>
        </w:rPr>
        <w:t>连通</w:t>
      </w:r>
      <w:r w:rsidRPr="007050DF">
        <w:rPr>
          <w:rFonts w:hint="eastAsia"/>
          <w:lang w:eastAsia="zh-CN"/>
        </w:rPr>
        <w:t>2030</w:t>
      </w:r>
      <w:r w:rsidR="000262F8">
        <w:rPr>
          <w:rFonts w:hint="eastAsia"/>
          <w:lang w:eastAsia="zh-CN"/>
        </w:rPr>
        <w:t>年</w:t>
      </w:r>
      <w:r w:rsidRPr="007050DF">
        <w:rPr>
          <w:rFonts w:hint="eastAsia"/>
          <w:lang w:eastAsia="zh-CN"/>
        </w:rPr>
        <w:t>议程</w:t>
      </w:r>
      <w:r w:rsidR="00B16B68">
        <w:rPr>
          <w:rFonts w:hint="eastAsia"/>
          <w:lang w:eastAsia="zh-CN"/>
        </w:rPr>
        <w:t>》</w:t>
      </w:r>
      <w:proofErr w:type="gramStart"/>
      <w:r w:rsidRPr="007050DF">
        <w:rPr>
          <w:rFonts w:hint="eastAsia"/>
          <w:lang w:eastAsia="zh-CN"/>
        </w:rPr>
        <w:t>做出贡献</w:t>
      </w:r>
      <w:r w:rsidR="00B16B68">
        <w:rPr>
          <w:rFonts w:hint="eastAsia"/>
          <w:lang w:eastAsia="zh-CN"/>
        </w:rPr>
        <w:t>；</w:t>
      </w:r>
      <w:proofErr w:type="gramEnd"/>
    </w:p>
    <w:p w14:paraId="1D3401F1" w14:textId="18897042" w:rsidR="00B16B68" w:rsidRDefault="00B16B68" w:rsidP="007C1215">
      <w:pPr>
        <w:pStyle w:val="enumlev1"/>
        <w:rPr>
          <w:lang w:eastAsia="zh-CN"/>
        </w:rPr>
      </w:pPr>
      <w:r>
        <w:rPr>
          <w:lang w:eastAsia="zh-CN"/>
        </w:rPr>
        <w:t>–</w:t>
      </w:r>
      <w:r>
        <w:rPr>
          <w:lang w:eastAsia="zh-CN"/>
        </w:rPr>
        <w:tab/>
      </w:r>
      <w:r w:rsidRPr="00AF7F2C">
        <w:rPr>
          <w:rFonts w:hint="eastAsia"/>
          <w:b/>
          <w:bCs/>
          <w:lang w:eastAsia="zh-CN"/>
        </w:rPr>
        <w:t>第</w:t>
      </w:r>
      <w:r w:rsidRPr="00AF7F2C">
        <w:rPr>
          <w:rFonts w:hint="eastAsia"/>
          <w:b/>
          <w:bCs/>
          <w:lang w:eastAsia="zh-CN"/>
        </w:rPr>
        <w:t>203</w:t>
      </w:r>
      <w:r w:rsidRPr="00AF7F2C">
        <w:rPr>
          <w:rFonts w:hint="eastAsia"/>
          <w:b/>
          <w:bCs/>
          <w:lang w:eastAsia="zh-CN"/>
        </w:rPr>
        <w:t>号决议（</w:t>
      </w:r>
      <w:r w:rsidRPr="00AF7F2C">
        <w:rPr>
          <w:rFonts w:hint="eastAsia"/>
          <w:b/>
          <w:bCs/>
          <w:lang w:eastAsia="zh-CN"/>
        </w:rPr>
        <w:t>2022</w:t>
      </w:r>
      <w:r w:rsidRPr="00AF7F2C">
        <w:rPr>
          <w:rFonts w:hint="eastAsia"/>
          <w:b/>
          <w:bCs/>
          <w:lang w:eastAsia="zh-CN"/>
        </w:rPr>
        <w:t>年，布加勒斯特，修订版）</w:t>
      </w:r>
      <w:proofErr w:type="gramStart"/>
      <w:r>
        <w:rPr>
          <w:rFonts w:hint="eastAsia"/>
          <w:lang w:eastAsia="zh-CN"/>
        </w:rPr>
        <w:t>决定致力于</w:t>
      </w:r>
      <w:r w:rsidRPr="00B16B68">
        <w:rPr>
          <w:rFonts w:hint="eastAsia"/>
          <w:lang w:eastAsia="zh-CN"/>
        </w:rPr>
        <w:t>实现宽带普遍接入</w:t>
      </w:r>
      <w:r>
        <w:rPr>
          <w:rFonts w:hint="eastAsia"/>
          <w:lang w:eastAsia="zh-CN"/>
        </w:rPr>
        <w:t>；</w:t>
      </w:r>
      <w:proofErr w:type="gramEnd"/>
    </w:p>
    <w:p w14:paraId="339FF9B9" w14:textId="1D3C394B" w:rsidR="00B16B68" w:rsidRDefault="00B16B68" w:rsidP="007C1215">
      <w:pPr>
        <w:pStyle w:val="enumlev1"/>
        <w:rPr>
          <w:lang w:eastAsia="zh-CN"/>
        </w:rPr>
      </w:pPr>
      <w:r>
        <w:rPr>
          <w:lang w:eastAsia="zh-CN"/>
        </w:rPr>
        <w:t>–</w:t>
      </w:r>
      <w:r>
        <w:rPr>
          <w:lang w:eastAsia="zh-CN"/>
        </w:rPr>
        <w:tab/>
      </w:r>
      <w:r w:rsidRPr="00AF7F2C">
        <w:rPr>
          <w:rFonts w:hint="eastAsia"/>
          <w:b/>
          <w:bCs/>
          <w:lang w:eastAsia="zh-CN"/>
        </w:rPr>
        <w:t>第</w:t>
      </w:r>
      <w:r w:rsidRPr="00AF7F2C">
        <w:rPr>
          <w:rFonts w:hint="eastAsia"/>
          <w:b/>
          <w:bCs/>
          <w:lang w:eastAsia="zh-CN"/>
        </w:rPr>
        <w:t>218</w:t>
      </w:r>
      <w:r w:rsidRPr="00AF7F2C">
        <w:rPr>
          <w:rFonts w:hint="eastAsia"/>
          <w:b/>
          <w:bCs/>
          <w:lang w:eastAsia="zh-CN"/>
        </w:rPr>
        <w:t>号决议（布加勒斯特，</w:t>
      </w:r>
      <w:r w:rsidRPr="00AF7F2C">
        <w:rPr>
          <w:rFonts w:hint="eastAsia"/>
          <w:b/>
          <w:bCs/>
          <w:lang w:eastAsia="zh-CN"/>
        </w:rPr>
        <w:t>2022</w:t>
      </w:r>
      <w:r w:rsidRPr="00AF7F2C">
        <w:rPr>
          <w:rFonts w:hint="eastAsia"/>
          <w:b/>
          <w:bCs/>
          <w:lang w:eastAsia="zh-CN"/>
        </w:rPr>
        <w:t>年）</w:t>
      </w:r>
      <w:r w:rsidRPr="00B16B68">
        <w:rPr>
          <w:rFonts w:hint="eastAsia"/>
          <w:lang w:eastAsia="zh-CN"/>
        </w:rPr>
        <w:t>，鼓励参与</w:t>
      </w:r>
      <w:r>
        <w:rPr>
          <w:rFonts w:hint="eastAsia"/>
          <w:lang w:eastAsia="zh-CN"/>
        </w:rPr>
        <w:t>《</w:t>
      </w:r>
      <w:r w:rsidRPr="00B16B68">
        <w:rPr>
          <w:rFonts w:hint="eastAsia"/>
          <w:lang w:eastAsia="zh-CN"/>
        </w:rPr>
        <w:t>空间</w:t>
      </w:r>
      <w:r w:rsidRPr="00B16B68">
        <w:rPr>
          <w:rFonts w:hint="eastAsia"/>
          <w:lang w:eastAsia="zh-CN"/>
        </w:rPr>
        <w:t>2030</w:t>
      </w:r>
      <w:r w:rsidRPr="00B16B68">
        <w:rPr>
          <w:rFonts w:hint="eastAsia"/>
          <w:lang w:eastAsia="zh-CN"/>
        </w:rPr>
        <w:t>议程</w:t>
      </w:r>
      <w:r>
        <w:rPr>
          <w:rFonts w:hint="eastAsia"/>
          <w:lang w:eastAsia="zh-CN"/>
        </w:rPr>
        <w:t>》</w:t>
      </w:r>
      <w:r w:rsidRPr="00B16B68">
        <w:rPr>
          <w:rFonts w:hint="eastAsia"/>
          <w:lang w:eastAsia="zh-CN"/>
        </w:rPr>
        <w:t>并努力支持可持续发展目标（</w:t>
      </w:r>
      <w:r w:rsidRPr="00B16B68">
        <w:rPr>
          <w:rFonts w:hint="eastAsia"/>
          <w:lang w:eastAsia="zh-CN"/>
        </w:rPr>
        <w:t>SDG</w:t>
      </w:r>
      <w:proofErr w:type="gramStart"/>
      <w:r w:rsidRPr="00B16B68">
        <w:rPr>
          <w:rFonts w:hint="eastAsia"/>
          <w:lang w:eastAsia="zh-CN"/>
        </w:rPr>
        <w:t>）</w:t>
      </w:r>
      <w:r>
        <w:rPr>
          <w:rFonts w:hint="eastAsia"/>
          <w:lang w:eastAsia="zh-CN"/>
        </w:rPr>
        <w:t>；</w:t>
      </w:r>
      <w:proofErr w:type="gramEnd"/>
    </w:p>
    <w:p w14:paraId="74569F2A" w14:textId="69441903" w:rsidR="00B16B68" w:rsidRDefault="00B16B68" w:rsidP="007C1215">
      <w:pPr>
        <w:pStyle w:val="enumlev1"/>
        <w:rPr>
          <w:lang w:eastAsia="zh-CN"/>
        </w:rPr>
      </w:pPr>
      <w:r>
        <w:rPr>
          <w:lang w:eastAsia="zh-CN"/>
        </w:rPr>
        <w:t>–</w:t>
      </w:r>
      <w:r>
        <w:rPr>
          <w:lang w:eastAsia="zh-CN"/>
        </w:rPr>
        <w:tab/>
      </w:r>
      <w:r w:rsidRPr="00B16B68">
        <w:rPr>
          <w:rFonts w:hint="eastAsia"/>
          <w:lang w:eastAsia="zh-CN"/>
        </w:rPr>
        <w:t>更广泛的</w:t>
      </w:r>
      <w:r w:rsidRPr="00AF7F2C">
        <w:rPr>
          <w:rFonts w:hint="eastAsia"/>
          <w:b/>
          <w:bCs/>
          <w:lang w:eastAsia="zh-CN"/>
        </w:rPr>
        <w:t>联合国</w:t>
      </w:r>
      <w:r w:rsidRPr="00AF7F2C">
        <w:rPr>
          <w:rFonts w:hint="eastAsia"/>
          <w:b/>
          <w:bCs/>
          <w:lang w:eastAsia="zh-CN"/>
        </w:rPr>
        <w:t>SDG</w:t>
      </w:r>
      <w:r w:rsidRPr="00AF7F2C">
        <w:rPr>
          <w:rFonts w:hint="eastAsia"/>
          <w:b/>
          <w:bCs/>
          <w:lang w:eastAsia="zh-CN"/>
        </w:rPr>
        <w:t>目标</w:t>
      </w:r>
      <w:r w:rsidRPr="00B16B68">
        <w:rPr>
          <w:rFonts w:hint="eastAsia"/>
          <w:lang w:eastAsia="zh-CN"/>
        </w:rPr>
        <w:t>和</w:t>
      </w:r>
      <w:r w:rsidRPr="00AF7F2C">
        <w:rPr>
          <w:rFonts w:hint="eastAsia"/>
          <w:b/>
          <w:bCs/>
          <w:lang w:eastAsia="zh-CN"/>
        </w:rPr>
        <w:t>《空间</w:t>
      </w:r>
      <w:r w:rsidRPr="00AF7F2C">
        <w:rPr>
          <w:rFonts w:hint="eastAsia"/>
          <w:b/>
          <w:bCs/>
          <w:lang w:eastAsia="zh-CN"/>
        </w:rPr>
        <w:t>2030</w:t>
      </w:r>
      <w:r w:rsidRPr="00AF7F2C">
        <w:rPr>
          <w:rFonts w:hint="eastAsia"/>
          <w:b/>
          <w:bCs/>
          <w:lang w:eastAsia="zh-CN"/>
        </w:rPr>
        <w:t>议程》</w:t>
      </w:r>
      <w:r w:rsidRPr="00B16B68">
        <w:rPr>
          <w:rFonts w:hint="eastAsia"/>
          <w:lang w:eastAsia="zh-CN"/>
        </w:rPr>
        <w:t>。</w:t>
      </w:r>
    </w:p>
    <w:p w14:paraId="022F72E4" w14:textId="650C00AB" w:rsidR="0042340E" w:rsidRDefault="00CC10CF" w:rsidP="00A90012">
      <w:pPr>
        <w:ind w:firstLineChars="200" w:firstLine="480"/>
        <w:rPr>
          <w:lang w:eastAsia="zh-CN"/>
        </w:rPr>
      </w:pPr>
      <w:r w:rsidRPr="00CC10CF">
        <w:rPr>
          <w:rFonts w:hint="eastAsia"/>
          <w:lang w:eastAsia="zh-CN"/>
        </w:rPr>
        <w:t>在国际电联无线电通信局的协助下</w:t>
      </w:r>
      <w:r w:rsidR="00AF7F2C">
        <w:rPr>
          <w:rFonts w:hint="eastAsia"/>
          <w:lang w:eastAsia="zh-CN"/>
        </w:rPr>
        <w:t>，这</w:t>
      </w:r>
      <w:r w:rsidRPr="00CC10CF">
        <w:rPr>
          <w:rFonts w:hint="eastAsia"/>
          <w:lang w:eastAsia="zh-CN"/>
        </w:rPr>
        <w:t>16</w:t>
      </w:r>
      <w:r w:rsidRPr="00CC10CF">
        <w:rPr>
          <w:rFonts w:hint="eastAsia"/>
          <w:lang w:eastAsia="zh-CN"/>
        </w:rPr>
        <w:t>个主管部门</w:t>
      </w:r>
      <w:r w:rsidR="00FC6877">
        <w:rPr>
          <w:rFonts w:hint="eastAsia"/>
          <w:lang w:eastAsia="zh-CN"/>
        </w:rPr>
        <w:t>探索多种途径</w:t>
      </w:r>
      <w:r w:rsidRPr="00CC10CF">
        <w:rPr>
          <w:rFonts w:hint="eastAsia"/>
          <w:lang w:eastAsia="zh-CN"/>
        </w:rPr>
        <w:t>，以确保其共用卫星系统获得合适的轨道位置。得出的结论是</w:t>
      </w:r>
      <w:r w:rsidR="00AE4210">
        <w:rPr>
          <w:rFonts w:hint="eastAsia"/>
          <w:lang w:eastAsia="zh-CN"/>
        </w:rPr>
        <w:t>：</w:t>
      </w:r>
      <w:r w:rsidR="000D0CE3">
        <w:rPr>
          <w:rFonts w:hint="eastAsia"/>
          <w:lang w:eastAsia="zh-CN"/>
        </w:rPr>
        <w:t>适用</w:t>
      </w:r>
      <w:r w:rsidR="000D0CE3" w:rsidRPr="0001111C">
        <w:rPr>
          <w:rFonts w:hint="eastAsia"/>
          <w:lang w:eastAsia="zh-CN"/>
        </w:rPr>
        <w:t>第</w:t>
      </w:r>
      <w:r w:rsidR="000D0CE3" w:rsidRPr="0001111C">
        <w:rPr>
          <w:rFonts w:hint="eastAsia"/>
          <w:b/>
          <w:bCs/>
          <w:lang w:eastAsia="zh-CN"/>
        </w:rPr>
        <w:t>170</w:t>
      </w:r>
      <w:r w:rsidR="000D0CE3" w:rsidRPr="0001111C">
        <w:rPr>
          <w:rFonts w:hint="eastAsia"/>
          <w:lang w:eastAsia="zh-CN"/>
        </w:rPr>
        <w:t>号决议</w:t>
      </w:r>
      <w:r w:rsidR="000D0CE3" w:rsidRPr="0001111C">
        <w:rPr>
          <w:rFonts w:hint="eastAsia"/>
          <w:b/>
          <w:bCs/>
          <w:lang w:eastAsia="zh-CN"/>
        </w:rPr>
        <w:t>（</w:t>
      </w:r>
      <w:r w:rsidR="000D0CE3" w:rsidRPr="0001111C">
        <w:rPr>
          <w:rFonts w:hint="eastAsia"/>
          <w:b/>
          <w:bCs/>
          <w:lang w:eastAsia="zh-CN"/>
        </w:rPr>
        <w:t>WRC-23</w:t>
      </w:r>
      <w:r w:rsidR="000D0CE3" w:rsidRPr="0001111C">
        <w:rPr>
          <w:rFonts w:hint="eastAsia"/>
          <w:b/>
          <w:bCs/>
          <w:lang w:eastAsia="zh-CN"/>
        </w:rPr>
        <w:t>，修订版）</w:t>
      </w:r>
      <w:r w:rsidR="00AE4210" w:rsidRPr="0001111C">
        <w:rPr>
          <w:rFonts w:hint="eastAsia"/>
          <w:lang w:eastAsia="zh-CN"/>
        </w:rPr>
        <w:t>对</w:t>
      </w:r>
      <w:proofErr w:type="gramStart"/>
      <w:r w:rsidR="00AE4210" w:rsidRPr="0001111C">
        <w:rPr>
          <w:rFonts w:hint="eastAsia"/>
          <w:lang w:eastAsia="zh-CN"/>
        </w:rPr>
        <w:t>非规划</w:t>
      </w:r>
      <w:proofErr w:type="gramEnd"/>
      <w:r w:rsidR="00AE4210" w:rsidRPr="0001111C">
        <w:rPr>
          <w:rFonts w:hint="eastAsia"/>
          <w:lang w:eastAsia="zh-CN"/>
        </w:rPr>
        <w:t>空间业务而言，比</w:t>
      </w:r>
      <w:r w:rsidR="000262F8">
        <w:rPr>
          <w:rFonts w:hint="eastAsia"/>
          <w:lang w:eastAsia="zh-CN"/>
        </w:rPr>
        <w:t>适用</w:t>
      </w:r>
      <w:r w:rsidR="00AE4210" w:rsidRPr="0001111C">
        <w:rPr>
          <w:rFonts w:hint="eastAsia"/>
          <w:lang w:eastAsia="zh-CN"/>
        </w:rPr>
        <w:t>第</w:t>
      </w:r>
      <w:r w:rsidR="00AE4210" w:rsidRPr="0001111C">
        <w:rPr>
          <w:rFonts w:hint="eastAsia"/>
          <w:lang w:eastAsia="zh-CN"/>
        </w:rPr>
        <w:t>9</w:t>
      </w:r>
      <w:r w:rsidR="00AE4210" w:rsidRPr="0001111C">
        <w:rPr>
          <w:rFonts w:hint="eastAsia"/>
          <w:lang w:eastAsia="zh-CN"/>
        </w:rPr>
        <w:t>条和第</w:t>
      </w:r>
      <w:r w:rsidR="00AE4210" w:rsidRPr="0001111C">
        <w:rPr>
          <w:rFonts w:hint="eastAsia"/>
          <w:lang w:eastAsia="zh-CN"/>
        </w:rPr>
        <w:t>11</w:t>
      </w:r>
      <w:r w:rsidR="00AE4210" w:rsidRPr="0001111C">
        <w:rPr>
          <w:rFonts w:hint="eastAsia"/>
          <w:lang w:eastAsia="zh-CN"/>
        </w:rPr>
        <w:t>条中所载现行正常程序有更大的成功机会</w:t>
      </w:r>
      <w:r w:rsidR="00AE4210">
        <w:rPr>
          <w:rFonts w:hint="eastAsia"/>
          <w:lang w:eastAsia="zh-CN"/>
        </w:rPr>
        <w:t>；</w:t>
      </w:r>
      <w:r w:rsidR="00AE4210" w:rsidRPr="0001111C">
        <w:rPr>
          <w:rFonts w:hint="eastAsia"/>
          <w:lang w:eastAsia="zh-CN"/>
        </w:rPr>
        <w:t>对附加用途而言，</w:t>
      </w:r>
      <w:r w:rsidR="000D0CE3" w:rsidRPr="0001111C">
        <w:rPr>
          <w:rFonts w:hint="eastAsia"/>
          <w:lang w:eastAsia="zh-CN"/>
        </w:rPr>
        <w:t>比</w:t>
      </w:r>
      <w:r w:rsidR="000D0CE3">
        <w:rPr>
          <w:rFonts w:hint="eastAsia"/>
          <w:lang w:val="en-US" w:eastAsia="zh-CN"/>
        </w:rPr>
        <w:t>适用</w:t>
      </w:r>
      <w:r w:rsidR="000D0CE3" w:rsidRPr="0001111C">
        <w:rPr>
          <w:rFonts w:hint="eastAsia"/>
          <w:lang w:eastAsia="zh-CN"/>
        </w:rPr>
        <w:t>附录</w:t>
      </w:r>
      <w:r w:rsidR="00AE4210" w:rsidRPr="0001111C">
        <w:rPr>
          <w:rFonts w:hint="eastAsia"/>
          <w:b/>
          <w:bCs/>
          <w:lang w:eastAsia="zh-CN"/>
        </w:rPr>
        <w:t>30</w:t>
      </w:r>
      <w:r w:rsidR="00AE4210" w:rsidRPr="0001111C">
        <w:rPr>
          <w:rFonts w:hint="eastAsia"/>
          <w:lang w:eastAsia="zh-CN"/>
        </w:rPr>
        <w:t>和</w:t>
      </w:r>
      <w:r w:rsidR="00AE4210" w:rsidRPr="0001111C">
        <w:rPr>
          <w:rFonts w:hint="eastAsia"/>
          <w:b/>
          <w:bCs/>
          <w:lang w:eastAsia="zh-CN"/>
        </w:rPr>
        <w:t>30A</w:t>
      </w:r>
      <w:r w:rsidR="00AE4210" w:rsidRPr="0001111C">
        <w:rPr>
          <w:rFonts w:hint="eastAsia"/>
          <w:lang w:eastAsia="zh-CN"/>
        </w:rPr>
        <w:t>有更大的成功机会</w:t>
      </w:r>
      <w:r w:rsidR="00AE4210">
        <w:rPr>
          <w:rFonts w:hint="eastAsia"/>
          <w:lang w:eastAsia="zh-CN"/>
        </w:rPr>
        <w:t>；</w:t>
      </w:r>
      <w:r w:rsidR="00AE4210" w:rsidRPr="0001111C">
        <w:rPr>
          <w:rFonts w:hint="eastAsia"/>
          <w:lang w:eastAsia="zh-CN"/>
        </w:rPr>
        <w:t>对附加系统而言，比</w:t>
      </w:r>
      <w:r w:rsidR="000D0CE3">
        <w:rPr>
          <w:rFonts w:hint="eastAsia"/>
          <w:lang w:eastAsia="zh-CN"/>
        </w:rPr>
        <w:t>适用</w:t>
      </w:r>
      <w:r w:rsidR="00AE4210" w:rsidRPr="0001111C">
        <w:rPr>
          <w:rFonts w:hint="eastAsia"/>
          <w:lang w:eastAsia="zh-CN"/>
        </w:rPr>
        <w:t>附录</w:t>
      </w:r>
      <w:r w:rsidR="00AE4210" w:rsidRPr="0001111C">
        <w:rPr>
          <w:rFonts w:hint="eastAsia"/>
          <w:b/>
          <w:bCs/>
          <w:lang w:eastAsia="zh-CN"/>
        </w:rPr>
        <w:t>30B</w:t>
      </w:r>
      <w:r w:rsidR="00AE4210" w:rsidRPr="0001111C">
        <w:rPr>
          <w:rFonts w:hint="eastAsia"/>
          <w:lang w:eastAsia="zh-CN"/>
        </w:rPr>
        <w:t>有更大的成功机会。</w:t>
      </w:r>
    </w:p>
    <w:p w14:paraId="449F3457" w14:textId="60E6C007" w:rsidR="00AE4210" w:rsidRDefault="00AE4210" w:rsidP="00A90012">
      <w:pPr>
        <w:ind w:firstLineChars="200" w:firstLine="480"/>
        <w:rPr>
          <w:lang w:eastAsia="zh-CN"/>
        </w:rPr>
      </w:pPr>
      <w:r w:rsidRPr="00AE4210">
        <w:rPr>
          <w:rFonts w:hint="eastAsia"/>
          <w:lang w:eastAsia="zh-CN"/>
        </w:rPr>
        <w:t>尽管</w:t>
      </w:r>
      <w:r w:rsidRPr="00AE4210">
        <w:rPr>
          <w:rFonts w:hint="eastAsia"/>
          <w:lang w:eastAsia="zh-CN"/>
        </w:rPr>
        <w:t>16</w:t>
      </w:r>
      <w:r w:rsidRPr="00AE4210">
        <w:rPr>
          <w:rFonts w:hint="eastAsia"/>
          <w:lang w:eastAsia="zh-CN"/>
        </w:rPr>
        <w:t>个</w:t>
      </w:r>
      <w:r>
        <w:rPr>
          <w:rFonts w:hint="eastAsia"/>
          <w:lang w:eastAsia="zh-CN"/>
        </w:rPr>
        <w:t>SADC</w:t>
      </w:r>
      <w:r>
        <w:rPr>
          <w:rFonts w:hint="eastAsia"/>
          <w:lang w:eastAsia="zh-CN"/>
        </w:rPr>
        <w:t>成员国</w:t>
      </w:r>
      <w:r w:rsidRPr="00AE4210">
        <w:rPr>
          <w:rFonts w:hint="eastAsia"/>
          <w:lang w:eastAsia="zh-CN"/>
        </w:rPr>
        <w:t>在无线电通信局的协助下做出了巨大努力，但考虑到第</w:t>
      </w:r>
      <w:r w:rsidRPr="00AE4210">
        <w:rPr>
          <w:rFonts w:hint="eastAsia"/>
          <w:b/>
          <w:bCs/>
          <w:lang w:eastAsia="zh-CN"/>
        </w:rPr>
        <w:t>170</w:t>
      </w:r>
      <w:r w:rsidRPr="00AE4210">
        <w:rPr>
          <w:rFonts w:hint="eastAsia"/>
          <w:lang w:eastAsia="zh-CN"/>
        </w:rPr>
        <w:t>号决议</w:t>
      </w:r>
      <w:r w:rsidRPr="0001111C">
        <w:rPr>
          <w:rFonts w:hint="eastAsia"/>
          <w:b/>
          <w:bCs/>
          <w:lang w:eastAsia="zh-CN"/>
        </w:rPr>
        <w:t>（</w:t>
      </w:r>
      <w:r w:rsidRPr="0001111C">
        <w:rPr>
          <w:rFonts w:hint="eastAsia"/>
          <w:b/>
          <w:bCs/>
          <w:lang w:eastAsia="zh-CN"/>
        </w:rPr>
        <w:t>WRC-23</w:t>
      </w:r>
      <w:r w:rsidRPr="0001111C">
        <w:rPr>
          <w:rFonts w:hint="eastAsia"/>
          <w:b/>
          <w:bCs/>
          <w:lang w:eastAsia="zh-CN"/>
        </w:rPr>
        <w:t>，修订版）</w:t>
      </w:r>
      <w:r w:rsidRPr="00AE4210">
        <w:rPr>
          <w:rFonts w:hint="eastAsia"/>
          <w:lang w:eastAsia="zh-CN"/>
        </w:rPr>
        <w:t>只能</w:t>
      </w:r>
      <w:r w:rsidR="000D0CE3">
        <w:rPr>
          <w:rFonts w:hint="eastAsia"/>
          <w:lang w:eastAsia="zh-CN"/>
        </w:rPr>
        <w:t>适用</w:t>
      </w:r>
      <w:r w:rsidRPr="00AE4210">
        <w:rPr>
          <w:rFonts w:hint="eastAsia"/>
          <w:lang w:eastAsia="zh-CN"/>
        </w:rPr>
        <w:t>一次，</w:t>
      </w:r>
      <w:r>
        <w:rPr>
          <w:rFonts w:hint="eastAsia"/>
          <w:lang w:eastAsia="zh-CN"/>
        </w:rPr>
        <w:t>在</w:t>
      </w:r>
      <w:r w:rsidR="000D0CE3">
        <w:rPr>
          <w:rFonts w:hint="eastAsia"/>
          <w:lang w:eastAsia="zh-CN"/>
        </w:rPr>
        <w:t>适用该决议</w:t>
      </w:r>
      <w:r>
        <w:rPr>
          <w:rFonts w:hint="eastAsia"/>
          <w:lang w:eastAsia="zh-CN"/>
        </w:rPr>
        <w:t>找到合适的轨道位置方面还</w:t>
      </w:r>
      <w:r w:rsidRPr="00AE4210">
        <w:rPr>
          <w:rFonts w:hint="eastAsia"/>
          <w:lang w:eastAsia="zh-CN"/>
        </w:rPr>
        <w:t>存在很大的不确定性。</w:t>
      </w:r>
    </w:p>
    <w:p w14:paraId="58D1A904" w14:textId="0F61BFA3" w:rsidR="00DF00F9" w:rsidRDefault="00DF00F9" w:rsidP="00A90012">
      <w:pPr>
        <w:ind w:firstLineChars="200" w:firstLine="480"/>
        <w:rPr>
          <w:lang w:eastAsia="zh-CN"/>
        </w:rPr>
      </w:pPr>
      <w:r>
        <w:rPr>
          <w:rFonts w:hint="eastAsia"/>
          <w:lang w:eastAsia="zh-CN"/>
        </w:rPr>
        <w:t>鉴于</w:t>
      </w:r>
      <w:r w:rsidR="0092675A">
        <w:rPr>
          <w:rFonts w:hint="eastAsia"/>
          <w:lang w:eastAsia="zh-CN"/>
        </w:rPr>
        <w:t>2019</w:t>
      </w:r>
      <w:r w:rsidR="0092675A">
        <w:rPr>
          <w:rFonts w:hint="eastAsia"/>
          <w:lang w:eastAsia="zh-CN"/>
        </w:rPr>
        <w:t>年</w:t>
      </w:r>
      <w:r>
        <w:rPr>
          <w:rFonts w:hint="eastAsia"/>
          <w:lang w:eastAsia="zh-CN"/>
        </w:rPr>
        <w:t>世界无线电通信大会</w:t>
      </w:r>
      <w:r w:rsidR="0092675A">
        <w:rPr>
          <w:rFonts w:hint="eastAsia"/>
          <w:lang w:eastAsia="zh-CN"/>
        </w:rPr>
        <w:t>（</w:t>
      </w:r>
      <w:r w:rsidRPr="00DF00F9">
        <w:rPr>
          <w:rFonts w:hint="eastAsia"/>
          <w:lang w:eastAsia="zh-CN"/>
        </w:rPr>
        <w:t>WRC-19</w:t>
      </w:r>
      <w:r w:rsidR="0092675A">
        <w:rPr>
          <w:rFonts w:hint="eastAsia"/>
          <w:lang w:eastAsia="zh-CN"/>
        </w:rPr>
        <w:t>）</w:t>
      </w:r>
      <w:r w:rsidRPr="00DF00F9">
        <w:rPr>
          <w:rFonts w:hint="eastAsia"/>
          <w:lang w:eastAsia="zh-CN"/>
        </w:rPr>
        <w:t>通过第</w:t>
      </w:r>
      <w:r w:rsidRPr="00DF00F9">
        <w:rPr>
          <w:rFonts w:hint="eastAsia"/>
          <w:b/>
          <w:bCs/>
          <w:lang w:eastAsia="zh-CN"/>
        </w:rPr>
        <w:t>170</w:t>
      </w:r>
      <w:r w:rsidRPr="00DF00F9">
        <w:rPr>
          <w:rFonts w:hint="eastAsia"/>
          <w:lang w:eastAsia="zh-CN"/>
        </w:rPr>
        <w:t>号决议的目的，以及如果不与可能受影响的主管部门开始频率协调就</w:t>
      </w:r>
      <w:r w:rsidR="00ED3626">
        <w:rPr>
          <w:rFonts w:hint="eastAsia"/>
          <w:lang w:eastAsia="zh-CN"/>
        </w:rPr>
        <w:t>无法</w:t>
      </w:r>
      <w:r w:rsidR="000D0CE3">
        <w:rPr>
          <w:rFonts w:hint="eastAsia"/>
          <w:lang w:eastAsia="zh-CN"/>
        </w:rPr>
        <w:t>选择一个良好的</w:t>
      </w:r>
      <w:r w:rsidRPr="00DF00F9">
        <w:rPr>
          <w:rFonts w:hint="eastAsia"/>
          <w:lang w:eastAsia="zh-CN"/>
        </w:rPr>
        <w:t>轨道位置，</w:t>
      </w:r>
      <w:r w:rsidRPr="00DF00F9">
        <w:rPr>
          <w:rFonts w:hint="eastAsia"/>
          <w:lang w:eastAsia="zh-CN"/>
        </w:rPr>
        <w:t>16</w:t>
      </w:r>
      <w:r w:rsidRPr="00DF00F9">
        <w:rPr>
          <w:rFonts w:hint="eastAsia"/>
          <w:lang w:eastAsia="zh-CN"/>
        </w:rPr>
        <w:t>个</w:t>
      </w:r>
      <w:r w:rsidRPr="00DF00F9">
        <w:rPr>
          <w:rFonts w:hint="eastAsia"/>
          <w:lang w:eastAsia="zh-CN"/>
        </w:rPr>
        <w:t>SADC</w:t>
      </w:r>
      <w:r w:rsidRPr="00DF00F9">
        <w:rPr>
          <w:rFonts w:hint="eastAsia"/>
          <w:lang w:eastAsia="zh-CN"/>
        </w:rPr>
        <w:t>成员国向无线电规则委员会（</w:t>
      </w:r>
      <w:r w:rsidRPr="00DF00F9">
        <w:rPr>
          <w:rFonts w:hint="eastAsia"/>
          <w:lang w:eastAsia="zh-CN"/>
        </w:rPr>
        <w:t>RRB</w:t>
      </w:r>
      <w:r w:rsidRPr="00DF00F9">
        <w:rPr>
          <w:rFonts w:hint="eastAsia"/>
          <w:lang w:eastAsia="zh-CN"/>
        </w:rPr>
        <w:t>）第</w:t>
      </w:r>
      <w:r w:rsidRPr="00DF00F9">
        <w:rPr>
          <w:rFonts w:hint="eastAsia"/>
          <w:lang w:eastAsia="zh-CN"/>
        </w:rPr>
        <w:t>97</w:t>
      </w:r>
      <w:r w:rsidRPr="00DF00F9">
        <w:rPr>
          <w:rFonts w:hint="eastAsia"/>
          <w:lang w:eastAsia="zh-CN"/>
        </w:rPr>
        <w:t>次会议提交了一项请求（</w:t>
      </w:r>
      <w:hyperlink r:id="rId13" w:history="1">
        <w:r w:rsidRPr="0092675A">
          <w:rPr>
            <w:rStyle w:val="Hyperlink"/>
            <w:rFonts w:eastAsia="SimSun" w:hint="eastAsia"/>
            <w:noProof w:val="0"/>
            <w:lang w:eastAsia="zh-CN"/>
          </w:rPr>
          <w:t>https://www.itu.int/md/R24-RRB24.3-C-0019/en</w:t>
        </w:r>
      </w:hyperlink>
      <w:r w:rsidRPr="00DF00F9">
        <w:rPr>
          <w:rFonts w:hint="eastAsia"/>
          <w:lang w:eastAsia="zh-CN"/>
        </w:rPr>
        <w:t>），允许安哥拉主管部门代表</w:t>
      </w:r>
      <w:r w:rsidRPr="00DF00F9">
        <w:rPr>
          <w:rFonts w:hint="eastAsia"/>
          <w:lang w:eastAsia="zh-CN"/>
        </w:rPr>
        <w:t>SADC</w:t>
      </w:r>
      <w:r w:rsidRPr="00DF00F9">
        <w:rPr>
          <w:rFonts w:hint="eastAsia"/>
          <w:lang w:eastAsia="zh-CN"/>
        </w:rPr>
        <w:t>的</w:t>
      </w:r>
      <w:r w:rsidRPr="00DF00F9">
        <w:rPr>
          <w:rFonts w:hint="eastAsia"/>
          <w:lang w:eastAsia="zh-CN"/>
        </w:rPr>
        <w:t>16</w:t>
      </w:r>
      <w:r w:rsidRPr="00DF00F9">
        <w:rPr>
          <w:rFonts w:hint="eastAsia"/>
          <w:lang w:eastAsia="zh-CN"/>
        </w:rPr>
        <w:t>个成员国的主管部门提交八（</w:t>
      </w:r>
      <w:r w:rsidRPr="00DF00F9">
        <w:rPr>
          <w:rFonts w:hint="eastAsia"/>
          <w:lang w:eastAsia="zh-CN"/>
        </w:rPr>
        <w:t>8</w:t>
      </w:r>
      <w:r w:rsidRPr="00DF00F9">
        <w:rPr>
          <w:rFonts w:hint="eastAsia"/>
          <w:lang w:eastAsia="zh-CN"/>
        </w:rPr>
        <w:t>）</w:t>
      </w:r>
      <w:proofErr w:type="gramStart"/>
      <w:r w:rsidRPr="00DF00F9">
        <w:rPr>
          <w:rFonts w:hint="eastAsia"/>
          <w:lang w:eastAsia="zh-CN"/>
        </w:rPr>
        <w:t>份协调</w:t>
      </w:r>
      <w:proofErr w:type="gramEnd"/>
      <w:r w:rsidRPr="00DF00F9">
        <w:rPr>
          <w:rFonts w:hint="eastAsia"/>
          <w:lang w:eastAsia="zh-CN"/>
        </w:rPr>
        <w:t>申报</w:t>
      </w:r>
      <w:r w:rsidR="0092675A">
        <w:rPr>
          <w:rFonts w:hint="eastAsia"/>
          <w:lang w:eastAsia="zh-CN"/>
        </w:rPr>
        <w:t>资料</w:t>
      </w:r>
      <w:r w:rsidRPr="00DF00F9">
        <w:rPr>
          <w:rFonts w:hint="eastAsia"/>
          <w:lang w:eastAsia="zh-CN"/>
        </w:rPr>
        <w:t>。</w:t>
      </w:r>
      <w:r w:rsidRPr="00DF00F9">
        <w:rPr>
          <w:rFonts w:hint="eastAsia"/>
          <w:lang w:eastAsia="zh-CN"/>
        </w:rPr>
        <w:t>RRB</w:t>
      </w:r>
      <w:r w:rsidRPr="00DF00F9">
        <w:rPr>
          <w:rFonts w:hint="eastAsia"/>
          <w:lang w:eastAsia="zh-CN"/>
        </w:rPr>
        <w:t>同意了这一请求（</w:t>
      </w:r>
      <w:hyperlink r:id="rId14" w:history="1">
        <w:r w:rsidRPr="0092675A">
          <w:rPr>
            <w:rStyle w:val="Hyperlink"/>
            <w:rFonts w:eastAsia="SimSun" w:hint="eastAsia"/>
            <w:noProof w:val="0"/>
            <w:lang w:eastAsia="zh-CN"/>
          </w:rPr>
          <w:t>https://www.itu.int/md/R24-RRB24.3-C-0023/en</w:t>
        </w:r>
      </w:hyperlink>
      <w:r w:rsidRPr="00DF00F9">
        <w:rPr>
          <w:rFonts w:hint="eastAsia"/>
          <w:lang w:eastAsia="zh-CN"/>
        </w:rPr>
        <w:t>）。</w:t>
      </w:r>
    </w:p>
    <w:p w14:paraId="10CAF358" w14:textId="340183B1" w:rsidR="0092675A" w:rsidRDefault="0092675A" w:rsidP="00A90012">
      <w:pPr>
        <w:ind w:firstLineChars="200" w:firstLine="480"/>
        <w:rPr>
          <w:lang w:eastAsia="zh-CN"/>
        </w:rPr>
      </w:pPr>
      <w:r w:rsidRPr="0092675A">
        <w:rPr>
          <w:rFonts w:hint="eastAsia"/>
          <w:lang w:eastAsia="zh-CN"/>
        </w:rPr>
        <w:lastRenderedPageBreak/>
        <w:t>第</w:t>
      </w:r>
      <w:r w:rsidRPr="00A90012">
        <w:rPr>
          <w:rFonts w:hint="eastAsia"/>
          <w:lang w:eastAsia="zh-CN"/>
        </w:rPr>
        <w:t>482</w:t>
      </w:r>
      <w:r w:rsidRPr="0092675A">
        <w:rPr>
          <w:rFonts w:hint="eastAsia"/>
          <w:lang w:eastAsia="zh-CN"/>
        </w:rPr>
        <w:t>号决定专家组（</w:t>
      </w:r>
      <w:r w:rsidRPr="0092675A">
        <w:rPr>
          <w:rFonts w:hint="eastAsia"/>
          <w:lang w:eastAsia="zh-CN"/>
        </w:rPr>
        <w:t>EG-DEC482</w:t>
      </w:r>
      <w:r w:rsidRPr="0092675A">
        <w:rPr>
          <w:rFonts w:hint="eastAsia"/>
          <w:lang w:eastAsia="zh-CN"/>
        </w:rPr>
        <w:t>）在提交国际电联理事会的最后报告（</w:t>
      </w:r>
      <w:hyperlink r:id="rId15" w:history="1">
        <w:r w:rsidRPr="00A90012">
          <w:rPr>
            <w:rFonts w:hint="eastAsia"/>
          </w:rPr>
          <w:t>C25/10</w:t>
        </w:r>
      </w:hyperlink>
      <w:r w:rsidRPr="0092675A">
        <w:rPr>
          <w:rFonts w:hint="eastAsia"/>
          <w:lang w:eastAsia="zh-CN"/>
        </w:rPr>
        <w:t>号文件）中指出，根据第</w:t>
      </w:r>
      <w:r w:rsidRPr="00A90012">
        <w:rPr>
          <w:rFonts w:hint="eastAsia"/>
          <w:lang w:eastAsia="zh-CN"/>
        </w:rPr>
        <w:t>170</w:t>
      </w:r>
      <w:r w:rsidRPr="0092675A">
        <w:rPr>
          <w:rFonts w:hint="eastAsia"/>
          <w:lang w:eastAsia="zh-CN"/>
        </w:rPr>
        <w:t>号决议提交的申报资料有资格享受每年的免费待遇。因此，</w:t>
      </w:r>
      <w:r w:rsidRPr="0092675A">
        <w:rPr>
          <w:rFonts w:hint="eastAsia"/>
          <w:lang w:eastAsia="zh-CN"/>
        </w:rPr>
        <w:t>SADC</w:t>
      </w:r>
      <w:r w:rsidRPr="0092675A">
        <w:rPr>
          <w:rFonts w:hint="eastAsia"/>
          <w:lang w:eastAsia="zh-CN"/>
        </w:rPr>
        <w:t>区域必须支付其余七（</w:t>
      </w:r>
      <w:r w:rsidRPr="0092675A">
        <w:rPr>
          <w:rFonts w:hint="eastAsia"/>
          <w:lang w:eastAsia="zh-CN"/>
        </w:rPr>
        <w:t>7</w:t>
      </w:r>
      <w:r w:rsidRPr="0092675A">
        <w:rPr>
          <w:rFonts w:hint="eastAsia"/>
          <w:lang w:eastAsia="zh-CN"/>
        </w:rPr>
        <w:t>）</w:t>
      </w:r>
      <w:proofErr w:type="gramStart"/>
      <w:r w:rsidRPr="0092675A">
        <w:rPr>
          <w:rFonts w:hint="eastAsia"/>
          <w:lang w:eastAsia="zh-CN"/>
        </w:rPr>
        <w:t>份协调</w:t>
      </w:r>
      <w:proofErr w:type="gramEnd"/>
      <w:r w:rsidRPr="0092675A">
        <w:rPr>
          <w:rFonts w:hint="eastAsia"/>
          <w:lang w:eastAsia="zh-CN"/>
        </w:rPr>
        <w:t>申报资料的成本回收费</w:t>
      </w:r>
      <w:r w:rsidR="0008077B">
        <w:rPr>
          <w:rFonts w:hint="eastAsia"/>
          <w:lang w:eastAsia="zh-CN"/>
        </w:rPr>
        <w:t>。</w:t>
      </w:r>
    </w:p>
    <w:p w14:paraId="41D6A0EF" w14:textId="77777777" w:rsidR="007C1215" w:rsidRDefault="0008077B" w:rsidP="00A90012">
      <w:pPr>
        <w:ind w:firstLineChars="200" w:firstLine="480"/>
        <w:rPr>
          <w:lang w:eastAsia="zh-CN"/>
        </w:rPr>
      </w:pPr>
      <w:r>
        <w:rPr>
          <w:rFonts w:hint="eastAsia"/>
          <w:lang w:eastAsia="zh-CN"/>
        </w:rPr>
        <w:t>然而，</w:t>
      </w:r>
      <w:r w:rsidR="00240A81">
        <w:rPr>
          <w:rFonts w:hint="eastAsia"/>
          <w:lang w:eastAsia="zh-CN"/>
        </w:rPr>
        <w:t>上述要求</w:t>
      </w:r>
      <w:r w:rsidR="00441D2C">
        <w:rPr>
          <w:rFonts w:hint="eastAsia"/>
          <w:lang w:eastAsia="zh-CN"/>
        </w:rPr>
        <w:t>是</w:t>
      </w:r>
      <w:r>
        <w:rPr>
          <w:rFonts w:hint="eastAsia"/>
          <w:lang w:eastAsia="zh-CN"/>
        </w:rPr>
        <w:t>因为在技术上不可能选择一个合适的轨道位置，这一点得到了</w:t>
      </w:r>
      <w:r>
        <w:rPr>
          <w:rFonts w:hint="eastAsia"/>
          <w:lang w:eastAsia="zh-CN"/>
        </w:rPr>
        <w:t>RRB</w:t>
      </w:r>
      <w:r>
        <w:rPr>
          <w:rFonts w:hint="eastAsia"/>
          <w:lang w:eastAsia="zh-CN"/>
        </w:rPr>
        <w:t>的承认。此外：</w:t>
      </w:r>
    </w:p>
    <w:p w14:paraId="5A59A049" w14:textId="4F4915D0" w:rsidR="0008077B" w:rsidRDefault="0008077B" w:rsidP="007C1215">
      <w:pPr>
        <w:pStyle w:val="enumlev1"/>
        <w:rPr>
          <w:lang w:eastAsia="zh-CN"/>
        </w:rPr>
      </w:pPr>
      <w:r>
        <w:rPr>
          <w:lang w:eastAsia="zh-CN"/>
        </w:rPr>
        <w:t>•</w:t>
      </w:r>
      <w:r>
        <w:rPr>
          <w:lang w:eastAsia="zh-CN"/>
        </w:rPr>
        <w:tab/>
      </w:r>
      <w:r w:rsidR="00950ADC">
        <w:rPr>
          <w:rFonts w:hint="eastAsia"/>
          <w:lang w:eastAsia="zh-CN"/>
        </w:rPr>
        <w:t>每个主管部门每年有权免费提交一份资料，</w:t>
      </w:r>
      <w:r w:rsidRPr="0008077B">
        <w:rPr>
          <w:rFonts w:hint="eastAsia"/>
          <w:lang w:eastAsia="zh-CN"/>
        </w:rPr>
        <w:t>根据第</w:t>
      </w:r>
      <w:r w:rsidRPr="0008077B">
        <w:rPr>
          <w:rFonts w:hint="eastAsia"/>
          <w:b/>
          <w:bCs/>
          <w:lang w:eastAsia="zh-CN"/>
        </w:rPr>
        <w:t>170</w:t>
      </w:r>
      <w:r w:rsidRPr="0008077B">
        <w:rPr>
          <w:rFonts w:hint="eastAsia"/>
          <w:lang w:eastAsia="zh-CN"/>
        </w:rPr>
        <w:t>号决议</w:t>
      </w:r>
      <w:r w:rsidRPr="0008077B">
        <w:rPr>
          <w:rFonts w:hint="eastAsia"/>
          <w:b/>
          <w:bCs/>
          <w:lang w:eastAsia="zh-CN"/>
        </w:rPr>
        <w:t>（</w:t>
      </w:r>
      <w:r w:rsidRPr="0008077B">
        <w:rPr>
          <w:rFonts w:hint="eastAsia"/>
          <w:b/>
          <w:bCs/>
          <w:lang w:eastAsia="zh-CN"/>
        </w:rPr>
        <w:t>WRC-23</w:t>
      </w:r>
      <w:r w:rsidRPr="0008077B">
        <w:rPr>
          <w:rFonts w:hint="eastAsia"/>
          <w:b/>
          <w:bCs/>
          <w:lang w:eastAsia="zh-CN"/>
        </w:rPr>
        <w:t>，修订版）</w:t>
      </w:r>
      <w:r w:rsidR="00950ADC" w:rsidRPr="00950ADC">
        <w:rPr>
          <w:rFonts w:hint="eastAsia"/>
          <w:lang w:eastAsia="zh-CN"/>
        </w:rPr>
        <w:t>共</w:t>
      </w:r>
      <w:r w:rsidRPr="0008077B">
        <w:rPr>
          <w:rFonts w:hint="eastAsia"/>
          <w:lang w:eastAsia="zh-CN"/>
        </w:rPr>
        <w:t>提交</w:t>
      </w:r>
      <w:r w:rsidR="00950ADC">
        <w:rPr>
          <w:rFonts w:hint="eastAsia"/>
          <w:lang w:eastAsia="zh-CN"/>
        </w:rPr>
        <w:t>了</w:t>
      </w:r>
      <w:r w:rsidRPr="0008077B">
        <w:rPr>
          <w:rFonts w:hint="eastAsia"/>
          <w:lang w:eastAsia="zh-CN"/>
        </w:rPr>
        <w:t>八（</w:t>
      </w:r>
      <w:r w:rsidRPr="0008077B">
        <w:rPr>
          <w:rFonts w:hint="eastAsia"/>
          <w:lang w:eastAsia="zh-CN"/>
        </w:rPr>
        <w:t>8</w:t>
      </w:r>
      <w:r w:rsidRPr="0008077B">
        <w:rPr>
          <w:rFonts w:hint="eastAsia"/>
          <w:lang w:eastAsia="zh-CN"/>
        </w:rPr>
        <w:t>）份协调资料</w:t>
      </w:r>
      <w:r w:rsidR="00950ADC">
        <w:rPr>
          <w:rFonts w:hint="eastAsia"/>
          <w:lang w:eastAsia="zh-CN"/>
        </w:rPr>
        <w:t>，</w:t>
      </w:r>
      <w:proofErr w:type="gramStart"/>
      <w:r w:rsidRPr="0008077B">
        <w:rPr>
          <w:rFonts w:hint="eastAsia"/>
          <w:lang w:eastAsia="zh-CN"/>
        </w:rPr>
        <w:t>完全在</w:t>
      </w:r>
      <w:r w:rsidRPr="0008077B">
        <w:rPr>
          <w:rFonts w:hint="eastAsia"/>
          <w:lang w:eastAsia="zh-CN"/>
        </w:rPr>
        <w:t>16</w:t>
      </w:r>
      <w:r w:rsidRPr="0008077B">
        <w:rPr>
          <w:rFonts w:hint="eastAsia"/>
          <w:lang w:eastAsia="zh-CN"/>
        </w:rPr>
        <w:t>个参与主管部门的</w:t>
      </w:r>
      <w:r w:rsidR="00950ADC">
        <w:rPr>
          <w:rFonts w:hint="eastAsia"/>
          <w:lang w:eastAsia="zh-CN"/>
        </w:rPr>
        <w:t>限额</w:t>
      </w:r>
      <w:r w:rsidRPr="0008077B">
        <w:rPr>
          <w:rFonts w:hint="eastAsia"/>
          <w:lang w:eastAsia="zh-CN"/>
        </w:rPr>
        <w:t>内</w:t>
      </w:r>
      <w:r>
        <w:rPr>
          <w:rFonts w:hint="eastAsia"/>
          <w:lang w:eastAsia="zh-CN"/>
        </w:rPr>
        <w:t>；</w:t>
      </w:r>
      <w:proofErr w:type="gramEnd"/>
    </w:p>
    <w:p w14:paraId="647A0571" w14:textId="5FFA160E" w:rsidR="0008077B" w:rsidRDefault="0008077B" w:rsidP="007C1215">
      <w:pPr>
        <w:pStyle w:val="enumlev1"/>
        <w:rPr>
          <w:lang w:eastAsia="zh-CN"/>
        </w:rPr>
      </w:pPr>
      <w:r>
        <w:rPr>
          <w:lang w:eastAsia="zh-CN"/>
        </w:rPr>
        <w:t>•</w:t>
      </w:r>
      <w:r>
        <w:rPr>
          <w:lang w:eastAsia="zh-CN"/>
        </w:rPr>
        <w:tab/>
      </w:r>
      <w:r w:rsidR="00950ADC">
        <w:rPr>
          <w:rFonts w:hint="eastAsia"/>
          <w:lang w:eastAsia="zh-CN"/>
        </w:rPr>
        <w:t>在该背景下</w:t>
      </w:r>
      <w:r w:rsidR="00240A81">
        <w:rPr>
          <w:rFonts w:hint="eastAsia"/>
          <w:lang w:eastAsia="zh-CN"/>
        </w:rPr>
        <w:t>实施</w:t>
      </w:r>
      <w:r w:rsidR="00950ADC">
        <w:rPr>
          <w:rFonts w:hint="eastAsia"/>
          <w:lang w:eastAsia="zh-CN"/>
        </w:rPr>
        <w:t>成本回收，</w:t>
      </w:r>
      <w:r w:rsidR="00441D2C" w:rsidRPr="00950ADC">
        <w:rPr>
          <w:rFonts w:hint="eastAsia"/>
          <w:lang w:eastAsia="zh-CN"/>
        </w:rPr>
        <w:t>特别是对惠及</w:t>
      </w:r>
      <w:r w:rsidR="00441D2C" w:rsidRPr="00950ADC">
        <w:rPr>
          <w:rFonts w:hint="eastAsia"/>
          <w:lang w:eastAsia="zh-CN"/>
        </w:rPr>
        <w:t>LDC</w:t>
      </w:r>
      <w:r w:rsidR="00441D2C" w:rsidRPr="00950ADC">
        <w:rPr>
          <w:rFonts w:hint="eastAsia"/>
          <w:lang w:eastAsia="zh-CN"/>
        </w:rPr>
        <w:t>、</w:t>
      </w:r>
      <w:r w:rsidR="00441D2C" w:rsidRPr="00950ADC">
        <w:rPr>
          <w:rFonts w:hint="eastAsia"/>
          <w:lang w:eastAsia="zh-CN"/>
        </w:rPr>
        <w:t>SIDS</w:t>
      </w:r>
      <w:r w:rsidR="00441D2C" w:rsidRPr="00950ADC">
        <w:rPr>
          <w:rFonts w:hint="eastAsia"/>
          <w:lang w:eastAsia="zh-CN"/>
        </w:rPr>
        <w:t>和</w:t>
      </w:r>
      <w:r w:rsidR="00441D2C" w:rsidRPr="00950ADC">
        <w:rPr>
          <w:rFonts w:hint="eastAsia"/>
          <w:lang w:eastAsia="zh-CN"/>
        </w:rPr>
        <w:t>LLDC</w:t>
      </w:r>
      <w:r w:rsidR="00441D2C" w:rsidRPr="00950ADC">
        <w:rPr>
          <w:rFonts w:hint="eastAsia"/>
          <w:lang w:eastAsia="zh-CN"/>
        </w:rPr>
        <w:t>的工作</w:t>
      </w:r>
      <w:r w:rsidR="00441D2C">
        <w:rPr>
          <w:rFonts w:hint="eastAsia"/>
          <w:lang w:eastAsia="zh-CN"/>
        </w:rPr>
        <w:t>来说，</w:t>
      </w:r>
      <w:r w:rsidR="00950ADC" w:rsidRPr="00950ADC">
        <w:rPr>
          <w:rFonts w:hint="eastAsia"/>
          <w:lang w:eastAsia="zh-CN"/>
        </w:rPr>
        <w:t>破坏了全权代表大会第</w:t>
      </w:r>
      <w:r w:rsidR="00950ADC" w:rsidRPr="00950ADC">
        <w:rPr>
          <w:rFonts w:hint="eastAsia"/>
          <w:b/>
          <w:bCs/>
          <w:lang w:eastAsia="zh-CN"/>
        </w:rPr>
        <w:t>218</w:t>
      </w:r>
      <w:r w:rsidR="00950ADC" w:rsidRPr="00950ADC">
        <w:rPr>
          <w:rFonts w:hint="eastAsia"/>
          <w:lang w:eastAsia="zh-CN"/>
        </w:rPr>
        <w:t>号决议</w:t>
      </w:r>
      <w:r w:rsidR="00950ADC" w:rsidRPr="00950ADC">
        <w:rPr>
          <w:rFonts w:hint="eastAsia"/>
          <w:b/>
          <w:bCs/>
          <w:lang w:eastAsia="zh-CN"/>
        </w:rPr>
        <w:t>（</w:t>
      </w:r>
      <w:r w:rsidR="00950ADC" w:rsidRPr="00950ADC">
        <w:rPr>
          <w:rFonts w:hint="eastAsia"/>
          <w:b/>
          <w:bCs/>
          <w:lang w:eastAsia="zh-CN"/>
        </w:rPr>
        <w:t>2022</w:t>
      </w:r>
      <w:r w:rsidR="00950ADC" w:rsidRPr="00950ADC">
        <w:rPr>
          <w:rFonts w:hint="eastAsia"/>
          <w:b/>
          <w:bCs/>
          <w:lang w:eastAsia="zh-CN"/>
        </w:rPr>
        <w:t>年，布加勒斯特）</w:t>
      </w:r>
      <w:r w:rsidR="00950ADC" w:rsidRPr="00950ADC">
        <w:rPr>
          <w:rFonts w:hint="eastAsia"/>
          <w:lang w:eastAsia="zh-CN"/>
        </w:rPr>
        <w:t>中规定的国际电联关于公平获取卫星轨道和满足发展中国家特殊需求的承诺。</w:t>
      </w:r>
    </w:p>
    <w:p w14:paraId="7906D72B" w14:textId="03420360" w:rsidR="00441D2C" w:rsidRDefault="00441D2C" w:rsidP="007C1215">
      <w:pPr>
        <w:pStyle w:val="Headingb"/>
        <w:rPr>
          <w:lang w:eastAsia="zh-CN"/>
        </w:rPr>
      </w:pPr>
      <w:r w:rsidRPr="00891C7E">
        <w:rPr>
          <w:rFonts w:hint="eastAsia"/>
          <w:lang w:eastAsia="zh-CN"/>
        </w:rPr>
        <w:t>提案</w:t>
      </w:r>
      <w:r>
        <w:rPr>
          <w:rFonts w:hint="eastAsia"/>
          <w:lang w:eastAsia="zh-CN"/>
        </w:rPr>
        <w:t>：</w:t>
      </w:r>
    </w:p>
    <w:p w14:paraId="7F6C1C72" w14:textId="0E62EEF8" w:rsidR="00441D2C" w:rsidRDefault="00891C7E" w:rsidP="00A90012">
      <w:pPr>
        <w:ind w:firstLineChars="200" w:firstLine="480"/>
        <w:rPr>
          <w:lang w:eastAsia="zh-CN"/>
        </w:rPr>
      </w:pPr>
      <w:r w:rsidRPr="00891C7E">
        <w:rPr>
          <w:rFonts w:hint="eastAsia"/>
          <w:lang w:eastAsia="zh-CN"/>
        </w:rPr>
        <w:t>鉴于上述情况，共同签署国敬请国际电联理事会免除七（</w:t>
      </w:r>
      <w:r w:rsidRPr="00891C7E">
        <w:rPr>
          <w:rFonts w:hint="eastAsia"/>
          <w:lang w:eastAsia="zh-CN"/>
        </w:rPr>
        <w:t>7</w:t>
      </w:r>
      <w:r w:rsidRPr="00891C7E">
        <w:rPr>
          <w:rFonts w:hint="eastAsia"/>
          <w:lang w:eastAsia="zh-CN"/>
        </w:rPr>
        <w:t>）</w:t>
      </w:r>
      <w:proofErr w:type="gramStart"/>
      <w:r w:rsidRPr="00891C7E">
        <w:rPr>
          <w:rFonts w:hint="eastAsia"/>
          <w:lang w:eastAsia="zh-CN"/>
        </w:rPr>
        <w:t>份根据</w:t>
      </w:r>
      <w:proofErr w:type="gramEnd"/>
      <w:r w:rsidRPr="00891C7E">
        <w:rPr>
          <w:rFonts w:hint="eastAsia"/>
          <w:lang w:eastAsia="zh-CN"/>
        </w:rPr>
        <w:t>第</w:t>
      </w:r>
      <w:r w:rsidRPr="00891C7E">
        <w:rPr>
          <w:rFonts w:hint="eastAsia"/>
          <w:lang w:eastAsia="zh-CN"/>
        </w:rPr>
        <w:t>170</w:t>
      </w:r>
      <w:r w:rsidRPr="00891C7E">
        <w:rPr>
          <w:rFonts w:hint="eastAsia"/>
          <w:lang w:eastAsia="zh-CN"/>
        </w:rPr>
        <w:t>号决议（</w:t>
      </w:r>
      <w:r w:rsidRPr="00891C7E">
        <w:rPr>
          <w:rFonts w:hint="eastAsia"/>
          <w:lang w:eastAsia="zh-CN"/>
        </w:rPr>
        <w:t>WRC-23</w:t>
      </w:r>
      <w:r w:rsidRPr="00891C7E">
        <w:rPr>
          <w:rFonts w:hint="eastAsia"/>
          <w:lang w:eastAsia="zh-CN"/>
        </w:rPr>
        <w:t>，修订版）提交的协调申报资料的成本回收费，因为这些资料将由安哥拉主管部门代表</w:t>
      </w:r>
      <w:r w:rsidRPr="00891C7E">
        <w:rPr>
          <w:rFonts w:hint="eastAsia"/>
          <w:lang w:eastAsia="zh-CN"/>
        </w:rPr>
        <w:t>16</w:t>
      </w:r>
      <w:r w:rsidRPr="00891C7E">
        <w:rPr>
          <w:rFonts w:hint="eastAsia"/>
          <w:lang w:eastAsia="zh-CN"/>
        </w:rPr>
        <w:t>个</w:t>
      </w:r>
      <w:r w:rsidRPr="00891C7E">
        <w:rPr>
          <w:rFonts w:hint="eastAsia"/>
          <w:lang w:eastAsia="zh-CN"/>
        </w:rPr>
        <w:t>SADC</w:t>
      </w:r>
      <w:r w:rsidRPr="00891C7E">
        <w:rPr>
          <w:rFonts w:hint="eastAsia"/>
          <w:lang w:eastAsia="zh-CN"/>
        </w:rPr>
        <w:t>成员国提交。</w:t>
      </w:r>
    </w:p>
    <w:p w14:paraId="7C7F8E6D" w14:textId="77777777" w:rsidR="00E323D0" w:rsidRPr="00E323D0" w:rsidRDefault="00E323D0" w:rsidP="00E323D0">
      <w:pPr>
        <w:jc w:val="center"/>
      </w:pPr>
      <w:r>
        <w:t>______________</w:t>
      </w:r>
    </w:p>
    <w:sectPr w:rsidR="00E323D0" w:rsidRPr="00E323D0"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4BD8989B" w14:textId="04EF492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C1215">
            <w:rPr>
              <w:rFonts w:eastAsiaTheme="minorEastAsia" w:hint="eastAsia"/>
              <w:bCs/>
              <w:color w:val="808080" w:themeColor="background1" w:themeShade="80"/>
              <w:lang w:eastAsia="zh-CN"/>
            </w:rPr>
            <w:t>82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B55761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C1215">
            <w:rPr>
              <w:rFonts w:eastAsiaTheme="minorEastAsia" w:hint="eastAsia"/>
              <w:bCs/>
              <w:color w:val="808080" w:themeColor="background1" w:themeShade="80"/>
              <w:lang w:eastAsia="zh-CN"/>
            </w:rPr>
            <w:t>82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 w:id="1">
    <w:p w14:paraId="5271ADE8" w14:textId="34A32812" w:rsidR="00AE4210" w:rsidRDefault="00AE4210">
      <w:pPr>
        <w:pStyle w:val="FootnoteText"/>
        <w:rPr>
          <w:lang w:eastAsia="zh-CN"/>
        </w:rPr>
      </w:pPr>
      <w:r>
        <w:rPr>
          <w:rStyle w:val="FootnoteReference"/>
        </w:rPr>
        <w:footnoteRef/>
      </w:r>
      <w:r w:rsidR="00D33C69">
        <w:rPr>
          <w:lang w:eastAsia="zh-CN"/>
        </w:rPr>
        <w:tab/>
      </w:r>
      <w:r w:rsidR="00DF00F9" w:rsidRPr="00DF00F9">
        <w:rPr>
          <w:rFonts w:ascii="STKaiti" w:eastAsia="STKaiti" w:hAnsi="STKaiti" w:hint="eastAsia"/>
          <w:lang w:eastAsia="zh-CN"/>
        </w:rPr>
        <w:t>一些国家同时属于多个类别，而纳米比亚三个类别</w:t>
      </w:r>
      <w:r w:rsidR="004F111C">
        <w:rPr>
          <w:rFonts w:ascii="STKaiti" w:eastAsia="STKaiti" w:hAnsi="STKaiti" w:hint="eastAsia"/>
          <w:lang w:eastAsia="zh-CN"/>
        </w:rPr>
        <w:t>都不属于</w:t>
      </w:r>
      <w:r w:rsidR="000D0CE3">
        <w:rPr>
          <w:rFonts w:ascii="STKaiti" w:eastAsia="STKaiti" w:hAnsi="STKaiti"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16BA8"/>
    <w:rsid w:val="000262F8"/>
    <w:rsid w:val="00031E72"/>
    <w:rsid w:val="000404D2"/>
    <w:rsid w:val="00055EFA"/>
    <w:rsid w:val="000646BD"/>
    <w:rsid w:val="0008077B"/>
    <w:rsid w:val="000853C0"/>
    <w:rsid w:val="00093DD9"/>
    <w:rsid w:val="0009409E"/>
    <w:rsid w:val="000A1C21"/>
    <w:rsid w:val="000C0BC5"/>
    <w:rsid w:val="000D0CE3"/>
    <w:rsid w:val="000D15EA"/>
    <w:rsid w:val="000D7012"/>
    <w:rsid w:val="00100D84"/>
    <w:rsid w:val="001113B9"/>
    <w:rsid w:val="001138EC"/>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40A81"/>
    <w:rsid w:val="00280EB8"/>
    <w:rsid w:val="002A6670"/>
    <w:rsid w:val="002B3B85"/>
    <w:rsid w:val="002B46CB"/>
    <w:rsid w:val="002C3F32"/>
    <w:rsid w:val="00303502"/>
    <w:rsid w:val="00325C25"/>
    <w:rsid w:val="00326DEF"/>
    <w:rsid w:val="003321A4"/>
    <w:rsid w:val="003344AF"/>
    <w:rsid w:val="00365074"/>
    <w:rsid w:val="00372C8F"/>
    <w:rsid w:val="00380BFF"/>
    <w:rsid w:val="00380ECE"/>
    <w:rsid w:val="00393DDF"/>
    <w:rsid w:val="00397F55"/>
    <w:rsid w:val="003B4454"/>
    <w:rsid w:val="003C2E37"/>
    <w:rsid w:val="003F086E"/>
    <w:rsid w:val="003F1415"/>
    <w:rsid w:val="0040144C"/>
    <w:rsid w:val="00403EB7"/>
    <w:rsid w:val="004178E6"/>
    <w:rsid w:val="0042340E"/>
    <w:rsid w:val="00430BF0"/>
    <w:rsid w:val="00441D2C"/>
    <w:rsid w:val="00453B1F"/>
    <w:rsid w:val="00457BC3"/>
    <w:rsid w:val="00460FC3"/>
    <w:rsid w:val="004672E6"/>
    <w:rsid w:val="00474ED1"/>
    <w:rsid w:val="00477D57"/>
    <w:rsid w:val="004872D9"/>
    <w:rsid w:val="00491BA9"/>
    <w:rsid w:val="00493085"/>
    <w:rsid w:val="004A2471"/>
    <w:rsid w:val="004A36EC"/>
    <w:rsid w:val="004D163F"/>
    <w:rsid w:val="004E4BFF"/>
    <w:rsid w:val="004F111C"/>
    <w:rsid w:val="004F2598"/>
    <w:rsid w:val="005403F7"/>
    <w:rsid w:val="00540632"/>
    <w:rsid w:val="00541CF4"/>
    <w:rsid w:val="005451E8"/>
    <w:rsid w:val="005507F2"/>
    <w:rsid w:val="005759CC"/>
    <w:rsid w:val="00581354"/>
    <w:rsid w:val="00597B62"/>
    <w:rsid w:val="005A50DC"/>
    <w:rsid w:val="005A72E1"/>
    <w:rsid w:val="005C6632"/>
    <w:rsid w:val="005D1C9E"/>
    <w:rsid w:val="00630DD5"/>
    <w:rsid w:val="00637584"/>
    <w:rsid w:val="00652F71"/>
    <w:rsid w:val="00653BF3"/>
    <w:rsid w:val="00654257"/>
    <w:rsid w:val="0065435A"/>
    <w:rsid w:val="00670D8A"/>
    <w:rsid w:val="006A2DD3"/>
    <w:rsid w:val="006A5113"/>
    <w:rsid w:val="006A5AF8"/>
    <w:rsid w:val="006C36CD"/>
    <w:rsid w:val="00700D1F"/>
    <w:rsid w:val="007050DF"/>
    <w:rsid w:val="007205CB"/>
    <w:rsid w:val="0072138B"/>
    <w:rsid w:val="007226BB"/>
    <w:rsid w:val="00726073"/>
    <w:rsid w:val="00734FE8"/>
    <w:rsid w:val="007360CE"/>
    <w:rsid w:val="0077110E"/>
    <w:rsid w:val="00772315"/>
    <w:rsid w:val="00775157"/>
    <w:rsid w:val="007813AE"/>
    <w:rsid w:val="007854C3"/>
    <w:rsid w:val="0079340F"/>
    <w:rsid w:val="007A37DB"/>
    <w:rsid w:val="007C1215"/>
    <w:rsid w:val="007E189D"/>
    <w:rsid w:val="007F0210"/>
    <w:rsid w:val="00806E3F"/>
    <w:rsid w:val="00811259"/>
    <w:rsid w:val="00813AA2"/>
    <w:rsid w:val="008173A3"/>
    <w:rsid w:val="008418F5"/>
    <w:rsid w:val="0086059C"/>
    <w:rsid w:val="00864589"/>
    <w:rsid w:val="00874C82"/>
    <w:rsid w:val="00890AFB"/>
    <w:rsid w:val="00890FC4"/>
    <w:rsid w:val="00891C7E"/>
    <w:rsid w:val="00894A53"/>
    <w:rsid w:val="00895905"/>
    <w:rsid w:val="008D038C"/>
    <w:rsid w:val="008F64AD"/>
    <w:rsid w:val="00911230"/>
    <w:rsid w:val="00911867"/>
    <w:rsid w:val="009164A9"/>
    <w:rsid w:val="009258CB"/>
    <w:rsid w:val="0092675A"/>
    <w:rsid w:val="0093362E"/>
    <w:rsid w:val="00944563"/>
    <w:rsid w:val="00950ADC"/>
    <w:rsid w:val="00953160"/>
    <w:rsid w:val="00956144"/>
    <w:rsid w:val="009625D8"/>
    <w:rsid w:val="00983878"/>
    <w:rsid w:val="0098459B"/>
    <w:rsid w:val="00997185"/>
    <w:rsid w:val="009C2458"/>
    <w:rsid w:val="009C4A7B"/>
    <w:rsid w:val="009C6123"/>
    <w:rsid w:val="009F1E3E"/>
    <w:rsid w:val="00A1213C"/>
    <w:rsid w:val="00A13406"/>
    <w:rsid w:val="00A272FF"/>
    <w:rsid w:val="00A27F55"/>
    <w:rsid w:val="00A5354B"/>
    <w:rsid w:val="00A71B57"/>
    <w:rsid w:val="00A90012"/>
    <w:rsid w:val="00AB42C1"/>
    <w:rsid w:val="00AC516F"/>
    <w:rsid w:val="00AE195F"/>
    <w:rsid w:val="00AE2926"/>
    <w:rsid w:val="00AE4210"/>
    <w:rsid w:val="00AF21BA"/>
    <w:rsid w:val="00AF7F2C"/>
    <w:rsid w:val="00B0184B"/>
    <w:rsid w:val="00B035CD"/>
    <w:rsid w:val="00B0769D"/>
    <w:rsid w:val="00B135AF"/>
    <w:rsid w:val="00B16B68"/>
    <w:rsid w:val="00B217F8"/>
    <w:rsid w:val="00B218E9"/>
    <w:rsid w:val="00B332EA"/>
    <w:rsid w:val="00B40A53"/>
    <w:rsid w:val="00B45365"/>
    <w:rsid w:val="00B46A65"/>
    <w:rsid w:val="00B60184"/>
    <w:rsid w:val="00B62D20"/>
    <w:rsid w:val="00B7450A"/>
    <w:rsid w:val="00B81E75"/>
    <w:rsid w:val="00B93453"/>
    <w:rsid w:val="00B9445B"/>
    <w:rsid w:val="00BD0954"/>
    <w:rsid w:val="00BD1A5A"/>
    <w:rsid w:val="00BD7A9B"/>
    <w:rsid w:val="00BD7BE1"/>
    <w:rsid w:val="00BF416B"/>
    <w:rsid w:val="00C1013F"/>
    <w:rsid w:val="00C126E1"/>
    <w:rsid w:val="00C3289B"/>
    <w:rsid w:val="00C45EB2"/>
    <w:rsid w:val="00C64E4E"/>
    <w:rsid w:val="00C66E64"/>
    <w:rsid w:val="00C761A0"/>
    <w:rsid w:val="00C85F7E"/>
    <w:rsid w:val="00C90D53"/>
    <w:rsid w:val="00CA0B2E"/>
    <w:rsid w:val="00CA6EF7"/>
    <w:rsid w:val="00CC10CF"/>
    <w:rsid w:val="00CD47F0"/>
    <w:rsid w:val="00CD5566"/>
    <w:rsid w:val="00CD64D7"/>
    <w:rsid w:val="00CE299D"/>
    <w:rsid w:val="00CE6F22"/>
    <w:rsid w:val="00CF41F6"/>
    <w:rsid w:val="00CF7D3E"/>
    <w:rsid w:val="00D02B4E"/>
    <w:rsid w:val="00D208BC"/>
    <w:rsid w:val="00D21F11"/>
    <w:rsid w:val="00D33C69"/>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00F9"/>
    <w:rsid w:val="00DF6B49"/>
    <w:rsid w:val="00E067C5"/>
    <w:rsid w:val="00E24D59"/>
    <w:rsid w:val="00E265BF"/>
    <w:rsid w:val="00E323D0"/>
    <w:rsid w:val="00E34C96"/>
    <w:rsid w:val="00E378D8"/>
    <w:rsid w:val="00E43A12"/>
    <w:rsid w:val="00E45C97"/>
    <w:rsid w:val="00E64DF8"/>
    <w:rsid w:val="00E67C67"/>
    <w:rsid w:val="00E77476"/>
    <w:rsid w:val="00E807AF"/>
    <w:rsid w:val="00E8228B"/>
    <w:rsid w:val="00E97582"/>
    <w:rsid w:val="00ED3626"/>
    <w:rsid w:val="00EE5706"/>
    <w:rsid w:val="00EF373D"/>
    <w:rsid w:val="00F11595"/>
    <w:rsid w:val="00F13BC9"/>
    <w:rsid w:val="00F357B2"/>
    <w:rsid w:val="00F36556"/>
    <w:rsid w:val="00F6736A"/>
    <w:rsid w:val="00F705DF"/>
    <w:rsid w:val="00F70622"/>
    <w:rsid w:val="00F715EE"/>
    <w:rsid w:val="00F85624"/>
    <w:rsid w:val="00F87C05"/>
    <w:rsid w:val="00F93191"/>
    <w:rsid w:val="00F93A17"/>
    <w:rsid w:val="00F93D0B"/>
    <w:rsid w:val="00FA2AF6"/>
    <w:rsid w:val="00FB073D"/>
    <w:rsid w:val="00FB771F"/>
    <w:rsid w:val="00FC5386"/>
    <w:rsid w:val="00FC6877"/>
    <w:rsid w:val="00FD65D8"/>
    <w:rsid w:val="00FE3F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Revision">
    <w:name w:val="Revision"/>
    <w:hidden/>
    <w:uiPriority w:val="99"/>
    <w:semiHidden/>
    <w:rsid w:val="00380BF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30-C.pdf" TargetMode="External"/><Relationship Id="rId13" Type="http://schemas.openxmlformats.org/officeDocument/2006/relationships/hyperlink" Target="https://www.itu.int/md/R24-RRB24.3-C-001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218-C.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203-C.pdf" TargetMode="External"/><Relationship Id="rId5" Type="http://schemas.openxmlformats.org/officeDocument/2006/relationships/webSettings" Target="webSettings.xml"/><Relationship Id="rId15" Type="http://schemas.openxmlformats.org/officeDocument/2006/relationships/hyperlink" Target="https://www.itu.int/md/S25-CL-C-0010/en" TargetMode="External"/><Relationship Id="rId10" Type="http://schemas.openxmlformats.org/officeDocument/2006/relationships/hyperlink" Target="https://www.itu.int/en/council/Documents/basic-texts-2023/RES-200-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40-E.pdf" TargetMode="External"/><Relationship Id="rId14" Type="http://schemas.openxmlformats.org/officeDocument/2006/relationships/hyperlink" Target="https://www.itu.int/md/R24-RRB24.3-C-00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1647</Words>
  <Characters>1133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exemption of cost recovery fee for seven submissions under Resolution 170 (Rev.WRC-23) by the Administration of Angola acting on behalf of 16 SADC Member States</dc:title>
  <dc:subject>ITU Council 2025</dc:subject>
  <dc:creator>LING-C(JL)</dc:creator>
  <cp:keywords>C2025, C25, Council-25</cp:keywords>
  <dc:description/>
  <cp:lastModifiedBy>GBS</cp:lastModifiedBy>
  <cp:revision>2</cp:revision>
  <cp:lastPrinted>2015-02-24T13:23:00Z</cp:lastPrinted>
  <dcterms:created xsi:type="dcterms:W3CDTF">2025-06-12T11:28:00Z</dcterms:created>
  <dcterms:modified xsi:type="dcterms:W3CDTF">2025-06-12T11:28:00Z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