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6"/>
        <w:gridCol w:w="2965"/>
      </w:tblGrid>
      <w:tr w:rsidR="007B0AA0" w14:paraId="7D014A06" w14:textId="77777777" w:rsidTr="00F363FE">
        <w:tc>
          <w:tcPr>
            <w:tcW w:w="6512" w:type="dxa"/>
          </w:tcPr>
          <w:p w14:paraId="2DB33C78" w14:textId="514F8B5B" w:rsidR="007B0AA0" w:rsidRPr="00B47CFC" w:rsidRDefault="007B0AA0" w:rsidP="00B47CFC">
            <w:pPr>
              <w:spacing w:before="60" w:after="60" w:line="260" w:lineRule="exact"/>
              <w:rPr>
                <w:b/>
                <w:bCs/>
                <w:rtl/>
                <w:lang w:bidi="ar-EG"/>
              </w:rPr>
            </w:pPr>
            <w:r w:rsidRPr="007B0AA0">
              <w:rPr>
                <w:rFonts w:hint="cs"/>
                <w:b/>
                <w:bCs/>
                <w:rtl/>
                <w:lang w:bidi="ar-EG"/>
              </w:rPr>
              <w:t>بند جدول الأعمال:</w:t>
            </w:r>
            <w:r w:rsidR="00B47CFC">
              <w:rPr>
                <w:rFonts w:hint="cs"/>
                <w:b/>
                <w:bCs/>
                <w:rtl/>
                <w:lang w:bidi="ar-EG"/>
              </w:rPr>
              <w:t xml:space="preserve"> </w:t>
            </w:r>
            <w:r w:rsidR="00B47CFC" w:rsidRPr="00B47CFC">
              <w:rPr>
                <w:b/>
                <w:bCs/>
                <w:lang w:val="en-GB" w:bidi="ar-EG"/>
              </w:rPr>
              <w:t>ADM 1</w:t>
            </w:r>
          </w:p>
        </w:tc>
        <w:tc>
          <w:tcPr>
            <w:tcW w:w="3117" w:type="dxa"/>
          </w:tcPr>
          <w:p w14:paraId="50238064" w14:textId="04A38B73"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B47CFC">
              <w:rPr>
                <w:b/>
                <w:bCs/>
                <w:lang w:bidi="ar-EG"/>
              </w:rPr>
              <w:t>82</w:t>
            </w:r>
            <w:r w:rsidRPr="007B0AA0">
              <w:rPr>
                <w:b/>
                <w:bCs/>
                <w:lang w:bidi="ar-EG"/>
              </w:rPr>
              <w:t>-A</w:t>
            </w:r>
          </w:p>
        </w:tc>
      </w:tr>
      <w:tr w:rsidR="007B0AA0" w14:paraId="45ABC198" w14:textId="77777777" w:rsidTr="00F363FE">
        <w:tc>
          <w:tcPr>
            <w:tcW w:w="6512" w:type="dxa"/>
          </w:tcPr>
          <w:p w14:paraId="3581D63F" w14:textId="77777777" w:rsidR="007B0AA0" w:rsidRPr="007B0AA0" w:rsidRDefault="007B0AA0" w:rsidP="00F363FE">
            <w:pPr>
              <w:spacing w:before="60" w:after="60" w:line="260" w:lineRule="exact"/>
              <w:rPr>
                <w:b/>
                <w:bCs/>
                <w:rtl/>
                <w:lang w:bidi="ar-EG"/>
              </w:rPr>
            </w:pPr>
          </w:p>
        </w:tc>
        <w:tc>
          <w:tcPr>
            <w:tcW w:w="3117" w:type="dxa"/>
          </w:tcPr>
          <w:p w14:paraId="5104F159" w14:textId="1E9B8739" w:rsidR="007B0AA0" w:rsidRPr="007B0AA0" w:rsidRDefault="00040F87" w:rsidP="00F363FE">
            <w:pPr>
              <w:spacing w:before="60" w:after="60" w:line="260" w:lineRule="exact"/>
              <w:rPr>
                <w:b/>
                <w:bCs/>
                <w:rtl/>
                <w:lang w:bidi="ar-EG"/>
              </w:rPr>
            </w:pPr>
            <w:r w:rsidRPr="00040F87">
              <w:rPr>
                <w:b/>
                <w:bCs/>
                <w:rtl/>
                <w:lang w:bidi="ar-EG"/>
              </w:rPr>
              <w:t>2 يونيو 2025</w:t>
            </w:r>
          </w:p>
        </w:tc>
      </w:tr>
      <w:tr w:rsidR="007B0AA0" w14:paraId="1C2CC96D" w14:textId="77777777" w:rsidTr="00F363FE">
        <w:tc>
          <w:tcPr>
            <w:tcW w:w="6512" w:type="dxa"/>
          </w:tcPr>
          <w:p w14:paraId="692EAB06" w14:textId="77777777" w:rsidR="007B0AA0" w:rsidRPr="007B0AA0" w:rsidRDefault="007B0AA0" w:rsidP="00F363FE">
            <w:pPr>
              <w:spacing w:before="60" w:after="60" w:line="260" w:lineRule="exact"/>
              <w:rPr>
                <w:b/>
                <w:bCs/>
                <w:rtl/>
                <w:lang w:bidi="ar-EG"/>
              </w:rPr>
            </w:pPr>
          </w:p>
        </w:tc>
        <w:tc>
          <w:tcPr>
            <w:tcW w:w="3117" w:type="dxa"/>
          </w:tcPr>
          <w:p w14:paraId="3E63F7F8"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38F08ABB" w14:textId="77777777" w:rsidTr="00F363FE">
        <w:tc>
          <w:tcPr>
            <w:tcW w:w="6512" w:type="dxa"/>
          </w:tcPr>
          <w:p w14:paraId="7D381663" w14:textId="77777777" w:rsidR="007B0AA0" w:rsidRDefault="007B0AA0" w:rsidP="00F363FE">
            <w:pPr>
              <w:spacing w:before="60" w:after="60" w:line="260" w:lineRule="exact"/>
              <w:rPr>
                <w:lang w:bidi="ar-EG"/>
              </w:rPr>
            </w:pPr>
          </w:p>
        </w:tc>
        <w:tc>
          <w:tcPr>
            <w:tcW w:w="3117" w:type="dxa"/>
          </w:tcPr>
          <w:p w14:paraId="6BBFD237" w14:textId="77777777" w:rsidR="007B0AA0" w:rsidRDefault="007B0AA0" w:rsidP="00F363FE">
            <w:pPr>
              <w:spacing w:before="60" w:after="60" w:line="260" w:lineRule="exact"/>
              <w:rPr>
                <w:rtl/>
                <w:lang w:bidi="ar-EG"/>
              </w:rPr>
            </w:pPr>
          </w:p>
        </w:tc>
      </w:tr>
      <w:tr w:rsidR="007B0AA0" w14:paraId="4AA81CEE" w14:textId="77777777" w:rsidTr="00EE7446">
        <w:tc>
          <w:tcPr>
            <w:tcW w:w="9629" w:type="dxa"/>
            <w:gridSpan w:val="2"/>
          </w:tcPr>
          <w:p w14:paraId="7F07006C" w14:textId="3DC840C9" w:rsidR="007B0AA0" w:rsidRDefault="00040F87" w:rsidP="00D7461E">
            <w:pPr>
              <w:pStyle w:val="Source"/>
              <w:jc w:val="both"/>
              <w:rPr>
                <w:lang w:bidi="ar-EG"/>
              </w:rPr>
            </w:pPr>
            <w:r w:rsidRPr="00040F87">
              <w:rPr>
                <w:rtl/>
              </w:rPr>
              <w:t>مساهمة مقدمة من أنغولا، بوتسوانا، جزر القمر، إسواتيني، ليسوتو، مدغشقر، ملاوي، موريشيوس، موزامبيق، ناميبيا، جمهورية الكونغو الديمقراطية، سيشيل، جنوب إفريقيا، تنزانيا، زامبيا، زمبابوي</w:t>
            </w:r>
          </w:p>
        </w:tc>
      </w:tr>
      <w:tr w:rsidR="007B0AA0" w14:paraId="4D8750D1" w14:textId="77777777" w:rsidTr="007B0AA0">
        <w:tc>
          <w:tcPr>
            <w:tcW w:w="9629" w:type="dxa"/>
            <w:gridSpan w:val="2"/>
            <w:tcBorders>
              <w:bottom w:val="single" w:sz="4" w:space="0" w:color="auto"/>
            </w:tcBorders>
          </w:tcPr>
          <w:p w14:paraId="2E6AAD4E" w14:textId="4440283F" w:rsidR="007B0AA0" w:rsidRPr="005546CF" w:rsidRDefault="00040F87" w:rsidP="00040F87">
            <w:pPr>
              <w:pStyle w:val="Subtitle0"/>
              <w:rPr>
                <w:sz w:val="32"/>
                <w:szCs w:val="32"/>
              </w:rPr>
            </w:pPr>
            <w:bookmarkStart w:id="0" w:name="_Hlk199853548"/>
            <w:r w:rsidRPr="00040F87">
              <w:rPr>
                <w:sz w:val="32"/>
                <w:szCs w:val="32"/>
                <w:rtl/>
                <w:lang w:bidi="ar-SA"/>
              </w:rPr>
              <w:t>م</w:t>
            </w:r>
            <w:r w:rsidR="0076220F">
              <w:rPr>
                <w:rFonts w:hint="cs"/>
                <w:sz w:val="32"/>
                <w:szCs w:val="32"/>
                <w:rtl/>
                <w:lang w:bidi="ar-SA"/>
              </w:rPr>
              <w:t>ُ</w:t>
            </w:r>
            <w:r w:rsidRPr="00040F87">
              <w:rPr>
                <w:sz w:val="32"/>
                <w:szCs w:val="32"/>
                <w:rtl/>
                <w:lang w:bidi="ar-SA"/>
              </w:rPr>
              <w:t xml:space="preserve">قترح بشأن الإعفاء من رسوم استرداد التكاليف عن معالجة سبع بطاقات تبليغ مقدمة بموجب القرار </w:t>
            </w:r>
            <w:r w:rsidRPr="00040F87">
              <w:rPr>
                <w:sz w:val="32"/>
                <w:szCs w:val="32"/>
              </w:rPr>
              <w:t>170 (Rev.WRC-23)</w:t>
            </w:r>
            <w:r w:rsidRPr="00040F87">
              <w:rPr>
                <w:sz w:val="32"/>
                <w:szCs w:val="32"/>
                <w:rtl/>
                <w:lang w:bidi="ar-SA"/>
              </w:rPr>
              <w:t xml:space="preserve"> من إدارة أنغولا بالنيابة عن </w:t>
            </w:r>
            <w:r w:rsidRPr="00040F87">
              <w:rPr>
                <w:sz w:val="32"/>
                <w:szCs w:val="32"/>
                <w:lang w:bidi="ar-SA"/>
              </w:rPr>
              <w:t>16</w:t>
            </w:r>
            <w:r w:rsidRPr="00040F87">
              <w:rPr>
                <w:sz w:val="32"/>
                <w:szCs w:val="32"/>
                <w:rtl/>
                <w:lang w:bidi="ar-SA"/>
              </w:rPr>
              <w:t xml:space="preserve"> دولة عضواً في الجماعة الإنمائية للجنوب الإفريقي </w:t>
            </w:r>
            <w:r w:rsidRPr="00040F87">
              <w:rPr>
                <w:sz w:val="32"/>
                <w:szCs w:val="32"/>
              </w:rPr>
              <w:t>(SADC</w:t>
            </w:r>
            <w:r w:rsidRPr="00040F87">
              <w:rPr>
                <w:sz w:val="32"/>
                <w:szCs w:val="32"/>
                <w:lang w:bidi="ar-SA"/>
              </w:rPr>
              <w:t>)</w:t>
            </w:r>
            <w:bookmarkEnd w:id="0"/>
          </w:p>
        </w:tc>
      </w:tr>
      <w:tr w:rsidR="007B0AA0" w14:paraId="0308D901" w14:textId="77777777" w:rsidTr="007B0AA0">
        <w:tc>
          <w:tcPr>
            <w:tcW w:w="9629" w:type="dxa"/>
            <w:gridSpan w:val="2"/>
            <w:tcBorders>
              <w:top w:val="single" w:sz="4" w:space="0" w:color="auto"/>
              <w:bottom w:val="single" w:sz="4" w:space="0" w:color="auto"/>
            </w:tcBorders>
          </w:tcPr>
          <w:p w14:paraId="5B3446B4" w14:textId="77777777" w:rsidR="007B0AA0" w:rsidRPr="007B0AA0" w:rsidRDefault="007B0AA0" w:rsidP="007B0AA0">
            <w:pPr>
              <w:rPr>
                <w:b/>
                <w:bCs/>
                <w:rtl/>
              </w:rPr>
            </w:pPr>
            <w:r w:rsidRPr="00494119">
              <w:rPr>
                <w:rFonts w:hint="cs"/>
                <w:b/>
                <w:bCs/>
                <w:rtl/>
              </w:rPr>
              <w:t>الغرض</w:t>
            </w:r>
          </w:p>
          <w:p w14:paraId="7F894CFD" w14:textId="5BB44B55" w:rsidR="007B0AA0" w:rsidRDefault="00040F87" w:rsidP="00040F87">
            <w:pPr>
              <w:rPr>
                <w:rtl/>
              </w:rPr>
            </w:pPr>
            <w:r w:rsidRPr="00040F87">
              <w:rPr>
                <w:rtl/>
              </w:rPr>
              <w:t xml:space="preserve">اقتراح إعفاء سبعة </w:t>
            </w:r>
            <w:r w:rsidRPr="00040F87">
              <w:t>(7)</w:t>
            </w:r>
            <w:r w:rsidRPr="00040F87">
              <w:rPr>
                <w:rtl/>
              </w:rPr>
              <w:t xml:space="preserve"> بطاقات تبليغ بغرض التنسيق - تقدَّم بموجب القرار </w:t>
            </w:r>
            <w:r w:rsidRPr="00040F87">
              <w:rPr>
                <w:b/>
                <w:bCs/>
              </w:rPr>
              <w:t>170 (Rev.WRC-23)</w:t>
            </w:r>
            <w:r w:rsidRPr="00040F87">
              <w:rPr>
                <w:rtl/>
              </w:rPr>
              <w:t xml:space="preserve"> - من رسوم استرداد التكاليف، ستودعها إدارة أنغولا بالنيابة عن 16 دولة عضواً في الجماعة الإنمائية للجنوب الإفريقي </w:t>
            </w:r>
            <w:r w:rsidRPr="00040F87">
              <w:t>(SADC)</w:t>
            </w:r>
            <w:r w:rsidRPr="00040F87">
              <w:rPr>
                <w:rtl/>
              </w:rPr>
              <w:t>.</w:t>
            </w:r>
          </w:p>
          <w:p w14:paraId="515B91CD" w14:textId="77777777" w:rsidR="007B0AA0" w:rsidRPr="007B0AA0" w:rsidRDefault="007B0AA0" w:rsidP="007B0AA0">
            <w:pPr>
              <w:rPr>
                <w:b/>
                <w:bCs/>
                <w:rtl/>
              </w:rPr>
            </w:pPr>
            <w:r w:rsidRPr="007B0AA0">
              <w:rPr>
                <w:rFonts w:hint="cs"/>
                <w:b/>
                <w:bCs/>
                <w:rtl/>
              </w:rPr>
              <w:t>الإجراء المطلوب من المجلس</w:t>
            </w:r>
          </w:p>
          <w:p w14:paraId="40F5441B" w14:textId="023CCF84" w:rsidR="007B0AA0" w:rsidRDefault="00040F87" w:rsidP="00040F87">
            <w:pPr>
              <w:rPr>
                <w:rtl/>
              </w:rPr>
            </w:pPr>
            <w:r w:rsidRPr="00040F87">
              <w:rPr>
                <w:rtl/>
              </w:rPr>
              <w:t xml:space="preserve">يُدعى المشاركون إلى </w:t>
            </w:r>
            <w:r w:rsidRPr="00040F87">
              <w:rPr>
                <w:b/>
                <w:bCs/>
                <w:rtl/>
              </w:rPr>
              <w:t xml:space="preserve">النظر </w:t>
            </w:r>
            <w:r w:rsidRPr="00040F87">
              <w:rPr>
                <w:rtl/>
              </w:rPr>
              <w:t>في المقترح المقدم في هذه المساهمة و</w:t>
            </w:r>
            <w:r w:rsidRPr="00040F87">
              <w:rPr>
                <w:b/>
                <w:bCs/>
                <w:rtl/>
              </w:rPr>
              <w:t>الموافقة</w:t>
            </w:r>
            <w:r w:rsidRPr="00040F87">
              <w:rPr>
                <w:rtl/>
              </w:rPr>
              <w:t xml:space="preserve"> عليه.</w:t>
            </w:r>
          </w:p>
          <w:p w14:paraId="0CD70C28"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30FA20D1" w14:textId="77777777" w:rsidR="007B0AA0" w:rsidRPr="007B0AA0" w:rsidRDefault="007B0AA0" w:rsidP="007B0AA0">
            <w:pPr>
              <w:rPr>
                <w:b/>
                <w:bCs/>
                <w:rtl/>
              </w:rPr>
            </w:pPr>
            <w:r w:rsidRPr="007B0AA0">
              <w:rPr>
                <w:rFonts w:hint="cs"/>
                <w:b/>
                <w:bCs/>
                <w:rtl/>
              </w:rPr>
              <w:t>المراجع</w:t>
            </w:r>
          </w:p>
          <w:p w14:paraId="06C9B3F1" w14:textId="0ED218FA" w:rsidR="007B0AA0" w:rsidRPr="005546CF" w:rsidRDefault="00040F87" w:rsidP="00040F87">
            <w:pPr>
              <w:rPr>
                <w:i/>
                <w:iCs/>
                <w:rtl/>
              </w:rPr>
            </w:pPr>
            <w:hyperlink r:id="rId8" w:history="1">
              <w:r w:rsidRPr="008A4248">
                <w:rPr>
                  <w:rStyle w:val="Hyperlink"/>
                  <w:rFonts w:ascii="Dubai" w:eastAsiaTheme="minorEastAsia" w:hAnsi="Dubai" w:cs="Dubai" w:hint="eastAsia"/>
                  <w:i/>
                  <w:iCs/>
                  <w:noProof w:val="0"/>
                  <w:sz w:val="22"/>
                  <w:rtl/>
                  <w:lang w:val="en-US" w:eastAsia="zh-CN"/>
                </w:rPr>
                <w:t>القرار</w:t>
              </w:r>
              <w:r w:rsidRPr="008A4248">
                <w:rPr>
                  <w:rStyle w:val="Hyperlink"/>
                  <w:rFonts w:ascii="Dubai" w:eastAsiaTheme="minorEastAsia" w:hAnsi="Dubai" w:cs="Dubai"/>
                  <w:i/>
                  <w:iCs/>
                  <w:noProof w:val="0"/>
                  <w:sz w:val="22"/>
                  <w:rtl/>
                  <w:lang w:val="en-US" w:eastAsia="zh-CN"/>
                </w:rPr>
                <w:t xml:space="preserve"> </w:t>
              </w:r>
              <w:r w:rsidR="00FD5882" w:rsidRPr="008A4248">
                <w:rPr>
                  <w:rStyle w:val="Hyperlink"/>
                  <w:rFonts w:ascii="Dubai" w:eastAsiaTheme="minorEastAsia" w:hAnsi="Dubai" w:cs="Dubai"/>
                  <w:i/>
                  <w:iCs/>
                  <w:noProof w:val="0"/>
                  <w:sz w:val="22"/>
                  <w:lang w:val="en-US" w:eastAsia="zh-CN"/>
                </w:rPr>
                <w:t>76/3</w:t>
              </w:r>
              <w:r w:rsidRPr="008A4248">
                <w:rPr>
                  <w:rStyle w:val="Hyperlink"/>
                  <w:rFonts w:ascii="Dubai" w:eastAsiaTheme="minorEastAsia" w:hAnsi="Dubai" w:cs="Dubai"/>
                  <w:i/>
                  <w:iCs/>
                  <w:noProof w:val="0"/>
                  <w:sz w:val="22"/>
                  <w:rtl/>
                  <w:lang w:val="en-US" w:eastAsia="zh-CN"/>
                </w:rPr>
                <w:t xml:space="preserve"> </w:t>
              </w:r>
              <w:r w:rsidRPr="008A4248">
                <w:rPr>
                  <w:rStyle w:val="Hyperlink"/>
                  <w:rFonts w:ascii="Dubai" w:eastAsiaTheme="minorEastAsia" w:hAnsi="Dubai" w:cs="Dubai" w:hint="eastAsia"/>
                  <w:i/>
                  <w:iCs/>
                  <w:noProof w:val="0"/>
                  <w:sz w:val="22"/>
                  <w:rtl/>
                  <w:lang w:val="en-US" w:eastAsia="zh-CN"/>
                </w:rPr>
                <w:t>الصادر</w:t>
              </w:r>
              <w:r w:rsidRPr="008A4248">
                <w:rPr>
                  <w:rStyle w:val="Hyperlink"/>
                  <w:rFonts w:ascii="Dubai" w:eastAsiaTheme="minorEastAsia" w:hAnsi="Dubai" w:cs="Dubai"/>
                  <w:i/>
                  <w:iCs/>
                  <w:noProof w:val="0"/>
                  <w:sz w:val="22"/>
                  <w:rtl/>
                  <w:lang w:val="en-US" w:eastAsia="zh-CN"/>
                </w:rPr>
                <w:t xml:space="preserve"> </w:t>
              </w:r>
              <w:r w:rsidRPr="008A4248">
                <w:rPr>
                  <w:rStyle w:val="Hyperlink"/>
                  <w:rFonts w:ascii="Dubai" w:eastAsiaTheme="minorEastAsia" w:hAnsi="Dubai" w:cs="Dubai" w:hint="eastAsia"/>
                  <w:i/>
                  <w:iCs/>
                  <w:noProof w:val="0"/>
                  <w:sz w:val="22"/>
                  <w:rtl/>
                  <w:lang w:val="en-US" w:eastAsia="zh-CN"/>
                </w:rPr>
                <w:t>عن</w:t>
              </w:r>
              <w:r w:rsidRPr="008A4248">
                <w:rPr>
                  <w:rStyle w:val="Hyperlink"/>
                  <w:rFonts w:ascii="Dubai" w:eastAsiaTheme="minorEastAsia" w:hAnsi="Dubai" w:cs="Dubai"/>
                  <w:i/>
                  <w:iCs/>
                  <w:noProof w:val="0"/>
                  <w:sz w:val="22"/>
                  <w:rtl/>
                  <w:lang w:val="en-US" w:eastAsia="zh-CN"/>
                </w:rPr>
                <w:t xml:space="preserve"> </w:t>
              </w:r>
              <w:r w:rsidRPr="008A4248">
                <w:rPr>
                  <w:rStyle w:val="Hyperlink"/>
                  <w:rFonts w:ascii="Dubai" w:eastAsiaTheme="minorEastAsia" w:hAnsi="Dubai" w:cs="Dubai" w:hint="eastAsia"/>
                  <w:i/>
                  <w:iCs/>
                  <w:noProof w:val="0"/>
                  <w:sz w:val="22"/>
                  <w:rtl/>
                  <w:lang w:val="en-US" w:eastAsia="zh-CN"/>
                </w:rPr>
                <w:t>الجمعية</w:t>
              </w:r>
              <w:r w:rsidRPr="008A4248">
                <w:rPr>
                  <w:rStyle w:val="Hyperlink"/>
                  <w:rFonts w:ascii="Dubai" w:eastAsiaTheme="minorEastAsia" w:hAnsi="Dubai" w:cs="Dubai"/>
                  <w:i/>
                  <w:iCs/>
                  <w:noProof w:val="0"/>
                  <w:sz w:val="22"/>
                  <w:rtl/>
                  <w:lang w:val="en-US" w:eastAsia="zh-CN"/>
                </w:rPr>
                <w:t xml:space="preserve"> </w:t>
              </w:r>
              <w:r w:rsidRPr="008A4248">
                <w:rPr>
                  <w:rStyle w:val="Hyperlink"/>
                  <w:rFonts w:ascii="Dubai" w:eastAsiaTheme="minorEastAsia" w:hAnsi="Dubai" w:cs="Dubai" w:hint="eastAsia"/>
                  <w:i/>
                  <w:iCs/>
                  <w:noProof w:val="0"/>
                  <w:sz w:val="22"/>
                  <w:rtl/>
                  <w:lang w:val="en-US" w:eastAsia="zh-CN"/>
                </w:rPr>
                <w:t>العامة</w:t>
              </w:r>
              <w:r w:rsidRPr="008A4248">
                <w:rPr>
                  <w:rStyle w:val="Hyperlink"/>
                  <w:rFonts w:ascii="Dubai" w:eastAsiaTheme="minorEastAsia" w:hAnsi="Dubai" w:cs="Dubai"/>
                  <w:i/>
                  <w:iCs/>
                  <w:noProof w:val="0"/>
                  <w:sz w:val="22"/>
                  <w:rtl/>
                  <w:lang w:val="en-US" w:eastAsia="zh-CN"/>
                </w:rPr>
                <w:t xml:space="preserve"> </w:t>
              </w:r>
              <w:r w:rsidRPr="008A4248">
                <w:rPr>
                  <w:rStyle w:val="Hyperlink"/>
                  <w:rFonts w:ascii="Dubai" w:eastAsiaTheme="minorEastAsia" w:hAnsi="Dubai" w:cs="Dubai" w:hint="eastAsia"/>
                  <w:i/>
                  <w:iCs/>
                  <w:noProof w:val="0"/>
                  <w:sz w:val="22"/>
                  <w:rtl/>
                  <w:lang w:val="en-US" w:eastAsia="zh-CN"/>
                </w:rPr>
                <w:t>للأمم</w:t>
              </w:r>
              <w:r w:rsidRPr="008A4248">
                <w:rPr>
                  <w:rStyle w:val="Hyperlink"/>
                  <w:rFonts w:ascii="Dubai" w:eastAsiaTheme="minorEastAsia" w:hAnsi="Dubai" w:cs="Dubai"/>
                  <w:i/>
                  <w:iCs/>
                  <w:noProof w:val="0"/>
                  <w:sz w:val="22"/>
                  <w:rtl/>
                  <w:lang w:val="en-US" w:eastAsia="zh-CN"/>
                </w:rPr>
                <w:t xml:space="preserve"> </w:t>
              </w:r>
              <w:r w:rsidRPr="008A4248">
                <w:rPr>
                  <w:rStyle w:val="Hyperlink"/>
                  <w:rFonts w:ascii="Dubai" w:eastAsiaTheme="minorEastAsia" w:hAnsi="Dubai" w:cs="Dubai" w:hint="eastAsia"/>
                  <w:i/>
                  <w:iCs/>
                  <w:noProof w:val="0"/>
                  <w:sz w:val="22"/>
                  <w:rtl/>
                  <w:lang w:val="en-US" w:eastAsia="zh-CN"/>
                </w:rPr>
                <w:t>المتحدة</w:t>
              </w:r>
            </w:hyperlink>
            <w:r w:rsidRPr="00040F87">
              <w:rPr>
                <w:rFonts w:hint="eastAsia"/>
                <w:i/>
                <w:iCs/>
                <w:rtl/>
              </w:rPr>
              <w:t>؛</w:t>
            </w:r>
            <w:r w:rsidRPr="00040F87">
              <w:rPr>
                <w:i/>
                <w:iCs/>
                <w:rtl/>
              </w:rPr>
              <w:t xml:space="preserve"> </w:t>
            </w:r>
            <w:r w:rsidRPr="00040F87">
              <w:rPr>
                <w:rFonts w:hint="eastAsia"/>
                <w:i/>
                <w:iCs/>
                <w:rtl/>
              </w:rPr>
              <w:t>القرار</w:t>
            </w:r>
            <w:r w:rsidRPr="00040F87">
              <w:rPr>
                <w:i/>
                <w:iCs/>
                <w:rtl/>
              </w:rPr>
              <w:t xml:space="preserve"> </w:t>
            </w:r>
            <w:hyperlink r:id="rId9" w:history="1">
              <w:r w:rsidRPr="000461BB">
                <w:rPr>
                  <w:rStyle w:val="Hyperlink"/>
                  <w:rFonts w:ascii="Dubai" w:eastAsiaTheme="minorEastAsia" w:hAnsi="Dubai" w:cs="Dubai"/>
                  <w:i/>
                  <w:iCs/>
                  <w:noProof w:val="0"/>
                  <w:sz w:val="22"/>
                  <w:cs/>
                  <w:lang w:val="en-US" w:eastAsia="zh-CN"/>
                </w:rPr>
                <w:t>‎</w:t>
              </w:r>
              <w:r w:rsidRPr="000461BB">
                <w:rPr>
                  <w:rStyle w:val="Hyperlink"/>
                  <w:rFonts w:ascii="Dubai" w:eastAsiaTheme="minorEastAsia" w:hAnsi="Dubai" w:cs="Dubai"/>
                  <w:i/>
                  <w:iCs/>
                  <w:noProof w:val="0"/>
                  <w:sz w:val="22"/>
                  <w:lang w:val="en-US" w:eastAsia="zh-CN"/>
                </w:rPr>
                <w:t>30</w:t>
              </w:r>
              <w:r w:rsidRPr="000461BB">
                <w:rPr>
                  <w:rStyle w:val="Hyperlink"/>
                  <w:rFonts w:ascii="Dubai" w:eastAsiaTheme="minorEastAsia" w:hAnsi="Dubai" w:cs="Dubai"/>
                  <w:i/>
                  <w:iCs/>
                  <w:noProof w:val="0"/>
                  <w:sz w:val="22"/>
                  <w:rtl/>
                  <w:lang w:val="en-US" w:eastAsia="zh-CN"/>
                </w:rPr>
                <w:t xml:space="preserve"> (‏</w:t>
              </w:r>
              <w:r w:rsidRPr="000461BB">
                <w:rPr>
                  <w:rStyle w:val="Hyperlink"/>
                  <w:rFonts w:ascii="Dubai" w:eastAsiaTheme="minorEastAsia" w:hAnsi="Dubai" w:cs="Dubai" w:hint="eastAsia"/>
                  <w:i/>
                  <w:iCs/>
                  <w:noProof w:val="0"/>
                  <w:sz w:val="22"/>
                  <w:rtl/>
                  <w:lang w:val="en-US" w:eastAsia="zh-CN"/>
                </w:rPr>
                <w:t>المراجَع</w:t>
              </w:r>
              <w:r w:rsidRPr="000461BB">
                <w:rPr>
                  <w:rStyle w:val="Hyperlink"/>
                  <w:rFonts w:ascii="Dubai" w:eastAsiaTheme="minorEastAsia" w:hAnsi="Dubai" w:cs="Dubai"/>
                  <w:i/>
                  <w:iCs/>
                  <w:noProof w:val="0"/>
                  <w:sz w:val="22"/>
                  <w:rtl/>
                  <w:lang w:val="en-US" w:eastAsia="zh-CN"/>
                </w:rPr>
                <w:t xml:space="preserve"> </w:t>
              </w:r>
              <w:r w:rsidRPr="000461BB">
                <w:rPr>
                  <w:rStyle w:val="Hyperlink"/>
                  <w:rFonts w:ascii="Dubai" w:eastAsiaTheme="minorEastAsia" w:hAnsi="Dubai" w:cs="Dubai" w:hint="eastAsia"/>
                  <w:i/>
                  <w:iCs/>
                  <w:noProof w:val="0"/>
                  <w:sz w:val="22"/>
                  <w:rtl/>
                  <w:lang w:val="en-US" w:eastAsia="zh-CN"/>
                </w:rPr>
                <w:t>في</w:t>
              </w:r>
              <w:r w:rsidRPr="000461BB">
                <w:rPr>
                  <w:rStyle w:val="Hyperlink"/>
                  <w:rFonts w:ascii="Dubai" w:eastAsiaTheme="minorEastAsia" w:hAnsi="Dubai" w:cs="Dubai"/>
                  <w:i/>
                  <w:iCs/>
                  <w:noProof w:val="0"/>
                  <w:sz w:val="22"/>
                  <w:rtl/>
                  <w:lang w:val="en-US" w:eastAsia="zh-CN"/>
                </w:rPr>
                <w:t xml:space="preserve"> </w:t>
              </w:r>
              <w:r w:rsidRPr="000461BB">
                <w:rPr>
                  <w:rStyle w:val="Hyperlink"/>
                  <w:rFonts w:ascii="Dubai" w:eastAsiaTheme="minorEastAsia" w:hAnsi="Dubai" w:cs="Dubai" w:hint="eastAsia"/>
                  <w:i/>
                  <w:iCs/>
                  <w:noProof w:val="0"/>
                  <w:sz w:val="22"/>
                  <w:rtl/>
                  <w:lang w:val="en-US" w:eastAsia="zh-CN"/>
                </w:rPr>
                <w:t>بوخارست،</w:t>
              </w:r>
              <w:r w:rsidRPr="000461BB">
                <w:rPr>
                  <w:rStyle w:val="Hyperlink"/>
                  <w:rFonts w:ascii="Dubai" w:eastAsiaTheme="minorEastAsia" w:hAnsi="Dubai" w:cs="Dubai"/>
                  <w:i/>
                  <w:iCs/>
                  <w:noProof w:val="0"/>
                  <w:sz w:val="22"/>
                  <w:rtl/>
                  <w:lang w:val="en-US" w:eastAsia="zh-CN"/>
                </w:rPr>
                <w:t xml:space="preserve"> </w:t>
              </w:r>
              <w:r w:rsidRPr="000461BB">
                <w:rPr>
                  <w:rStyle w:val="Hyperlink"/>
                  <w:rFonts w:ascii="Dubai" w:eastAsiaTheme="minorEastAsia" w:hAnsi="Dubai" w:cs="Dubai"/>
                  <w:i/>
                  <w:iCs/>
                  <w:noProof w:val="0"/>
                  <w:sz w:val="22"/>
                  <w:cs/>
                  <w:lang w:val="en-US" w:eastAsia="zh-CN"/>
                </w:rPr>
                <w:t>‎</w:t>
              </w:r>
              <w:r w:rsidRPr="000461BB">
                <w:rPr>
                  <w:rStyle w:val="Hyperlink"/>
                  <w:rFonts w:ascii="Dubai" w:eastAsiaTheme="minorEastAsia" w:hAnsi="Dubai" w:cs="Dubai"/>
                  <w:i/>
                  <w:iCs/>
                  <w:noProof w:val="0"/>
                  <w:sz w:val="22"/>
                  <w:lang w:val="en-US" w:eastAsia="zh-CN"/>
                </w:rPr>
                <w:t>2022</w:t>
              </w:r>
              <w:r w:rsidRPr="000461BB">
                <w:rPr>
                  <w:rStyle w:val="Hyperlink"/>
                  <w:rFonts w:ascii="Dubai" w:eastAsiaTheme="minorEastAsia" w:hAnsi="Dubai" w:cs="Dubai"/>
                  <w:i/>
                  <w:iCs/>
                  <w:noProof w:val="0"/>
                  <w:sz w:val="22"/>
                  <w:rtl/>
                  <w:lang w:val="en-US" w:eastAsia="zh-CN"/>
                </w:rPr>
                <w:t>)</w:t>
              </w:r>
            </w:hyperlink>
            <w:r w:rsidRPr="00040F87">
              <w:rPr>
                <w:i/>
                <w:iCs/>
                <w:rtl/>
              </w:rPr>
              <w:t xml:space="preserve"> </w:t>
            </w:r>
            <w:r w:rsidRPr="00040F87">
              <w:rPr>
                <w:rFonts w:hint="eastAsia"/>
                <w:i/>
                <w:iCs/>
                <w:rtl/>
              </w:rPr>
              <w:t>و</w:t>
            </w:r>
            <w:hyperlink r:id="rId10" w:history="1">
              <w:r w:rsidRPr="000461BB">
                <w:rPr>
                  <w:rStyle w:val="Hyperlink"/>
                  <w:rFonts w:ascii="Dubai" w:eastAsiaTheme="minorEastAsia" w:hAnsi="Dubai" w:cs="Dubai" w:hint="eastAsia"/>
                  <w:i/>
                  <w:iCs/>
                  <w:noProof w:val="0"/>
                  <w:sz w:val="22"/>
                  <w:rtl/>
                  <w:lang w:val="en-US" w:eastAsia="zh-CN"/>
                </w:rPr>
                <w:t>القرار</w:t>
              </w:r>
              <w:r w:rsidR="0076220F">
                <w:rPr>
                  <w:rStyle w:val="Hyperlink"/>
                  <w:rFonts w:ascii="Dubai" w:eastAsiaTheme="minorEastAsia" w:hAnsi="Dubai" w:cs="Dubai" w:hint="cs"/>
                  <w:i/>
                  <w:iCs/>
                  <w:noProof w:val="0"/>
                  <w:sz w:val="22"/>
                  <w:rtl/>
                  <w:lang w:val="en-US" w:eastAsia="zh-CN"/>
                </w:rPr>
                <w:t> </w:t>
              </w:r>
              <w:r w:rsidRPr="000461BB">
                <w:rPr>
                  <w:rStyle w:val="Hyperlink"/>
                  <w:rFonts w:ascii="Dubai" w:eastAsiaTheme="minorEastAsia" w:hAnsi="Dubai" w:cs="Dubai"/>
                  <w:i/>
                  <w:iCs/>
                  <w:noProof w:val="0"/>
                  <w:sz w:val="22"/>
                  <w:cs/>
                  <w:lang w:val="en-US" w:eastAsia="zh-CN"/>
                </w:rPr>
                <w:t>‎</w:t>
              </w:r>
              <w:r w:rsidRPr="000461BB">
                <w:rPr>
                  <w:rStyle w:val="Hyperlink"/>
                  <w:rFonts w:ascii="Dubai" w:eastAsiaTheme="minorEastAsia" w:hAnsi="Dubai" w:cs="Dubai"/>
                  <w:i/>
                  <w:iCs/>
                  <w:noProof w:val="0"/>
                  <w:sz w:val="22"/>
                  <w:lang w:val="en-US" w:eastAsia="zh-CN"/>
                </w:rPr>
                <w:t>140</w:t>
              </w:r>
              <w:r w:rsidR="0076220F">
                <w:rPr>
                  <w:rStyle w:val="Hyperlink"/>
                  <w:rFonts w:ascii="Dubai" w:eastAsiaTheme="minorEastAsia" w:hAnsi="Dubai" w:cs="Dubai" w:hint="cs"/>
                  <w:i/>
                  <w:iCs/>
                  <w:noProof w:val="0"/>
                  <w:sz w:val="22"/>
                  <w:rtl/>
                  <w:lang w:val="en-US" w:eastAsia="zh-CN"/>
                </w:rPr>
                <w:t> </w:t>
              </w:r>
              <w:r w:rsidRPr="000461BB">
                <w:rPr>
                  <w:rStyle w:val="Hyperlink"/>
                  <w:rFonts w:ascii="Dubai" w:eastAsiaTheme="minorEastAsia" w:hAnsi="Dubai" w:cs="Dubai"/>
                  <w:i/>
                  <w:iCs/>
                  <w:noProof w:val="0"/>
                  <w:sz w:val="22"/>
                  <w:rtl/>
                  <w:lang w:val="en-US" w:eastAsia="zh-CN"/>
                </w:rPr>
                <w:t>(‏</w:t>
              </w:r>
              <w:r w:rsidRPr="000461BB">
                <w:rPr>
                  <w:rStyle w:val="Hyperlink"/>
                  <w:rFonts w:ascii="Dubai" w:eastAsiaTheme="minorEastAsia" w:hAnsi="Dubai" w:cs="Dubai" w:hint="eastAsia"/>
                  <w:i/>
                  <w:iCs/>
                  <w:noProof w:val="0"/>
                  <w:sz w:val="22"/>
                  <w:rtl/>
                  <w:lang w:val="en-US" w:eastAsia="zh-CN"/>
                </w:rPr>
                <w:t>المراجَع</w:t>
              </w:r>
              <w:r w:rsidRPr="000461BB">
                <w:rPr>
                  <w:rStyle w:val="Hyperlink"/>
                  <w:rFonts w:ascii="Dubai" w:eastAsiaTheme="minorEastAsia" w:hAnsi="Dubai" w:cs="Dubai"/>
                  <w:i/>
                  <w:iCs/>
                  <w:noProof w:val="0"/>
                  <w:sz w:val="22"/>
                  <w:rtl/>
                  <w:lang w:val="en-US" w:eastAsia="zh-CN"/>
                </w:rPr>
                <w:t xml:space="preserve"> </w:t>
              </w:r>
              <w:r w:rsidRPr="000461BB">
                <w:rPr>
                  <w:rStyle w:val="Hyperlink"/>
                  <w:rFonts w:ascii="Dubai" w:eastAsiaTheme="minorEastAsia" w:hAnsi="Dubai" w:cs="Dubai" w:hint="eastAsia"/>
                  <w:i/>
                  <w:iCs/>
                  <w:noProof w:val="0"/>
                  <w:sz w:val="22"/>
                  <w:rtl/>
                  <w:lang w:val="en-US" w:eastAsia="zh-CN"/>
                </w:rPr>
                <w:t>في</w:t>
              </w:r>
              <w:r w:rsidRPr="000461BB">
                <w:rPr>
                  <w:rStyle w:val="Hyperlink"/>
                  <w:rFonts w:ascii="Dubai" w:eastAsiaTheme="minorEastAsia" w:hAnsi="Dubai" w:cs="Dubai"/>
                  <w:i/>
                  <w:iCs/>
                  <w:noProof w:val="0"/>
                  <w:sz w:val="22"/>
                  <w:rtl/>
                  <w:lang w:val="en-US" w:eastAsia="zh-CN"/>
                </w:rPr>
                <w:t xml:space="preserve"> </w:t>
              </w:r>
              <w:r w:rsidRPr="000461BB">
                <w:rPr>
                  <w:rStyle w:val="Hyperlink"/>
                  <w:rFonts w:ascii="Dubai" w:eastAsiaTheme="minorEastAsia" w:hAnsi="Dubai" w:cs="Dubai" w:hint="eastAsia"/>
                  <w:i/>
                  <w:iCs/>
                  <w:noProof w:val="0"/>
                  <w:sz w:val="22"/>
                  <w:rtl/>
                  <w:lang w:val="en-US" w:eastAsia="zh-CN"/>
                </w:rPr>
                <w:t>بوخارست،</w:t>
              </w:r>
              <w:r w:rsidRPr="000461BB">
                <w:rPr>
                  <w:rStyle w:val="Hyperlink"/>
                  <w:rFonts w:ascii="Dubai" w:eastAsiaTheme="minorEastAsia" w:hAnsi="Dubai" w:cs="Dubai"/>
                  <w:i/>
                  <w:iCs/>
                  <w:noProof w:val="0"/>
                  <w:sz w:val="22"/>
                  <w:rtl/>
                  <w:lang w:val="en-US" w:eastAsia="zh-CN"/>
                </w:rPr>
                <w:t xml:space="preserve"> </w:t>
              </w:r>
              <w:r w:rsidRPr="000461BB">
                <w:rPr>
                  <w:rStyle w:val="Hyperlink"/>
                  <w:rFonts w:ascii="Dubai" w:eastAsiaTheme="minorEastAsia" w:hAnsi="Dubai" w:cs="Dubai"/>
                  <w:i/>
                  <w:iCs/>
                  <w:noProof w:val="0"/>
                  <w:sz w:val="22"/>
                  <w:cs/>
                  <w:lang w:val="en-US" w:eastAsia="zh-CN"/>
                </w:rPr>
                <w:t>‎</w:t>
              </w:r>
              <w:r w:rsidRPr="000461BB">
                <w:rPr>
                  <w:rStyle w:val="Hyperlink"/>
                  <w:rFonts w:ascii="Dubai" w:eastAsiaTheme="minorEastAsia" w:hAnsi="Dubai" w:cs="Dubai"/>
                  <w:i/>
                  <w:iCs/>
                  <w:noProof w:val="0"/>
                  <w:sz w:val="22"/>
                  <w:lang w:val="en-US" w:eastAsia="zh-CN"/>
                </w:rPr>
                <w:t>2022</w:t>
              </w:r>
              <w:r w:rsidRPr="000461BB">
                <w:rPr>
                  <w:rStyle w:val="Hyperlink"/>
                  <w:rFonts w:ascii="Dubai" w:eastAsiaTheme="minorEastAsia" w:hAnsi="Dubai" w:cs="Dubai"/>
                  <w:i/>
                  <w:iCs/>
                  <w:noProof w:val="0"/>
                  <w:sz w:val="22"/>
                  <w:rtl/>
                  <w:lang w:val="en-US" w:eastAsia="zh-CN"/>
                </w:rPr>
                <w:t>)</w:t>
              </w:r>
            </w:hyperlink>
            <w:r w:rsidRPr="00040F87">
              <w:rPr>
                <w:i/>
                <w:iCs/>
                <w:rtl/>
              </w:rPr>
              <w:t xml:space="preserve">‏ </w:t>
            </w:r>
            <w:r w:rsidRPr="00040F87">
              <w:rPr>
                <w:rFonts w:hint="eastAsia"/>
                <w:i/>
                <w:iCs/>
                <w:rtl/>
              </w:rPr>
              <w:t>و</w:t>
            </w:r>
            <w:hyperlink r:id="rId11" w:history="1">
              <w:r w:rsidRPr="000461BB">
                <w:rPr>
                  <w:rStyle w:val="Hyperlink"/>
                  <w:rFonts w:ascii="Dubai" w:eastAsiaTheme="minorEastAsia" w:hAnsi="Dubai" w:cs="Dubai" w:hint="eastAsia"/>
                  <w:i/>
                  <w:iCs/>
                  <w:noProof w:val="0"/>
                  <w:sz w:val="22"/>
                  <w:rtl/>
                  <w:lang w:val="en-US" w:eastAsia="zh-CN"/>
                </w:rPr>
                <w:t>القرار</w:t>
              </w:r>
              <w:r w:rsidRPr="000461BB">
                <w:rPr>
                  <w:rStyle w:val="Hyperlink"/>
                  <w:rFonts w:ascii="Dubai" w:eastAsiaTheme="minorEastAsia" w:hAnsi="Dubai" w:cs="Dubai"/>
                  <w:i/>
                  <w:iCs/>
                  <w:noProof w:val="0"/>
                  <w:sz w:val="22"/>
                  <w:rtl/>
                  <w:lang w:val="en-US" w:eastAsia="zh-CN"/>
                </w:rPr>
                <w:t xml:space="preserve"> </w:t>
              </w:r>
              <w:r w:rsidRPr="000461BB">
                <w:rPr>
                  <w:rStyle w:val="Hyperlink"/>
                  <w:rFonts w:ascii="Dubai" w:eastAsiaTheme="minorEastAsia" w:hAnsi="Dubai" w:cs="Dubai"/>
                  <w:i/>
                  <w:iCs/>
                  <w:noProof w:val="0"/>
                  <w:sz w:val="22"/>
                  <w:lang w:val="en-US" w:eastAsia="zh-CN"/>
                </w:rPr>
                <w:t>200</w:t>
              </w:r>
              <w:r w:rsidRPr="000461BB">
                <w:rPr>
                  <w:rStyle w:val="Hyperlink"/>
                  <w:rFonts w:ascii="Dubai" w:eastAsiaTheme="minorEastAsia" w:hAnsi="Dubai" w:cs="Dubai"/>
                  <w:i/>
                  <w:iCs/>
                  <w:noProof w:val="0"/>
                  <w:sz w:val="22"/>
                  <w:rtl/>
                  <w:lang w:val="en-US" w:eastAsia="zh-CN"/>
                </w:rPr>
                <w:t xml:space="preserve"> (‏</w:t>
              </w:r>
              <w:r w:rsidRPr="000461BB">
                <w:rPr>
                  <w:rStyle w:val="Hyperlink"/>
                  <w:rFonts w:ascii="Dubai" w:eastAsiaTheme="minorEastAsia" w:hAnsi="Dubai" w:cs="Dubai" w:hint="eastAsia"/>
                  <w:i/>
                  <w:iCs/>
                  <w:noProof w:val="0"/>
                  <w:sz w:val="22"/>
                  <w:rtl/>
                  <w:lang w:val="en-US" w:eastAsia="zh-CN"/>
                </w:rPr>
                <w:t>المراجَع</w:t>
              </w:r>
              <w:r w:rsidRPr="000461BB">
                <w:rPr>
                  <w:rStyle w:val="Hyperlink"/>
                  <w:rFonts w:ascii="Dubai" w:eastAsiaTheme="minorEastAsia" w:hAnsi="Dubai" w:cs="Dubai"/>
                  <w:i/>
                  <w:iCs/>
                  <w:noProof w:val="0"/>
                  <w:sz w:val="22"/>
                  <w:rtl/>
                  <w:lang w:val="en-US" w:eastAsia="zh-CN"/>
                </w:rPr>
                <w:t xml:space="preserve"> </w:t>
              </w:r>
              <w:r w:rsidRPr="000461BB">
                <w:rPr>
                  <w:rStyle w:val="Hyperlink"/>
                  <w:rFonts w:ascii="Dubai" w:eastAsiaTheme="minorEastAsia" w:hAnsi="Dubai" w:cs="Dubai" w:hint="eastAsia"/>
                  <w:i/>
                  <w:iCs/>
                  <w:noProof w:val="0"/>
                  <w:sz w:val="22"/>
                  <w:rtl/>
                  <w:lang w:val="en-US" w:eastAsia="zh-CN"/>
                </w:rPr>
                <w:t>في</w:t>
              </w:r>
              <w:r w:rsidRPr="000461BB">
                <w:rPr>
                  <w:rStyle w:val="Hyperlink"/>
                  <w:rFonts w:ascii="Dubai" w:eastAsiaTheme="minorEastAsia" w:hAnsi="Dubai" w:cs="Dubai"/>
                  <w:i/>
                  <w:iCs/>
                  <w:noProof w:val="0"/>
                  <w:sz w:val="22"/>
                  <w:rtl/>
                  <w:lang w:val="en-US" w:eastAsia="zh-CN"/>
                </w:rPr>
                <w:t xml:space="preserve"> </w:t>
              </w:r>
              <w:r w:rsidRPr="000461BB">
                <w:rPr>
                  <w:rStyle w:val="Hyperlink"/>
                  <w:rFonts w:ascii="Dubai" w:eastAsiaTheme="minorEastAsia" w:hAnsi="Dubai" w:cs="Dubai" w:hint="eastAsia"/>
                  <w:i/>
                  <w:iCs/>
                  <w:noProof w:val="0"/>
                  <w:sz w:val="22"/>
                  <w:rtl/>
                  <w:lang w:val="en-US" w:eastAsia="zh-CN"/>
                </w:rPr>
                <w:t>بوخارست،</w:t>
              </w:r>
              <w:r w:rsidRPr="000461BB">
                <w:rPr>
                  <w:rStyle w:val="Hyperlink"/>
                  <w:rFonts w:ascii="Dubai" w:eastAsiaTheme="minorEastAsia" w:hAnsi="Dubai" w:cs="Dubai"/>
                  <w:i/>
                  <w:iCs/>
                  <w:noProof w:val="0"/>
                  <w:sz w:val="22"/>
                  <w:rtl/>
                  <w:lang w:val="en-US" w:eastAsia="zh-CN"/>
                </w:rPr>
                <w:t xml:space="preserve"> </w:t>
              </w:r>
              <w:r w:rsidRPr="000461BB">
                <w:rPr>
                  <w:rStyle w:val="Hyperlink"/>
                  <w:rFonts w:ascii="Dubai" w:eastAsiaTheme="minorEastAsia" w:hAnsi="Dubai" w:cs="Dubai"/>
                  <w:i/>
                  <w:iCs/>
                  <w:noProof w:val="0"/>
                  <w:sz w:val="22"/>
                  <w:cs/>
                  <w:lang w:val="en-US" w:eastAsia="zh-CN"/>
                </w:rPr>
                <w:t>‎</w:t>
              </w:r>
              <w:r w:rsidRPr="000461BB">
                <w:rPr>
                  <w:rStyle w:val="Hyperlink"/>
                  <w:rFonts w:ascii="Dubai" w:eastAsiaTheme="minorEastAsia" w:hAnsi="Dubai" w:cs="Dubai"/>
                  <w:i/>
                  <w:iCs/>
                  <w:noProof w:val="0"/>
                  <w:sz w:val="22"/>
                  <w:lang w:val="en-US" w:eastAsia="zh-CN"/>
                </w:rPr>
                <w:t>2022</w:t>
              </w:r>
              <w:r w:rsidRPr="000461BB">
                <w:rPr>
                  <w:rStyle w:val="Hyperlink"/>
                  <w:rFonts w:ascii="Dubai" w:eastAsiaTheme="minorEastAsia" w:hAnsi="Dubai" w:cs="Dubai"/>
                  <w:i/>
                  <w:iCs/>
                  <w:noProof w:val="0"/>
                  <w:sz w:val="22"/>
                  <w:rtl/>
                  <w:lang w:val="en-US" w:eastAsia="zh-CN"/>
                </w:rPr>
                <w:t>)</w:t>
              </w:r>
            </w:hyperlink>
            <w:r w:rsidRPr="00040F87">
              <w:rPr>
                <w:i/>
                <w:iCs/>
                <w:rtl/>
              </w:rPr>
              <w:t xml:space="preserve">‏ </w:t>
            </w:r>
            <w:r w:rsidRPr="00040F87">
              <w:rPr>
                <w:rFonts w:hint="eastAsia"/>
                <w:i/>
                <w:iCs/>
                <w:rtl/>
              </w:rPr>
              <w:t>و</w:t>
            </w:r>
            <w:hyperlink r:id="rId12" w:history="1">
              <w:r w:rsidRPr="000461BB">
                <w:rPr>
                  <w:rStyle w:val="Hyperlink"/>
                  <w:rFonts w:ascii="Dubai" w:eastAsiaTheme="minorEastAsia" w:hAnsi="Dubai" w:cs="Dubai" w:hint="eastAsia"/>
                  <w:i/>
                  <w:iCs/>
                  <w:noProof w:val="0"/>
                  <w:sz w:val="22"/>
                  <w:rtl/>
                  <w:lang w:val="en-US" w:eastAsia="zh-CN"/>
                </w:rPr>
                <w:t>القرار</w:t>
              </w:r>
              <w:r w:rsidRPr="000461BB">
                <w:rPr>
                  <w:rStyle w:val="Hyperlink"/>
                  <w:rFonts w:ascii="Dubai" w:eastAsiaTheme="minorEastAsia" w:hAnsi="Dubai" w:cs="Dubai"/>
                  <w:i/>
                  <w:iCs/>
                  <w:noProof w:val="0"/>
                  <w:sz w:val="22"/>
                  <w:rtl/>
                  <w:lang w:val="en-US" w:eastAsia="zh-CN"/>
                </w:rPr>
                <w:t xml:space="preserve"> </w:t>
              </w:r>
              <w:r w:rsidRPr="000461BB">
                <w:rPr>
                  <w:rStyle w:val="Hyperlink"/>
                  <w:rFonts w:ascii="Dubai" w:eastAsiaTheme="minorEastAsia" w:hAnsi="Dubai" w:cs="Dubai"/>
                  <w:i/>
                  <w:iCs/>
                  <w:noProof w:val="0"/>
                  <w:sz w:val="22"/>
                  <w:cs/>
                  <w:lang w:val="en-US" w:eastAsia="zh-CN"/>
                </w:rPr>
                <w:t>‎</w:t>
              </w:r>
              <w:r w:rsidRPr="000461BB">
                <w:rPr>
                  <w:rStyle w:val="Hyperlink"/>
                  <w:rFonts w:ascii="Dubai" w:eastAsiaTheme="minorEastAsia" w:hAnsi="Dubai" w:cs="Dubai"/>
                  <w:i/>
                  <w:iCs/>
                  <w:noProof w:val="0"/>
                  <w:sz w:val="22"/>
                  <w:lang w:val="en-US" w:eastAsia="zh-CN"/>
                </w:rPr>
                <w:t>203</w:t>
              </w:r>
              <w:r w:rsidRPr="000461BB">
                <w:rPr>
                  <w:rStyle w:val="Hyperlink"/>
                  <w:rFonts w:ascii="Dubai" w:eastAsiaTheme="minorEastAsia" w:hAnsi="Dubai" w:cs="Dubai"/>
                  <w:i/>
                  <w:iCs/>
                  <w:noProof w:val="0"/>
                  <w:sz w:val="22"/>
                  <w:rtl/>
                  <w:lang w:val="en-US" w:eastAsia="zh-CN"/>
                </w:rPr>
                <w:t xml:space="preserve"> (‏</w:t>
              </w:r>
              <w:r w:rsidRPr="000461BB">
                <w:rPr>
                  <w:rStyle w:val="Hyperlink"/>
                  <w:rFonts w:ascii="Dubai" w:eastAsiaTheme="minorEastAsia" w:hAnsi="Dubai" w:cs="Dubai" w:hint="eastAsia"/>
                  <w:i/>
                  <w:iCs/>
                  <w:noProof w:val="0"/>
                  <w:sz w:val="22"/>
                  <w:rtl/>
                  <w:lang w:val="en-US" w:eastAsia="zh-CN"/>
                </w:rPr>
                <w:t>المراجَع</w:t>
              </w:r>
              <w:r w:rsidRPr="000461BB">
                <w:rPr>
                  <w:rStyle w:val="Hyperlink"/>
                  <w:rFonts w:ascii="Dubai" w:eastAsiaTheme="minorEastAsia" w:hAnsi="Dubai" w:cs="Dubai"/>
                  <w:i/>
                  <w:iCs/>
                  <w:noProof w:val="0"/>
                  <w:sz w:val="22"/>
                  <w:rtl/>
                  <w:lang w:val="en-US" w:eastAsia="zh-CN"/>
                </w:rPr>
                <w:t xml:space="preserve"> </w:t>
              </w:r>
              <w:r w:rsidRPr="000461BB">
                <w:rPr>
                  <w:rStyle w:val="Hyperlink"/>
                  <w:rFonts w:ascii="Dubai" w:eastAsiaTheme="minorEastAsia" w:hAnsi="Dubai" w:cs="Dubai" w:hint="eastAsia"/>
                  <w:i/>
                  <w:iCs/>
                  <w:noProof w:val="0"/>
                  <w:sz w:val="22"/>
                  <w:rtl/>
                  <w:lang w:val="en-US" w:eastAsia="zh-CN"/>
                </w:rPr>
                <w:t>في</w:t>
              </w:r>
              <w:r w:rsidRPr="000461BB">
                <w:rPr>
                  <w:rStyle w:val="Hyperlink"/>
                  <w:rFonts w:ascii="Dubai" w:eastAsiaTheme="minorEastAsia" w:hAnsi="Dubai" w:cs="Dubai"/>
                  <w:i/>
                  <w:iCs/>
                  <w:noProof w:val="0"/>
                  <w:sz w:val="22"/>
                  <w:rtl/>
                  <w:lang w:val="en-US" w:eastAsia="zh-CN"/>
                </w:rPr>
                <w:t xml:space="preserve"> </w:t>
              </w:r>
              <w:r w:rsidRPr="000461BB">
                <w:rPr>
                  <w:rStyle w:val="Hyperlink"/>
                  <w:rFonts w:ascii="Dubai" w:eastAsiaTheme="minorEastAsia" w:hAnsi="Dubai" w:cs="Dubai" w:hint="eastAsia"/>
                  <w:i/>
                  <w:iCs/>
                  <w:noProof w:val="0"/>
                  <w:sz w:val="22"/>
                  <w:rtl/>
                  <w:lang w:val="en-US" w:eastAsia="zh-CN"/>
                </w:rPr>
                <w:t>بوخارست،</w:t>
              </w:r>
              <w:r w:rsidRPr="000461BB">
                <w:rPr>
                  <w:rStyle w:val="Hyperlink"/>
                  <w:rFonts w:ascii="Dubai" w:eastAsiaTheme="minorEastAsia" w:hAnsi="Dubai" w:cs="Dubai"/>
                  <w:i/>
                  <w:iCs/>
                  <w:noProof w:val="0"/>
                  <w:sz w:val="22"/>
                  <w:rtl/>
                  <w:lang w:val="en-US" w:eastAsia="zh-CN"/>
                </w:rPr>
                <w:t xml:space="preserve"> </w:t>
              </w:r>
              <w:r w:rsidRPr="000461BB">
                <w:rPr>
                  <w:rStyle w:val="Hyperlink"/>
                  <w:rFonts w:ascii="Dubai" w:eastAsiaTheme="minorEastAsia" w:hAnsi="Dubai" w:cs="Dubai"/>
                  <w:i/>
                  <w:iCs/>
                  <w:noProof w:val="0"/>
                  <w:sz w:val="22"/>
                  <w:cs/>
                  <w:lang w:val="en-US" w:eastAsia="zh-CN"/>
                </w:rPr>
                <w:t>‎</w:t>
              </w:r>
              <w:r w:rsidRPr="000461BB">
                <w:rPr>
                  <w:rStyle w:val="Hyperlink"/>
                  <w:rFonts w:ascii="Dubai" w:eastAsiaTheme="minorEastAsia" w:hAnsi="Dubai" w:cs="Dubai"/>
                  <w:i/>
                  <w:iCs/>
                  <w:noProof w:val="0"/>
                  <w:sz w:val="22"/>
                  <w:lang w:val="en-US" w:eastAsia="zh-CN"/>
                </w:rPr>
                <w:t>2022</w:t>
              </w:r>
              <w:r w:rsidRPr="000461BB">
                <w:rPr>
                  <w:rStyle w:val="Hyperlink"/>
                  <w:rFonts w:ascii="Dubai" w:eastAsiaTheme="minorEastAsia" w:hAnsi="Dubai" w:cs="Dubai"/>
                  <w:i/>
                  <w:iCs/>
                  <w:noProof w:val="0"/>
                  <w:sz w:val="22"/>
                  <w:rtl/>
                  <w:lang w:val="en-US" w:eastAsia="zh-CN"/>
                </w:rPr>
                <w:t>)</w:t>
              </w:r>
            </w:hyperlink>
            <w:r w:rsidRPr="00040F87">
              <w:rPr>
                <w:i/>
                <w:iCs/>
                <w:rtl/>
              </w:rPr>
              <w:t xml:space="preserve"> </w:t>
            </w:r>
            <w:r w:rsidRPr="00040F87">
              <w:rPr>
                <w:rFonts w:hint="eastAsia"/>
                <w:i/>
                <w:iCs/>
                <w:rtl/>
              </w:rPr>
              <w:t>و</w:t>
            </w:r>
            <w:hyperlink r:id="rId13" w:history="1">
              <w:r w:rsidRPr="000461BB">
                <w:rPr>
                  <w:rStyle w:val="Hyperlink"/>
                  <w:rFonts w:ascii="Dubai" w:eastAsiaTheme="minorEastAsia" w:hAnsi="Dubai" w:cs="Dubai" w:hint="eastAsia"/>
                  <w:i/>
                  <w:iCs/>
                  <w:noProof w:val="0"/>
                  <w:sz w:val="22"/>
                  <w:rtl/>
                  <w:lang w:val="en-US" w:eastAsia="zh-CN"/>
                </w:rPr>
                <w:t>القرار</w:t>
              </w:r>
              <w:r w:rsidRPr="000461BB">
                <w:rPr>
                  <w:rStyle w:val="Hyperlink"/>
                  <w:rFonts w:ascii="Dubai" w:eastAsiaTheme="minorEastAsia" w:hAnsi="Dubai" w:cs="Dubai"/>
                  <w:i/>
                  <w:iCs/>
                  <w:noProof w:val="0"/>
                  <w:sz w:val="22"/>
                  <w:rtl/>
                  <w:lang w:val="en-US" w:eastAsia="zh-CN"/>
                </w:rPr>
                <w:t xml:space="preserve"> </w:t>
              </w:r>
              <w:r w:rsidRPr="000461BB">
                <w:rPr>
                  <w:rStyle w:val="Hyperlink"/>
                  <w:rFonts w:ascii="Dubai" w:eastAsiaTheme="minorEastAsia" w:hAnsi="Dubai" w:cs="Dubai"/>
                  <w:i/>
                  <w:iCs/>
                  <w:noProof w:val="0"/>
                  <w:sz w:val="22"/>
                  <w:lang w:val="en-US" w:eastAsia="zh-CN"/>
                </w:rPr>
                <w:t>218</w:t>
              </w:r>
              <w:r w:rsidRPr="000461BB">
                <w:rPr>
                  <w:rStyle w:val="Hyperlink"/>
                  <w:rFonts w:ascii="Dubai" w:eastAsiaTheme="minorEastAsia" w:hAnsi="Dubai" w:cs="Dubai"/>
                  <w:i/>
                  <w:iCs/>
                  <w:noProof w:val="0"/>
                  <w:sz w:val="22"/>
                  <w:rtl/>
                  <w:lang w:val="en-US" w:eastAsia="zh-CN"/>
                </w:rPr>
                <w:t xml:space="preserve"> (</w:t>
              </w:r>
              <w:r w:rsidRPr="000461BB">
                <w:rPr>
                  <w:rStyle w:val="Hyperlink"/>
                  <w:rFonts w:ascii="Dubai" w:eastAsiaTheme="minorEastAsia" w:hAnsi="Dubai" w:cs="Dubai" w:hint="eastAsia"/>
                  <w:i/>
                  <w:iCs/>
                  <w:noProof w:val="0"/>
                  <w:sz w:val="22"/>
                  <w:rtl/>
                  <w:lang w:val="en-US" w:eastAsia="zh-CN"/>
                </w:rPr>
                <w:t>بوخارست،</w:t>
              </w:r>
              <w:r w:rsidRPr="000461BB">
                <w:rPr>
                  <w:rStyle w:val="Hyperlink"/>
                  <w:rFonts w:ascii="Dubai" w:eastAsiaTheme="minorEastAsia" w:hAnsi="Dubai" w:cs="Dubai"/>
                  <w:i/>
                  <w:iCs/>
                  <w:noProof w:val="0"/>
                  <w:sz w:val="22"/>
                  <w:rtl/>
                  <w:lang w:val="en-US" w:eastAsia="zh-CN"/>
                </w:rPr>
                <w:t xml:space="preserve"> </w:t>
              </w:r>
              <w:r w:rsidRPr="000461BB">
                <w:rPr>
                  <w:rStyle w:val="Hyperlink"/>
                  <w:rFonts w:ascii="Dubai" w:eastAsiaTheme="minorEastAsia" w:hAnsi="Dubai" w:cs="Dubai"/>
                  <w:i/>
                  <w:iCs/>
                  <w:noProof w:val="0"/>
                  <w:sz w:val="22"/>
                  <w:lang w:val="en-US" w:eastAsia="zh-CN"/>
                </w:rPr>
                <w:t>2022</w:t>
              </w:r>
              <w:r w:rsidRPr="000461BB">
                <w:rPr>
                  <w:rStyle w:val="Hyperlink"/>
                  <w:rFonts w:ascii="Dubai" w:eastAsiaTheme="minorEastAsia" w:hAnsi="Dubai" w:cs="Dubai"/>
                  <w:i/>
                  <w:iCs/>
                  <w:noProof w:val="0"/>
                  <w:sz w:val="22"/>
                  <w:rtl/>
                  <w:lang w:val="en-US" w:eastAsia="zh-CN"/>
                </w:rPr>
                <w:t>)</w:t>
              </w:r>
            </w:hyperlink>
            <w:r w:rsidRPr="00040F87">
              <w:rPr>
                <w:i/>
                <w:iCs/>
                <w:rtl/>
              </w:rPr>
              <w:t xml:space="preserve"> ‏</w:t>
            </w:r>
            <w:r w:rsidRPr="00040F87">
              <w:rPr>
                <w:rFonts w:hint="eastAsia"/>
                <w:i/>
                <w:iCs/>
                <w:rtl/>
              </w:rPr>
              <w:t>لمؤتمر</w:t>
            </w:r>
            <w:r w:rsidRPr="00040F87">
              <w:rPr>
                <w:i/>
                <w:iCs/>
                <w:rtl/>
              </w:rPr>
              <w:t xml:space="preserve"> </w:t>
            </w:r>
            <w:r w:rsidRPr="00040F87">
              <w:rPr>
                <w:rFonts w:hint="eastAsia"/>
                <w:i/>
                <w:iCs/>
                <w:rtl/>
              </w:rPr>
              <w:t>المندوبين</w:t>
            </w:r>
            <w:r w:rsidRPr="00040F87">
              <w:rPr>
                <w:i/>
                <w:iCs/>
                <w:rtl/>
              </w:rPr>
              <w:t xml:space="preserve"> </w:t>
            </w:r>
            <w:r w:rsidRPr="00040F87">
              <w:rPr>
                <w:rFonts w:hint="eastAsia"/>
                <w:i/>
                <w:iCs/>
                <w:rtl/>
              </w:rPr>
              <w:t>المفوضين</w:t>
            </w:r>
            <w:r w:rsidRPr="00040F87">
              <w:rPr>
                <w:i/>
                <w:iCs/>
                <w:rtl/>
              </w:rPr>
              <w:t>.</w:t>
            </w:r>
          </w:p>
        </w:tc>
      </w:tr>
    </w:tbl>
    <w:p w14:paraId="290FB5F4" w14:textId="77777777" w:rsidR="00F50E3F" w:rsidRDefault="00F50E3F" w:rsidP="0043260A">
      <w:pPr>
        <w:rPr>
          <w:rtl/>
          <w:lang w:bidi="ar-EG"/>
        </w:rPr>
      </w:pPr>
      <w:r>
        <w:rPr>
          <w:rtl/>
          <w:lang w:bidi="ar-EG"/>
        </w:rPr>
        <w:br w:type="page"/>
      </w:r>
    </w:p>
    <w:p w14:paraId="4FC61CAB" w14:textId="2FE4A30F" w:rsidR="00040F87" w:rsidRPr="00040F87" w:rsidRDefault="00040F87" w:rsidP="00040F87">
      <w:pPr>
        <w:rPr>
          <w:lang w:val="ar-SA" w:bidi="ar-EG"/>
        </w:rPr>
      </w:pPr>
      <w:r w:rsidRPr="00040F87">
        <w:rPr>
          <w:rtl/>
        </w:rPr>
        <w:lastRenderedPageBreak/>
        <w:t xml:space="preserve">منذ عام </w:t>
      </w:r>
      <w:r w:rsidRPr="00040F87">
        <w:t>2018</w:t>
      </w:r>
      <w:r w:rsidRPr="00040F87">
        <w:rPr>
          <w:rtl/>
        </w:rPr>
        <w:t xml:space="preserve">، تخطط </w:t>
      </w:r>
      <w:r w:rsidRPr="00040F87">
        <w:t>16</w:t>
      </w:r>
      <w:r w:rsidRPr="00040F87">
        <w:rPr>
          <w:rtl/>
        </w:rPr>
        <w:t xml:space="preserve"> إدارة من منطقة الجماعة الإنمائية للجنوب الإفريقي </w:t>
      </w:r>
      <w:r w:rsidRPr="00040F87">
        <w:rPr>
          <w:lang w:bidi="ar-EG"/>
        </w:rPr>
        <w:t>(SADC</w:t>
      </w:r>
      <w:r w:rsidRPr="00040F87">
        <w:t>)</w:t>
      </w:r>
      <w:r w:rsidRPr="00040F87">
        <w:rPr>
          <w:rtl/>
        </w:rPr>
        <w:t xml:space="preserve"> وهي، أنغولا وبوتسوانا وجزر</w:t>
      </w:r>
      <w:r w:rsidR="00951C39">
        <w:rPr>
          <w:rFonts w:hint="cs"/>
          <w:rtl/>
        </w:rPr>
        <w:t> </w:t>
      </w:r>
      <w:r w:rsidRPr="00040F87">
        <w:rPr>
          <w:rtl/>
        </w:rPr>
        <w:t xml:space="preserve">القمر وجمهورية الكونغو الديمقراطية وإسواتيني وليسوتو ومدغشقر وملاوي وموريشيوس وموزامبيق وناميبيا وسيشيل وجنوب إفريقيا وجمهورية تنزانيا المتحدة وزامبيا وزمبابوي، لتطوير نظام </w:t>
      </w:r>
      <w:proofErr w:type="spellStart"/>
      <w:r w:rsidRPr="00040F87">
        <w:rPr>
          <w:rtl/>
        </w:rPr>
        <w:t>ساتلي</w:t>
      </w:r>
      <w:proofErr w:type="spellEnd"/>
      <w:r w:rsidRPr="00040F87">
        <w:rPr>
          <w:rtl/>
        </w:rPr>
        <w:t xml:space="preserve"> إقليمي مشترك من أجل توفير خدمات الاتصالات الأساسية، بما في ذلك النفاذ إلى الإنترنت في المدارس والقرى في بلدانها.</w:t>
      </w:r>
    </w:p>
    <w:p w14:paraId="7E46A475" w14:textId="05993D3B" w:rsidR="00040F87" w:rsidRPr="00040F87" w:rsidRDefault="00040F87" w:rsidP="00040F87">
      <w:pPr>
        <w:rPr>
          <w:lang w:val="ar-SA" w:bidi="ar-EG"/>
        </w:rPr>
      </w:pPr>
      <w:r w:rsidRPr="00040F87">
        <w:rPr>
          <w:rtl/>
        </w:rPr>
        <w:t>وتتألف منطقة الجماعة الإنمائية للجنوب الإفريقي من</w:t>
      </w:r>
      <w:r>
        <w:rPr>
          <w:rStyle w:val="FootnoteReference"/>
          <w:rtl/>
        </w:rPr>
        <w:footnoteReference w:customMarkFollows="1" w:id="1"/>
        <w:t>1</w:t>
      </w:r>
      <w:r w:rsidRPr="00040F87">
        <w:rPr>
          <w:lang w:bidi="ar-EG"/>
        </w:rPr>
        <w:t>:</w:t>
      </w:r>
    </w:p>
    <w:p w14:paraId="7720229F" w14:textId="6F1082C7" w:rsidR="00040F87" w:rsidRPr="00040F87" w:rsidRDefault="00040F87" w:rsidP="000461BB">
      <w:pPr>
        <w:pStyle w:val="enumlev1"/>
        <w:rPr>
          <w:lang w:val="ar-SA" w:bidi="ar-EG"/>
        </w:rPr>
      </w:pPr>
      <w:r w:rsidRPr="00040F87">
        <w:rPr>
          <w:lang w:val="ar-SA" w:bidi="ar-EG"/>
        </w:rPr>
        <w:t>-</w:t>
      </w:r>
      <w:r w:rsidRPr="00040F87">
        <w:rPr>
          <w:lang w:val="ar-SA" w:bidi="ar-EG"/>
        </w:rPr>
        <w:tab/>
      </w:r>
      <w:r w:rsidRPr="00040F87">
        <w:t>9</w:t>
      </w:r>
      <w:r w:rsidRPr="00040F87">
        <w:rPr>
          <w:rtl/>
        </w:rPr>
        <w:t xml:space="preserve"> بلدان مصنفة من الأمم المتحدة ضمن أقل البلدان نمواً </w:t>
      </w:r>
      <w:r w:rsidRPr="00040F87">
        <w:rPr>
          <w:lang w:bidi="ar-EG"/>
        </w:rPr>
        <w:t>(LDC</w:t>
      </w:r>
      <w:r w:rsidRPr="00040F87">
        <w:t>)</w:t>
      </w:r>
      <w:r w:rsidRPr="00040F87">
        <w:rPr>
          <w:rtl/>
        </w:rPr>
        <w:t>، وهي: أنغولا، جزر القمر، جمهورية الكونغو الديمقراطية، ليسوتو، مدغشقر، ملاوي، موزامبيق، جمهورية تنزانيا المتحدة، زامبيا؛</w:t>
      </w:r>
    </w:p>
    <w:p w14:paraId="26DD335C" w14:textId="50E151EB" w:rsidR="00040F87" w:rsidRPr="00040F87" w:rsidRDefault="00040F87" w:rsidP="000461BB">
      <w:pPr>
        <w:pStyle w:val="enumlev1"/>
        <w:rPr>
          <w:lang w:val="ar-SA" w:bidi="ar-EG"/>
        </w:rPr>
      </w:pPr>
      <w:r w:rsidRPr="00040F87">
        <w:rPr>
          <w:lang w:val="ar-SA" w:bidi="ar-EG"/>
        </w:rPr>
        <w:t>-</w:t>
      </w:r>
      <w:r w:rsidRPr="00040F87">
        <w:rPr>
          <w:lang w:val="ar-SA" w:bidi="ar-EG"/>
        </w:rPr>
        <w:tab/>
      </w:r>
      <w:r w:rsidRPr="00040F87">
        <w:t>4</w:t>
      </w:r>
      <w:r w:rsidRPr="00040F87">
        <w:rPr>
          <w:rtl/>
        </w:rPr>
        <w:t xml:space="preserve"> دول جزرية صغيرة نامية </w:t>
      </w:r>
      <w:r w:rsidRPr="00040F87">
        <w:rPr>
          <w:lang w:bidi="ar-EG"/>
        </w:rPr>
        <w:t>(SIDS</w:t>
      </w:r>
      <w:r w:rsidRPr="00040F87">
        <w:t>)</w:t>
      </w:r>
      <w:r w:rsidRPr="00040F87">
        <w:rPr>
          <w:rtl/>
        </w:rPr>
        <w:t>، وهي: جزر القمر، مدغشقر، موريشيوس، سيشيل؛</w:t>
      </w:r>
    </w:p>
    <w:p w14:paraId="0F08252B" w14:textId="77777777" w:rsidR="00040F87" w:rsidRPr="00040F87" w:rsidRDefault="00040F87" w:rsidP="000461BB">
      <w:pPr>
        <w:pStyle w:val="enumlev1"/>
        <w:rPr>
          <w:lang w:val="ar-SA" w:bidi="ar-EG"/>
        </w:rPr>
      </w:pPr>
      <w:r w:rsidRPr="00040F87">
        <w:rPr>
          <w:lang w:val="ar-SA" w:bidi="ar-EG"/>
        </w:rPr>
        <w:t>-</w:t>
      </w:r>
      <w:r w:rsidRPr="00040F87">
        <w:rPr>
          <w:lang w:val="ar-SA" w:bidi="ar-EG"/>
        </w:rPr>
        <w:tab/>
      </w:r>
      <w:r w:rsidRPr="00040F87">
        <w:t>6</w:t>
      </w:r>
      <w:r w:rsidRPr="00040F87">
        <w:rPr>
          <w:rtl/>
        </w:rPr>
        <w:t xml:space="preserve"> بلدان نامية محاطة باليابسة </w:t>
      </w:r>
      <w:r w:rsidRPr="00040F87">
        <w:rPr>
          <w:lang w:bidi="ar-EG"/>
        </w:rPr>
        <w:t>(LLDC</w:t>
      </w:r>
      <w:r w:rsidRPr="00040F87">
        <w:t>)</w:t>
      </w:r>
      <w:r w:rsidRPr="00040F87">
        <w:rPr>
          <w:rtl/>
        </w:rPr>
        <w:t>، وهي: بوتسوانا، إسواتيني، ليسوتو، ملاوي، زامبيا، زمبابوي.</w:t>
      </w:r>
    </w:p>
    <w:p w14:paraId="4686A6CE" w14:textId="77777777" w:rsidR="00040F87" w:rsidRPr="00040F87" w:rsidRDefault="00040F87" w:rsidP="000461BB">
      <w:pPr>
        <w:rPr>
          <w:lang w:val="ar-SA" w:bidi="ar-EG"/>
        </w:rPr>
      </w:pPr>
      <w:r w:rsidRPr="00040F87">
        <w:rPr>
          <w:rtl/>
        </w:rPr>
        <w:t>وتتماشى هذه المبادرة مع أهداف ما يلي:</w:t>
      </w:r>
    </w:p>
    <w:p w14:paraId="36BA11EA" w14:textId="77777777" w:rsidR="00040F87" w:rsidRPr="00040F87" w:rsidRDefault="00040F87" w:rsidP="000461BB">
      <w:pPr>
        <w:pStyle w:val="enumlev1"/>
        <w:rPr>
          <w:lang w:val="ar-SA" w:bidi="ar-EG"/>
        </w:rPr>
      </w:pPr>
      <w:r w:rsidRPr="00040F87">
        <w:rPr>
          <w:lang w:val="ar-SA" w:bidi="ar-EG"/>
        </w:rPr>
        <w:t>-</w:t>
      </w:r>
      <w:r w:rsidRPr="00040F87">
        <w:rPr>
          <w:lang w:val="ar-SA" w:bidi="ar-EG"/>
        </w:rPr>
        <w:tab/>
      </w:r>
      <w:r w:rsidRPr="00040F87">
        <w:rPr>
          <w:b/>
          <w:bCs/>
          <w:rtl/>
        </w:rPr>
        <w:t xml:space="preserve">القرار </w:t>
      </w:r>
      <w:r w:rsidRPr="00040F87">
        <w:rPr>
          <w:b/>
          <w:bCs/>
        </w:rPr>
        <w:t>30</w:t>
      </w:r>
      <w:r w:rsidRPr="00040F87">
        <w:rPr>
          <w:b/>
          <w:bCs/>
          <w:rtl/>
        </w:rPr>
        <w:t xml:space="preserve"> (المراجَع في بوخارست، </w:t>
      </w:r>
      <w:r w:rsidRPr="00040F87">
        <w:rPr>
          <w:b/>
          <w:bCs/>
        </w:rPr>
        <w:t>2022</w:t>
      </w:r>
      <w:r w:rsidRPr="00040F87">
        <w:rPr>
          <w:b/>
          <w:bCs/>
          <w:rtl/>
        </w:rPr>
        <w:t>)، </w:t>
      </w:r>
      <w:r w:rsidRPr="00040F87">
        <w:rPr>
          <w:rtl/>
        </w:rPr>
        <w:t>الذي يشجع أقل البلدان نمواً والدول الجزرية الصغيرة النامية والبلدان النامية المحاطة باليابسة والبلدان التي تمر اقتصاداتها بمرحلة انتقالية على إعطاء الأولوية لمشاريع تكنولوجيا المعلومات والاتصالات التي تعزز التنمية الاجتماعية والاقتصادية وتحسين التوصيلية الدولية؛</w:t>
      </w:r>
    </w:p>
    <w:p w14:paraId="1B4E1920" w14:textId="77777777" w:rsidR="00040F87" w:rsidRPr="00040F87" w:rsidRDefault="00040F87" w:rsidP="000461BB">
      <w:pPr>
        <w:pStyle w:val="enumlev1"/>
        <w:rPr>
          <w:lang w:val="ar-SA" w:bidi="ar-EG"/>
        </w:rPr>
      </w:pPr>
      <w:r w:rsidRPr="00040F87">
        <w:rPr>
          <w:lang w:val="ar-SA" w:bidi="ar-EG"/>
        </w:rPr>
        <w:t>-</w:t>
      </w:r>
      <w:r w:rsidRPr="00040F87">
        <w:rPr>
          <w:lang w:val="ar-SA" w:bidi="ar-EG"/>
        </w:rPr>
        <w:tab/>
      </w:r>
      <w:r w:rsidRPr="00040F87">
        <w:rPr>
          <w:b/>
          <w:bCs/>
          <w:rtl/>
        </w:rPr>
        <w:t xml:space="preserve">القرار </w:t>
      </w:r>
      <w:r w:rsidRPr="00040F87">
        <w:rPr>
          <w:b/>
          <w:bCs/>
        </w:rPr>
        <w:t>200</w:t>
      </w:r>
      <w:r w:rsidRPr="00040F87">
        <w:rPr>
          <w:b/>
          <w:bCs/>
          <w:rtl/>
        </w:rPr>
        <w:t xml:space="preserve"> (المراجَع في بوخارست، </w:t>
      </w:r>
      <w:r w:rsidRPr="00040F87">
        <w:rPr>
          <w:b/>
          <w:bCs/>
        </w:rPr>
        <w:t>2022</w:t>
      </w:r>
      <w:r w:rsidRPr="00040F87">
        <w:rPr>
          <w:b/>
          <w:bCs/>
          <w:rtl/>
        </w:rPr>
        <w:t>)، </w:t>
      </w:r>
      <w:r w:rsidRPr="00040F87">
        <w:rPr>
          <w:rtl/>
        </w:rPr>
        <w:t xml:space="preserve">الذي يدعو الدول الأعضاء إلى المساهمة في تنفيذ برنامج التوصيل في </w:t>
      </w:r>
      <w:r w:rsidRPr="00040F87">
        <w:t>2030</w:t>
      </w:r>
      <w:r w:rsidRPr="00040F87">
        <w:rPr>
          <w:rtl/>
        </w:rPr>
        <w:t>؛</w:t>
      </w:r>
    </w:p>
    <w:p w14:paraId="1E268F4F" w14:textId="77777777" w:rsidR="00040F87" w:rsidRPr="00040F87" w:rsidRDefault="00040F87" w:rsidP="000461BB">
      <w:pPr>
        <w:pStyle w:val="enumlev1"/>
        <w:rPr>
          <w:bCs/>
          <w:lang w:val="ar-SA" w:bidi="ar-EG"/>
        </w:rPr>
      </w:pPr>
      <w:r w:rsidRPr="00040F87">
        <w:rPr>
          <w:bCs/>
          <w:lang w:val="ar-SA" w:bidi="ar-EG"/>
        </w:rPr>
        <w:t>-</w:t>
      </w:r>
      <w:r w:rsidRPr="00040F87">
        <w:rPr>
          <w:bCs/>
          <w:lang w:val="ar-SA" w:bidi="ar-EG"/>
        </w:rPr>
        <w:tab/>
      </w:r>
      <w:r w:rsidRPr="00040F87">
        <w:rPr>
          <w:b/>
          <w:bCs/>
          <w:rtl/>
        </w:rPr>
        <w:t xml:space="preserve">القرار </w:t>
      </w:r>
      <w:r w:rsidRPr="00040F87">
        <w:rPr>
          <w:b/>
          <w:bCs/>
        </w:rPr>
        <w:t>203</w:t>
      </w:r>
      <w:r w:rsidRPr="00040F87">
        <w:rPr>
          <w:b/>
          <w:bCs/>
          <w:rtl/>
        </w:rPr>
        <w:t xml:space="preserve"> (المراجَع في بوخارست، </w:t>
      </w:r>
      <w:r w:rsidRPr="00040F87">
        <w:rPr>
          <w:b/>
          <w:bCs/>
        </w:rPr>
        <w:t>2022</w:t>
      </w:r>
      <w:r w:rsidRPr="00040F87">
        <w:rPr>
          <w:b/>
          <w:bCs/>
          <w:rtl/>
        </w:rPr>
        <w:t>)</w:t>
      </w:r>
      <w:r w:rsidRPr="00040F87">
        <w:rPr>
          <w:rtl/>
        </w:rPr>
        <w:t>، الذي ينص على العمل على إتاحة النفاذ إلى النطاق العريض للجميع؛</w:t>
      </w:r>
    </w:p>
    <w:p w14:paraId="48548365" w14:textId="773D7C2C" w:rsidR="00040F87" w:rsidRPr="00040F87" w:rsidRDefault="00040F87" w:rsidP="000461BB">
      <w:pPr>
        <w:pStyle w:val="enumlev1"/>
        <w:rPr>
          <w:lang w:val="ar-SA" w:bidi="ar-EG"/>
        </w:rPr>
      </w:pPr>
      <w:r w:rsidRPr="00040F87">
        <w:rPr>
          <w:lang w:val="ar-SA" w:bidi="ar-EG"/>
        </w:rPr>
        <w:t>-</w:t>
      </w:r>
      <w:r w:rsidRPr="00040F87">
        <w:rPr>
          <w:lang w:val="ar-SA" w:bidi="ar-EG"/>
        </w:rPr>
        <w:tab/>
      </w:r>
      <w:r w:rsidRPr="00040F87">
        <w:rPr>
          <w:b/>
          <w:bCs/>
          <w:rtl/>
        </w:rPr>
        <w:t xml:space="preserve">القرار </w:t>
      </w:r>
      <w:r w:rsidRPr="00040F87">
        <w:rPr>
          <w:b/>
          <w:bCs/>
        </w:rPr>
        <w:t>218</w:t>
      </w:r>
      <w:r w:rsidRPr="00040F87">
        <w:rPr>
          <w:b/>
          <w:bCs/>
          <w:rtl/>
        </w:rPr>
        <w:t xml:space="preserve"> (بوخارست، </w:t>
      </w:r>
      <w:r w:rsidRPr="00040F87">
        <w:rPr>
          <w:b/>
          <w:bCs/>
        </w:rPr>
        <w:t>2022</w:t>
      </w:r>
      <w:r w:rsidRPr="00040F87">
        <w:rPr>
          <w:b/>
          <w:bCs/>
          <w:rtl/>
        </w:rPr>
        <w:t>)</w:t>
      </w:r>
      <w:r w:rsidRPr="00040F87">
        <w:rPr>
          <w:rtl/>
        </w:rPr>
        <w:t xml:space="preserve">، الذي يشجع المشاركة في خطة الفضاء </w:t>
      </w:r>
      <w:r w:rsidRPr="00040F87">
        <w:t>2030</w:t>
      </w:r>
      <w:r w:rsidRPr="00040F87">
        <w:rPr>
          <w:rtl/>
        </w:rPr>
        <w:t xml:space="preserve"> والجهود الداعمة لأهداف التنمية المستدامة </w:t>
      </w:r>
      <w:r w:rsidRPr="00040F87">
        <w:t>(</w:t>
      </w:r>
      <w:r w:rsidRPr="00040F87">
        <w:rPr>
          <w:lang w:bidi="ar-EG"/>
        </w:rPr>
        <w:t>SDG</w:t>
      </w:r>
      <w:r w:rsidRPr="00040F87">
        <w:t>)</w:t>
      </w:r>
      <w:r w:rsidRPr="00040F87">
        <w:rPr>
          <w:rtl/>
        </w:rPr>
        <w:t>؛</w:t>
      </w:r>
    </w:p>
    <w:p w14:paraId="6D418E48" w14:textId="70D76569" w:rsidR="00040F87" w:rsidRPr="00040F87" w:rsidRDefault="00040F87" w:rsidP="000461BB">
      <w:pPr>
        <w:pStyle w:val="enumlev1"/>
        <w:rPr>
          <w:lang w:val="ar-SA" w:bidi="ar-EG"/>
        </w:rPr>
      </w:pPr>
      <w:r w:rsidRPr="00040F87">
        <w:rPr>
          <w:lang w:val="ar-SA" w:bidi="ar-EG"/>
        </w:rPr>
        <w:t>-</w:t>
      </w:r>
      <w:r w:rsidRPr="00040F87">
        <w:rPr>
          <w:lang w:val="ar-SA" w:bidi="ar-EG"/>
        </w:rPr>
        <w:tab/>
      </w:r>
      <w:r w:rsidRPr="00040F87">
        <w:rPr>
          <w:b/>
          <w:bCs/>
          <w:rtl/>
        </w:rPr>
        <w:t>أهداف التنمية المستدامة للأمم المتحدة</w:t>
      </w:r>
      <w:r w:rsidRPr="00040F87">
        <w:rPr>
          <w:rtl/>
        </w:rPr>
        <w:t xml:space="preserve"> الأوسع نطاقا</w:t>
      </w:r>
      <w:r w:rsidR="004079B9">
        <w:rPr>
          <w:rFonts w:hint="cs"/>
          <w:rtl/>
        </w:rPr>
        <w:t>ً</w:t>
      </w:r>
      <w:r w:rsidRPr="00040F87">
        <w:rPr>
          <w:rtl/>
        </w:rPr>
        <w:t xml:space="preserve"> و</w:t>
      </w:r>
      <w:r w:rsidRPr="00040F87">
        <w:rPr>
          <w:b/>
          <w:bCs/>
          <w:rtl/>
        </w:rPr>
        <w:t xml:space="preserve">خطة الفضاء </w:t>
      </w:r>
      <w:r w:rsidRPr="00040F87">
        <w:rPr>
          <w:b/>
          <w:bCs/>
        </w:rPr>
        <w:t>2030</w:t>
      </w:r>
      <w:r w:rsidRPr="00040F87">
        <w:rPr>
          <w:rtl/>
        </w:rPr>
        <w:t>.</w:t>
      </w:r>
    </w:p>
    <w:p w14:paraId="06FC6322" w14:textId="77777777" w:rsidR="00040F87" w:rsidRPr="00040F87" w:rsidRDefault="00040F87" w:rsidP="00040F87">
      <w:pPr>
        <w:rPr>
          <w:lang w:val="ar-SA" w:bidi="ar-EG"/>
        </w:rPr>
      </w:pPr>
      <w:r w:rsidRPr="00040F87">
        <w:rPr>
          <w:rtl/>
        </w:rPr>
        <w:t xml:space="preserve">وبمساعدة مكتب الاتصالات الراديوية في الاتحاد، استكشفت الإدارات الـست عشرة </w:t>
      </w:r>
      <w:r w:rsidRPr="00040F87">
        <w:t>(16)</w:t>
      </w:r>
      <w:r w:rsidRPr="00040F87">
        <w:rPr>
          <w:rtl/>
        </w:rPr>
        <w:t xml:space="preserve"> هذه سُبلاً مختلفةً لتأمين موقع مداري مناسب لنظامها </w:t>
      </w:r>
      <w:proofErr w:type="spellStart"/>
      <w:r w:rsidRPr="00040F87">
        <w:rPr>
          <w:rtl/>
        </w:rPr>
        <w:t>الساتلي</w:t>
      </w:r>
      <w:proofErr w:type="spellEnd"/>
      <w:r w:rsidRPr="00040F87">
        <w:rPr>
          <w:rtl/>
        </w:rPr>
        <w:t xml:space="preserve"> المشترك. وخلص إلى أن تطبيق القرار </w:t>
      </w:r>
      <w:r w:rsidRPr="00040F87">
        <w:rPr>
          <w:b/>
          <w:bCs/>
          <w:lang w:bidi="ar-EG"/>
        </w:rPr>
        <w:t>170 (Rev.WRC-23)</w:t>
      </w:r>
      <w:r w:rsidRPr="00040F87">
        <w:rPr>
          <w:rtl/>
        </w:rPr>
        <w:t xml:space="preserve"> يُتيح فرصاً أفضل للنجاح من تطبيق الإجراءات العادية الحالية على النحو الوارد في المادتين </w:t>
      </w:r>
      <w:r w:rsidRPr="00040F87">
        <w:t>9</w:t>
      </w:r>
      <w:r w:rsidRPr="00040F87">
        <w:rPr>
          <w:rtl/>
        </w:rPr>
        <w:t xml:space="preserve"> و</w:t>
      </w:r>
      <w:r w:rsidRPr="00040F87">
        <w:t>11</w:t>
      </w:r>
      <w:r w:rsidRPr="00040F87">
        <w:rPr>
          <w:rtl/>
        </w:rPr>
        <w:t xml:space="preserve"> فيما يتعلق بالخدمات الفضائية غير المخطط لها، والتذييلين </w:t>
      </w:r>
      <w:r w:rsidRPr="00040F87">
        <w:rPr>
          <w:b/>
          <w:bCs/>
        </w:rPr>
        <w:t>30</w:t>
      </w:r>
      <w:r w:rsidRPr="00040F87">
        <w:rPr>
          <w:rtl/>
        </w:rPr>
        <w:t xml:space="preserve"> و</w:t>
      </w:r>
      <w:r w:rsidRPr="00040F87">
        <w:rPr>
          <w:b/>
          <w:bCs/>
        </w:rPr>
        <w:t>30A</w:t>
      </w:r>
      <w:r w:rsidRPr="00040F87">
        <w:rPr>
          <w:rtl/>
        </w:rPr>
        <w:t xml:space="preserve"> للاستعمالات الإضافية، والتذييل </w:t>
      </w:r>
      <w:r w:rsidRPr="00040F87">
        <w:rPr>
          <w:b/>
          <w:bCs/>
        </w:rPr>
        <w:t>30B</w:t>
      </w:r>
      <w:r w:rsidRPr="00040F87">
        <w:rPr>
          <w:rtl/>
        </w:rPr>
        <w:t xml:space="preserve"> للأنظمة الإضافية.</w:t>
      </w:r>
      <w:bookmarkStart w:id="1" w:name="_Hlk198877849"/>
      <w:bookmarkEnd w:id="1"/>
    </w:p>
    <w:p w14:paraId="1B73D650" w14:textId="320178D1" w:rsidR="00040F87" w:rsidRPr="00040F87" w:rsidRDefault="00040F87" w:rsidP="00040F87">
      <w:pPr>
        <w:rPr>
          <w:lang w:val="ar-SA" w:bidi="ar-EG"/>
        </w:rPr>
      </w:pPr>
      <w:r w:rsidRPr="00040F87">
        <w:rPr>
          <w:rtl/>
        </w:rPr>
        <w:t>وعلى الرغم من الجهود المكثفة التي بذلتها الدول الأعضاء الست عشرة في الجماعة الإنمائية للجنوب الإفريقي، بما في</w:t>
      </w:r>
      <w:r w:rsidR="009F0913">
        <w:rPr>
          <w:rFonts w:hint="cs"/>
          <w:rtl/>
        </w:rPr>
        <w:t> </w:t>
      </w:r>
      <w:r w:rsidRPr="00040F87">
        <w:rPr>
          <w:rtl/>
        </w:rPr>
        <w:t>ذلك المساعدة المقدمة من المكتب، لا يزال هناك قدر كبير من عدم اليقين في إيجاد موقع مداري مناسب لتطبيق القرار</w:t>
      </w:r>
      <w:r w:rsidR="006E59C7">
        <w:rPr>
          <w:rFonts w:hint="cs"/>
          <w:rtl/>
        </w:rPr>
        <w:t> </w:t>
      </w:r>
      <w:r w:rsidRPr="00040F87">
        <w:rPr>
          <w:b/>
          <w:bCs/>
          <w:lang w:bidi="ar-EG"/>
        </w:rPr>
        <w:t>170 (Rev.WRC-23)</w:t>
      </w:r>
      <w:r w:rsidRPr="00040F87">
        <w:rPr>
          <w:rtl/>
        </w:rPr>
        <w:t xml:space="preserve"> بالنظر إلى عدم إمكانية تطبيقه إلا مرة واحدة.</w:t>
      </w:r>
    </w:p>
    <w:p w14:paraId="45F16F10" w14:textId="68B32F3F" w:rsidR="00040F87" w:rsidRPr="00040F87" w:rsidRDefault="00040F87" w:rsidP="000461BB">
      <w:pPr>
        <w:rPr>
          <w:lang w:val="ar-SA" w:bidi="ar-EG"/>
        </w:rPr>
      </w:pPr>
      <w:r w:rsidRPr="00040F87">
        <w:rPr>
          <w:rtl/>
        </w:rPr>
        <w:t xml:space="preserve">ومع العلم بالغرض من اعتماد القرار </w:t>
      </w:r>
      <w:r w:rsidRPr="00040F87">
        <w:rPr>
          <w:b/>
          <w:bCs/>
        </w:rPr>
        <w:t>170</w:t>
      </w:r>
      <w:r w:rsidRPr="00040F87">
        <w:rPr>
          <w:b/>
          <w:bCs/>
          <w:rtl/>
        </w:rPr>
        <w:t xml:space="preserve"> </w:t>
      </w:r>
      <w:r w:rsidRPr="00040F87">
        <w:rPr>
          <w:rtl/>
        </w:rPr>
        <w:t xml:space="preserve">في المؤتمر العالمي للاتصالات الراديوية لعام </w:t>
      </w:r>
      <w:r w:rsidRPr="00040F87">
        <w:t>2019</w:t>
      </w:r>
      <w:r w:rsidRPr="00040F87">
        <w:rPr>
          <w:rtl/>
        </w:rPr>
        <w:t xml:space="preserve"> </w:t>
      </w:r>
      <w:r w:rsidRPr="00040F87">
        <w:t>(WRC-19)</w:t>
      </w:r>
      <w:r w:rsidRPr="00040F87">
        <w:rPr>
          <w:rtl/>
        </w:rPr>
        <w:t xml:space="preserve"> واستحالة اختيار موقع مداري مثالي واحد دون البدء في تنسيق الترددات مع الإدارات المحتمل أن تتأثر، قدمت الدول الأعضاء الست عشرة في الجماعة الإنمائية للجنوب الإفريقي طلباً </w:t>
      </w:r>
      <w:r w:rsidR="000461BB" w:rsidRPr="000461BB">
        <w:rPr>
          <w:lang w:val="en-GB"/>
        </w:rPr>
        <w:t>(</w:t>
      </w:r>
      <w:hyperlink r:id="rId14" w:history="1">
        <w:r w:rsidR="000461BB" w:rsidRPr="000461BB">
          <w:rPr>
            <w:rStyle w:val="Hyperlink"/>
            <w:rFonts w:ascii="Dubai" w:eastAsiaTheme="minorEastAsia" w:hAnsi="Dubai" w:cs="Dubai"/>
            <w:noProof w:val="0"/>
            <w:sz w:val="22"/>
            <w:lang w:eastAsia="zh-CN"/>
          </w:rPr>
          <w:t>https://www.itu.int/md/R24-RRB24.3-C-0019/en</w:t>
        </w:r>
      </w:hyperlink>
      <w:r w:rsidR="000461BB" w:rsidRPr="000461BB">
        <w:rPr>
          <w:lang w:val="en-GB"/>
        </w:rPr>
        <w:t>)</w:t>
      </w:r>
      <w:r w:rsidRPr="00040F87">
        <w:rPr>
          <w:rtl/>
        </w:rPr>
        <w:t xml:space="preserve"> إلى الاجتماع السابع والتسعين للجنة لوائح الراديو </w:t>
      </w:r>
      <w:r w:rsidRPr="00040F87">
        <w:t>(</w:t>
      </w:r>
      <w:r w:rsidRPr="00040F87">
        <w:rPr>
          <w:lang w:bidi="ar-EG"/>
        </w:rPr>
        <w:t>RRB</w:t>
      </w:r>
      <w:r w:rsidRPr="00040F87">
        <w:t>)</w:t>
      </w:r>
      <w:r w:rsidRPr="00040F87">
        <w:rPr>
          <w:rtl/>
        </w:rPr>
        <w:t xml:space="preserve"> للسماح لإدارة أنغولا، بالنيابة عن إدارات الدول الأعضاء الست</w:t>
      </w:r>
      <w:r w:rsidR="009F0913">
        <w:rPr>
          <w:rFonts w:hint="cs"/>
          <w:rtl/>
        </w:rPr>
        <w:t> </w:t>
      </w:r>
      <w:r w:rsidRPr="00040F87">
        <w:rPr>
          <w:rtl/>
        </w:rPr>
        <w:t xml:space="preserve">عشرة في الجماعة الإنمائية للجنوب الإفريقي، بتقديم ثماني </w:t>
      </w:r>
      <w:r w:rsidRPr="00040F87">
        <w:t>(8)</w:t>
      </w:r>
      <w:r w:rsidRPr="00040F87">
        <w:rPr>
          <w:rtl/>
        </w:rPr>
        <w:t xml:space="preserve"> بطاقات تبليغ بغرض التنسيق. ووافقت لجنة لوائح الراديو على هذا الطلب </w:t>
      </w:r>
      <w:r w:rsidR="000461BB" w:rsidRPr="000461BB">
        <w:rPr>
          <w:lang w:val="en-GB"/>
        </w:rPr>
        <w:t>(</w:t>
      </w:r>
      <w:hyperlink r:id="rId15" w:history="1">
        <w:r w:rsidR="000461BB" w:rsidRPr="000461BB">
          <w:rPr>
            <w:rStyle w:val="Hyperlink"/>
            <w:rFonts w:ascii="Dubai" w:eastAsiaTheme="minorEastAsia" w:hAnsi="Dubai" w:cs="Dubai"/>
            <w:noProof w:val="0"/>
            <w:sz w:val="22"/>
            <w:lang w:eastAsia="zh-CN"/>
          </w:rPr>
          <w:t>https://www.itu.int/md/R24-RRB24.3-C-0023/en</w:t>
        </w:r>
      </w:hyperlink>
      <w:r w:rsidR="000461BB" w:rsidRPr="000461BB">
        <w:rPr>
          <w:lang w:val="en-GB"/>
        </w:rPr>
        <w:t>)</w:t>
      </w:r>
      <w:r w:rsidRPr="00040F87">
        <w:rPr>
          <w:rtl/>
        </w:rPr>
        <w:t>.</w:t>
      </w:r>
    </w:p>
    <w:p w14:paraId="5A3E94E6" w14:textId="31EE0368" w:rsidR="00040F87" w:rsidRPr="00040F87" w:rsidRDefault="00040F87" w:rsidP="000461BB">
      <w:pPr>
        <w:rPr>
          <w:spacing w:val="-4"/>
          <w:lang w:val="ar-SA" w:bidi="ar-EG"/>
        </w:rPr>
      </w:pPr>
      <w:r w:rsidRPr="00040F87">
        <w:rPr>
          <w:spacing w:val="-4"/>
          <w:rtl/>
        </w:rPr>
        <w:t>وأشار فريق الخبراء المعني بالمقر</w:t>
      </w:r>
      <w:r w:rsidR="004079B9" w:rsidRPr="0076220F">
        <w:rPr>
          <w:rFonts w:hint="cs"/>
          <w:spacing w:val="-4"/>
          <w:rtl/>
        </w:rPr>
        <w:t>َّ</w:t>
      </w:r>
      <w:r w:rsidRPr="00040F87">
        <w:rPr>
          <w:spacing w:val="-4"/>
          <w:rtl/>
        </w:rPr>
        <w:t xml:space="preserve">ر </w:t>
      </w:r>
      <w:r w:rsidRPr="00040F87">
        <w:rPr>
          <w:b/>
          <w:bCs/>
          <w:spacing w:val="-4"/>
        </w:rPr>
        <w:t>482</w:t>
      </w:r>
      <w:r w:rsidRPr="00040F87">
        <w:rPr>
          <w:b/>
          <w:bCs/>
          <w:spacing w:val="-4"/>
          <w:rtl/>
        </w:rPr>
        <w:t xml:space="preserve"> </w:t>
      </w:r>
      <w:r w:rsidRPr="00040F87">
        <w:rPr>
          <w:spacing w:val="-4"/>
        </w:rPr>
        <w:t>(EG-DEC482)</w:t>
      </w:r>
      <w:r w:rsidRPr="00040F87">
        <w:rPr>
          <w:spacing w:val="-4"/>
          <w:rtl/>
        </w:rPr>
        <w:t xml:space="preserve"> في تقريره النهائي إلى مجلس الاتحاد (الوثيقة </w:t>
      </w:r>
      <w:hyperlink r:id="rId16" w:history="1">
        <w:r w:rsidR="000461BB" w:rsidRPr="0076220F">
          <w:rPr>
            <w:rStyle w:val="Hyperlink"/>
            <w:rFonts w:ascii="Dubai" w:eastAsiaTheme="minorEastAsia" w:hAnsi="Dubai" w:cs="Dubai"/>
            <w:noProof w:val="0"/>
            <w:spacing w:val="-4"/>
            <w:sz w:val="22"/>
            <w:lang w:eastAsia="zh-CN"/>
          </w:rPr>
          <w:t>C25/10</w:t>
        </w:r>
      </w:hyperlink>
      <w:r w:rsidRPr="00040F87">
        <w:rPr>
          <w:spacing w:val="-4"/>
          <w:rtl/>
        </w:rPr>
        <w:t xml:space="preserve">) إلى أن الطلبات المقدمة بموجب القرار </w:t>
      </w:r>
      <w:r w:rsidRPr="00040F87">
        <w:rPr>
          <w:b/>
          <w:bCs/>
          <w:spacing w:val="-4"/>
        </w:rPr>
        <w:t>170</w:t>
      </w:r>
      <w:r w:rsidRPr="00040F87">
        <w:rPr>
          <w:b/>
          <w:bCs/>
          <w:spacing w:val="-4"/>
          <w:rtl/>
        </w:rPr>
        <w:t xml:space="preserve"> </w:t>
      </w:r>
      <w:r w:rsidRPr="00040F87">
        <w:rPr>
          <w:spacing w:val="-4"/>
          <w:rtl/>
        </w:rPr>
        <w:t xml:space="preserve">مؤهلة للحصول على استحقاق مجاني سنوياً. وبالتالي، يجب على منطقة الجماعة الإنمائية للجنوب الإفريقي أن تغطي رسوم استرداد التكاليف عن معالجة بطاقات التبليغ بغرض التنسيق السبعة </w:t>
      </w:r>
      <w:r w:rsidRPr="00040F87">
        <w:rPr>
          <w:spacing w:val="-4"/>
        </w:rPr>
        <w:t>(7)</w:t>
      </w:r>
      <w:r w:rsidRPr="00040F87">
        <w:rPr>
          <w:spacing w:val="-4"/>
          <w:rtl/>
        </w:rPr>
        <w:t xml:space="preserve"> المتبقية.</w:t>
      </w:r>
    </w:p>
    <w:p w14:paraId="2DE31E76" w14:textId="77777777" w:rsidR="00040F87" w:rsidRPr="00040F87" w:rsidRDefault="00040F87" w:rsidP="00202D1B">
      <w:pPr>
        <w:keepNext/>
        <w:rPr>
          <w:lang w:val="ar-SA" w:bidi="ar-EG"/>
        </w:rPr>
      </w:pPr>
      <w:r w:rsidRPr="00040F87">
        <w:rPr>
          <w:rtl/>
        </w:rPr>
        <w:lastRenderedPageBreak/>
        <w:t>ومع ذلك، ينشأ هذا الشرط عن الاستحالة التقنية لاختيار موقع مداري واحد مناسب، وهو أمر أقرت به لجنة لوائح الراديو. وعلاوة على ذلك:</w:t>
      </w:r>
    </w:p>
    <w:p w14:paraId="7D1465B6" w14:textId="3069A7F3" w:rsidR="00040F87" w:rsidRPr="00040F87" w:rsidRDefault="000461BB" w:rsidP="000461BB">
      <w:pPr>
        <w:pStyle w:val="enumlev1"/>
        <w:rPr>
          <w:lang w:val="ar-SA" w:bidi="ar-EG"/>
        </w:rPr>
      </w:pPr>
      <w:r>
        <w:rPr>
          <w:lang w:val="ar-SA" w:bidi="ar-EG"/>
        </w:rPr>
        <w:sym w:font="Symbol" w:char="F0B7"/>
      </w:r>
      <w:r w:rsidR="00040F87" w:rsidRPr="00040F87">
        <w:rPr>
          <w:lang w:val="ar-SA" w:bidi="ar-EG"/>
        </w:rPr>
        <w:tab/>
      </w:r>
      <w:r w:rsidR="00040F87" w:rsidRPr="00040F87">
        <w:rPr>
          <w:rtl/>
        </w:rPr>
        <w:t xml:space="preserve">بطاقات التبليغ بغرض التنسيق الثمانية </w:t>
      </w:r>
      <w:r w:rsidR="00040F87" w:rsidRPr="00040F87">
        <w:t>(8)</w:t>
      </w:r>
      <w:r w:rsidR="00040F87" w:rsidRPr="00040F87">
        <w:rPr>
          <w:rtl/>
        </w:rPr>
        <w:t xml:space="preserve"> المقدمة بموجب القرار </w:t>
      </w:r>
      <w:r w:rsidR="00040F87" w:rsidRPr="00040F87">
        <w:rPr>
          <w:b/>
          <w:bCs/>
          <w:lang w:bidi="ar-EG"/>
        </w:rPr>
        <w:t>170 (Rev.WRC-23)</w:t>
      </w:r>
      <w:r w:rsidR="00040F87" w:rsidRPr="00040F87">
        <w:rPr>
          <w:rtl/>
        </w:rPr>
        <w:t xml:space="preserve"> في مجموعها تقع ضمن الحد الأقصى البالغ </w:t>
      </w:r>
      <w:r w:rsidR="00040F87" w:rsidRPr="00040F87">
        <w:t>16</w:t>
      </w:r>
      <w:r w:rsidR="00040F87" w:rsidRPr="00040F87">
        <w:rPr>
          <w:rtl/>
        </w:rPr>
        <w:t xml:space="preserve"> إدارة مشارِكة، يحق لكل منها تبليغ واحد سنوياً بدون تكلفة؛</w:t>
      </w:r>
    </w:p>
    <w:p w14:paraId="128EF6F3" w14:textId="27126769" w:rsidR="00040F87" w:rsidRPr="00040F87" w:rsidRDefault="000461BB" w:rsidP="000461BB">
      <w:pPr>
        <w:pStyle w:val="enumlev1"/>
        <w:rPr>
          <w:lang w:val="ar-SA" w:bidi="ar-EG"/>
        </w:rPr>
      </w:pPr>
      <w:r>
        <w:rPr>
          <w:lang w:val="ar-SA" w:bidi="ar-EG"/>
        </w:rPr>
        <w:sym w:font="Symbol" w:char="F0B7"/>
      </w:r>
      <w:r w:rsidR="00040F87" w:rsidRPr="00040F87">
        <w:rPr>
          <w:lang w:val="ar-SA" w:bidi="ar-EG"/>
        </w:rPr>
        <w:tab/>
      </w:r>
      <w:r w:rsidR="00040F87" w:rsidRPr="00040F87">
        <w:rPr>
          <w:rtl/>
        </w:rPr>
        <w:t xml:space="preserve">تطبيق استرداد التكاليف في هذا السياق، خاصة بالنسبة للجهود التي تعود بالنفع على أقل البلدان نمواً والدول الجزرية الصغيرة النامية والبلدان النامية المحاطة باليابسة، يقوض التزام الاتحاد بالنفاذ المنصف إلى المدارات الساتلية والاحتياجات الخاصة للبلدان النامية، على النحو المنصوص عليه في القرار </w:t>
      </w:r>
      <w:r w:rsidR="00040F87" w:rsidRPr="00040F87">
        <w:rPr>
          <w:b/>
          <w:bCs/>
        </w:rPr>
        <w:t>218</w:t>
      </w:r>
      <w:r w:rsidR="00040F87" w:rsidRPr="00040F87">
        <w:rPr>
          <w:b/>
          <w:bCs/>
          <w:rtl/>
        </w:rPr>
        <w:t xml:space="preserve"> (بوخارست، </w:t>
      </w:r>
      <w:r w:rsidR="00040F87" w:rsidRPr="00040F87">
        <w:rPr>
          <w:b/>
          <w:bCs/>
        </w:rPr>
        <w:t>2022</w:t>
      </w:r>
      <w:r w:rsidR="00040F87" w:rsidRPr="00040F87">
        <w:rPr>
          <w:b/>
          <w:bCs/>
          <w:rtl/>
        </w:rPr>
        <w:t>)</w:t>
      </w:r>
      <w:r w:rsidR="00040F87" w:rsidRPr="00040F87">
        <w:rPr>
          <w:rtl/>
        </w:rPr>
        <w:t xml:space="preserve"> لمؤتمر المندوبين المفوضين.</w:t>
      </w:r>
    </w:p>
    <w:p w14:paraId="11A47743" w14:textId="77777777" w:rsidR="00040F87" w:rsidRPr="00040F87" w:rsidRDefault="00040F87" w:rsidP="004079B9">
      <w:pPr>
        <w:pStyle w:val="Headingb"/>
        <w:rPr>
          <w:lang w:val="ar-SA" w:bidi="ar-EG"/>
        </w:rPr>
      </w:pPr>
      <w:r w:rsidRPr="00040F87">
        <w:rPr>
          <w:rtl/>
        </w:rPr>
        <w:t>المقترح:</w:t>
      </w:r>
    </w:p>
    <w:p w14:paraId="24CD086A" w14:textId="6DC385AB" w:rsidR="00F50E3F" w:rsidRDefault="00040F87" w:rsidP="00040F87">
      <w:pPr>
        <w:rPr>
          <w:lang w:bidi="ar-EG"/>
        </w:rPr>
      </w:pPr>
      <w:r w:rsidRPr="00040F87">
        <w:rPr>
          <w:rtl/>
        </w:rPr>
        <w:t xml:space="preserve">في ضوء ما تقدم، تلتمس الأطراف الموقعة من مجلس الاتحاد إعفاء سبعة </w:t>
      </w:r>
      <w:r w:rsidRPr="00040F87">
        <w:t>(7)</w:t>
      </w:r>
      <w:r w:rsidRPr="00040F87">
        <w:rPr>
          <w:rtl/>
        </w:rPr>
        <w:t xml:space="preserve"> بطاقات تبليغ بغرض التنسيق مقدمة بموجب القرار </w:t>
      </w:r>
      <w:r w:rsidRPr="004B5A05">
        <w:rPr>
          <w:lang w:bidi="ar-EG"/>
        </w:rPr>
        <w:t>170 (Rev.WRC-23)</w:t>
      </w:r>
      <w:r w:rsidRPr="00040F87">
        <w:rPr>
          <w:rtl/>
        </w:rPr>
        <w:t xml:space="preserve"> من رسوم استرداد التكاليف، ستودعها إدارة أنغولا بالنيابة عن </w:t>
      </w:r>
      <w:r w:rsidRPr="00040F87">
        <w:t>16</w:t>
      </w:r>
      <w:r w:rsidRPr="00040F87">
        <w:rPr>
          <w:rtl/>
        </w:rPr>
        <w:t xml:space="preserve"> دولة عضواً في</w:t>
      </w:r>
      <w:r w:rsidR="000A64C7">
        <w:rPr>
          <w:rFonts w:hint="cs"/>
          <w:rtl/>
        </w:rPr>
        <w:t> </w:t>
      </w:r>
      <w:r w:rsidRPr="00040F87">
        <w:rPr>
          <w:rtl/>
        </w:rPr>
        <w:t xml:space="preserve">الجماعة الإنمائية للجنوب الإفريقي </w:t>
      </w:r>
      <w:r w:rsidRPr="00040F87">
        <w:t>(</w:t>
      </w:r>
      <w:r w:rsidRPr="00040F87">
        <w:rPr>
          <w:lang w:bidi="ar-EG"/>
        </w:rPr>
        <w:t>SADC</w:t>
      </w:r>
      <w:r w:rsidRPr="00040F87">
        <w:t>)</w:t>
      </w:r>
      <w:r w:rsidRPr="00040F87">
        <w:rPr>
          <w:rtl/>
        </w:rPr>
        <w:t>.</w:t>
      </w:r>
    </w:p>
    <w:p w14:paraId="68C89476"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17"/>
      <w:headerReference w:type="first" r:id="rId18"/>
      <w:footerReference w:type="first" r:id="rId19"/>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9EDCE" w14:textId="77777777" w:rsidR="00C849F8" w:rsidRDefault="00C849F8" w:rsidP="006C3242">
      <w:pPr>
        <w:spacing w:before="0" w:line="240" w:lineRule="auto"/>
      </w:pPr>
      <w:r>
        <w:separator/>
      </w:r>
    </w:p>
  </w:endnote>
  <w:endnote w:type="continuationSeparator" w:id="0">
    <w:p w14:paraId="1459BF59" w14:textId="77777777" w:rsidR="00C849F8" w:rsidRDefault="00C849F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75C5C2AB" w14:textId="77777777" w:rsidTr="00A67F05">
      <w:trPr>
        <w:jc w:val="center"/>
      </w:trPr>
      <w:tc>
        <w:tcPr>
          <w:tcW w:w="868" w:type="pct"/>
          <w:vAlign w:val="center"/>
        </w:tcPr>
        <w:p w14:paraId="0A8E96A2" w14:textId="0438FDDA" w:rsidR="00F50E3F" w:rsidRPr="007B0AA0" w:rsidRDefault="00B47CFC"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B47CFC">
            <w:rPr>
              <w:rFonts w:ascii="Calibri" w:hAnsi="Calibri" w:cs="Arial"/>
              <w:sz w:val="18"/>
              <w:szCs w:val="14"/>
            </w:rPr>
            <w:t>2501352</w:t>
          </w:r>
        </w:p>
      </w:tc>
      <w:tc>
        <w:tcPr>
          <w:tcW w:w="3912" w:type="pct"/>
        </w:tcPr>
        <w:p w14:paraId="1B357B2D" w14:textId="14A12C5E"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B47CFC">
            <w:rPr>
              <w:rFonts w:ascii="Calibri" w:hAnsi="Calibri" w:cs="Arial"/>
              <w:bCs/>
              <w:color w:val="7F7F7F"/>
              <w:sz w:val="18"/>
            </w:rPr>
            <w:t>82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DC33B45"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3ECA1D05" w14:textId="77777777" w:rsidR="006C3242" w:rsidRPr="0026373E" w:rsidRDefault="006C3242" w:rsidP="00BA04B2">
    <w:pPr>
      <w:pStyle w:val="Footer"/>
      <w:tabs>
        <w:tab w:val="clear" w:pos="4153"/>
        <w:tab w:val="clear" w:pos="8306"/>
        <w:tab w:val="center" w:pos="5103"/>
        <w:tab w:val="right" w:pos="9639"/>
      </w:tabs>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463B8745" w14:textId="77777777" w:rsidTr="00A67F05">
      <w:trPr>
        <w:jc w:val="center"/>
      </w:trPr>
      <w:tc>
        <w:tcPr>
          <w:tcW w:w="1013" w:type="pct"/>
          <w:vAlign w:val="center"/>
        </w:tcPr>
        <w:p w14:paraId="61BB8AB0" w14:textId="77777777" w:rsidR="007B0AA0" w:rsidRPr="00660DEA"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72C45BC6" w14:textId="20E7F652"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951C39">
            <w:rPr>
              <w:rFonts w:ascii="Calibri" w:hAnsi="Calibri" w:cs="Arial"/>
              <w:bCs/>
              <w:color w:val="7F7F7F"/>
              <w:sz w:val="18"/>
            </w:rPr>
            <w:t>82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201B2F6"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4C13E4D" w14:textId="77777777" w:rsidR="0006468A" w:rsidRPr="007B0AA0" w:rsidRDefault="0006468A" w:rsidP="00BA04B2">
    <w:pPr>
      <w:pStyle w:val="Footer"/>
      <w:tabs>
        <w:tab w:val="clear" w:pos="4153"/>
        <w:tab w:val="clear" w:pos="8306"/>
        <w:tab w:val="center" w:pos="5103"/>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402E7" w14:textId="77777777" w:rsidR="00C849F8" w:rsidRDefault="00C849F8" w:rsidP="006C3242">
      <w:pPr>
        <w:spacing w:before="0" w:line="240" w:lineRule="auto"/>
      </w:pPr>
      <w:r>
        <w:separator/>
      </w:r>
    </w:p>
  </w:footnote>
  <w:footnote w:type="continuationSeparator" w:id="0">
    <w:p w14:paraId="59B5581D" w14:textId="77777777" w:rsidR="00C849F8" w:rsidRDefault="00C849F8" w:rsidP="006C3242">
      <w:pPr>
        <w:spacing w:before="0" w:line="240" w:lineRule="auto"/>
      </w:pPr>
      <w:r>
        <w:continuationSeparator/>
      </w:r>
    </w:p>
  </w:footnote>
  <w:footnote w:id="1">
    <w:p w14:paraId="62CEC48B" w14:textId="62A208B4" w:rsidR="00040F87" w:rsidRPr="00040F87" w:rsidRDefault="00040F87" w:rsidP="00040F87">
      <w:pPr>
        <w:pStyle w:val="FootnoteText"/>
        <w:tabs>
          <w:tab w:val="clear" w:pos="794"/>
          <w:tab w:val="left" w:pos="284"/>
        </w:tabs>
        <w:ind w:left="284" w:hanging="284"/>
        <w:rPr>
          <w:sz w:val="18"/>
          <w:szCs w:val="18"/>
        </w:rPr>
      </w:pPr>
      <w:r w:rsidRPr="00040F87">
        <w:rPr>
          <w:rStyle w:val="FootnoteReference"/>
          <w:rtl/>
        </w:rPr>
        <w:t>1</w:t>
      </w:r>
      <w:r w:rsidRPr="00040F87">
        <w:rPr>
          <w:sz w:val="18"/>
          <w:szCs w:val="18"/>
          <w:rtl/>
        </w:rPr>
        <w:t xml:space="preserve"> </w:t>
      </w:r>
      <w:r w:rsidRPr="00040F87">
        <w:rPr>
          <w:sz w:val="18"/>
          <w:szCs w:val="18"/>
        </w:rPr>
        <w:tab/>
      </w:r>
      <w:r w:rsidRPr="00040F87">
        <w:rPr>
          <w:i/>
          <w:iCs/>
          <w:sz w:val="18"/>
          <w:szCs w:val="18"/>
          <w:rtl/>
        </w:rPr>
        <w:t>تقع بعض البلدان في أكثر من فئة واحدة ولا تقع ناميبيا في أي من الفئات الثلاث</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942FB"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E886D5D" wp14:editId="12D84EB2">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6BFC9"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0F4FC833" wp14:editId="02C01596">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3939459">
    <w:abstractNumId w:val="9"/>
  </w:num>
  <w:num w:numId="2" w16cid:durableId="1430079536">
    <w:abstractNumId w:val="7"/>
  </w:num>
  <w:num w:numId="3" w16cid:durableId="625738483">
    <w:abstractNumId w:val="6"/>
  </w:num>
  <w:num w:numId="4" w16cid:durableId="719016198">
    <w:abstractNumId w:val="5"/>
  </w:num>
  <w:num w:numId="5" w16cid:durableId="337267620">
    <w:abstractNumId w:val="4"/>
  </w:num>
  <w:num w:numId="6" w16cid:durableId="646471221">
    <w:abstractNumId w:val="8"/>
  </w:num>
  <w:num w:numId="7" w16cid:durableId="2142838157">
    <w:abstractNumId w:val="3"/>
  </w:num>
  <w:num w:numId="8" w16cid:durableId="6520530">
    <w:abstractNumId w:val="2"/>
  </w:num>
  <w:num w:numId="9" w16cid:durableId="1376156305">
    <w:abstractNumId w:val="1"/>
  </w:num>
  <w:num w:numId="10" w16cid:durableId="1513298829">
    <w:abstractNumId w:val="0"/>
  </w:num>
  <w:num w:numId="11" w16cid:durableId="12291944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68"/>
    <w:rsid w:val="00040F87"/>
    <w:rsid w:val="000461BB"/>
    <w:rsid w:val="0006468A"/>
    <w:rsid w:val="00090574"/>
    <w:rsid w:val="000A64C7"/>
    <w:rsid w:val="000C1C0E"/>
    <w:rsid w:val="000C548A"/>
    <w:rsid w:val="0018421C"/>
    <w:rsid w:val="0018467C"/>
    <w:rsid w:val="00191059"/>
    <w:rsid w:val="001B6E2B"/>
    <w:rsid w:val="001C0169"/>
    <w:rsid w:val="001C0C21"/>
    <w:rsid w:val="001D1D50"/>
    <w:rsid w:val="001D64C7"/>
    <w:rsid w:val="001D6745"/>
    <w:rsid w:val="001E446E"/>
    <w:rsid w:val="00202D1B"/>
    <w:rsid w:val="002154EE"/>
    <w:rsid w:val="00217E18"/>
    <w:rsid w:val="002276D2"/>
    <w:rsid w:val="0023283D"/>
    <w:rsid w:val="00254393"/>
    <w:rsid w:val="0026373E"/>
    <w:rsid w:val="00271C43"/>
    <w:rsid w:val="00290728"/>
    <w:rsid w:val="002978F4"/>
    <w:rsid w:val="002B028D"/>
    <w:rsid w:val="002C3F32"/>
    <w:rsid w:val="002E6541"/>
    <w:rsid w:val="00334924"/>
    <w:rsid w:val="003409BC"/>
    <w:rsid w:val="00357185"/>
    <w:rsid w:val="00365074"/>
    <w:rsid w:val="00383829"/>
    <w:rsid w:val="003F4B29"/>
    <w:rsid w:val="004079B9"/>
    <w:rsid w:val="0041204C"/>
    <w:rsid w:val="00413168"/>
    <w:rsid w:val="00420F8A"/>
    <w:rsid w:val="00424E51"/>
    <w:rsid w:val="0042686F"/>
    <w:rsid w:val="004317D8"/>
    <w:rsid w:val="0043260A"/>
    <w:rsid w:val="00434183"/>
    <w:rsid w:val="00443869"/>
    <w:rsid w:val="00447F32"/>
    <w:rsid w:val="0048541A"/>
    <w:rsid w:val="00491BA9"/>
    <w:rsid w:val="00494119"/>
    <w:rsid w:val="004A4701"/>
    <w:rsid w:val="004B5A05"/>
    <w:rsid w:val="004B6FBC"/>
    <w:rsid w:val="004B7334"/>
    <w:rsid w:val="004C5460"/>
    <w:rsid w:val="004E11DC"/>
    <w:rsid w:val="004E36BD"/>
    <w:rsid w:val="005130DE"/>
    <w:rsid w:val="00513157"/>
    <w:rsid w:val="00525DDD"/>
    <w:rsid w:val="005409AC"/>
    <w:rsid w:val="005434E0"/>
    <w:rsid w:val="005546CF"/>
    <w:rsid w:val="0055516A"/>
    <w:rsid w:val="0058491B"/>
    <w:rsid w:val="00592EA5"/>
    <w:rsid w:val="005A3170"/>
    <w:rsid w:val="00657019"/>
    <w:rsid w:val="00660DEA"/>
    <w:rsid w:val="00677396"/>
    <w:rsid w:val="0069200F"/>
    <w:rsid w:val="006A65CB"/>
    <w:rsid w:val="006B12E5"/>
    <w:rsid w:val="006C3242"/>
    <w:rsid w:val="006C7CC0"/>
    <w:rsid w:val="006E59C7"/>
    <w:rsid w:val="006F363C"/>
    <w:rsid w:val="006F63F7"/>
    <w:rsid w:val="007025C7"/>
    <w:rsid w:val="00706D7A"/>
    <w:rsid w:val="00722F0D"/>
    <w:rsid w:val="00735081"/>
    <w:rsid w:val="0074420E"/>
    <w:rsid w:val="0076220F"/>
    <w:rsid w:val="007648A6"/>
    <w:rsid w:val="0077110E"/>
    <w:rsid w:val="00783E26"/>
    <w:rsid w:val="007A6684"/>
    <w:rsid w:val="007B0AA0"/>
    <w:rsid w:val="007C3BC7"/>
    <w:rsid w:val="007C3BCD"/>
    <w:rsid w:val="007D4ACF"/>
    <w:rsid w:val="007F0787"/>
    <w:rsid w:val="00810B7B"/>
    <w:rsid w:val="0082358A"/>
    <w:rsid w:val="008235CD"/>
    <w:rsid w:val="008247DE"/>
    <w:rsid w:val="008339C0"/>
    <w:rsid w:val="00840B10"/>
    <w:rsid w:val="008513CB"/>
    <w:rsid w:val="00874E9F"/>
    <w:rsid w:val="008A4248"/>
    <w:rsid w:val="008A7F84"/>
    <w:rsid w:val="0091702E"/>
    <w:rsid w:val="00923B0C"/>
    <w:rsid w:val="00924F46"/>
    <w:rsid w:val="00927FCB"/>
    <w:rsid w:val="00935AAC"/>
    <w:rsid w:val="0094021C"/>
    <w:rsid w:val="00951C39"/>
    <w:rsid w:val="00952F86"/>
    <w:rsid w:val="00982B28"/>
    <w:rsid w:val="009D313F"/>
    <w:rsid w:val="009F0913"/>
    <w:rsid w:val="00A47A5A"/>
    <w:rsid w:val="00A63AE6"/>
    <w:rsid w:val="00A6683B"/>
    <w:rsid w:val="00A67F05"/>
    <w:rsid w:val="00A97F94"/>
    <w:rsid w:val="00AA7EA2"/>
    <w:rsid w:val="00AB5A56"/>
    <w:rsid w:val="00B03099"/>
    <w:rsid w:val="00B05BC8"/>
    <w:rsid w:val="00B30F5E"/>
    <w:rsid w:val="00B47CFC"/>
    <w:rsid w:val="00B64B47"/>
    <w:rsid w:val="00B95654"/>
    <w:rsid w:val="00B97F32"/>
    <w:rsid w:val="00BA04B2"/>
    <w:rsid w:val="00BA6CD0"/>
    <w:rsid w:val="00C002DE"/>
    <w:rsid w:val="00C0602B"/>
    <w:rsid w:val="00C224DA"/>
    <w:rsid w:val="00C47E9B"/>
    <w:rsid w:val="00C53BF8"/>
    <w:rsid w:val="00C66157"/>
    <w:rsid w:val="00C674FE"/>
    <w:rsid w:val="00C67501"/>
    <w:rsid w:val="00C75633"/>
    <w:rsid w:val="00C849F8"/>
    <w:rsid w:val="00CE03BE"/>
    <w:rsid w:val="00CE2EE1"/>
    <w:rsid w:val="00CE3349"/>
    <w:rsid w:val="00CE36E5"/>
    <w:rsid w:val="00CE4360"/>
    <w:rsid w:val="00CF27F5"/>
    <w:rsid w:val="00CF3FFD"/>
    <w:rsid w:val="00D10CCF"/>
    <w:rsid w:val="00D12901"/>
    <w:rsid w:val="00D13941"/>
    <w:rsid w:val="00D23F5F"/>
    <w:rsid w:val="00D35BA3"/>
    <w:rsid w:val="00D43F7D"/>
    <w:rsid w:val="00D63735"/>
    <w:rsid w:val="00D7461E"/>
    <w:rsid w:val="00D77D0F"/>
    <w:rsid w:val="00D9429F"/>
    <w:rsid w:val="00DA1CF0"/>
    <w:rsid w:val="00DC1E02"/>
    <w:rsid w:val="00DC24B4"/>
    <w:rsid w:val="00DC5FB0"/>
    <w:rsid w:val="00DF16DC"/>
    <w:rsid w:val="00E25E90"/>
    <w:rsid w:val="00E45211"/>
    <w:rsid w:val="00E473C5"/>
    <w:rsid w:val="00E61BE8"/>
    <w:rsid w:val="00E83FF1"/>
    <w:rsid w:val="00E92863"/>
    <w:rsid w:val="00E979B2"/>
    <w:rsid w:val="00EB796D"/>
    <w:rsid w:val="00F058DC"/>
    <w:rsid w:val="00F24FC4"/>
    <w:rsid w:val="00F2676C"/>
    <w:rsid w:val="00F363FE"/>
    <w:rsid w:val="00F50E3F"/>
    <w:rsid w:val="00F84366"/>
    <w:rsid w:val="00F85089"/>
    <w:rsid w:val="00F974C5"/>
    <w:rsid w:val="00FA3763"/>
    <w:rsid w:val="00FA6F46"/>
    <w:rsid w:val="00FC0E94"/>
    <w:rsid w:val="00FC4592"/>
    <w:rsid w:val="00FD527F"/>
    <w:rsid w:val="00FD588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B6B2C"/>
  <w15:chartTrackingRefBased/>
  <w15:docId w15:val="{EFB234E4-CCBC-4AA1-A6FB-F0F13AB1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202D1B"/>
    <w:pPr>
      <w:spacing w:before="80" w:after="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951C39"/>
    <w:rPr>
      <w:rFonts w:ascii="Calibri" w:eastAsia="Calibri" w:hAnsi="Calibri" w:cs="Arial"/>
      <w:noProof/>
      <w:color w:val="5B9BD5" w:themeColor="accent1"/>
      <w:sz w:val="18"/>
      <w:u w:val="single"/>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styleId="FollowedHyperlink">
    <w:name w:val="FollowedHyperlink"/>
    <w:basedOn w:val="DefaultParagraphFont"/>
    <w:uiPriority w:val="99"/>
    <w:semiHidden/>
    <w:unhideWhenUsed/>
    <w:rsid w:val="000461BB"/>
    <w:rPr>
      <w:color w:val="954F72" w:themeColor="followedHyperlink"/>
      <w:u w:val="single"/>
    </w:rPr>
  </w:style>
  <w:style w:type="paragraph" w:styleId="Revision">
    <w:name w:val="Revision"/>
    <w:hidden/>
    <w:uiPriority w:val="99"/>
    <w:semiHidden/>
    <w:rsid w:val="00951C39"/>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osa.org/oosa/oosadoc/data/resolutions/2021/general_assembly_76th_session/ares763.html" TargetMode="External"/><Relationship Id="rId13" Type="http://schemas.openxmlformats.org/officeDocument/2006/relationships/hyperlink" Target="https://www.itu.int/en/council/Documents/basic-texts-2023/RES-218-A.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council/Documents/basic-texts-2023/RES-203-A.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S25-CL-C-0010/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200-A.pdf" TargetMode="External"/><Relationship Id="rId5" Type="http://schemas.openxmlformats.org/officeDocument/2006/relationships/webSettings" Target="webSettings.xml"/><Relationship Id="rId15" Type="http://schemas.openxmlformats.org/officeDocument/2006/relationships/hyperlink" Target="https://www.itu.int/md/R24-RRB24.3-C-0023/en" TargetMode="External"/><Relationship Id="rId10" Type="http://schemas.openxmlformats.org/officeDocument/2006/relationships/hyperlink" Target="https://www.itu.int/en/council/Documents/basic-texts-2023/RES-140-A.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en/council/Documents/basic-texts-2023/RES-030-A.pdf" TargetMode="External"/><Relationship Id="rId14" Type="http://schemas.openxmlformats.org/officeDocument/2006/relationships/hyperlink" Target="https://www.itu.int/md/R24-RRB24.3-C-0019/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03%20Third%20Contract%20Work%20(05-05-2025%20---%2027-06-2025\06%20June\04\2501352A\Typin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1</TotalTime>
  <Pages>3</Pages>
  <Words>771</Words>
  <Characters>5190</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Proposal for exemption of cost recovery fee for seven submissions under Resolution 170 (Rev.WRC-23) by the Administration of Angola acting on behalf of 16 SADC Member States</dc:title>
  <dc:subject>ITU Council 2025</dc:subject>
  <dc:creator>PC-28</dc:creator>
  <cp:keywords>C2025, C25, Council-25</cp:keywords>
  <dc:description/>
  <cp:lastModifiedBy>GBS</cp:lastModifiedBy>
  <cp:revision>2</cp:revision>
  <dcterms:created xsi:type="dcterms:W3CDTF">2025-06-12T11:25:00Z</dcterms:created>
  <dcterms:modified xsi:type="dcterms:W3CDTF">2025-06-12T11:25:00Z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