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EE57B8" w:rsidRPr="00BB6FD8" w14:paraId="1BA588FD" w14:textId="77777777" w:rsidTr="00C538FC">
        <w:trPr>
          <w:cantSplit/>
          <w:trHeight w:val="23"/>
        </w:trPr>
        <w:tc>
          <w:tcPr>
            <w:tcW w:w="3969" w:type="dxa"/>
            <w:vMerge w:val="restart"/>
            <w:tcMar>
              <w:left w:w="0" w:type="dxa"/>
            </w:tcMar>
          </w:tcPr>
          <w:p w14:paraId="5A15C463" w14:textId="3D89993A" w:rsidR="00EE57B8" w:rsidRPr="00BB6FD8" w:rsidRDefault="00EE57B8" w:rsidP="00EE57B8">
            <w:pPr>
              <w:tabs>
                <w:tab w:val="left" w:pos="851"/>
              </w:tabs>
              <w:spacing w:before="0" w:line="240" w:lineRule="atLeast"/>
              <w:rPr>
                <w:b/>
              </w:rPr>
            </w:pPr>
            <w:bookmarkStart w:id="0" w:name="_Hlk133421839"/>
            <w:r w:rsidRPr="009624BC">
              <w:rPr>
                <w:b/>
                <w:lang w:val="es-ES"/>
              </w:rPr>
              <w:t>Punto del orden del día: PL2</w:t>
            </w:r>
          </w:p>
        </w:tc>
        <w:tc>
          <w:tcPr>
            <w:tcW w:w="5245" w:type="dxa"/>
          </w:tcPr>
          <w:p w14:paraId="101BF57D" w14:textId="6B6E2419" w:rsidR="00EE57B8" w:rsidRPr="00BB6FD8" w:rsidRDefault="00EE57B8" w:rsidP="00EE57B8">
            <w:pPr>
              <w:tabs>
                <w:tab w:val="left" w:pos="851"/>
              </w:tabs>
              <w:spacing w:before="0" w:line="240" w:lineRule="atLeast"/>
              <w:jc w:val="right"/>
              <w:rPr>
                <w:b/>
              </w:rPr>
            </w:pPr>
            <w:r w:rsidRPr="00081B86">
              <w:rPr>
                <w:b/>
              </w:rPr>
              <w:t>Document</w:t>
            </w:r>
            <w:r>
              <w:rPr>
                <w:b/>
              </w:rPr>
              <w:t>o</w:t>
            </w:r>
            <w:r w:rsidRPr="00081B86">
              <w:rPr>
                <w:b/>
              </w:rPr>
              <w:t xml:space="preserve"> C25/80-</w:t>
            </w:r>
            <w:r>
              <w:rPr>
                <w:b/>
              </w:rPr>
              <w:t>S</w:t>
            </w:r>
          </w:p>
        </w:tc>
      </w:tr>
      <w:tr w:rsidR="00EE57B8" w:rsidRPr="00666D09" w14:paraId="4CC7B6F6" w14:textId="77777777" w:rsidTr="00C538FC">
        <w:trPr>
          <w:cantSplit/>
        </w:trPr>
        <w:tc>
          <w:tcPr>
            <w:tcW w:w="3969" w:type="dxa"/>
            <w:vMerge/>
          </w:tcPr>
          <w:p w14:paraId="38851DD0" w14:textId="77777777" w:rsidR="00EE57B8" w:rsidRPr="00BB6FD8" w:rsidRDefault="00EE57B8" w:rsidP="00EE57B8">
            <w:pPr>
              <w:tabs>
                <w:tab w:val="left" w:pos="851"/>
              </w:tabs>
              <w:spacing w:line="240" w:lineRule="atLeast"/>
              <w:rPr>
                <w:b/>
              </w:rPr>
            </w:pPr>
          </w:p>
        </w:tc>
        <w:tc>
          <w:tcPr>
            <w:tcW w:w="5245" w:type="dxa"/>
          </w:tcPr>
          <w:p w14:paraId="65D58E79" w14:textId="6F4B2F3B" w:rsidR="00EE57B8" w:rsidRPr="00666D09" w:rsidRDefault="00EE57B8" w:rsidP="00EE57B8">
            <w:pPr>
              <w:tabs>
                <w:tab w:val="left" w:pos="851"/>
              </w:tabs>
              <w:spacing w:before="0"/>
              <w:jc w:val="right"/>
              <w:rPr>
                <w:b/>
                <w:lang w:val="en-GB"/>
              </w:rPr>
            </w:pPr>
            <w:r w:rsidRPr="00081B86">
              <w:rPr>
                <w:b/>
              </w:rPr>
              <w:t xml:space="preserve">31 </w:t>
            </w:r>
            <w:r>
              <w:rPr>
                <w:b/>
              </w:rPr>
              <w:t>de mayo de</w:t>
            </w:r>
            <w:r w:rsidRPr="00081B86">
              <w:rPr>
                <w:b/>
              </w:rPr>
              <w:t xml:space="preserve"> 2025</w:t>
            </w:r>
          </w:p>
        </w:tc>
      </w:tr>
      <w:tr w:rsidR="00EE57B8" w:rsidRPr="00BB6FD8" w14:paraId="5EF9D928" w14:textId="77777777" w:rsidTr="00C538FC">
        <w:trPr>
          <w:cantSplit/>
          <w:trHeight w:val="23"/>
        </w:trPr>
        <w:tc>
          <w:tcPr>
            <w:tcW w:w="3969" w:type="dxa"/>
            <w:vMerge/>
          </w:tcPr>
          <w:p w14:paraId="24C2D0A3" w14:textId="77777777" w:rsidR="00EE57B8" w:rsidRPr="00666D09" w:rsidRDefault="00EE57B8" w:rsidP="00EE57B8">
            <w:pPr>
              <w:tabs>
                <w:tab w:val="left" w:pos="851"/>
              </w:tabs>
              <w:spacing w:line="240" w:lineRule="atLeast"/>
              <w:rPr>
                <w:b/>
                <w:lang w:val="en-GB"/>
              </w:rPr>
            </w:pPr>
          </w:p>
        </w:tc>
        <w:tc>
          <w:tcPr>
            <w:tcW w:w="5245" w:type="dxa"/>
          </w:tcPr>
          <w:p w14:paraId="60CACBD0" w14:textId="23BC4C58" w:rsidR="00EE57B8" w:rsidRPr="00BB6FD8" w:rsidRDefault="00EE57B8" w:rsidP="00EE57B8">
            <w:pPr>
              <w:tabs>
                <w:tab w:val="left" w:pos="851"/>
              </w:tabs>
              <w:spacing w:before="0" w:line="240" w:lineRule="atLeast"/>
              <w:jc w:val="right"/>
              <w:rPr>
                <w:b/>
                <w:bCs/>
              </w:rPr>
            </w:pPr>
            <w:r w:rsidRPr="00081B86">
              <w:rPr>
                <w:b/>
              </w:rPr>
              <w:t xml:space="preserve">Original: </w:t>
            </w:r>
            <w:r>
              <w:rPr>
                <w:b/>
              </w:rPr>
              <w:t>ruso</w:t>
            </w:r>
          </w:p>
        </w:tc>
      </w:tr>
      <w:tr w:rsidR="00FE57F6" w:rsidRPr="00BB6FD8" w14:paraId="18F651C8" w14:textId="77777777" w:rsidTr="00C538FC">
        <w:trPr>
          <w:cantSplit/>
          <w:trHeight w:val="23"/>
        </w:trPr>
        <w:tc>
          <w:tcPr>
            <w:tcW w:w="3969" w:type="dxa"/>
          </w:tcPr>
          <w:p w14:paraId="320CB145" w14:textId="77777777" w:rsidR="00FE57F6" w:rsidRPr="00BB6FD8" w:rsidRDefault="00FE57F6" w:rsidP="00C538FC">
            <w:pPr>
              <w:tabs>
                <w:tab w:val="left" w:pos="851"/>
              </w:tabs>
              <w:spacing w:line="240" w:lineRule="atLeast"/>
              <w:rPr>
                <w:b/>
              </w:rPr>
            </w:pPr>
          </w:p>
        </w:tc>
        <w:tc>
          <w:tcPr>
            <w:tcW w:w="5245" w:type="dxa"/>
          </w:tcPr>
          <w:p w14:paraId="2BF96076" w14:textId="77777777" w:rsidR="00FE57F6" w:rsidRPr="00BB6FD8" w:rsidRDefault="00FE57F6" w:rsidP="00C538FC">
            <w:pPr>
              <w:tabs>
                <w:tab w:val="left" w:pos="851"/>
              </w:tabs>
              <w:spacing w:before="0" w:line="240" w:lineRule="atLeast"/>
              <w:jc w:val="right"/>
              <w:rPr>
                <w:b/>
              </w:rPr>
            </w:pPr>
          </w:p>
        </w:tc>
      </w:tr>
      <w:tr w:rsidR="00FE57F6" w:rsidRPr="00BB6FD8" w14:paraId="327AD172" w14:textId="77777777" w:rsidTr="00EE57B8">
        <w:trPr>
          <w:cantSplit/>
          <w:trHeight w:val="1122"/>
        </w:trPr>
        <w:tc>
          <w:tcPr>
            <w:tcW w:w="9214" w:type="dxa"/>
            <w:gridSpan w:val="2"/>
            <w:tcMar>
              <w:left w:w="0" w:type="dxa"/>
            </w:tcMar>
          </w:tcPr>
          <w:p w14:paraId="3CAC2100" w14:textId="0F873FB5" w:rsidR="00FE57F6" w:rsidRPr="00BB6FD8" w:rsidRDefault="00EE57B8" w:rsidP="00C538FC">
            <w:pPr>
              <w:pStyle w:val="Source"/>
              <w:jc w:val="left"/>
              <w:rPr>
                <w:sz w:val="34"/>
                <w:szCs w:val="34"/>
              </w:rPr>
            </w:pPr>
            <w:r w:rsidRPr="00EE57B8">
              <w:rPr>
                <w:rFonts w:cstheme="minorHAnsi"/>
                <w:sz w:val="34"/>
                <w:szCs w:val="34"/>
              </w:rPr>
              <w:t>Contribución de la Federación de Rusia</w:t>
            </w:r>
          </w:p>
        </w:tc>
      </w:tr>
      <w:tr w:rsidR="00FE57F6" w:rsidRPr="00BB6FD8" w14:paraId="227F2E8F" w14:textId="77777777" w:rsidTr="00C538FC">
        <w:trPr>
          <w:cantSplit/>
        </w:trPr>
        <w:tc>
          <w:tcPr>
            <w:tcW w:w="9214" w:type="dxa"/>
            <w:gridSpan w:val="2"/>
            <w:tcMar>
              <w:left w:w="0" w:type="dxa"/>
            </w:tcMar>
          </w:tcPr>
          <w:p w14:paraId="2CC1D117" w14:textId="63888C0F" w:rsidR="00FE57F6" w:rsidRPr="00F92BED" w:rsidRDefault="00EE57B8" w:rsidP="00F92BED">
            <w:pPr>
              <w:pStyle w:val="Subtitle"/>
              <w:framePr w:hSpace="0" w:wrap="auto" w:vAnchor="margin" w:hAnchor="text" w:xAlign="left" w:yAlign="inline"/>
            </w:pPr>
            <w:r w:rsidRPr="009624BC">
              <w:rPr>
                <w:lang w:val="es-ES"/>
              </w:rPr>
              <w:t xml:space="preserve">PROPUESTA PARA PROSEGUIR EL PROCESO DE </w:t>
            </w:r>
            <w:r>
              <w:rPr>
                <w:lang w:val="es-ES"/>
              </w:rPr>
              <w:t>LA CMSI DESPUÉS DE 2025</w:t>
            </w:r>
          </w:p>
        </w:tc>
      </w:tr>
      <w:tr w:rsidR="00FE57F6" w:rsidRPr="00BB6FD8" w14:paraId="383E8927" w14:textId="77777777" w:rsidTr="00C538FC">
        <w:trPr>
          <w:cantSplit/>
        </w:trPr>
        <w:tc>
          <w:tcPr>
            <w:tcW w:w="9214" w:type="dxa"/>
            <w:gridSpan w:val="2"/>
            <w:tcBorders>
              <w:top w:val="single" w:sz="4" w:space="0" w:color="auto"/>
              <w:bottom w:val="single" w:sz="4" w:space="0" w:color="auto"/>
            </w:tcBorders>
            <w:tcMar>
              <w:left w:w="0" w:type="dxa"/>
            </w:tcMar>
          </w:tcPr>
          <w:p w14:paraId="0429D734" w14:textId="77777777" w:rsidR="00FE57F6" w:rsidRPr="00BB6FD8" w:rsidRDefault="00F24B71" w:rsidP="00C538FC">
            <w:pPr>
              <w:spacing w:before="160"/>
              <w:rPr>
                <w:b/>
                <w:bCs/>
                <w:sz w:val="26"/>
                <w:szCs w:val="26"/>
              </w:rPr>
            </w:pPr>
            <w:r w:rsidRPr="00BB6FD8">
              <w:rPr>
                <w:b/>
                <w:bCs/>
                <w:sz w:val="26"/>
                <w:szCs w:val="26"/>
              </w:rPr>
              <w:t>Finalidad</w:t>
            </w:r>
          </w:p>
          <w:p w14:paraId="5F92435D" w14:textId="77777777" w:rsidR="00EE57B8" w:rsidRDefault="00EE57B8" w:rsidP="00BE5E70">
            <w:pPr>
              <w:spacing w:before="160"/>
              <w:jc w:val="both"/>
              <w:rPr>
                <w:lang w:val="es-ES"/>
              </w:rPr>
            </w:pPr>
            <w:r w:rsidRPr="009624BC">
              <w:rPr>
                <w:lang w:val="es-ES"/>
              </w:rPr>
              <w:t xml:space="preserve">En esta contribución se propone destacar la importancia que reviste, en el marco del examen sobre la aplicación de los resultados de la Cumbre Mundial sobre la Sociedad de la Información (CMSI) por la Asamblea General de las Naciones Unidas (AGNU), seguir adelante con el proceso de la CMSI como plataforma para el cumplimiento de los objetivos del </w:t>
            </w:r>
            <w:r>
              <w:rPr>
                <w:lang w:val="es-ES"/>
              </w:rPr>
              <w:t>Pacto Digital Mundial (PDM) y la consecución de los ODS</w:t>
            </w:r>
            <w:r w:rsidRPr="009624BC">
              <w:rPr>
                <w:lang w:val="es-ES"/>
              </w:rPr>
              <w:t>.</w:t>
            </w:r>
          </w:p>
          <w:p w14:paraId="0F39ECCA" w14:textId="2440A8A3" w:rsidR="00FE57F6" w:rsidRPr="00BB6FD8" w:rsidRDefault="00F24B71" w:rsidP="00EE57B8">
            <w:pPr>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652A7593" w14:textId="01E5B441" w:rsidR="00F92BED" w:rsidRPr="00EE57B8" w:rsidRDefault="00EE57B8" w:rsidP="00EE57B8">
            <w:pPr>
              <w:spacing w:before="160"/>
              <w:rPr>
                <w:lang w:val="es-ES"/>
              </w:rPr>
            </w:pPr>
            <w:r w:rsidRPr="009624BC">
              <w:rPr>
                <w:lang w:val="es-ES"/>
              </w:rPr>
              <w:t xml:space="preserve">Se invita al Consejo a </w:t>
            </w:r>
            <w:r w:rsidRPr="009624BC">
              <w:rPr>
                <w:b/>
                <w:bCs/>
                <w:lang w:val="es-ES"/>
              </w:rPr>
              <w:t xml:space="preserve">considerar </w:t>
            </w:r>
            <w:r w:rsidRPr="009624BC">
              <w:rPr>
                <w:lang w:val="es-ES"/>
              </w:rPr>
              <w:t xml:space="preserve">esta propuesta y a </w:t>
            </w:r>
            <w:r w:rsidRPr="009624BC">
              <w:rPr>
                <w:b/>
                <w:bCs/>
                <w:lang w:val="es-ES"/>
              </w:rPr>
              <w:t xml:space="preserve">tomar </w:t>
            </w:r>
            <w:r w:rsidRPr="009624BC">
              <w:rPr>
                <w:lang w:val="es-ES"/>
              </w:rPr>
              <w:t>las medidas que estime convenientes.</w:t>
            </w:r>
          </w:p>
          <w:p w14:paraId="28ED8695" w14:textId="77777777" w:rsidR="00FE57F6" w:rsidRPr="00BB6FD8" w:rsidRDefault="00FE57F6" w:rsidP="00EE57B8">
            <w:pPr>
              <w:spacing w:before="80"/>
              <w:rPr>
                <w:caps/>
                <w:sz w:val="22"/>
              </w:rPr>
            </w:pPr>
            <w:r w:rsidRPr="00BB6FD8">
              <w:rPr>
                <w:sz w:val="22"/>
              </w:rPr>
              <w:t>__________________</w:t>
            </w:r>
          </w:p>
          <w:p w14:paraId="3B50D779"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27671287" w14:textId="4DA3114D" w:rsidR="00FE57F6" w:rsidRPr="00EE57B8" w:rsidRDefault="00EE57B8" w:rsidP="00BE5E70">
            <w:pPr>
              <w:spacing w:after="160"/>
              <w:jc w:val="both"/>
              <w:rPr>
                <w:i/>
                <w:iCs/>
                <w:szCs w:val="24"/>
              </w:rPr>
            </w:pPr>
            <w:hyperlink r:id="rId6" w:anchor="/es" w:history="1">
              <w:r w:rsidRPr="00EE57B8">
                <w:rPr>
                  <w:rStyle w:val="Hyperlink"/>
                  <w:i/>
                  <w:iCs/>
                  <w:szCs w:val="24"/>
                  <w:lang w:val="es-ES"/>
                </w:rPr>
                <w:t>Sitio web del GTC-CMSI+ODS</w:t>
              </w:r>
            </w:hyperlink>
            <w:r w:rsidRPr="00EE57B8">
              <w:rPr>
                <w:i/>
                <w:iCs/>
                <w:szCs w:val="24"/>
                <w:lang w:val="es-ES"/>
              </w:rPr>
              <w:t xml:space="preserve">; Resoluciones </w:t>
            </w:r>
            <w:hyperlink r:id="rId7" w:history="1">
              <w:r w:rsidRPr="00EE57B8">
                <w:rPr>
                  <w:rStyle w:val="Hyperlink"/>
                  <w:i/>
                  <w:iCs/>
                  <w:szCs w:val="24"/>
                </w:rPr>
                <w:t>А</w:t>
              </w:r>
              <w:r w:rsidRPr="00EE57B8">
                <w:rPr>
                  <w:rStyle w:val="Hyperlink"/>
                  <w:i/>
                  <w:iCs/>
                  <w:szCs w:val="24"/>
                  <w:lang w:val="es-ES"/>
                </w:rPr>
                <w:t>/RES/70/125</w:t>
              </w:r>
            </w:hyperlink>
            <w:r w:rsidRPr="00EE57B8">
              <w:rPr>
                <w:i/>
                <w:iCs/>
                <w:szCs w:val="24"/>
                <w:lang w:val="es-ES"/>
              </w:rPr>
              <w:t xml:space="preserve">, </w:t>
            </w:r>
            <w:hyperlink r:id="rId8" w:history="1">
              <w:r w:rsidRPr="00EE57B8">
                <w:rPr>
                  <w:rStyle w:val="Hyperlink"/>
                  <w:i/>
                  <w:iCs/>
                  <w:szCs w:val="24"/>
                  <w:lang w:val="es-ES"/>
                </w:rPr>
                <w:t>A/RES/70/1</w:t>
              </w:r>
            </w:hyperlink>
            <w:r w:rsidRPr="00EE57B8">
              <w:rPr>
                <w:i/>
                <w:iCs/>
                <w:szCs w:val="24"/>
                <w:lang w:val="es-ES"/>
              </w:rPr>
              <w:t xml:space="preserve">, </w:t>
            </w:r>
            <w:hyperlink r:id="rId9" w:tgtFrame="_blank" w:history="1">
              <w:r w:rsidRPr="00EE57B8">
                <w:rPr>
                  <w:rStyle w:val="Hyperlink"/>
                  <w:i/>
                  <w:iCs/>
                  <w:szCs w:val="24"/>
                </w:rPr>
                <w:t>А</w:t>
              </w:r>
              <w:r w:rsidRPr="00EE57B8">
                <w:rPr>
                  <w:rStyle w:val="Hyperlink"/>
                  <w:i/>
                  <w:iCs/>
                  <w:szCs w:val="24"/>
                  <w:lang w:val="es-ES"/>
                </w:rPr>
                <w:t>/RES/77/150</w:t>
              </w:r>
            </w:hyperlink>
            <w:r w:rsidRPr="00EE57B8">
              <w:rPr>
                <w:i/>
                <w:iCs/>
                <w:szCs w:val="24"/>
                <w:lang w:val="es-ES"/>
              </w:rPr>
              <w:t xml:space="preserve">, </w:t>
            </w:r>
            <w:hyperlink r:id="rId10" w:history="1">
              <w:r w:rsidRPr="00EE57B8">
                <w:rPr>
                  <w:rStyle w:val="Hyperlink"/>
                  <w:i/>
                  <w:iCs/>
                  <w:szCs w:val="24"/>
                </w:rPr>
                <w:t>А</w:t>
              </w:r>
              <w:r w:rsidRPr="00EE57B8">
                <w:rPr>
                  <w:rStyle w:val="Hyperlink"/>
                  <w:i/>
                  <w:iCs/>
                  <w:szCs w:val="24"/>
                  <w:lang w:val="es-ES"/>
                </w:rPr>
                <w:t>/RES/71/212</w:t>
              </w:r>
            </w:hyperlink>
            <w:r w:rsidRPr="00EE57B8">
              <w:rPr>
                <w:i/>
                <w:iCs/>
                <w:szCs w:val="24"/>
                <w:lang w:val="es-ES"/>
              </w:rPr>
              <w:t xml:space="preserve">, </w:t>
            </w:r>
            <w:hyperlink r:id="rId11" w:history="1">
              <w:r w:rsidRPr="00EE57B8">
                <w:rPr>
                  <w:rStyle w:val="Hyperlink"/>
                  <w:i/>
                  <w:iCs/>
                  <w:szCs w:val="24"/>
                </w:rPr>
                <w:t>А</w:t>
              </w:r>
              <w:r w:rsidRPr="00EE57B8">
                <w:rPr>
                  <w:rStyle w:val="Hyperlink"/>
                  <w:i/>
                  <w:iCs/>
                  <w:szCs w:val="24"/>
                  <w:lang w:val="es-ES"/>
                </w:rPr>
                <w:t>/RES/70/299</w:t>
              </w:r>
            </w:hyperlink>
            <w:r w:rsidRPr="00EE57B8">
              <w:rPr>
                <w:i/>
                <w:iCs/>
                <w:szCs w:val="24"/>
                <w:lang w:val="es-ES"/>
              </w:rPr>
              <w:t xml:space="preserve">, </w:t>
            </w:r>
            <w:hyperlink r:id="rId12" w:history="1">
              <w:r w:rsidRPr="00EE57B8">
                <w:rPr>
                  <w:rStyle w:val="Hyperlink"/>
                  <w:i/>
                  <w:iCs/>
                  <w:szCs w:val="24"/>
                </w:rPr>
                <w:t>А</w:t>
              </w:r>
              <w:r w:rsidRPr="00EE57B8">
                <w:rPr>
                  <w:rStyle w:val="Hyperlink"/>
                  <w:i/>
                  <w:iCs/>
                  <w:szCs w:val="24"/>
                  <w:lang w:val="es-ES"/>
                </w:rPr>
                <w:t>/RES/73/218</w:t>
              </w:r>
            </w:hyperlink>
            <w:r w:rsidRPr="00EE57B8">
              <w:rPr>
                <w:i/>
                <w:iCs/>
                <w:szCs w:val="24"/>
                <w:lang w:val="es-ES"/>
              </w:rPr>
              <w:t xml:space="preserve"> de la AGNU; Informe </w:t>
            </w:r>
            <w:hyperlink r:id="rId13" w:history="1">
              <w:r w:rsidRPr="00EE57B8">
                <w:rPr>
                  <w:rStyle w:val="Hyperlink"/>
                  <w:i/>
                  <w:iCs/>
                  <w:szCs w:val="24"/>
                </w:rPr>
                <w:t>А</w:t>
              </w:r>
              <w:r w:rsidRPr="00EE57B8">
                <w:rPr>
                  <w:rStyle w:val="Hyperlink"/>
                  <w:i/>
                  <w:iCs/>
                  <w:szCs w:val="24"/>
                  <w:lang w:val="es-ES"/>
                </w:rPr>
                <w:t>/70/684</w:t>
              </w:r>
            </w:hyperlink>
            <w:r w:rsidRPr="00EE57B8">
              <w:rPr>
                <w:i/>
                <w:iCs/>
                <w:szCs w:val="24"/>
                <w:lang w:val="es-ES"/>
              </w:rPr>
              <w:t xml:space="preserve"> del Secretario General de las Naciones Unidas; Resolución </w:t>
            </w:r>
            <w:hyperlink r:id="rId14" w:history="1">
              <w:r w:rsidRPr="00EE57B8">
                <w:rPr>
                  <w:rStyle w:val="Hyperlink"/>
                  <w:i/>
                  <w:iCs/>
                  <w:szCs w:val="24"/>
                  <w:lang w:val="es-ES"/>
                </w:rPr>
                <w:t>E/RES/2024/13</w:t>
              </w:r>
            </w:hyperlink>
            <w:r w:rsidRPr="00EE57B8">
              <w:rPr>
                <w:i/>
                <w:iCs/>
                <w:szCs w:val="24"/>
                <w:lang w:val="es-ES"/>
              </w:rPr>
              <w:t xml:space="preserve"> de la ECOSOC de las Naciones Unidas; Resoluciones </w:t>
            </w:r>
            <w:hyperlink r:id="rId15" w:history="1">
              <w:r w:rsidRPr="00EE57B8">
                <w:rPr>
                  <w:rStyle w:val="Hyperlink"/>
                  <w:i/>
                  <w:iCs/>
                  <w:szCs w:val="24"/>
                  <w:lang w:val="es-ES"/>
                </w:rPr>
                <w:t>140 (Rev. Bucarest, 2022)</w:t>
              </w:r>
            </w:hyperlink>
            <w:r w:rsidRPr="00EE57B8">
              <w:rPr>
                <w:i/>
                <w:iCs/>
                <w:szCs w:val="24"/>
                <w:lang w:val="es-ES"/>
              </w:rPr>
              <w:t xml:space="preserve">, </w:t>
            </w:r>
            <w:hyperlink r:id="rId16" w:history="1">
              <w:r w:rsidRPr="00EE57B8">
                <w:rPr>
                  <w:rStyle w:val="Hyperlink"/>
                  <w:i/>
                  <w:iCs/>
                  <w:szCs w:val="24"/>
                  <w:lang w:val="es-ES"/>
                </w:rPr>
                <w:t>172 (Guadalajara, 2010)</w:t>
              </w:r>
            </w:hyperlink>
            <w:r w:rsidRPr="00EE57B8">
              <w:rPr>
                <w:i/>
                <w:iCs/>
                <w:szCs w:val="24"/>
                <w:lang w:val="es-ES"/>
              </w:rPr>
              <w:t xml:space="preserve"> y </w:t>
            </w:r>
            <w:hyperlink r:id="rId17" w:history="1">
              <w:r w:rsidRPr="00EE57B8">
                <w:rPr>
                  <w:rStyle w:val="Hyperlink"/>
                  <w:i/>
                  <w:iCs/>
                  <w:szCs w:val="24"/>
                  <w:lang w:val="es-ES"/>
                </w:rPr>
                <w:t>71 (Rev. Bucarest, 2022)</w:t>
              </w:r>
            </w:hyperlink>
            <w:r w:rsidRPr="00EE57B8">
              <w:rPr>
                <w:i/>
                <w:iCs/>
                <w:szCs w:val="24"/>
                <w:lang w:val="es-ES"/>
              </w:rPr>
              <w:t xml:space="preserve"> de la Conferencia de Plenipotenciarios; Resoluciones </w:t>
            </w:r>
            <w:hyperlink r:id="rId18" w:history="1">
              <w:r w:rsidRPr="00EE57B8">
                <w:rPr>
                  <w:rStyle w:val="Hyperlink"/>
                  <w:i/>
                  <w:iCs/>
                  <w:szCs w:val="24"/>
                  <w:lang w:val="es-ES"/>
                </w:rPr>
                <w:t>1332 (Modificada 2024)</w:t>
              </w:r>
            </w:hyperlink>
            <w:r w:rsidRPr="00EE57B8">
              <w:rPr>
                <w:i/>
                <w:iCs/>
                <w:szCs w:val="24"/>
                <w:lang w:val="es-ES"/>
              </w:rPr>
              <w:t xml:space="preserve"> y </w:t>
            </w:r>
            <w:hyperlink r:id="rId19" w:history="1">
              <w:r w:rsidRPr="00EE57B8">
                <w:rPr>
                  <w:rStyle w:val="Hyperlink"/>
                  <w:i/>
                  <w:iCs/>
                  <w:szCs w:val="24"/>
                  <w:lang w:val="es-ES"/>
                </w:rPr>
                <w:t>1334 (Modificada 2023)</w:t>
              </w:r>
            </w:hyperlink>
            <w:r w:rsidRPr="00EE57B8">
              <w:rPr>
                <w:i/>
                <w:iCs/>
                <w:szCs w:val="24"/>
                <w:lang w:val="es-ES"/>
              </w:rPr>
              <w:t xml:space="preserve"> del Consejo; Resolución </w:t>
            </w:r>
            <w:hyperlink r:id="rId20" w:history="1">
              <w:r w:rsidRPr="00EE57B8">
                <w:rPr>
                  <w:rStyle w:val="Hyperlink"/>
                  <w:i/>
                  <w:iCs/>
                  <w:szCs w:val="24"/>
                  <w:lang w:val="es-ES"/>
                </w:rPr>
                <w:t>30 (Rev. Kigali, 2022)</w:t>
              </w:r>
            </w:hyperlink>
            <w:r w:rsidRPr="00EE57B8">
              <w:rPr>
                <w:i/>
                <w:iCs/>
                <w:szCs w:val="24"/>
                <w:lang w:val="es-ES"/>
              </w:rPr>
              <w:t xml:space="preserve"> de la Conferencia Mundial de Desarrollo de las Telecomunicaciones; Resolución </w:t>
            </w:r>
            <w:hyperlink r:id="rId21" w:history="1">
              <w:r w:rsidRPr="00EE57B8">
                <w:rPr>
                  <w:rStyle w:val="Hyperlink"/>
                  <w:i/>
                  <w:iCs/>
                  <w:szCs w:val="24"/>
                  <w:lang w:val="es-ES"/>
                </w:rPr>
                <w:t>75 (Rev. Ginebra, 2022)</w:t>
              </w:r>
            </w:hyperlink>
            <w:r w:rsidRPr="00EE57B8">
              <w:rPr>
                <w:i/>
                <w:iCs/>
                <w:szCs w:val="24"/>
                <w:lang w:val="es-ES"/>
              </w:rPr>
              <w:t xml:space="preserve"> de la Asamblea Mundial de Normalización de las Telecomunicaciones; Resolución </w:t>
            </w:r>
            <w:hyperlink r:id="rId22" w:history="1">
              <w:r w:rsidRPr="00EE57B8">
                <w:rPr>
                  <w:rStyle w:val="Hyperlink"/>
                  <w:i/>
                  <w:iCs/>
                  <w:szCs w:val="24"/>
                  <w:lang w:val="es-ES"/>
                </w:rPr>
                <w:t>UIT-R 61-3</w:t>
              </w:r>
            </w:hyperlink>
            <w:r w:rsidRPr="00EE57B8">
              <w:rPr>
                <w:i/>
                <w:iCs/>
                <w:szCs w:val="24"/>
                <w:lang w:val="es-ES"/>
              </w:rPr>
              <w:t xml:space="preserve"> de la Asamblea de Radiocomunicaciones; </w:t>
            </w:r>
            <w:hyperlink r:id="rId23" w:history="1">
              <w:r w:rsidRPr="00EE57B8">
                <w:rPr>
                  <w:rStyle w:val="Hyperlink"/>
                  <w:i/>
                  <w:iCs/>
                  <w:szCs w:val="24"/>
                  <w:lang w:val="es-ES"/>
                </w:rPr>
                <w:t>Declaración de la CMSI+10 relativa a la aplicación de los resultados de la CMSI</w:t>
              </w:r>
            </w:hyperlink>
            <w:r w:rsidRPr="00EE57B8">
              <w:rPr>
                <w:i/>
                <w:iCs/>
                <w:szCs w:val="24"/>
                <w:lang w:val="es-ES"/>
              </w:rPr>
              <w:t xml:space="preserve">; </w:t>
            </w:r>
            <w:hyperlink r:id="rId24" w:anchor="page=21" w:history="1">
              <w:r w:rsidRPr="00EE57B8">
                <w:rPr>
                  <w:rStyle w:val="Hyperlink"/>
                  <w:i/>
                  <w:iCs/>
                  <w:szCs w:val="24"/>
                  <w:lang w:val="es-ES"/>
                </w:rPr>
                <w:t>CMSI+10: Perspectiva para la CMSI después de 2015</w:t>
              </w:r>
            </w:hyperlink>
            <w:r w:rsidRPr="00EE57B8">
              <w:rPr>
                <w:i/>
                <w:iCs/>
                <w:szCs w:val="24"/>
                <w:lang w:val="es-ES"/>
              </w:rPr>
              <w:t xml:space="preserve">; </w:t>
            </w:r>
            <w:hyperlink r:id="rId25" w:history="1">
              <w:r w:rsidRPr="00EE57B8">
                <w:rPr>
                  <w:rStyle w:val="Hyperlink"/>
                  <w:i/>
                  <w:iCs/>
                  <w:szCs w:val="24"/>
                  <w:lang w:val="es-ES"/>
                </w:rPr>
                <w:t>Examen final de las Metas de la CMSI</w:t>
              </w:r>
            </w:hyperlink>
            <w:r w:rsidRPr="00EE57B8">
              <w:rPr>
                <w:i/>
                <w:iCs/>
                <w:szCs w:val="24"/>
                <w:lang w:val="es-ES"/>
              </w:rPr>
              <w:t>;</w:t>
            </w:r>
            <w:r w:rsidRPr="00EE57B8">
              <w:rPr>
                <w:szCs w:val="24"/>
                <w:lang w:val="es-ES"/>
              </w:rPr>
              <w:t xml:space="preserve"> </w:t>
            </w:r>
            <w:hyperlink r:id="rId26" w:history="1">
              <w:r w:rsidRPr="00EE57B8">
                <w:rPr>
                  <w:rStyle w:val="Hyperlink"/>
                  <w:i/>
                  <w:iCs/>
                  <w:szCs w:val="24"/>
                  <w:lang w:val="es-ES"/>
                </w:rPr>
                <w:t>Informe de la CMSI+10: Contribución decenal de la UIT a la aplicación y seguimiento de la CMSI (2005−2014)</w:t>
              </w:r>
            </w:hyperlink>
            <w:r w:rsidRPr="00EE57B8">
              <w:rPr>
                <w:i/>
                <w:iCs/>
                <w:szCs w:val="24"/>
                <w:lang w:val="es-ES"/>
              </w:rPr>
              <w:t xml:space="preserve">; </w:t>
            </w:r>
            <w:hyperlink r:id="rId27" w:history="1">
              <w:r w:rsidRPr="00EE57B8">
                <w:rPr>
                  <w:rStyle w:val="Hyperlink"/>
                  <w:i/>
                  <w:iCs/>
                  <w:szCs w:val="24"/>
                  <w:lang w:val="es-ES"/>
                </w:rPr>
                <w:t>Roadmap for ITU's activities to help achieve the 2030 agenda for sustainable development</w:t>
              </w:r>
            </w:hyperlink>
            <w:r w:rsidRPr="00EE57B8">
              <w:rPr>
                <w:bCs/>
                <w:i/>
                <w:iCs/>
                <w:szCs w:val="24"/>
                <w:lang w:val="es-ES"/>
              </w:rPr>
              <w:t xml:space="preserve">; </w:t>
            </w:r>
            <w:bookmarkStart w:id="1" w:name="_Hlk132417791"/>
            <w:r w:rsidRPr="00EE57B8">
              <w:rPr>
                <w:i/>
                <w:iCs/>
                <w:szCs w:val="24"/>
                <w:u w:val="single"/>
              </w:rPr>
              <w:fldChar w:fldCharType="begin"/>
            </w:r>
            <w:r w:rsidRPr="00EE57B8">
              <w:rPr>
                <w:i/>
                <w:iCs/>
                <w:szCs w:val="24"/>
                <w:u w:val="single"/>
                <w:lang w:val="es-ES"/>
              </w:rPr>
              <w:instrText>HYPERLINK "https://www.itu.int/dms_pub/itu-s/md/22/cl/c/S22-CL-C-0059!!MSW-E.docx"</w:instrText>
            </w:r>
            <w:r w:rsidRPr="00EE57B8">
              <w:rPr>
                <w:i/>
                <w:iCs/>
                <w:szCs w:val="24"/>
                <w:u w:val="single"/>
              </w:rPr>
            </w:r>
            <w:r w:rsidRPr="00EE57B8">
              <w:rPr>
                <w:i/>
                <w:iCs/>
                <w:szCs w:val="24"/>
                <w:u w:val="single"/>
              </w:rPr>
              <w:fldChar w:fldCharType="separate"/>
            </w:r>
            <w:proofErr w:type="spellStart"/>
            <w:r w:rsidRPr="00EE57B8">
              <w:rPr>
                <w:rStyle w:val="Hyperlink"/>
                <w:i/>
                <w:iCs/>
                <w:szCs w:val="24"/>
                <w:lang w:val="es-ES"/>
              </w:rPr>
              <w:t>World</w:t>
            </w:r>
            <w:proofErr w:type="spellEnd"/>
            <w:r w:rsidRPr="00EE57B8">
              <w:rPr>
                <w:rStyle w:val="Hyperlink"/>
                <w:i/>
                <w:iCs/>
                <w:szCs w:val="24"/>
                <w:lang w:val="es-ES"/>
              </w:rPr>
              <w:t xml:space="preserve"> Summit </w:t>
            </w:r>
            <w:proofErr w:type="spellStart"/>
            <w:r w:rsidRPr="00EE57B8">
              <w:rPr>
                <w:rStyle w:val="Hyperlink"/>
                <w:i/>
                <w:iCs/>
                <w:szCs w:val="24"/>
                <w:lang w:val="es-ES"/>
              </w:rPr>
              <w:t>on</w:t>
            </w:r>
            <w:proofErr w:type="spellEnd"/>
            <w:r w:rsidRPr="00EE57B8">
              <w:rPr>
                <w:rStyle w:val="Hyperlink"/>
                <w:i/>
                <w:iCs/>
                <w:szCs w:val="24"/>
                <w:lang w:val="es-ES"/>
              </w:rPr>
              <w:t xml:space="preserve"> the </w:t>
            </w:r>
            <w:proofErr w:type="spellStart"/>
            <w:r w:rsidRPr="00EE57B8">
              <w:rPr>
                <w:rStyle w:val="Hyperlink"/>
                <w:i/>
                <w:iCs/>
                <w:szCs w:val="24"/>
                <w:lang w:val="es-ES"/>
              </w:rPr>
              <w:t>Information</w:t>
            </w:r>
            <w:proofErr w:type="spellEnd"/>
            <w:r w:rsidRPr="00EE57B8">
              <w:rPr>
                <w:rStyle w:val="Hyperlink"/>
                <w:i/>
                <w:iCs/>
                <w:szCs w:val="24"/>
                <w:lang w:val="es-ES"/>
              </w:rPr>
              <w:t xml:space="preserve"> </w:t>
            </w:r>
            <w:proofErr w:type="spellStart"/>
            <w:r w:rsidRPr="00EE57B8">
              <w:rPr>
                <w:rStyle w:val="Hyperlink"/>
                <w:i/>
                <w:iCs/>
                <w:szCs w:val="24"/>
                <w:lang w:val="es-ES"/>
              </w:rPr>
              <w:t>Society</w:t>
            </w:r>
            <w:proofErr w:type="spellEnd"/>
            <w:r w:rsidRPr="00EE57B8">
              <w:rPr>
                <w:rStyle w:val="Hyperlink"/>
                <w:i/>
                <w:iCs/>
                <w:szCs w:val="24"/>
                <w:lang w:val="es-ES"/>
              </w:rPr>
              <w:t xml:space="preserve"> (WSIS)+20: WSIS </w:t>
            </w:r>
            <w:proofErr w:type="spellStart"/>
            <w:r w:rsidRPr="00EE57B8">
              <w:rPr>
                <w:rStyle w:val="Hyperlink"/>
                <w:i/>
                <w:iCs/>
                <w:szCs w:val="24"/>
                <w:lang w:val="es-ES"/>
              </w:rPr>
              <w:t>beyond</w:t>
            </w:r>
            <w:proofErr w:type="spellEnd"/>
            <w:r w:rsidRPr="00EE57B8">
              <w:rPr>
                <w:rStyle w:val="Hyperlink"/>
                <w:i/>
                <w:iCs/>
                <w:szCs w:val="24"/>
                <w:lang w:val="es-ES"/>
              </w:rPr>
              <w:t xml:space="preserve"> 2025 WSIS+20 </w:t>
            </w:r>
            <w:proofErr w:type="spellStart"/>
            <w:r w:rsidRPr="00EE57B8">
              <w:rPr>
                <w:rStyle w:val="Hyperlink"/>
                <w:i/>
                <w:iCs/>
                <w:szCs w:val="24"/>
                <w:lang w:val="es-ES"/>
              </w:rPr>
              <w:t>roadmap</w:t>
            </w:r>
            <w:proofErr w:type="spellEnd"/>
            <w:r w:rsidRPr="00EE57B8">
              <w:rPr>
                <w:i/>
                <w:iCs/>
                <w:szCs w:val="24"/>
                <w:u w:val="single"/>
              </w:rPr>
              <w:fldChar w:fldCharType="end"/>
            </w:r>
            <w:r w:rsidRPr="00EE57B8">
              <w:rPr>
                <w:i/>
                <w:iCs/>
                <w:szCs w:val="24"/>
                <w:lang w:val="es-ES"/>
              </w:rPr>
              <w:t>;</w:t>
            </w:r>
            <w:bookmarkEnd w:id="1"/>
            <w:r w:rsidRPr="00EE57B8">
              <w:rPr>
                <w:i/>
                <w:iCs/>
                <w:szCs w:val="24"/>
                <w:lang w:val="es-ES"/>
              </w:rPr>
              <w:t xml:space="preserve"> </w:t>
            </w:r>
            <w:hyperlink r:id="rId28" w:history="1">
              <w:r w:rsidRPr="00EE57B8">
                <w:rPr>
                  <w:rStyle w:val="Hyperlink"/>
                  <w:i/>
                  <w:iCs/>
                  <w:szCs w:val="24"/>
                  <w:lang w:val="es-ES"/>
                </w:rPr>
                <w:t>Resultados de la Cumbre del Futuro</w:t>
              </w:r>
            </w:hyperlink>
            <w:r w:rsidRPr="00EE57B8">
              <w:rPr>
                <w:i/>
                <w:iCs/>
                <w:szCs w:val="24"/>
                <w:lang w:val="es-ES"/>
              </w:rPr>
              <w:t>;</w:t>
            </w:r>
            <w:r w:rsidRPr="00EE57B8">
              <w:rPr>
                <w:szCs w:val="24"/>
                <w:lang w:val="es-ES"/>
              </w:rPr>
              <w:t xml:space="preserve"> </w:t>
            </w:r>
            <w:r w:rsidRPr="00EE57B8">
              <w:rPr>
                <w:i/>
                <w:iCs/>
                <w:szCs w:val="24"/>
                <w:lang w:val="es-ES"/>
              </w:rPr>
              <w:t xml:space="preserve">Documento </w:t>
            </w:r>
            <w:hyperlink r:id="rId29" w:history="1">
              <w:r w:rsidRPr="00EE57B8">
                <w:rPr>
                  <w:rStyle w:val="Hyperlink"/>
                  <w:i/>
                  <w:iCs/>
                  <w:szCs w:val="24"/>
                  <w:lang w:val="es-ES"/>
                </w:rPr>
                <w:t>C25/61</w:t>
              </w:r>
            </w:hyperlink>
            <w:r w:rsidRPr="00EE57B8">
              <w:rPr>
                <w:szCs w:val="24"/>
                <w:lang w:val="es-ES"/>
              </w:rPr>
              <w:t xml:space="preserve"> </w:t>
            </w:r>
            <w:r w:rsidRPr="00EE57B8">
              <w:rPr>
                <w:i/>
                <w:iCs/>
                <w:szCs w:val="24"/>
                <w:lang w:val="es-ES"/>
              </w:rPr>
              <w:t>del Consejo, que contiene el Informe CMSI+20 sobre la contribución de la UIT a la aplicación y seguimiento de los resultados de la CMSI y su papel en la consecución de los ODS de la Secretaria General.</w:t>
            </w:r>
          </w:p>
        </w:tc>
      </w:tr>
    </w:tbl>
    <w:bookmarkEnd w:id="0"/>
    <w:p w14:paraId="1EF99071" w14:textId="77777777" w:rsidR="00EE57B8" w:rsidRPr="00081B86" w:rsidRDefault="00EE57B8" w:rsidP="00BE5E70">
      <w:pPr>
        <w:pStyle w:val="Heading1"/>
        <w:jc w:val="both"/>
      </w:pPr>
      <w:r w:rsidRPr="00081B86">
        <w:lastRenderedPageBreak/>
        <w:t>I</w:t>
      </w:r>
      <w:r w:rsidRPr="00081B86">
        <w:tab/>
        <w:t>Introduc</w:t>
      </w:r>
      <w:r>
        <w:t>ción</w:t>
      </w:r>
    </w:p>
    <w:p w14:paraId="67270CC0" w14:textId="77777777" w:rsidR="00EE57B8" w:rsidRPr="001A6D6F" w:rsidRDefault="00EE57B8" w:rsidP="00BE5E70">
      <w:pPr>
        <w:jc w:val="both"/>
        <w:rPr>
          <w:lang w:val="es-ES"/>
        </w:rPr>
      </w:pPr>
      <w:r w:rsidRPr="001A6D6F">
        <w:rPr>
          <w:lang w:val="es-ES"/>
        </w:rPr>
        <w:t xml:space="preserve">Tras la propuesta formulada por Túnez en la Conferencia de Plenipotenciarios de 1998, celebrada </w:t>
      </w:r>
      <w:r>
        <w:rPr>
          <w:lang w:val="es-ES"/>
        </w:rPr>
        <w:t>en Minneápolis, la UIT puso en marcha el proceso de la CMSI, en el que sigue desempeñando un papel capital organizando dada año el Foro de la CMSI y manteniendo al día la base de datos de inventario de la CMSI, entre otras cosas</w:t>
      </w:r>
      <w:r w:rsidRPr="001A6D6F">
        <w:rPr>
          <w:lang w:val="es-ES"/>
        </w:rPr>
        <w:t>.</w:t>
      </w:r>
    </w:p>
    <w:p w14:paraId="60210973" w14:textId="45F616D3" w:rsidR="00EE57B8" w:rsidRPr="001A6D6F" w:rsidRDefault="00EE57B8" w:rsidP="00BE5E70">
      <w:pPr>
        <w:jc w:val="both"/>
        <w:rPr>
          <w:lang w:val="es-ES"/>
        </w:rPr>
      </w:pPr>
      <w:r w:rsidRPr="001A6D6F">
        <w:rPr>
          <w:lang w:val="es-ES"/>
        </w:rPr>
        <w:t xml:space="preserve">En el Informe de la UIT (Documento C61 del Consejo de la UIT) se presenta un análisis detallado de los </w:t>
      </w:r>
      <w:r>
        <w:rPr>
          <w:lang w:val="es-ES"/>
        </w:rPr>
        <w:t>logros alcanzados y los problemas encontrados a lo largo de los últimos 20</w:t>
      </w:r>
      <w:r w:rsidR="00BE5E70">
        <w:rPr>
          <w:lang w:val="es-ES"/>
        </w:rPr>
        <w:t> </w:t>
      </w:r>
      <w:r>
        <w:rPr>
          <w:lang w:val="es-ES"/>
        </w:rPr>
        <w:t>años, que los Miembros pueden refrendar</w:t>
      </w:r>
      <w:r w:rsidRPr="001A6D6F">
        <w:rPr>
          <w:lang w:val="es-ES"/>
        </w:rPr>
        <w:t xml:space="preserve">. </w:t>
      </w:r>
    </w:p>
    <w:p w14:paraId="6E746999" w14:textId="77777777" w:rsidR="00EE57B8" w:rsidRPr="001A6D6F" w:rsidRDefault="00EE57B8" w:rsidP="00BE5E70">
      <w:pPr>
        <w:jc w:val="both"/>
        <w:rPr>
          <w:lang w:val="es-ES"/>
        </w:rPr>
      </w:pPr>
      <w:r w:rsidRPr="001A6D6F">
        <w:rPr>
          <w:lang w:val="es-ES"/>
        </w:rPr>
        <w:t>El principal objetivo de la CMSI era crear una sociedad de la información antropocéntrica, inclusiva y orientada al desarrollo en</w:t>
      </w:r>
      <w:r>
        <w:rPr>
          <w:lang w:val="es-ES"/>
        </w:rPr>
        <w:t xml:space="preserve"> la que cualquier persona pueda crear informaciones y conocimientos, acceder a ellos, utilizarlos y compartirlos. </w:t>
      </w:r>
      <w:r w:rsidRPr="001A6D6F">
        <w:rPr>
          <w:lang w:val="es-ES"/>
        </w:rPr>
        <w:t xml:space="preserve">Por desgracia este objetivo no se ha alcanzado en todo el mundo, pues sigue habiendo 2 600 millones de personas sin </w:t>
      </w:r>
      <w:r>
        <w:rPr>
          <w:lang w:val="es-ES"/>
        </w:rPr>
        <w:t xml:space="preserve">acceso a Internet. </w:t>
      </w:r>
      <w:r w:rsidRPr="001A6D6F">
        <w:rPr>
          <w:lang w:val="es-ES"/>
        </w:rPr>
        <w:t>El proceso de la CMSI está estrechamente ligado a la Agenda 2030 para el Desarrollo Sostenible y es un motor para el cumplimi</w:t>
      </w:r>
      <w:r>
        <w:rPr>
          <w:lang w:val="es-ES"/>
        </w:rPr>
        <w:t>ento de la misma</w:t>
      </w:r>
      <w:r w:rsidRPr="001A6D6F">
        <w:rPr>
          <w:lang w:val="es-ES"/>
        </w:rPr>
        <w:t>.</w:t>
      </w:r>
    </w:p>
    <w:p w14:paraId="03041736" w14:textId="77777777" w:rsidR="00EE57B8" w:rsidRPr="0074344A" w:rsidRDefault="00EE57B8" w:rsidP="00BE5E70">
      <w:pPr>
        <w:jc w:val="both"/>
        <w:rPr>
          <w:lang w:val="es-ES"/>
        </w:rPr>
      </w:pPr>
      <w:r w:rsidRPr="0074344A">
        <w:rPr>
          <w:lang w:val="es-ES"/>
        </w:rPr>
        <w:t xml:space="preserve">Se prestó especial atención al cierre de la brecha digital, en particular entre el Norte y el Sur, y al progreso en </w:t>
      </w:r>
      <w:r>
        <w:rPr>
          <w:lang w:val="es-ES"/>
        </w:rPr>
        <w:t>todos los aspectos, incluidos el geográfico y los relacionados con el género</w:t>
      </w:r>
      <w:r w:rsidRPr="0074344A">
        <w:rPr>
          <w:lang w:val="es-ES"/>
        </w:rPr>
        <w:t>.</w:t>
      </w:r>
    </w:p>
    <w:p w14:paraId="4EFB1336" w14:textId="77777777" w:rsidR="00EE57B8" w:rsidRPr="0074344A" w:rsidRDefault="00EE57B8" w:rsidP="00BE5E70">
      <w:pPr>
        <w:jc w:val="both"/>
        <w:rPr>
          <w:lang w:val="es-ES"/>
        </w:rPr>
      </w:pPr>
      <w:r w:rsidRPr="0074344A">
        <w:rPr>
          <w:lang w:val="es-ES"/>
        </w:rPr>
        <w:t xml:space="preserve">Desafortunadamente, aunque el cierre de la brecha digital experimenta mejoras en algunas esferas, en realidad se está ampliando con el </w:t>
      </w:r>
      <w:r>
        <w:rPr>
          <w:lang w:val="es-ES"/>
        </w:rPr>
        <w:t>advenimiento de tecnologías de la información nuevas e incipientes, incluida la inteligencia artificial</w:t>
      </w:r>
      <w:r w:rsidRPr="0074344A">
        <w:rPr>
          <w:lang w:val="es-ES"/>
        </w:rPr>
        <w:t>.</w:t>
      </w:r>
    </w:p>
    <w:p w14:paraId="111CD8FC" w14:textId="77777777" w:rsidR="00EE57B8" w:rsidRPr="0074344A" w:rsidRDefault="00EE57B8" w:rsidP="00BE5E70">
      <w:pPr>
        <w:jc w:val="both"/>
        <w:rPr>
          <w:lang w:val="es-ES"/>
        </w:rPr>
      </w:pPr>
      <w:r w:rsidRPr="0074344A">
        <w:rPr>
          <w:lang w:val="es-ES"/>
        </w:rPr>
        <w:t>El Secretario General de las Naciones Unidas estima que se ha alcanzado me</w:t>
      </w:r>
      <w:r>
        <w:rPr>
          <w:lang w:val="es-ES"/>
        </w:rPr>
        <w:t xml:space="preserve">nos de un cuarto de los ODS en los últimos diez años. </w:t>
      </w:r>
      <w:r w:rsidRPr="0074344A">
        <w:rPr>
          <w:lang w:val="es-ES"/>
        </w:rPr>
        <w:t xml:space="preserve">Además, la desconsideración de los intereses de los países en desarrollo </w:t>
      </w:r>
      <w:r>
        <w:rPr>
          <w:lang w:val="es-ES"/>
        </w:rPr>
        <w:t>supone un importante obstáculo a la hora de evaluar la implementación de los resultados de la Cumbre</w:t>
      </w:r>
      <w:r w:rsidRPr="0074344A">
        <w:rPr>
          <w:lang w:val="es-ES"/>
        </w:rPr>
        <w:t>.</w:t>
      </w:r>
    </w:p>
    <w:p w14:paraId="1ABD0847" w14:textId="77777777" w:rsidR="00EE57B8" w:rsidRPr="0074344A" w:rsidRDefault="00EE57B8" w:rsidP="00BE5E70">
      <w:pPr>
        <w:jc w:val="both"/>
        <w:rPr>
          <w:lang w:val="es-ES"/>
        </w:rPr>
      </w:pPr>
      <w:r w:rsidRPr="0074344A">
        <w:rPr>
          <w:lang w:val="es-ES"/>
        </w:rPr>
        <w:t>Consideramos que los objetivos del PDM están plenamente integrados en las Líneas de Acción de la CMSI, por lo que no es necesaria otra organización especializada que sólo llevarí</w:t>
      </w:r>
      <w:r>
        <w:rPr>
          <w:lang w:val="es-ES"/>
        </w:rPr>
        <w:t>a a la duplicación de esfuerzos y el gasto innecesario de fondos escasos, lo que ponen claramente de manifiesto las matrices CMSI-ODS y CMSI-ODS-PDM preparadas por la UIT y el Grupo de las Naciones sobre la Sociedad de la Información</w:t>
      </w:r>
      <w:r w:rsidRPr="0074344A">
        <w:rPr>
          <w:lang w:val="es-ES"/>
        </w:rPr>
        <w:t xml:space="preserve"> (UNGIS).</w:t>
      </w:r>
    </w:p>
    <w:p w14:paraId="60F33F44" w14:textId="77777777" w:rsidR="00EE57B8" w:rsidRPr="0074344A" w:rsidRDefault="00EE57B8" w:rsidP="00BE5E70">
      <w:pPr>
        <w:jc w:val="both"/>
        <w:rPr>
          <w:lang w:val="es-ES"/>
        </w:rPr>
      </w:pPr>
      <w:r w:rsidRPr="0074344A">
        <w:rPr>
          <w:lang w:val="es-ES"/>
        </w:rPr>
        <w:t>Debe, por tanto, abogarse por proseguir el proceso de la CMSI después de 2025 poniendo el acento en la seguridad y accesibilidad tecnológica de los productos digitales como base ne</w:t>
      </w:r>
      <w:r>
        <w:rPr>
          <w:lang w:val="es-ES"/>
        </w:rPr>
        <w:t>cesaria para la consecución de los ODS y el cumplimiento de los objetivos del PDM</w:t>
      </w:r>
      <w:r w:rsidRPr="0074344A">
        <w:rPr>
          <w:lang w:val="es-ES"/>
        </w:rPr>
        <w:t>.</w:t>
      </w:r>
    </w:p>
    <w:p w14:paraId="6ECF0BBC" w14:textId="77777777" w:rsidR="00EE57B8" w:rsidRPr="004B479B" w:rsidRDefault="00EE57B8" w:rsidP="00BE5E70">
      <w:pPr>
        <w:jc w:val="both"/>
        <w:rPr>
          <w:lang w:val="es-ES"/>
        </w:rPr>
      </w:pPr>
      <w:r w:rsidRPr="0074344A">
        <w:rPr>
          <w:lang w:val="es-ES"/>
        </w:rPr>
        <w:t>Reconocemos la ingente cantidad de trabajo invertida por la Secretaría en la preparación del Informe de la CMSI+20, y le agradecemos que haya tenido en cuenta los comentarios y sugerencias formulados por la Federación de</w:t>
      </w:r>
      <w:r>
        <w:rPr>
          <w:lang w:val="es-ES"/>
        </w:rPr>
        <w:t xml:space="preserve"> Rusia durante la reunión del GTC-CMSI+ODS</w:t>
      </w:r>
      <w:r w:rsidRPr="0074344A">
        <w:rPr>
          <w:lang w:val="es-ES"/>
        </w:rPr>
        <w:t xml:space="preserve">. </w:t>
      </w:r>
      <w:r w:rsidRPr="004B479B">
        <w:rPr>
          <w:lang w:val="es-ES"/>
        </w:rPr>
        <w:t xml:space="preserve">Al mismo tiempo, queremos señalar que, contrariamente a lo anunciado, el Informe presentado por la UIT a la reunión de la CCTD de las Naciones Unidas celebrada en abril no se ha publicado en el sitio web del GTC-CMSI+ODS, lo que podría </w:t>
      </w:r>
      <w:r>
        <w:rPr>
          <w:lang w:val="es-ES"/>
        </w:rPr>
        <w:t>por desgracia interpretarse como una exclusión de los Miembros de la UIT del debate sobre los documentos que la Secretaría envía a organizaciones externas</w:t>
      </w:r>
      <w:r w:rsidRPr="004B479B">
        <w:rPr>
          <w:lang w:val="es-ES"/>
        </w:rPr>
        <w:t>.</w:t>
      </w:r>
    </w:p>
    <w:p w14:paraId="18022B0D" w14:textId="77777777" w:rsidR="00EE57B8" w:rsidRPr="00081B86" w:rsidRDefault="00EE57B8" w:rsidP="00BE5E70">
      <w:pPr>
        <w:pStyle w:val="Heading1"/>
        <w:jc w:val="both"/>
      </w:pPr>
      <w:r w:rsidRPr="00081B86">
        <w:lastRenderedPageBreak/>
        <w:t>II</w:t>
      </w:r>
      <w:r w:rsidRPr="00081B86">
        <w:tab/>
        <w:t>Prop</w:t>
      </w:r>
      <w:r>
        <w:t>uestas</w:t>
      </w:r>
    </w:p>
    <w:p w14:paraId="263A6006" w14:textId="77777777" w:rsidR="00EE57B8" w:rsidRPr="004B479B" w:rsidRDefault="00EE57B8" w:rsidP="00BE5E70">
      <w:pPr>
        <w:jc w:val="both"/>
        <w:rPr>
          <w:lang w:val="es-ES"/>
        </w:rPr>
      </w:pPr>
      <w:r w:rsidRPr="004B479B">
        <w:rPr>
          <w:lang w:val="es-ES"/>
        </w:rPr>
        <w:t>2.1</w:t>
      </w:r>
      <w:r w:rsidRPr="004B479B">
        <w:rPr>
          <w:lang w:val="es-ES"/>
        </w:rPr>
        <w:tab/>
        <w:t>Refrendar el Informe CMSI+20 sobre la contribución de la UIT a la aplicación y seguimiento de los resultados de la CMSI y su papel en la consecución de los ODS de la Secretaria General y recomendar su presentación al Foro de la CMSI+20 en julio de 2025.</w:t>
      </w:r>
    </w:p>
    <w:p w14:paraId="288298E7" w14:textId="77777777" w:rsidR="00EE57B8" w:rsidRPr="004B479B" w:rsidRDefault="00EE57B8" w:rsidP="00BE5E70">
      <w:pPr>
        <w:jc w:val="both"/>
        <w:rPr>
          <w:lang w:val="es-ES"/>
        </w:rPr>
      </w:pPr>
      <w:r w:rsidRPr="004B479B">
        <w:rPr>
          <w:lang w:val="es-ES"/>
        </w:rPr>
        <w:t>2.2</w:t>
      </w:r>
      <w:r w:rsidRPr="004B479B">
        <w:rPr>
          <w:lang w:val="es-ES"/>
        </w:rPr>
        <w:tab/>
        <w:t>En caso de que el Informe se revise de acuerdo con los resultados del Foro de la CMSI, publicarla versión revisada en el sitio web del GTC-CMSI+ODS antes de enviarlo a la CCTD y las Naciones Un</w:t>
      </w:r>
      <w:r>
        <w:rPr>
          <w:lang w:val="es-ES"/>
        </w:rPr>
        <w:t>idas a fin de poder formular observaciones al respecto</w:t>
      </w:r>
      <w:r w:rsidRPr="004B479B">
        <w:rPr>
          <w:lang w:val="es-ES"/>
        </w:rPr>
        <w:t xml:space="preserve">. </w:t>
      </w:r>
    </w:p>
    <w:p w14:paraId="35309DC6" w14:textId="77777777" w:rsidR="00EE57B8" w:rsidRPr="004B479B" w:rsidRDefault="00EE57B8" w:rsidP="00BE5E70">
      <w:pPr>
        <w:jc w:val="both"/>
        <w:rPr>
          <w:lang w:val="es-ES"/>
        </w:rPr>
      </w:pPr>
      <w:r w:rsidRPr="004B479B">
        <w:rPr>
          <w:lang w:val="es-ES"/>
        </w:rPr>
        <w:t>2.3</w:t>
      </w:r>
      <w:r w:rsidRPr="004B479B">
        <w:rPr>
          <w:lang w:val="es-ES"/>
        </w:rPr>
        <w:tab/>
        <w:t xml:space="preserve">Apoyar que se sigan celebrando anualmente el Foro de la CMSI y el Foro sobre la Gobernanza de Internet (FGI) después de 2025 y aclarar el </w:t>
      </w:r>
      <w:r>
        <w:rPr>
          <w:lang w:val="es-ES"/>
        </w:rPr>
        <w:t>mandato del FGI en lo que respecta a la formulación de recomendaciones y documentos de carácter más práctico</w:t>
      </w:r>
      <w:r w:rsidRPr="004B479B">
        <w:rPr>
          <w:lang w:val="es-ES"/>
        </w:rPr>
        <w:t>.</w:t>
      </w:r>
    </w:p>
    <w:p w14:paraId="25219630" w14:textId="77777777" w:rsidR="00EE57B8" w:rsidRPr="004B479B" w:rsidRDefault="00EE57B8" w:rsidP="00BE5E70">
      <w:pPr>
        <w:jc w:val="both"/>
        <w:rPr>
          <w:lang w:val="es-ES"/>
        </w:rPr>
      </w:pPr>
      <w:r w:rsidRPr="004B479B">
        <w:rPr>
          <w:lang w:val="es-ES"/>
        </w:rPr>
        <w:t>2.4</w:t>
      </w:r>
      <w:r w:rsidRPr="004B479B">
        <w:rPr>
          <w:lang w:val="es-ES"/>
        </w:rPr>
        <w:tab/>
        <w:t xml:space="preserve">Utilizar las disposiciones de la Perspectiva de la CMSI+10 para la CMSI después de 2015 aprobadas en el Evento de Alto Nivel de la CMSI+10, celebrado en 2014, para definir la </w:t>
      </w:r>
      <w:r>
        <w:rPr>
          <w:lang w:val="es-ES"/>
        </w:rPr>
        <w:t>perspectiva de la CMSI después de 2025 con miras a la formulación de una Resolución de la AGNU en 2025, dada la pertinencia y relevancia de esas disposiciones en la presente situación</w:t>
      </w:r>
      <w:r w:rsidRPr="004B479B">
        <w:rPr>
          <w:lang w:val="es-ES"/>
        </w:rPr>
        <w:t>.</w:t>
      </w:r>
    </w:p>
    <w:p w14:paraId="70B7AD45" w14:textId="77777777" w:rsidR="00EE57B8" w:rsidRDefault="00EE57B8" w:rsidP="00411C49">
      <w:pPr>
        <w:pStyle w:val="Reasons"/>
      </w:pPr>
    </w:p>
    <w:p w14:paraId="517F1884" w14:textId="77777777" w:rsidR="00EE57B8" w:rsidRDefault="00EE57B8">
      <w:pPr>
        <w:jc w:val="center"/>
      </w:pPr>
      <w:r>
        <w:t>______________</w:t>
      </w:r>
    </w:p>
    <w:sectPr w:rsidR="00EE57B8" w:rsidSect="00C538FC">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A7EB9" w14:textId="77777777" w:rsidR="00EE57B8" w:rsidRDefault="00EE57B8">
      <w:r>
        <w:separator/>
      </w:r>
    </w:p>
  </w:endnote>
  <w:endnote w:type="continuationSeparator" w:id="0">
    <w:p w14:paraId="788D2921" w14:textId="77777777" w:rsidR="00EE57B8" w:rsidRDefault="00EE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3F56BC1C" w14:textId="77777777" w:rsidTr="00E31DCE">
      <w:trPr>
        <w:jc w:val="center"/>
      </w:trPr>
      <w:tc>
        <w:tcPr>
          <w:tcW w:w="1803" w:type="dxa"/>
          <w:vAlign w:val="center"/>
        </w:tcPr>
        <w:p w14:paraId="588F1572" w14:textId="6D3A594E" w:rsidR="003273A4" w:rsidRDefault="002946E2" w:rsidP="003273A4">
          <w:pPr>
            <w:pStyle w:val="Header"/>
            <w:jc w:val="left"/>
            <w:rPr>
              <w:noProof/>
            </w:rPr>
          </w:pPr>
          <w:r>
            <w:rPr>
              <w:noProof/>
            </w:rPr>
            <w:t xml:space="preserve">gDoc </w:t>
          </w:r>
          <w:r w:rsidR="0005434A">
            <w:rPr>
              <w:noProof/>
            </w:rPr>
            <w:t>2501344</w:t>
          </w:r>
        </w:p>
      </w:tc>
      <w:tc>
        <w:tcPr>
          <w:tcW w:w="8261" w:type="dxa"/>
        </w:tcPr>
        <w:p w14:paraId="0436A4A3" w14:textId="4E25A5D4"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05434A">
            <w:rPr>
              <w:bCs/>
            </w:rPr>
            <w:t>80</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D7B4F2A"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C0BE667" w14:textId="77777777" w:rsidTr="00E31DCE">
      <w:trPr>
        <w:jc w:val="center"/>
      </w:trPr>
      <w:tc>
        <w:tcPr>
          <w:tcW w:w="1803" w:type="dxa"/>
          <w:vAlign w:val="center"/>
        </w:tcPr>
        <w:p w14:paraId="1F2154F8"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5CC566F7" w14:textId="3B25AFE4"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BE5E70">
            <w:rPr>
              <w:bCs/>
            </w:rPr>
            <w:t>80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F92BAA3"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10F30" w14:textId="77777777" w:rsidR="00EE57B8" w:rsidRDefault="00EE57B8">
      <w:r>
        <w:t>____________________</w:t>
      </w:r>
    </w:p>
  </w:footnote>
  <w:footnote w:type="continuationSeparator" w:id="0">
    <w:p w14:paraId="5B2827C0" w14:textId="77777777" w:rsidR="00EE57B8" w:rsidRDefault="00EE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6E2FF879" w14:textId="77777777" w:rsidTr="00666D09">
      <w:trPr>
        <w:trHeight w:val="1104"/>
        <w:jc w:val="center"/>
      </w:trPr>
      <w:tc>
        <w:tcPr>
          <w:tcW w:w="5998" w:type="dxa"/>
          <w:vAlign w:val="center"/>
        </w:tcPr>
        <w:p w14:paraId="506F0F21"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3BD526E" wp14:editId="41103AA0">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4FA453CE" w14:textId="77777777" w:rsidR="00666D09" w:rsidRDefault="00666D09" w:rsidP="001559F5">
          <w:pPr>
            <w:pStyle w:val="Header"/>
            <w:jc w:val="right"/>
            <w:rPr>
              <w:rFonts w:ascii="Arial" w:hAnsi="Arial" w:cs="Arial"/>
              <w:b/>
              <w:bCs/>
              <w:color w:val="009CD6"/>
              <w:szCs w:val="18"/>
            </w:rPr>
          </w:pPr>
        </w:p>
      </w:tc>
    </w:tr>
  </w:tbl>
  <w:p w14:paraId="415C36B6"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6A5DEEC" wp14:editId="4465D28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33B9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B8"/>
    <w:rsid w:val="000007D1"/>
    <w:rsid w:val="0005434A"/>
    <w:rsid w:val="0006007D"/>
    <w:rsid w:val="00093EEB"/>
    <w:rsid w:val="000B0D00"/>
    <w:rsid w:val="000B7C15"/>
    <w:rsid w:val="000D1D0F"/>
    <w:rsid w:val="000E3F07"/>
    <w:rsid w:val="000F5290"/>
    <w:rsid w:val="0010165C"/>
    <w:rsid w:val="00146BFB"/>
    <w:rsid w:val="001559F5"/>
    <w:rsid w:val="00157AC4"/>
    <w:rsid w:val="0016169C"/>
    <w:rsid w:val="00163E63"/>
    <w:rsid w:val="001B6E2B"/>
    <w:rsid w:val="001F14A2"/>
    <w:rsid w:val="002801AA"/>
    <w:rsid w:val="002946E2"/>
    <w:rsid w:val="002C3F32"/>
    <w:rsid w:val="002C4676"/>
    <w:rsid w:val="002C70B0"/>
    <w:rsid w:val="002F3CC4"/>
    <w:rsid w:val="003032E2"/>
    <w:rsid w:val="0031300A"/>
    <w:rsid w:val="003273A4"/>
    <w:rsid w:val="0034796E"/>
    <w:rsid w:val="00473962"/>
    <w:rsid w:val="004B5D49"/>
    <w:rsid w:val="004D3A3C"/>
    <w:rsid w:val="00513630"/>
    <w:rsid w:val="00556426"/>
    <w:rsid w:val="00560125"/>
    <w:rsid w:val="00585553"/>
    <w:rsid w:val="005B34D9"/>
    <w:rsid w:val="005C2A80"/>
    <w:rsid w:val="005D0CCF"/>
    <w:rsid w:val="005F3BCB"/>
    <w:rsid w:val="005F410F"/>
    <w:rsid w:val="0060149A"/>
    <w:rsid w:val="00601924"/>
    <w:rsid w:val="006447EA"/>
    <w:rsid w:val="0064481D"/>
    <w:rsid w:val="0064731F"/>
    <w:rsid w:val="00664572"/>
    <w:rsid w:val="00666D09"/>
    <w:rsid w:val="006710F6"/>
    <w:rsid w:val="00677A97"/>
    <w:rsid w:val="006C1B56"/>
    <w:rsid w:val="006D4761"/>
    <w:rsid w:val="00726872"/>
    <w:rsid w:val="00760F1C"/>
    <w:rsid w:val="007657F0"/>
    <w:rsid w:val="0077110E"/>
    <w:rsid w:val="0077252D"/>
    <w:rsid w:val="007955DA"/>
    <w:rsid w:val="007E5DD3"/>
    <w:rsid w:val="007F350B"/>
    <w:rsid w:val="00820BE4"/>
    <w:rsid w:val="008451E8"/>
    <w:rsid w:val="008F6ABC"/>
    <w:rsid w:val="00913B9C"/>
    <w:rsid w:val="00927F93"/>
    <w:rsid w:val="00956E77"/>
    <w:rsid w:val="009A338E"/>
    <w:rsid w:val="009C47D5"/>
    <w:rsid w:val="009F4811"/>
    <w:rsid w:val="00A94438"/>
    <w:rsid w:val="00AA390C"/>
    <w:rsid w:val="00B0200A"/>
    <w:rsid w:val="00B060DF"/>
    <w:rsid w:val="00B574DB"/>
    <w:rsid w:val="00B826C2"/>
    <w:rsid w:val="00B8298E"/>
    <w:rsid w:val="00BB6FD8"/>
    <w:rsid w:val="00BD0723"/>
    <w:rsid w:val="00BD2518"/>
    <w:rsid w:val="00BE5E70"/>
    <w:rsid w:val="00BF1D1C"/>
    <w:rsid w:val="00C20C59"/>
    <w:rsid w:val="00C2727F"/>
    <w:rsid w:val="00C538FC"/>
    <w:rsid w:val="00C55B1F"/>
    <w:rsid w:val="00CF1A67"/>
    <w:rsid w:val="00D2750E"/>
    <w:rsid w:val="00D375E0"/>
    <w:rsid w:val="00D50A36"/>
    <w:rsid w:val="00D62446"/>
    <w:rsid w:val="00DA4EA2"/>
    <w:rsid w:val="00DA5C7D"/>
    <w:rsid w:val="00DC3D3E"/>
    <w:rsid w:val="00DE2C90"/>
    <w:rsid w:val="00DE3B24"/>
    <w:rsid w:val="00E06947"/>
    <w:rsid w:val="00E11319"/>
    <w:rsid w:val="00E21444"/>
    <w:rsid w:val="00E34072"/>
    <w:rsid w:val="00E3592D"/>
    <w:rsid w:val="00E50D76"/>
    <w:rsid w:val="00E8018B"/>
    <w:rsid w:val="00E92D6B"/>
    <w:rsid w:val="00E92DE8"/>
    <w:rsid w:val="00EB1212"/>
    <w:rsid w:val="00ED65AB"/>
    <w:rsid w:val="00EE57B8"/>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33E5E"/>
  <w15:docId w15:val="{EF2F3539-C026-4C3D-A11C-E1DCC753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超级链接,Style 58,超????,超?级链,하이퍼링크2,하이퍼링크21"/>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un.org/es/A/70/684" TargetMode="External"/><Relationship Id="rId18" Type="http://schemas.openxmlformats.org/officeDocument/2006/relationships/hyperlink" Target="https://www.itu.int/md/S24-CL-C-0141/es" TargetMode="External"/><Relationship Id="rId26" Type="http://schemas.openxmlformats.org/officeDocument/2006/relationships/hyperlink" Target="https://www.itu.int/en/itu-wsis/Documents/WSIS+10Report.pdf" TargetMode="External"/><Relationship Id="rId3" Type="http://schemas.openxmlformats.org/officeDocument/2006/relationships/webSettings" Target="webSettings.xml"/><Relationship Id="rId21" Type="http://schemas.openxmlformats.org/officeDocument/2006/relationships/hyperlink" Target="https://www.itu.int/pub/T-RES-T.75-2022/es" TargetMode="External"/><Relationship Id="rId34" Type="http://schemas.openxmlformats.org/officeDocument/2006/relationships/theme" Target="theme/theme1.xml"/><Relationship Id="rId7" Type="http://schemas.openxmlformats.org/officeDocument/2006/relationships/hyperlink" Target="https://docs.un.org/es/A/RES/70/125" TargetMode="External"/><Relationship Id="rId12" Type="http://schemas.openxmlformats.org/officeDocument/2006/relationships/hyperlink" Target="https://docs.un.org/es/A/RES/73/218" TargetMode="External"/><Relationship Id="rId17" Type="http://schemas.openxmlformats.org/officeDocument/2006/relationships/hyperlink" Target="https://www.itu.int/en/council/Documents/basic-texts-2023/RES-071-E.pdf" TargetMode="External"/><Relationship Id="rId25" Type="http://schemas.openxmlformats.org/officeDocument/2006/relationships/hyperlink" Target="https://www.itu.int/en/ITU-D/Statistics/Documents/publications/wsisreview2014/WSIS2014_review.pd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en/council/cwg-wsis/Documents/Resolution172-PP10.pdf" TargetMode="External"/><Relationship Id="rId20" Type="http://schemas.openxmlformats.org/officeDocument/2006/relationships/hyperlink" Target="https://www.itu.int/dms_pub/itu-d/opb/tdc/D-TDC-WTDC-2022-PDF-E.pdf" TargetMode="External"/><Relationship Id="rId29" Type="http://schemas.openxmlformats.org/officeDocument/2006/relationships/hyperlink" Target="https://www.itu.int/md/S25-CL-C-0061/es" TargetMode="External"/><Relationship Id="rId1" Type="http://schemas.openxmlformats.org/officeDocument/2006/relationships/styles" Target="styles.xml"/><Relationship Id="rId6" Type="http://schemas.openxmlformats.org/officeDocument/2006/relationships/hyperlink" Target="https://www.itu.int/en/council/cwg-wsis/Pages/default.aspx" TargetMode="External"/><Relationship Id="rId11" Type="http://schemas.openxmlformats.org/officeDocument/2006/relationships/hyperlink" Target="https://docs.un.org/es/A/RES/70/299" TargetMode="External"/><Relationship Id="rId24" Type="http://schemas.openxmlformats.org/officeDocument/2006/relationships/hyperlink" Target="https://www.itu.int/net/wsis/implementation/2014/forum/inc/doc/outcome/362828V2E.pdf"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en/council/Documents/basic-texts-2023/RES-140-E.pdf" TargetMode="External"/><Relationship Id="rId23" Type="http://schemas.openxmlformats.org/officeDocument/2006/relationships/hyperlink" Target="https://www.itu.int/net/wsis/implementation/2014/forum/inc/doc/outcome/362828V2E.pdf" TargetMode="External"/><Relationship Id="rId28" Type="http://schemas.openxmlformats.org/officeDocument/2006/relationships/hyperlink" Target="https://www.un.org/sites/un2.un.org/files/sotf-pact_for_the_future_adopted.pdf" TargetMode="External"/><Relationship Id="rId10" Type="http://schemas.openxmlformats.org/officeDocument/2006/relationships/hyperlink" Target="https://docs.un.org/es/A/RES/71/212" TargetMode="External"/><Relationship Id="rId19" Type="http://schemas.openxmlformats.org/officeDocument/2006/relationships/hyperlink" Target="https://www.itu.int/md/S23-CL-C-0120/es"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cuments-dds-ny.un.org/doc/UNDOC/GEN/N22/755/00/pdf/N2275500.pdf?OpenElement" TargetMode="External"/><Relationship Id="rId14" Type="http://schemas.openxmlformats.org/officeDocument/2006/relationships/hyperlink" Target="https://docs.un.org/es/E/RES/2024/13" TargetMode="External"/><Relationship Id="rId22" Type="http://schemas.openxmlformats.org/officeDocument/2006/relationships/hyperlink" Target="https://www.itu.int/pub/R-RES-R.61/es" TargetMode="External"/><Relationship Id="rId27" Type="http://schemas.openxmlformats.org/officeDocument/2006/relationships/hyperlink" Target="https://www.itu.int/md/S22-CWGWSIS38-C-0014/es" TargetMode="External"/><Relationship Id="rId30" Type="http://schemas.openxmlformats.org/officeDocument/2006/relationships/footer" Target="footer1.xml"/><Relationship Id="rId8" Type="http://schemas.openxmlformats.org/officeDocument/2006/relationships/hyperlink" Target="https://docs.un.org/es/A/RES/70/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1</TotalTime>
  <Pages>3</Pages>
  <Words>1066</Words>
  <Characters>7268</Characters>
  <Application>Microsoft Office Word</Application>
  <DocSecurity>0</DocSecurity>
  <Lines>60</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8318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Spanish</dc:creator>
  <cp:keywords>C2024, C24, Council-24</cp:keywords>
  <dc:description/>
  <cp:lastModifiedBy>GBS</cp:lastModifiedBy>
  <cp:revision>2</cp:revision>
  <cp:lastPrinted>2006-03-24T09:51:00Z</cp:lastPrinted>
  <dcterms:created xsi:type="dcterms:W3CDTF">2025-06-10T15:56:00Z</dcterms:created>
  <dcterms:modified xsi:type="dcterms:W3CDTF">2025-06-10T15:56:00Z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