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679" w:tblpY="2314"/>
        <w:tblW w:w="9356" w:type="dxa"/>
        <w:tblLayout w:type="fixed"/>
        <w:tblLook w:val="0000" w:firstRow="0" w:lastRow="0" w:firstColumn="0" w:lastColumn="0" w:noHBand="0" w:noVBand="0"/>
      </w:tblPr>
      <w:tblGrid>
        <w:gridCol w:w="4111"/>
        <w:gridCol w:w="5245"/>
      </w:tblGrid>
      <w:tr w:rsidR="00D72F49" w:rsidRPr="00C50286" w14:paraId="7A8FC4CA" w14:textId="77777777" w:rsidTr="00A103C9">
        <w:trPr>
          <w:cantSplit/>
          <w:trHeight w:val="23"/>
        </w:trPr>
        <w:tc>
          <w:tcPr>
            <w:tcW w:w="4111" w:type="dxa"/>
            <w:vMerge w:val="restart"/>
            <w:tcMar>
              <w:left w:w="0" w:type="dxa"/>
            </w:tcMar>
          </w:tcPr>
          <w:p w14:paraId="73E7E903" w14:textId="0D63DDFB" w:rsidR="00D72F49" w:rsidRPr="00C50286" w:rsidRDefault="00D72F49" w:rsidP="00A103C9">
            <w:pPr>
              <w:tabs>
                <w:tab w:val="left" w:pos="851"/>
              </w:tabs>
              <w:spacing w:before="0" w:line="240" w:lineRule="atLeast"/>
              <w:rPr>
                <w:b/>
              </w:rPr>
            </w:pPr>
            <w:r w:rsidRPr="00C50286">
              <w:rPr>
                <w:b/>
              </w:rPr>
              <w:t>Point de l'ordre du jour:</w:t>
            </w:r>
            <w:r w:rsidR="00A103C9" w:rsidRPr="00C50286">
              <w:rPr>
                <w:b/>
              </w:rPr>
              <w:t xml:space="preserve"> </w:t>
            </w:r>
            <w:proofErr w:type="spellStart"/>
            <w:r w:rsidR="00A103C9" w:rsidRPr="00C50286">
              <w:rPr>
                <w:b/>
              </w:rPr>
              <w:t>PL3</w:t>
            </w:r>
            <w:proofErr w:type="spellEnd"/>
          </w:p>
        </w:tc>
        <w:tc>
          <w:tcPr>
            <w:tcW w:w="5245" w:type="dxa"/>
          </w:tcPr>
          <w:p w14:paraId="22E306FC" w14:textId="122B1B1D" w:rsidR="00D72F49" w:rsidRPr="00C50286" w:rsidRDefault="00D72F49" w:rsidP="00A103C9">
            <w:pPr>
              <w:tabs>
                <w:tab w:val="left" w:pos="851"/>
              </w:tabs>
              <w:spacing w:before="0" w:line="240" w:lineRule="atLeast"/>
              <w:jc w:val="right"/>
              <w:rPr>
                <w:b/>
              </w:rPr>
            </w:pPr>
            <w:r w:rsidRPr="00C50286">
              <w:rPr>
                <w:b/>
              </w:rPr>
              <w:t xml:space="preserve">Document </w:t>
            </w:r>
            <w:proofErr w:type="spellStart"/>
            <w:r w:rsidRPr="00C50286">
              <w:rPr>
                <w:b/>
              </w:rPr>
              <w:t>C2</w:t>
            </w:r>
            <w:r w:rsidR="00FC6D7D" w:rsidRPr="00C50286">
              <w:rPr>
                <w:b/>
              </w:rPr>
              <w:t>5</w:t>
            </w:r>
            <w:proofErr w:type="spellEnd"/>
            <w:r w:rsidRPr="00C50286">
              <w:rPr>
                <w:b/>
              </w:rPr>
              <w:t>/</w:t>
            </w:r>
            <w:r w:rsidR="00A103C9" w:rsidRPr="00C50286">
              <w:rPr>
                <w:b/>
              </w:rPr>
              <w:t>79</w:t>
            </w:r>
            <w:r w:rsidRPr="00C50286">
              <w:rPr>
                <w:b/>
              </w:rPr>
              <w:t>-F</w:t>
            </w:r>
          </w:p>
        </w:tc>
      </w:tr>
      <w:tr w:rsidR="00D72F49" w:rsidRPr="00C50286" w14:paraId="3644BA82" w14:textId="77777777" w:rsidTr="00A103C9">
        <w:trPr>
          <w:cantSplit/>
        </w:trPr>
        <w:tc>
          <w:tcPr>
            <w:tcW w:w="4111" w:type="dxa"/>
            <w:vMerge/>
          </w:tcPr>
          <w:p w14:paraId="787D7204" w14:textId="77777777" w:rsidR="00D72F49" w:rsidRPr="00C50286" w:rsidRDefault="00D72F49" w:rsidP="00A103C9">
            <w:pPr>
              <w:tabs>
                <w:tab w:val="left" w:pos="851"/>
              </w:tabs>
              <w:spacing w:line="240" w:lineRule="atLeast"/>
              <w:rPr>
                <w:b/>
              </w:rPr>
            </w:pPr>
          </w:p>
        </w:tc>
        <w:tc>
          <w:tcPr>
            <w:tcW w:w="5245" w:type="dxa"/>
          </w:tcPr>
          <w:p w14:paraId="7F8BEE5F" w14:textId="611C9AE6" w:rsidR="00D72F49" w:rsidRPr="00C50286" w:rsidRDefault="000B2A51" w:rsidP="00A103C9">
            <w:pPr>
              <w:tabs>
                <w:tab w:val="left" w:pos="851"/>
              </w:tabs>
              <w:spacing w:before="0"/>
              <w:jc w:val="right"/>
              <w:rPr>
                <w:b/>
              </w:rPr>
            </w:pPr>
            <w:r w:rsidRPr="00C50286">
              <w:rPr>
                <w:b/>
              </w:rPr>
              <w:t>31 mai 2025</w:t>
            </w:r>
          </w:p>
        </w:tc>
      </w:tr>
      <w:tr w:rsidR="00D72F49" w:rsidRPr="00C50286" w14:paraId="373FB027" w14:textId="77777777" w:rsidTr="00A103C9">
        <w:trPr>
          <w:cantSplit/>
          <w:trHeight w:val="23"/>
        </w:trPr>
        <w:tc>
          <w:tcPr>
            <w:tcW w:w="4111" w:type="dxa"/>
            <w:vMerge/>
          </w:tcPr>
          <w:p w14:paraId="05B3DAC8" w14:textId="77777777" w:rsidR="00D72F49" w:rsidRPr="00C50286" w:rsidRDefault="00D72F49" w:rsidP="00A103C9">
            <w:pPr>
              <w:tabs>
                <w:tab w:val="left" w:pos="851"/>
              </w:tabs>
              <w:spacing w:line="240" w:lineRule="atLeast"/>
              <w:rPr>
                <w:b/>
              </w:rPr>
            </w:pPr>
          </w:p>
        </w:tc>
        <w:tc>
          <w:tcPr>
            <w:tcW w:w="5245" w:type="dxa"/>
          </w:tcPr>
          <w:p w14:paraId="5FDCDE0E" w14:textId="570FCB96" w:rsidR="00D72F49" w:rsidRPr="00C50286" w:rsidRDefault="00D72F49" w:rsidP="00A103C9">
            <w:pPr>
              <w:tabs>
                <w:tab w:val="left" w:pos="851"/>
              </w:tabs>
              <w:spacing w:before="0" w:line="240" w:lineRule="atLeast"/>
              <w:jc w:val="right"/>
              <w:rPr>
                <w:b/>
              </w:rPr>
            </w:pPr>
            <w:r w:rsidRPr="00C50286">
              <w:rPr>
                <w:b/>
              </w:rPr>
              <w:t xml:space="preserve">Original: </w:t>
            </w:r>
            <w:r w:rsidR="001E4C67" w:rsidRPr="00C50286">
              <w:rPr>
                <w:b/>
              </w:rPr>
              <w:t>russe</w:t>
            </w:r>
          </w:p>
        </w:tc>
      </w:tr>
      <w:tr w:rsidR="00D72F49" w:rsidRPr="00C50286" w14:paraId="3FA47F16" w14:textId="77777777" w:rsidTr="00A103C9">
        <w:trPr>
          <w:cantSplit/>
          <w:trHeight w:val="23"/>
        </w:trPr>
        <w:tc>
          <w:tcPr>
            <w:tcW w:w="4111" w:type="dxa"/>
          </w:tcPr>
          <w:p w14:paraId="2155A5AE" w14:textId="77777777" w:rsidR="00D72F49" w:rsidRPr="00C50286" w:rsidRDefault="00D72F49" w:rsidP="00A103C9">
            <w:pPr>
              <w:tabs>
                <w:tab w:val="left" w:pos="851"/>
              </w:tabs>
              <w:spacing w:line="240" w:lineRule="atLeast"/>
              <w:rPr>
                <w:b/>
              </w:rPr>
            </w:pPr>
          </w:p>
        </w:tc>
        <w:tc>
          <w:tcPr>
            <w:tcW w:w="5245" w:type="dxa"/>
          </w:tcPr>
          <w:p w14:paraId="6DC1D20F" w14:textId="77777777" w:rsidR="00D72F49" w:rsidRPr="00C50286" w:rsidRDefault="00D72F49" w:rsidP="00A103C9">
            <w:pPr>
              <w:tabs>
                <w:tab w:val="left" w:pos="851"/>
              </w:tabs>
              <w:spacing w:before="0" w:line="240" w:lineRule="atLeast"/>
              <w:jc w:val="right"/>
              <w:rPr>
                <w:b/>
              </w:rPr>
            </w:pPr>
          </w:p>
        </w:tc>
      </w:tr>
      <w:tr w:rsidR="00D72F49" w:rsidRPr="00C50286" w14:paraId="017B5928" w14:textId="77777777" w:rsidTr="00A103C9">
        <w:trPr>
          <w:cantSplit/>
        </w:trPr>
        <w:tc>
          <w:tcPr>
            <w:tcW w:w="9356" w:type="dxa"/>
            <w:gridSpan w:val="2"/>
            <w:tcMar>
              <w:left w:w="0" w:type="dxa"/>
            </w:tcMar>
          </w:tcPr>
          <w:p w14:paraId="24AC4FBA" w14:textId="4CA31AAE" w:rsidR="00D72F49" w:rsidRPr="00C50286" w:rsidRDefault="00A103C9" w:rsidP="00A103C9">
            <w:pPr>
              <w:pStyle w:val="Source"/>
              <w:jc w:val="left"/>
              <w:rPr>
                <w:sz w:val="34"/>
                <w:szCs w:val="34"/>
              </w:rPr>
            </w:pPr>
            <w:r w:rsidRPr="00C50286">
              <w:rPr>
                <w:rFonts w:cstheme="minorHAnsi"/>
                <w:color w:val="000000"/>
                <w:sz w:val="34"/>
                <w:szCs w:val="34"/>
              </w:rPr>
              <w:t>Contribution de la Fédération de Russie</w:t>
            </w:r>
          </w:p>
        </w:tc>
      </w:tr>
      <w:tr w:rsidR="00D72F49" w:rsidRPr="00C50286" w14:paraId="596CE26A" w14:textId="77777777" w:rsidTr="00A103C9">
        <w:trPr>
          <w:cantSplit/>
        </w:trPr>
        <w:tc>
          <w:tcPr>
            <w:tcW w:w="9356" w:type="dxa"/>
            <w:gridSpan w:val="2"/>
            <w:tcMar>
              <w:left w:w="0" w:type="dxa"/>
            </w:tcMar>
          </w:tcPr>
          <w:p w14:paraId="74180B0D" w14:textId="488D2B05" w:rsidR="00D72F49" w:rsidRPr="00C50286" w:rsidRDefault="007B1182" w:rsidP="00A103C9">
            <w:pPr>
              <w:pStyle w:val="Subtitle"/>
              <w:framePr w:hSpace="0" w:wrap="auto" w:hAnchor="text" w:xAlign="left" w:yAlign="inline"/>
              <w:rPr>
                <w:sz w:val="32"/>
                <w:szCs w:val="32"/>
                <w:lang w:val="fr-FR"/>
              </w:rPr>
            </w:pPr>
            <w:r w:rsidRPr="00C50286">
              <w:rPr>
                <w:rFonts w:cstheme="minorHAnsi"/>
                <w:sz w:val="32"/>
                <w:szCs w:val="32"/>
                <w:lang w:val="fr-FR"/>
              </w:rPr>
              <w:t>RATIONALISATION DES RÉSOLUTIONS DE LA CONFÉRENCE DE PLÉNIPOTENTIAIRES ET DES SECTEURS</w:t>
            </w:r>
          </w:p>
        </w:tc>
      </w:tr>
      <w:tr w:rsidR="00D72F49" w:rsidRPr="00C50286" w14:paraId="5989A854" w14:textId="77777777" w:rsidTr="00A103C9">
        <w:trPr>
          <w:cantSplit/>
        </w:trPr>
        <w:tc>
          <w:tcPr>
            <w:tcW w:w="9356" w:type="dxa"/>
            <w:gridSpan w:val="2"/>
            <w:tcBorders>
              <w:top w:val="single" w:sz="4" w:space="0" w:color="auto"/>
              <w:bottom w:val="single" w:sz="4" w:space="0" w:color="auto"/>
            </w:tcBorders>
            <w:tcMar>
              <w:left w:w="0" w:type="dxa"/>
            </w:tcMar>
          </w:tcPr>
          <w:p w14:paraId="4136E914" w14:textId="77777777" w:rsidR="00D72F49" w:rsidRPr="00C50286" w:rsidRDefault="00F37FE5" w:rsidP="00A103C9">
            <w:pPr>
              <w:spacing w:before="160"/>
              <w:rPr>
                <w:b/>
                <w:bCs/>
                <w:sz w:val="26"/>
                <w:szCs w:val="26"/>
              </w:rPr>
            </w:pPr>
            <w:r w:rsidRPr="00C50286">
              <w:rPr>
                <w:b/>
                <w:bCs/>
                <w:sz w:val="26"/>
                <w:szCs w:val="26"/>
              </w:rPr>
              <w:t>Objet</w:t>
            </w:r>
          </w:p>
          <w:p w14:paraId="729885AB" w14:textId="2BDC2B1F" w:rsidR="00D72F49" w:rsidRPr="00C50286" w:rsidRDefault="00A103C9" w:rsidP="00A103C9">
            <w:r w:rsidRPr="00C50286">
              <w:t>Dans la présente contribution, il est proposé de poursuivre les travaux visant à rationaliser les Résolutions de l</w:t>
            </w:r>
            <w:r w:rsidR="001E4C67" w:rsidRPr="00C50286">
              <w:t>'</w:t>
            </w:r>
            <w:r w:rsidRPr="00C50286">
              <w:t>AR/de l</w:t>
            </w:r>
            <w:r w:rsidR="001E4C67" w:rsidRPr="00C50286">
              <w:t>'</w:t>
            </w:r>
            <w:proofErr w:type="spellStart"/>
            <w:r w:rsidRPr="00C50286">
              <w:t>AMNT</w:t>
            </w:r>
            <w:proofErr w:type="spellEnd"/>
            <w:r w:rsidRPr="00C50286">
              <w:t xml:space="preserve">/de la </w:t>
            </w:r>
            <w:proofErr w:type="spellStart"/>
            <w:r w:rsidRPr="00C50286">
              <w:t>CMDT</w:t>
            </w:r>
            <w:proofErr w:type="spellEnd"/>
            <w:r w:rsidRPr="00C50286">
              <w:t xml:space="preserve"> sur la base des Résolutions pertinentes de la Conférence de plénipotentiaires.</w:t>
            </w:r>
          </w:p>
          <w:p w14:paraId="604CF66B" w14:textId="77777777" w:rsidR="00D72F49" w:rsidRPr="00C50286" w:rsidRDefault="00D72F49" w:rsidP="00A103C9">
            <w:pPr>
              <w:spacing w:before="160"/>
              <w:rPr>
                <w:b/>
                <w:bCs/>
                <w:sz w:val="26"/>
                <w:szCs w:val="26"/>
              </w:rPr>
            </w:pPr>
            <w:proofErr w:type="gramStart"/>
            <w:r w:rsidRPr="00C50286">
              <w:rPr>
                <w:b/>
                <w:bCs/>
                <w:sz w:val="26"/>
                <w:szCs w:val="26"/>
              </w:rPr>
              <w:t>Suite à</w:t>
            </w:r>
            <w:proofErr w:type="gramEnd"/>
            <w:r w:rsidRPr="00C50286">
              <w:rPr>
                <w:b/>
                <w:bCs/>
                <w:sz w:val="26"/>
                <w:szCs w:val="26"/>
              </w:rPr>
              <w:t xml:space="preserve"> donner par le Conseil</w:t>
            </w:r>
          </w:p>
          <w:p w14:paraId="0396461C" w14:textId="6B867DE6" w:rsidR="00D72F49" w:rsidRPr="00C50286" w:rsidRDefault="00A103C9" w:rsidP="00A103C9">
            <w:r w:rsidRPr="00C50286">
              <w:t xml:space="preserve">Le Conseil est invité à </w:t>
            </w:r>
            <w:r w:rsidRPr="00C50286">
              <w:rPr>
                <w:b/>
                <w:bCs/>
              </w:rPr>
              <w:t>examiner</w:t>
            </w:r>
            <w:r w:rsidRPr="00C50286">
              <w:t xml:space="preserve"> les propositions et à prendre les mesures appropriées.</w:t>
            </w:r>
          </w:p>
          <w:p w14:paraId="157256C3" w14:textId="77777777" w:rsidR="00D72F49" w:rsidRPr="00C50286" w:rsidRDefault="00D72F49" w:rsidP="00A103C9">
            <w:pPr>
              <w:spacing w:before="160"/>
              <w:rPr>
                <w:caps/>
                <w:sz w:val="22"/>
              </w:rPr>
            </w:pPr>
            <w:r w:rsidRPr="00C50286">
              <w:rPr>
                <w:sz w:val="22"/>
              </w:rPr>
              <w:t>__________________</w:t>
            </w:r>
          </w:p>
          <w:p w14:paraId="5E774523" w14:textId="77777777" w:rsidR="00D72F49" w:rsidRPr="00C50286" w:rsidRDefault="00D72F49" w:rsidP="00A103C9">
            <w:pPr>
              <w:spacing w:before="160"/>
              <w:rPr>
                <w:b/>
                <w:bCs/>
                <w:sz w:val="26"/>
                <w:szCs w:val="26"/>
              </w:rPr>
            </w:pPr>
            <w:r w:rsidRPr="00C50286">
              <w:rPr>
                <w:b/>
                <w:bCs/>
                <w:sz w:val="26"/>
                <w:szCs w:val="26"/>
              </w:rPr>
              <w:t>Références</w:t>
            </w:r>
          </w:p>
          <w:p w14:paraId="20A448CD" w14:textId="7C5CD581" w:rsidR="00D72F49" w:rsidRPr="007B1182" w:rsidRDefault="00A103C9" w:rsidP="00A103C9">
            <w:pPr>
              <w:spacing w:after="160"/>
              <w:rPr>
                <w:i/>
                <w:iCs/>
                <w:sz w:val="22"/>
                <w:szCs w:val="22"/>
              </w:rPr>
            </w:pPr>
            <w:r w:rsidRPr="007B1182">
              <w:rPr>
                <w:rStyle w:val="Hyperlink"/>
                <w:i/>
                <w:iCs/>
                <w:sz w:val="22"/>
              </w:rPr>
              <w:t xml:space="preserve">Document </w:t>
            </w:r>
            <w:hyperlink r:id="rId6" w:history="1">
              <w:proofErr w:type="spellStart"/>
              <w:r w:rsidRPr="007B1182">
                <w:rPr>
                  <w:rStyle w:val="Hyperlink"/>
                  <w:rFonts w:asciiTheme="minorHAnsi" w:hAnsiTheme="minorHAnsi" w:cstheme="minorHAnsi"/>
                  <w:i/>
                  <w:iCs/>
                  <w:sz w:val="22"/>
                </w:rPr>
                <w:t>C25</w:t>
              </w:r>
              <w:proofErr w:type="spellEnd"/>
              <w:r w:rsidRPr="007B1182">
                <w:rPr>
                  <w:rStyle w:val="Hyperlink"/>
                  <w:rFonts w:asciiTheme="minorHAnsi" w:hAnsiTheme="minorHAnsi" w:cstheme="minorHAnsi"/>
                  <w:i/>
                  <w:iCs/>
                  <w:sz w:val="22"/>
                </w:rPr>
                <w:t>/29</w:t>
              </w:r>
            </w:hyperlink>
            <w:r w:rsidR="001E4C67" w:rsidRPr="007B1182">
              <w:rPr>
                <w:i/>
                <w:iCs/>
                <w:sz w:val="22"/>
                <w:szCs w:val="22"/>
              </w:rPr>
              <w:t>;</w:t>
            </w:r>
            <w:r w:rsidRPr="007B1182">
              <w:rPr>
                <w:i/>
                <w:iCs/>
                <w:sz w:val="22"/>
                <w:szCs w:val="22"/>
              </w:rPr>
              <w:t xml:space="preserve"> </w:t>
            </w:r>
            <w:hyperlink r:id="rId7" w:history="1">
              <w:r w:rsidRPr="007B1182">
                <w:rPr>
                  <w:rStyle w:val="Hyperlink"/>
                  <w:rFonts w:asciiTheme="minorHAnsi" w:hAnsiTheme="minorHAnsi" w:cstheme="minorHAnsi"/>
                  <w:i/>
                  <w:iCs/>
                  <w:sz w:val="22"/>
                </w:rPr>
                <w:t>Tableau de mise en correspondance des Résolutions de la PP, de l'AR, de la CMR, de l'</w:t>
              </w:r>
              <w:proofErr w:type="spellStart"/>
              <w:r w:rsidRPr="007B1182">
                <w:rPr>
                  <w:rStyle w:val="Hyperlink"/>
                  <w:rFonts w:asciiTheme="minorHAnsi" w:hAnsiTheme="minorHAnsi" w:cstheme="minorHAnsi"/>
                  <w:i/>
                  <w:iCs/>
                  <w:sz w:val="22"/>
                </w:rPr>
                <w:t>AMNT</w:t>
              </w:r>
              <w:proofErr w:type="spellEnd"/>
              <w:r w:rsidRPr="007B1182">
                <w:rPr>
                  <w:rStyle w:val="Hyperlink"/>
                  <w:rFonts w:asciiTheme="minorHAnsi" w:hAnsiTheme="minorHAnsi" w:cstheme="minorHAnsi"/>
                  <w:i/>
                  <w:iCs/>
                  <w:sz w:val="22"/>
                </w:rPr>
                <w:t xml:space="preserve"> et de la </w:t>
              </w:r>
              <w:proofErr w:type="spellStart"/>
              <w:r w:rsidRPr="007B1182">
                <w:rPr>
                  <w:rStyle w:val="Hyperlink"/>
                  <w:rFonts w:asciiTheme="minorHAnsi" w:hAnsiTheme="minorHAnsi" w:cstheme="minorHAnsi"/>
                  <w:i/>
                  <w:iCs/>
                  <w:sz w:val="22"/>
                </w:rPr>
                <w:t>CMDT</w:t>
              </w:r>
              <w:proofErr w:type="spellEnd"/>
              <w:r w:rsidRPr="007B1182">
                <w:rPr>
                  <w:rStyle w:val="Hyperlink"/>
                  <w:rFonts w:asciiTheme="minorHAnsi" w:hAnsiTheme="minorHAnsi" w:cstheme="minorHAnsi"/>
                  <w:i/>
                  <w:iCs/>
                  <w:sz w:val="22"/>
                </w:rPr>
                <w:t xml:space="preserve"> établi par le Groupe </w:t>
              </w:r>
              <w:proofErr w:type="spellStart"/>
              <w:r w:rsidRPr="007B1182">
                <w:rPr>
                  <w:rStyle w:val="Hyperlink"/>
                  <w:rFonts w:asciiTheme="minorHAnsi" w:hAnsiTheme="minorHAnsi" w:cstheme="minorHAnsi"/>
                  <w:i/>
                  <w:iCs/>
                  <w:sz w:val="22"/>
                </w:rPr>
                <w:t>ISCG</w:t>
              </w:r>
              <w:proofErr w:type="spellEnd"/>
            </w:hyperlink>
            <w:r w:rsidR="00C50286" w:rsidRPr="007B1182">
              <w:rPr>
                <w:sz w:val="22"/>
                <w:szCs w:val="22"/>
              </w:rPr>
              <w:t>.</w:t>
            </w:r>
          </w:p>
        </w:tc>
      </w:tr>
    </w:tbl>
    <w:p w14:paraId="01319FEE" w14:textId="77777777" w:rsidR="00A51849" w:rsidRPr="00C50286" w:rsidRDefault="00A51849">
      <w:pPr>
        <w:tabs>
          <w:tab w:val="clear" w:pos="567"/>
          <w:tab w:val="clear" w:pos="1134"/>
          <w:tab w:val="clear" w:pos="1701"/>
          <w:tab w:val="clear" w:pos="2268"/>
          <w:tab w:val="clear" w:pos="2835"/>
        </w:tabs>
        <w:overflowPunct/>
        <w:autoSpaceDE/>
        <w:autoSpaceDN/>
        <w:adjustRightInd/>
        <w:spacing w:before="0"/>
        <w:textAlignment w:val="auto"/>
      </w:pPr>
      <w:r w:rsidRPr="00C50286">
        <w:br w:type="page"/>
      </w:r>
    </w:p>
    <w:p w14:paraId="587EF109" w14:textId="77777777" w:rsidR="0092518A" w:rsidRPr="00C50286" w:rsidRDefault="0092518A" w:rsidP="0092518A">
      <w:pPr>
        <w:pStyle w:val="Heading1"/>
      </w:pPr>
      <w:r w:rsidRPr="00C50286">
        <w:lastRenderedPageBreak/>
        <w:t>I</w:t>
      </w:r>
      <w:r w:rsidRPr="00C50286">
        <w:tab/>
        <w:t>Introduction</w:t>
      </w:r>
    </w:p>
    <w:p w14:paraId="541DBB3D" w14:textId="12A68F08" w:rsidR="0092518A" w:rsidRPr="00C50286" w:rsidRDefault="0092518A" w:rsidP="007B1182">
      <w:pPr>
        <w:jc w:val="both"/>
        <w:rPr>
          <w:lang w:eastAsia="ko-KR"/>
        </w:rPr>
      </w:pPr>
      <w:r w:rsidRPr="00C50286">
        <w:rPr>
          <w:lang w:eastAsia="ko-KR"/>
        </w:rPr>
        <w:t xml:space="preserve">Conformément à son mandat qui est de poursuivre le travail de mise en correspondance des Résolutions et Décisions en vue </w:t>
      </w:r>
      <w:r w:rsidR="00BE496E" w:rsidRPr="00C50286">
        <w:rPr>
          <w:lang w:eastAsia="ko-KR"/>
        </w:rPr>
        <w:t>d'harmoniser</w:t>
      </w:r>
      <w:r w:rsidRPr="00C50286">
        <w:rPr>
          <w:lang w:eastAsia="ko-KR"/>
        </w:rPr>
        <w:t xml:space="preserve"> les résultats de la Conférence de plénipotentiaires (PP), le Groupe de travail du Conseil sur les ressources financières et les ressources humaines (</w:t>
      </w:r>
      <w:proofErr w:type="spellStart"/>
      <w:r w:rsidRPr="00C50286">
        <w:rPr>
          <w:lang w:eastAsia="ko-KR"/>
        </w:rPr>
        <w:t>GTC-FHR</w:t>
      </w:r>
      <w:proofErr w:type="spellEnd"/>
      <w:r w:rsidRPr="00C50286">
        <w:rPr>
          <w:lang w:eastAsia="ko-KR"/>
        </w:rPr>
        <w:t>) a élaboré des lignes directrices relatives à l'harmonisation des Résolutions et des Décisions de la PP, qui donne</w:t>
      </w:r>
      <w:r w:rsidR="00BE496E" w:rsidRPr="00C50286">
        <w:rPr>
          <w:lang w:eastAsia="ko-KR"/>
        </w:rPr>
        <w:t>nt</w:t>
      </w:r>
      <w:r w:rsidRPr="00C50286">
        <w:rPr>
          <w:lang w:eastAsia="ko-KR"/>
        </w:rPr>
        <w:t xml:space="preserve"> des orientations pour élaborer les Résolutions de la PP. Toutefois, le Document 29 ne traite pas de la question de l'harmonisation des Résolutions de la PP </w:t>
      </w:r>
      <w:r w:rsidR="00BE496E" w:rsidRPr="00C50286">
        <w:rPr>
          <w:lang w:eastAsia="ko-KR"/>
        </w:rPr>
        <w:t>avec</w:t>
      </w:r>
      <w:r w:rsidRPr="00C50286">
        <w:rPr>
          <w:lang w:eastAsia="ko-KR"/>
        </w:rPr>
        <w:t xml:space="preserve"> celles adoptées par les Secteurs de l'UIT.</w:t>
      </w:r>
    </w:p>
    <w:p w14:paraId="46729BBC" w14:textId="7115FD97" w:rsidR="0092518A" w:rsidRPr="00C50286" w:rsidRDefault="0092518A" w:rsidP="007B1182">
      <w:pPr>
        <w:jc w:val="both"/>
        <w:rPr>
          <w:lang w:eastAsia="ko-KR"/>
        </w:rPr>
      </w:pPr>
      <w:r w:rsidRPr="00C50286">
        <w:rPr>
          <w:lang w:eastAsia="ko-KR"/>
        </w:rPr>
        <w:t>La Conférence de plénipotentiaires (Bucarest, 2022) (</w:t>
      </w:r>
      <w:proofErr w:type="spellStart"/>
      <w:r w:rsidRPr="00C50286">
        <w:rPr>
          <w:lang w:eastAsia="ko-KR"/>
        </w:rPr>
        <w:t>PP-22</w:t>
      </w:r>
      <w:proofErr w:type="spellEnd"/>
      <w:r w:rsidRPr="00C50286">
        <w:rPr>
          <w:lang w:eastAsia="ko-KR"/>
        </w:rPr>
        <w:t>) s</w:t>
      </w:r>
      <w:r w:rsidR="001E4C67" w:rsidRPr="00C50286">
        <w:rPr>
          <w:lang w:eastAsia="ko-KR"/>
        </w:rPr>
        <w:t>'</w:t>
      </w:r>
      <w:r w:rsidRPr="00C50286">
        <w:rPr>
          <w:lang w:eastAsia="ko-KR"/>
        </w:rPr>
        <w:t>est félicitée du travail accompli par les trois Secteurs en vue d</w:t>
      </w:r>
      <w:r w:rsidR="001E4C67" w:rsidRPr="00C50286">
        <w:rPr>
          <w:lang w:eastAsia="ko-KR"/>
        </w:rPr>
        <w:t>'</w:t>
      </w:r>
      <w:r w:rsidRPr="00C50286">
        <w:rPr>
          <w:lang w:eastAsia="ko-KR"/>
        </w:rPr>
        <w:t>aligner leurs Résolutions sur celles de la PP.</w:t>
      </w:r>
    </w:p>
    <w:p w14:paraId="411FD824" w14:textId="59B420C3" w:rsidR="0092518A" w:rsidRPr="00C50286" w:rsidRDefault="0092518A" w:rsidP="007B1182">
      <w:pPr>
        <w:jc w:val="both"/>
        <w:rPr>
          <w:lang w:eastAsia="ko-KR"/>
        </w:rPr>
      </w:pPr>
      <w:r w:rsidRPr="00C50286">
        <w:rPr>
          <w:lang w:eastAsia="ko-KR"/>
        </w:rPr>
        <w:t xml:space="preserve">Un certain nombre de Résolutions adoptées par les Secteurs </w:t>
      </w:r>
      <w:r w:rsidR="00BE496E" w:rsidRPr="00C50286">
        <w:rPr>
          <w:lang w:eastAsia="ko-KR"/>
        </w:rPr>
        <w:t>sont</w:t>
      </w:r>
      <w:r w:rsidRPr="00C50286">
        <w:rPr>
          <w:lang w:eastAsia="ko-KR"/>
        </w:rPr>
        <w:t xml:space="preserve"> directement</w:t>
      </w:r>
      <w:r w:rsidR="00BE496E" w:rsidRPr="00C50286">
        <w:rPr>
          <w:lang w:eastAsia="ko-KR"/>
        </w:rPr>
        <w:t xml:space="preserve"> fondées</w:t>
      </w:r>
      <w:r w:rsidRPr="00C50286">
        <w:rPr>
          <w:lang w:eastAsia="ko-KR"/>
        </w:rPr>
        <w:t xml:space="preserve"> sur des Résolutions de la PP existantes. Dans la pratique, le</w:t>
      </w:r>
      <w:r w:rsidR="00E3537C" w:rsidRPr="00C50286">
        <w:rPr>
          <w:lang w:eastAsia="ko-KR"/>
        </w:rPr>
        <w:t>s</w:t>
      </w:r>
      <w:r w:rsidRPr="00C50286">
        <w:rPr>
          <w:lang w:eastAsia="ko-KR"/>
        </w:rPr>
        <w:t xml:space="preserve"> contenu</w:t>
      </w:r>
      <w:r w:rsidR="00E3537C" w:rsidRPr="00C50286">
        <w:rPr>
          <w:lang w:eastAsia="ko-KR"/>
        </w:rPr>
        <w:t>s</w:t>
      </w:r>
      <w:r w:rsidRPr="00C50286">
        <w:rPr>
          <w:lang w:eastAsia="ko-KR"/>
        </w:rPr>
        <w:t xml:space="preserve"> des </w:t>
      </w:r>
      <w:r w:rsidR="00BE496E" w:rsidRPr="00C50286">
        <w:rPr>
          <w:lang w:eastAsia="ko-KR"/>
        </w:rPr>
        <w:t>textes</w:t>
      </w:r>
      <w:r w:rsidRPr="00C50286">
        <w:rPr>
          <w:lang w:eastAsia="ko-KR"/>
        </w:rPr>
        <w:t xml:space="preserve"> </w:t>
      </w:r>
      <w:r w:rsidR="00E3537C" w:rsidRPr="00C50286">
        <w:rPr>
          <w:lang w:eastAsia="ko-KR"/>
        </w:rPr>
        <w:t>sont</w:t>
      </w:r>
      <w:r w:rsidRPr="00C50286">
        <w:rPr>
          <w:lang w:eastAsia="ko-KR"/>
        </w:rPr>
        <w:t xml:space="preserve"> généralement très proches, en particulier les préambules, et </w:t>
      </w:r>
      <w:r w:rsidR="00E3537C" w:rsidRPr="00C50286">
        <w:rPr>
          <w:lang w:eastAsia="ko-KR"/>
        </w:rPr>
        <w:t xml:space="preserve">la partie </w:t>
      </w:r>
      <w:r w:rsidR="00E3537C" w:rsidRPr="00C50286">
        <w:rPr>
          <w:i/>
          <w:iCs/>
          <w:lang w:eastAsia="ko-KR"/>
        </w:rPr>
        <w:t>considérant</w:t>
      </w:r>
      <w:r w:rsidR="00E3537C" w:rsidRPr="00C50286">
        <w:rPr>
          <w:lang w:eastAsia="ko-KR"/>
        </w:rPr>
        <w:t xml:space="preserve"> et/ou le dispositif des Résolutions de la PP pertinentes </w:t>
      </w:r>
      <w:proofErr w:type="gramStart"/>
      <w:r w:rsidR="00E3537C" w:rsidRPr="00C50286">
        <w:rPr>
          <w:lang w:eastAsia="ko-KR"/>
        </w:rPr>
        <w:t>constituent</w:t>
      </w:r>
      <w:proofErr w:type="gramEnd"/>
      <w:r w:rsidR="00E3537C" w:rsidRPr="00C50286">
        <w:rPr>
          <w:lang w:eastAsia="ko-KR"/>
        </w:rPr>
        <w:t xml:space="preserve"> une partie essentielle des Résolutions adoptées par les Secteurs.</w:t>
      </w:r>
    </w:p>
    <w:p w14:paraId="50B9B57E" w14:textId="590624AE" w:rsidR="00E3537C" w:rsidRPr="00C50286" w:rsidRDefault="00E3537C" w:rsidP="007B1182">
      <w:pPr>
        <w:jc w:val="both"/>
        <w:rPr>
          <w:lang w:eastAsia="ko-KR"/>
        </w:rPr>
      </w:pPr>
      <w:r w:rsidRPr="00C50286">
        <w:rPr>
          <w:lang w:eastAsia="ko-KR"/>
        </w:rPr>
        <w:t>Pour ce qui est des Résolutions de la PP, dans certains cas, elles ne contiennent pas de dispositions permettant de tenir compte des intérêts et objectifs propres aux Secteurs.</w:t>
      </w:r>
    </w:p>
    <w:p w14:paraId="092BE862" w14:textId="016AD76C" w:rsidR="00E3537C" w:rsidRPr="00C50286" w:rsidRDefault="00E3537C" w:rsidP="007B1182">
      <w:pPr>
        <w:jc w:val="both"/>
        <w:rPr>
          <w:lang w:eastAsia="ko-KR"/>
        </w:rPr>
      </w:pPr>
      <w:r w:rsidRPr="00C50286">
        <w:rPr>
          <w:lang w:eastAsia="ko-KR"/>
        </w:rPr>
        <w:t xml:space="preserve">L'une des solutions possibles pour </w:t>
      </w:r>
      <w:r w:rsidR="00BE496E" w:rsidRPr="00C50286">
        <w:rPr>
          <w:lang w:eastAsia="ko-KR"/>
        </w:rPr>
        <w:t>rationaliser</w:t>
      </w:r>
      <w:r w:rsidRPr="00C50286">
        <w:rPr>
          <w:lang w:eastAsia="ko-KR"/>
        </w:rPr>
        <w:t xml:space="preserve"> les Résolutions consisterait à modifier une Résolution de la PP existante en y faisant figurer des éléments concernant un Secteur afin de tenir compte des Résolutions qu'il a adoptées.</w:t>
      </w:r>
    </w:p>
    <w:p w14:paraId="1F71A787" w14:textId="66405E0C" w:rsidR="00E3537C" w:rsidRPr="00C50286" w:rsidRDefault="00E3537C" w:rsidP="007B1182">
      <w:pPr>
        <w:jc w:val="both"/>
        <w:rPr>
          <w:lang w:eastAsia="ko-KR"/>
        </w:rPr>
      </w:pPr>
      <w:r w:rsidRPr="00C50286">
        <w:rPr>
          <w:lang w:eastAsia="ko-KR"/>
        </w:rPr>
        <w:t>Dans ce cas, il serait utile que le Secrétariat soumette à l'AR/</w:t>
      </w:r>
      <w:proofErr w:type="spellStart"/>
      <w:r w:rsidRPr="00C50286">
        <w:rPr>
          <w:lang w:eastAsia="ko-KR"/>
        </w:rPr>
        <w:t>AMNT</w:t>
      </w:r>
      <w:proofErr w:type="spellEnd"/>
      <w:r w:rsidRPr="00C50286">
        <w:rPr>
          <w:lang w:eastAsia="ko-KR"/>
        </w:rPr>
        <w:t>/</w:t>
      </w:r>
      <w:proofErr w:type="spellStart"/>
      <w:r w:rsidRPr="00C50286">
        <w:rPr>
          <w:lang w:eastAsia="ko-KR"/>
        </w:rPr>
        <w:t>CMDT</w:t>
      </w:r>
      <w:proofErr w:type="spellEnd"/>
      <w:r w:rsidRPr="00C50286">
        <w:rPr>
          <w:lang w:eastAsia="ko-KR"/>
        </w:rPr>
        <w:t xml:space="preserve"> un document faisant la synthèse de toutes les instructions données par la PP au Secteur </w:t>
      </w:r>
      <w:r w:rsidR="00BB13BD" w:rsidRPr="00C50286">
        <w:rPr>
          <w:lang w:eastAsia="ko-KR"/>
        </w:rPr>
        <w:t>en question</w:t>
      </w:r>
      <w:r w:rsidR="0067654E" w:rsidRPr="00C50286">
        <w:rPr>
          <w:lang w:eastAsia="ko-KR"/>
        </w:rPr>
        <w:t>, afin que l'AR/</w:t>
      </w:r>
      <w:proofErr w:type="spellStart"/>
      <w:r w:rsidR="0067654E" w:rsidRPr="00C50286">
        <w:rPr>
          <w:lang w:eastAsia="ko-KR"/>
        </w:rPr>
        <w:t>AMNT</w:t>
      </w:r>
      <w:proofErr w:type="spellEnd"/>
      <w:r w:rsidR="0067654E" w:rsidRPr="00C50286">
        <w:rPr>
          <w:lang w:eastAsia="ko-KR"/>
        </w:rPr>
        <w:t>/</w:t>
      </w:r>
      <w:proofErr w:type="spellStart"/>
      <w:r w:rsidR="0067654E" w:rsidRPr="00C50286">
        <w:rPr>
          <w:lang w:eastAsia="ko-KR"/>
        </w:rPr>
        <w:t>CMDT</w:t>
      </w:r>
      <w:proofErr w:type="spellEnd"/>
      <w:r w:rsidR="0067654E" w:rsidRPr="00C50286">
        <w:rPr>
          <w:lang w:eastAsia="ko-KR"/>
        </w:rPr>
        <w:t xml:space="preserve"> ou le </w:t>
      </w:r>
      <w:proofErr w:type="spellStart"/>
      <w:r w:rsidR="0067654E" w:rsidRPr="00C50286">
        <w:rPr>
          <w:lang w:eastAsia="ko-KR"/>
        </w:rPr>
        <w:t>GCR</w:t>
      </w:r>
      <w:proofErr w:type="spellEnd"/>
      <w:r w:rsidR="0067654E" w:rsidRPr="00C50286">
        <w:rPr>
          <w:lang w:eastAsia="ko-KR"/>
        </w:rPr>
        <w:t>/</w:t>
      </w:r>
      <w:proofErr w:type="spellStart"/>
      <w:r w:rsidR="0067654E" w:rsidRPr="00C50286">
        <w:rPr>
          <w:lang w:eastAsia="ko-KR"/>
        </w:rPr>
        <w:t>GCNT</w:t>
      </w:r>
      <w:proofErr w:type="spellEnd"/>
      <w:r w:rsidR="0067654E" w:rsidRPr="00C50286">
        <w:rPr>
          <w:lang w:eastAsia="ko-KR"/>
        </w:rPr>
        <w:t>/</w:t>
      </w:r>
      <w:proofErr w:type="spellStart"/>
      <w:r w:rsidR="0067654E" w:rsidRPr="00C50286">
        <w:rPr>
          <w:lang w:eastAsia="ko-KR"/>
        </w:rPr>
        <w:t>GCDT</w:t>
      </w:r>
      <w:proofErr w:type="spellEnd"/>
      <w:r w:rsidR="0067654E" w:rsidRPr="00C50286">
        <w:rPr>
          <w:lang w:eastAsia="ko-KR"/>
        </w:rPr>
        <w:t xml:space="preserve"> adopte les instructions ou lignes directrices requises.</w:t>
      </w:r>
    </w:p>
    <w:p w14:paraId="65487E3C" w14:textId="5589543E" w:rsidR="0067654E" w:rsidRPr="00C50286" w:rsidRDefault="0067654E" w:rsidP="007B1182">
      <w:pPr>
        <w:jc w:val="both"/>
        <w:rPr>
          <w:lang w:eastAsia="ko-KR"/>
        </w:rPr>
      </w:pPr>
      <w:r w:rsidRPr="00C50286">
        <w:rPr>
          <w:lang w:eastAsia="ko-KR"/>
        </w:rPr>
        <w:t>Un travail d'examen préliminaire et de préparation</w:t>
      </w:r>
      <w:r w:rsidR="00794CDF" w:rsidRPr="00C50286">
        <w:rPr>
          <w:lang w:eastAsia="ko-KR"/>
        </w:rPr>
        <w:t xml:space="preserve"> en vue de la </w:t>
      </w:r>
      <w:proofErr w:type="spellStart"/>
      <w:r w:rsidR="00794CDF" w:rsidRPr="00C50286">
        <w:rPr>
          <w:lang w:eastAsia="ko-KR"/>
        </w:rPr>
        <w:t>PP-26</w:t>
      </w:r>
      <w:proofErr w:type="spellEnd"/>
      <w:r w:rsidR="00794CDF" w:rsidRPr="00C50286">
        <w:rPr>
          <w:lang w:eastAsia="ko-KR"/>
        </w:rPr>
        <w:t xml:space="preserve"> peut être réalisé moyennant une coordination entre les Secteurs, dans le cadre d'un groupe de Rapporteurs créé par le Groupe de coordination intersectoriel (</w:t>
      </w:r>
      <w:proofErr w:type="spellStart"/>
      <w:r w:rsidR="00794CDF" w:rsidRPr="00C50286">
        <w:rPr>
          <w:lang w:eastAsia="ko-KR"/>
        </w:rPr>
        <w:t>ISCG</w:t>
      </w:r>
      <w:proofErr w:type="spellEnd"/>
      <w:r w:rsidR="00794CDF" w:rsidRPr="00C50286">
        <w:rPr>
          <w:lang w:eastAsia="ko-KR"/>
        </w:rPr>
        <w:t>).</w:t>
      </w:r>
    </w:p>
    <w:p w14:paraId="052853B7" w14:textId="68A40345" w:rsidR="0092518A" w:rsidRPr="00C50286" w:rsidRDefault="00794CDF" w:rsidP="007B1182">
      <w:pPr>
        <w:jc w:val="both"/>
        <w:rPr>
          <w:lang w:eastAsia="ko-KR"/>
        </w:rPr>
      </w:pPr>
      <w:r w:rsidRPr="00C50286">
        <w:rPr>
          <w:lang w:eastAsia="ko-KR"/>
        </w:rPr>
        <w:t>L</w:t>
      </w:r>
      <w:r w:rsidR="0092518A" w:rsidRPr="00C50286">
        <w:rPr>
          <w:lang w:eastAsia="ko-KR"/>
        </w:rPr>
        <w:t xml:space="preserve">e </w:t>
      </w:r>
      <w:hyperlink r:id="rId8" w:history="1">
        <w:r w:rsidRPr="00C50286">
          <w:rPr>
            <w:rStyle w:val="Hyperlink"/>
            <w:rFonts w:asciiTheme="minorHAnsi" w:hAnsiTheme="minorHAnsi" w:cstheme="minorHAnsi"/>
          </w:rPr>
          <w:t>Tableau de mise en correspondance des</w:t>
        </w:r>
        <w:r w:rsidR="0092518A" w:rsidRPr="00C50286">
          <w:rPr>
            <w:rStyle w:val="Hyperlink"/>
            <w:rFonts w:asciiTheme="minorHAnsi" w:hAnsiTheme="minorHAnsi" w:cstheme="minorHAnsi"/>
          </w:rPr>
          <w:t xml:space="preserve"> </w:t>
        </w:r>
        <w:r w:rsidRPr="00C50286">
          <w:rPr>
            <w:rStyle w:val="Hyperlink"/>
            <w:rFonts w:asciiTheme="minorHAnsi" w:hAnsiTheme="minorHAnsi" w:cstheme="minorHAnsi"/>
          </w:rPr>
          <w:t>Résolutions</w:t>
        </w:r>
        <w:r w:rsidR="0092518A" w:rsidRPr="00C50286">
          <w:rPr>
            <w:rStyle w:val="Hyperlink"/>
            <w:rFonts w:asciiTheme="minorHAnsi" w:hAnsiTheme="minorHAnsi" w:cstheme="minorHAnsi"/>
          </w:rPr>
          <w:t xml:space="preserve"> </w:t>
        </w:r>
        <w:r w:rsidRPr="00C50286">
          <w:rPr>
            <w:rStyle w:val="Hyperlink"/>
            <w:rFonts w:asciiTheme="minorHAnsi" w:hAnsiTheme="minorHAnsi" w:cstheme="minorHAnsi"/>
          </w:rPr>
          <w:t>de la</w:t>
        </w:r>
        <w:r w:rsidR="0092518A" w:rsidRPr="00C50286">
          <w:rPr>
            <w:rStyle w:val="Hyperlink"/>
            <w:rFonts w:asciiTheme="minorHAnsi" w:hAnsiTheme="minorHAnsi" w:cstheme="minorHAnsi"/>
          </w:rPr>
          <w:t xml:space="preserve"> PP, </w:t>
        </w:r>
        <w:r w:rsidRPr="00C50286">
          <w:rPr>
            <w:rStyle w:val="Hyperlink"/>
            <w:rFonts w:asciiTheme="minorHAnsi" w:hAnsiTheme="minorHAnsi" w:cstheme="minorHAnsi"/>
          </w:rPr>
          <w:t xml:space="preserve">de l'AR, de la CMR, </w:t>
        </w:r>
        <w:r w:rsidR="00BB13BD" w:rsidRPr="00C50286">
          <w:rPr>
            <w:rStyle w:val="Hyperlink"/>
            <w:rFonts w:asciiTheme="minorHAnsi" w:hAnsiTheme="minorHAnsi" w:cstheme="minorHAnsi"/>
          </w:rPr>
          <w:t>de</w:t>
        </w:r>
        <w:r w:rsidRPr="00C50286">
          <w:rPr>
            <w:rStyle w:val="Hyperlink"/>
            <w:rFonts w:asciiTheme="minorHAnsi" w:hAnsiTheme="minorHAnsi" w:cstheme="minorHAnsi"/>
          </w:rPr>
          <w:t xml:space="preserve"> l'</w:t>
        </w:r>
        <w:proofErr w:type="spellStart"/>
        <w:r w:rsidRPr="00C50286">
          <w:rPr>
            <w:rStyle w:val="Hyperlink"/>
            <w:rFonts w:asciiTheme="minorHAnsi" w:hAnsiTheme="minorHAnsi" w:cstheme="minorHAnsi"/>
          </w:rPr>
          <w:t>AMNT</w:t>
        </w:r>
        <w:proofErr w:type="spellEnd"/>
        <w:r w:rsidRPr="00C50286">
          <w:rPr>
            <w:rStyle w:val="Hyperlink"/>
            <w:rFonts w:asciiTheme="minorHAnsi" w:hAnsiTheme="minorHAnsi" w:cstheme="minorHAnsi"/>
          </w:rPr>
          <w:t xml:space="preserve"> et de la </w:t>
        </w:r>
        <w:proofErr w:type="spellStart"/>
        <w:r w:rsidRPr="00C50286">
          <w:rPr>
            <w:rStyle w:val="Hyperlink"/>
            <w:rFonts w:asciiTheme="minorHAnsi" w:hAnsiTheme="minorHAnsi" w:cstheme="minorHAnsi"/>
          </w:rPr>
          <w:t>CMDT</w:t>
        </w:r>
        <w:proofErr w:type="spellEnd"/>
      </w:hyperlink>
      <w:r w:rsidR="0092518A" w:rsidRPr="00C50286">
        <w:rPr>
          <w:lang w:eastAsia="ko-KR"/>
        </w:rPr>
        <w:t xml:space="preserve"> </w:t>
      </w:r>
      <w:r w:rsidRPr="00C50286">
        <w:rPr>
          <w:lang w:eastAsia="ko-KR"/>
        </w:rPr>
        <w:t xml:space="preserve">donne des exemples de Résolutions de la PP qui correspondent à des Résolutions </w:t>
      </w:r>
      <w:r w:rsidR="00BB13BD" w:rsidRPr="00C50286">
        <w:rPr>
          <w:lang w:eastAsia="ko-KR"/>
        </w:rPr>
        <w:t>existant dans</w:t>
      </w:r>
      <w:r w:rsidRPr="00C50286">
        <w:rPr>
          <w:lang w:eastAsia="ko-KR"/>
        </w:rPr>
        <w:t xml:space="preserve"> les trois Secteurs, parmi lesquelles les Résolutions </w:t>
      </w:r>
      <w:r w:rsidR="0092518A" w:rsidRPr="00C50286">
        <w:rPr>
          <w:lang w:eastAsia="ko-KR"/>
        </w:rPr>
        <w:t>25, 58, 70, 98, 123, 130, 135, 136,</w:t>
      </w:r>
      <w:r w:rsidR="001E4C67" w:rsidRPr="00C50286">
        <w:rPr>
          <w:lang w:eastAsia="ko-KR"/>
        </w:rPr>
        <w:t xml:space="preserve"> </w:t>
      </w:r>
      <w:r w:rsidR="0092518A" w:rsidRPr="00C50286">
        <w:rPr>
          <w:lang w:eastAsia="ko-KR"/>
        </w:rPr>
        <w:t xml:space="preserve">138, 140, 154, 168, 175, 176, 177, 182, 191, 196, 197, 201, 208 </w:t>
      </w:r>
      <w:r w:rsidRPr="00C50286">
        <w:rPr>
          <w:lang w:eastAsia="ko-KR"/>
        </w:rPr>
        <w:t>et</w:t>
      </w:r>
      <w:r w:rsidR="0092518A" w:rsidRPr="00C50286">
        <w:rPr>
          <w:lang w:eastAsia="ko-KR"/>
        </w:rPr>
        <w:t xml:space="preserve"> 209.</w:t>
      </w:r>
    </w:p>
    <w:p w14:paraId="772046F4" w14:textId="3124D97D" w:rsidR="0092518A" w:rsidRPr="00C50286" w:rsidRDefault="00160912" w:rsidP="007B1182">
      <w:pPr>
        <w:jc w:val="both"/>
        <w:rPr>
          <w:lang w:eastAsia="ko-KR"/>
        </w:rPr>
      </w:pPr>
      <w:r w:rsidRPr="00C50286">
        <w:rPr>
          <w:lang w:eastAsia="ko-KR"/>
        </w:rPr>
        <w:t>Il est proposé de commencer en testant cette manière de procéder sur un petit nombre de Résolutions, par exemple les</w:t>
      </w:r>
      <w:r w:rsidR="0092518A" w:rsidRPr="00C50286">
        <w:rPr>
          <w:lang w:eastAsia="ko-KR"/>
        </w:rPr>
        <w:t> </w:t>
      </w:r>
      <w:r w:rsidRPr="00C50286">
        <w:rPr>
          <w:lang w:eastAsia="ko-KR"/>
        </w:rPr>
        <w:t>Résolutions</w:t>
      </w:r>
      <w:r w:rsidR="0092518A" w:rsidRPr="00C50286">
        <w:rPr>
          <w:lang w:eastAsia="ko-KR"/>
        </w:rPr>
        <w:t xml:space="preserve"> </w:t>
      </w:r>
      <w:r w:rsidR="0092518A" w:rsidRPr="00C50286">
        <w:rPr>
          <w:b/>
          <w:bCs/>
          <w:lang w:eastAsia="ko-KR"/>
        </w:rPr>
        <w:t>70</w:t>
      </w:r>
      <w:r w:rsidR="0092518A" w:rsidRPr="00C50286">
        <w:rPr>
          <w:lang w:eastAsia="ko-KR"/>
        </w:rPr>
        <w:t xml:space="preserve">, </w:t>
      </w:r>
      <w:r w:rsidR="0092518A" w:rsidRPr="00C50286">
        <w:rPr>
          <w:b/>
          <w:bCs/>
          <w:lang w:eastAsia="ko-KR"/>
        </w:rPr>
        <w:t>140</w:t>
      </w:r>
      <w:r w:rsidR="0092518A" w:rsidRPr="00C50286">
        <w:rPr>
          <w:lang w:eastAsia="ko-KR"/>
        </w:rPr>
        <w:t xml:space="preserve">, </w:t>
      </w:r>
      <w:r w:rsidR="0092518A" w:rsidRPr="00C50286">
        <w:rPr>
          <w:b/>
          <w:bCs/>
          <w:lang w:eastAsia="ko-KR"/>
        </w:rPr>
        <w:t xml:space="preserve">154 </w:t>
      </w:r>
      <w:r w:rsidRPr="00C50286">
        <w:rPr>
          <w:lang w:eastAsia="ko-KR"/>
        </w:rPr>
        <w:t>et</w:t>
      </w:r>
      <w:r w:rsidR="0092518A" w:rsidRPr="00C50286">
        <w:rPr>
          <w:b/>
          <w:bCs/>
          <w:lang w:eastAsia="ko-KR"/>
        </w:rPr>
        <w:t xml:space="preserve"> 191</w:t>
      </w:r>
      <w:r w:rsidR="0092518A" w:rsidRPr="00C50286">
        <w:rPr>
          <w:lang w:eastAsia="ko-KR"/>
        </w:rPr>
        <w:t xml:space="preserve">, </w:t>
      </w:r>
      <w:r w:rsidRPr="00C50286">
        <w:rPr>
          <w:lang w:eastAsia="ko-KR"/>
        </w:rPr>
        <w:t xml:space="preserve">compte tenu de l'expérience positive </w:t>
      </w:r>
      <w:r w:rsidR="0008434B" w:rsidRPr="00C50286">
        <w:rPr>
          <w:lang w:eastAsia="ko-KR"/>
        </w:rPr>
        <w:t>qu'a constitué</w:t>
      </w:r>
      <w:r w:rsidRPr="00C50286">
        <w:rPr>
          <w:lang w:eastAsia="ko-KR"/>
        </w:rPr>
        <w:t xml:space="preserve"> l'alignement</w:t>
      </w:r>
      <w:r w:rsidR="0008434B" w:rsidRPr="00C50286">
        <w:rPr>
          <w:lang w:eastAsia="ko-KR"/>
        </w:rPr>
        <w:t xml:space="preserve">, lors de la </w:t>
      </w:r>
      <w:proofErr w:type="spellStart"/>
      <w:r w:rsidR="0008434B" w:rsidRPr="00C50286">
        <w:rPr>
          <w:lang w:eastAsia="ko-KR"/>
        </w:rPr>
        <w:t>CMDT</w:t>
      </w:r>
      <w:proofErr w:type="spellEnd"/>
      <w:r w:rsidR="0008434B" w:rsidRPr="00C50286">
        <w:rPr>
          <w:lang w:eastAsia="ko-KR"/>
        </w:rPr>
        <w:t>-22,</w:t>
      </w:r>
      <w:r w:rsidRPr="00C50286">
        <w:rPr>
          <w:lang w:eastAsia="ko-KR"/>
        </w:rPr>
        <w:t xml:space="preserve"> des Résolutions de la </w:t>
      </w:r>
      <w:proofErr w:type="spellStart"/>
      <w:r w:rsidRPr="00C50286">
        <w:rPr>
          <w:lang w:eastAsia="ko-KR"/>
        </w:rPr>
        <w:t>CMDT</w:t>
      </w:r>
      <w:proofErr w:type="spellEnd"/>
      <w:r w:rsidRPr="00C50286">
        <w:rPr>
          <w:lang w:eastAsia="ko-KR"/>
        </w:rPr>
        <w:t xml:space="preserve"> sur celles de la PP </w:t>
      </w:r>
      <w:r w:rsidR="0008434B" w:rsidRPr="00C50286">
        <w:rPr>
          <w:lang w:eastAsia="ko-KR"/>
        </w:rPr>
        <w:t>moyennant l'intégration des</w:t>
      </w:r>
      <w:r w:rsidRPr="00C50286">
        <w:rPr>
          <w:lang w:eastAsia="ko-KR"/>
        </w:rPr>
        <w:t xml:space="preserve"> dispositions pertinentes dans </w:t>
      </w:r>
      <w:r w:rsidR="0008434B" w:rsidRPr="00C50286">
        <w:rPr>
          <w:lang w:eastAsia="ko-KR"/>
        </w:rPr>
        <w:t>l</w:t>
      </w:r>
      <w:r w:rsidRPr="00C50286">
        <w:rPr>
          <w:lang w:eastAsia="ko-KR"/>
        </w:rPr>
        <w:t xml:space="preserve">a Résolution 1 </w:t>
      </w:r>
      <w:r w:rsidR="0008434B" w:rsidRPr="00C50286">
        <w:rPr>
          <w:lang w:eastAsia="ko-KR"/>
        </w:rPr>
        <w:t xml:space="preserve">de la </w:t>
      </w:r>
      <w:proofErr w:type="spellStart"/>
      <w:r w:rsidR="0008434B" w:rsidRPr="00C50286">
        <w:rPr>
          <w:lang w:eastAsia="ko-KR"/>
        </w:rPr>
        <w:t>CMDT</w:t>
      </w:r>
      <w:proofErr w:type="spellEnd"/>
      <w:r w:rsidR="0008434B" w:rsidRPr="00C50286">
        <w:rPr>
          <w:lang w:eastAsia="ko-KR"/>
        </w:rPr>
        <w:t xml:space="preserve"> </w:t>
      </w:r>
      <w:r w:rsidRPr="00C50286">
        <w:rPr>
          <w:lang w:eastAsia="ko-KR"/>
        </w:rPr>
        <w:t xml:space="preserve">et </w:t>
      </w:r>
      <w:r w:rsidR="0008434B" w:rsidRPr="00C50286">
        <w:rPr>
          <w:lang w:eastAsia="ko-KR"/>
        </w:rPr>
        <w:t>l'abrogation de</w:t>
      </w:r>
      <w:r w:rsidRPr="00C50286">
        <w:rPr>
          <w:lang w:eastAsia="ko-KR"/>
        </w:rPr>
        <w:t xml:space="preserve"> ses Résolutions </w:t>
      </w:r>
      <w:r w:rsidR="0092518A" w:rsidRPr="00C50286">
        <w:rPr>
          <w:lang w:eastAsia="ko-KR"/>
        </w:rPr>
        <w:t xml:space="preserve">27, 61, 81 </w:t>
      </w:r>
      <w:r w:rsidRPr="00C50286">
        <w:rPr>
          <w:lang w:eastAsia="ko-KR"/>
        </w:rPr>
        <w:t>et</w:t>
      </w:r>
      <w:r w:rsidR="0092518A" w:rsidRPr="00C50286">
        <w:rPr>
          <w:lang w:eastAsia="ko-KR"/>
        </w:rPr>
        <w:t xml:space="preserve"> 86.</w:t>
      </w:r>
    </w:p>
    <w:p w14:paraId="2FB32DD7" w14:textId="0EAF7DF1" w:rsidR="006F7DFC" w:rsidRPr="00C50286" w:rsidRDefault="006F7DFC" w:rsidP="00160912">
      <w:pPr>
        <w:rPr>
          <w:lang w:eastAsia="ko-KR"/>
        </w:rPr>
      </w:pPr>
    </w:p>
    <w:tbl>
      <w:tblPr>
        <w:tblStyle w:val="TableGrid"/>
        <w:tblW w:w="9356" w:type="dxa"/>
        <w:tblInd w:w="-5" w:type="dxa"/>
        <w:tblLayout w:type="fixed"/>
        <w:tblLook w:val="04A0" w:firstRow="1" w:lastRow="0" w:firstColumn="1" w:lastColumn="0" w:noHBand="0" w:noVBand="1"/>
      </w:tblPr>
      <w:tblGrid>
        <w:gridCol w:w="2339"/>
        <w:gridCol w:w="2339"/>
        <w:gridCol w:w="2339"/>
        <w:gridCol w:w="2339"/>
      </w:tblGrid>
      <w:tr w:rsidR="0092518A" w:rsidRPr="00C50286" w14:paraId="0AB888B2" w14:textId="77777777" w:rsidTr="006F7DFC">
        <w:trPr>
          <w:cantSplit/>
        </w:trPr>
        <w:tc>
          <w:tcPr>
            <w:tcW w:w="2339" w:type="dxa"/>
          </w:tcPr>
          <w:p w14:paraId="6C5A2462" w14:textId="33C423CA" w:rsidR="0092518A" w:rsidRPr="00C50286" w:rsidRDefault="0067654E" w:rsidP="00405A40">
            <w:pPr>
              <w:pStyle w:val="Tablehead"/>
              <w:keepNext/>
              <w:keepLines/>
            </w:pPr>
            <w:r w:rsidRPr="00C50286">
              <w:lastRenderedPageBreak/>
              <w:t>Résolution de la PP</w:t>
            </w:r>
          </w:p>
        </w:tc>
        <w:tc>
          <w:tcPr>
            <w:tcW w:w="2339" w:type="dxa"/>
          </w:tcPr>
          <w:p w14:paraId="5932C620" w14:textId="5051A221" w:rsidR="0092518A" w:rsidRPr="00C50286" w:rsidRDefault="0067654E" w:rsidP="00405A40">
            <w:pPr>
              <w:pStyle w:val="Tablehead"/>
              <w:keepNext/>
              <w:keepLines/>
            </w:pPr>
            <w:r w:rsidRPr="00C50286">
              <w:t>Résolution UIT</w:t>
            </w:r>
            <w:r w:rsidR="0092518A" w:rsidRPr="00C50286">
              <w:noBreakHyphen/>
              <w:t xml:space="preserve">R </w:t>
            </w:r>
          </w:p>
        </w:tc>
        <w:tc>
          <w:tcPr>
            <w:tcW w:w="2339" w:type="dxa"/>
          </w:tcPr>
          <w:p w14:paraId="0BE7A3A7" w14:textId="6DFAA5BB" w:rsidR="0092518A" w:rsidRPr="00C50286" w:rsidRDefault="0067654E" w:rsidP="00405A40">
            <w:pPr>
              <w:pStyle w:val="Tablehead"/>
              <w:keepNext/>
              <w:keepLines/>
            </w:pPr>
            <w:r w:rsidRPr="00C50286">
              <w:t>Résolution de l'</w:t>
            </w:r>
            <w:proofErr w:type="spellStart"/>
            <w:r w:rsidRPr="00C50286">
              <w:t>AMNT</w:t>
            </w:r>
            <w:proofErr w:type="spellEnd"/>
          </w:p>
        </w:tc>
        <w:tc>
          <w:tcPr>
            <w:tcW w:w="2339" w:type="dxa"/>
          </w:tcPr>
          <w:p w14:paraId="507DF1F8" w14:textId="598329DF" w:rsidR="0092518A" w:rsidRPr="00C50286" w:rsidRDefault="0067654E" w:rsidP="00405A40">
            <w:pPr>
              <w:pStyle w:val="Tablehead"/>
              <w:keepNext/>
              <w:keepLines/>
            </w:pPr>
            <w:r w:rsidRPr="00C50286">
              <w:t xml:space="preserve">Résolution de la </w:t>
            </w:r>
            <w:proofErr w:type="spellStart"/>
            <w:r w:rsidRPr="00C50286">
              <w:t>CMDT</w:t>
            </w:r>
            <w:proofErr w:type="spellEnd"/>
          </w:p>
        </w:tc>
      </w:tr>
      <w:tr w:rsidR="0092518A" w:rsidRPr="00C50286" w14:paraId="53CB8243" w14:textId="77777777" w:rsidTr="006F7DFC">
        <w:trPr>
          <w:cantSplit/>
        </w:trPr>
        <w:tc>
          <w:tcPr>
            <w:tcW w:w="2339" w:type="dxa"/>
          </w:tcPr>
          <w:p w14:paraId="6460C0B8" w14:textId="771E4EDF" w:rsidR="0092518A" w:rsidRPr="00C50286" w:rsidRDefault="0067654E" w:rsidP="00EB4C8D">
            <w:pPr>
              <w:pStyle w:val="Tabletext"/>
              <w:rPr>
                <w:b/>
                <w:bCs/>
              </w:rPr>
            </w:pPr>
            <w:r w:rsidRPr="00C50286">
              <w:rPr>
                <w:b/>
                <w:bCs/>
              </w:rPr>
              <w:t>Résolution</w:t>
            </w:r>
            <w:r w:rsidR="0092518A" w:rsidRPr="00C50286">
              <w:rPr>
                <w:b/>
                <w:bCs/>
              </w:rPr>
              <w:t xml:space="preserve"> 70</w:t>
            </w:r>
          </w:p>
          <w:p w14:paraId="6ECE4B8D" w14:textId="13B56D4A" w:rsidR="0092518A" w:rsidRPr="00C50286" w:rsidRDefault="00C93055" w:rsidP="00EB4C8D">
            <w:pPr>
              <w:pStyle w:val="Tabletext"/>
              <w:rPr>
                <w:rFonts w:eastAsiaTheme="minorEastAsia"/>
                <w:lang w:eastAsia="ko-KR"/>
              </w:rPr>
            </w:pPr>
            <w:r w:rsidRPr="00C50286">
              <w:t>Intégration du principe de l'égalité hommes/femmes à l'UIT et promotion de l'égalité hommes/femmes et de l'autonomisation des femmes et des jeunes filles grâce aux télécommunications/</w:t>
            </w:r>
            <w:r w:rsidR="006F7DFC" w:rsidRPr="00C50286">
              <w:br/>
            </w:r>
            <w:r w:rsidRPr="00C50286">
              <w:t>technologies de l'information et de la communication</w:t>
            </w:r>
          </w:p>
        </w:tc>
        <w:tc>
          <w:tcPr>
            <w:tcW w:w="2339" w:type="dxa"/>
          </w:tcPr>
          <w:p w14:paraId="7B3551F6" w14:textId="3C38D49B" w:rsidR="0092518A" w:rsidRPr="00C50286" w:rsidRDefault="0067654E" w:rsidP="00EB4C8D">
            <w:pPr>
              <w:pStyle w:val="Tabletext"/>
              <w:rPr>
                <w:b/>
                <w:bCs/>
              </w:rPr>
            </w:pPr>
            <w:r w:rsidRPr="00C50286">
              <w:rPr>
                <w:b/>
                <w:bCs/>
              </w:rPr>
              <w:t>Résolution</w:t>
            </w:r>
            <w:r w:rsidR="0092518A" w:rsidRPr="00C50286">
              <w:rPr>
                <w:b/>
                <w:bCs/>
              </w:rPr>
              <w:t xml:space="preserve"> 72</w:t>
            </w:r>
          </w:p>
          <w:p w14:paraId="47964061" w14:textId="3B58730E" w:rsidR="0092518A" w:rsidRPr="00C50286" w:rsidRDefault="00C93055" w:rsidP="00EB4C8D">
            <w:pPr>
              <w:pStyle w:val="Tabletext"/>
            </w:pPr>
            <w:r w:rsidRPr="00C50286">
              <w:t>Promotion de l'égalité et de l'équité hommes</w:t>
            </w:r>
            <w:r w:rsidR="006F7DFC" w:rsidRPr="00C50286">
              <w:noBreakHyphen/>
            </w:r>
            <w:r w:rsidRPr="00C50286">
              <w:t>femmes et réduction de l'écart entre les hommes et les femmes en ce qui concerne la contribution et la participation aux activités de l'UIT-R</w:t>
            </w:r>
          </w:p>
        </w:tc>
        <w:tc>
          <w:tcPr>
            <w:tcW w:w="2339" w:type="dxa"/>
          </w:tcPr>
          <w:p w14:paraId="6A30A65F" w14:textId="3A1A690E" w:rsidR="0092518A" w:rsidRPr="00C50286" w:rsidRDefault="0067654E" w:rsidP="00EB4C8D">
            <w:pPr>
              <w:pStyle w:val="Tabletext"/>
              <w:rPr>
                <w:b/>
                <w:bCs/>
              </w:rPr>
            </w:pPr>
            <w:r w:rsidRPr="00C50286">
              <w:rPr>
                <w:b/>
                <w:bCs/>
              </w:rPr>
              <w:t>Résolution</w:t>
            </w:r>
            <w:r w:rsidR="0092518A" w:rsidRPr="00C50286">
              <w:rPr>
                <w:b/>
                <w:bCs/>
              </w:rPr>
              <w:t xml:space="preserve"> 55</w:t>
            </w:r>
          </w:p>
          <w:p w14:paraId="676B823F" w14:textId="357E38F7" w:rsidR="0092518A" w:rsidRPr="00C50286" w:rsidRDefault="00C93055" w:rsidP="00EB4C8D">
            <w:pPr>
              <w:pStyle w:val="Tabletext"/>
            </w:pPr>
            <w:r w:rsidRPr="00C50286">
              <w:rPr>
                <w:lang w:eastAsia="ko-KR"/>
              </w:rPr>
              <w:t>Intégrer le principe de l'égalité entre les femmes et les hommes dans les activités du Secteur de la normalisation des télécommunications de l'UIT</w:t>
            </w:r>
          </w:p>
        </w:tc>
        <w:tc>
          <w:tcPr>
            <w:tcW w:w="2339" w:type="dxa"/>
          </w:tcPr>
          <w:p w14:paraId="22708EC5" w14:textId="1E585EED" w:rsidR="0092518A" w:rsidRPr="00C50286" w:rsidRDefault="0067654E" w:rsidP="00EB4C8D">
            <w:pPr>
              <w:pStyle w:val="Tabletext"/>
              <w:rPr>
                <w:b/>
                <w:bCs/>
              </w:rPr>
            </w:pPr>
            <w:r w:rsidRPr="00C50286">
              <w:rPr>
                <w:b/>
                <w:bCs/>
              </w:rPr>
              <w:t>Résolution</w:t>
            </w:r>
            <w:r w:rsidR="0092518A" w:rsidRPr="00C50286">
              <w:rPr>
                <w:b/>
                <w:bCs/>
              </w:rPr>
              <w:t xml:space="preserve"> 55</w:t>
            </w:r>
          </w:p>
          <w:p w14:paraId="5321D3E9" w14:textId="4B42C1DE" w:rsidR="0092518A" w:rsidRPr="00C50286" w:rsidRDefault="00C93055" w:rsidP="00EB4C8D">
            <w:pPr>
              <w:pStyle w:val="Tabletext"/>
            </w:pPr>
            <w:r w:rsidRPr="00C50286">
              <w:t>Intégration du principe de l'égalité entre les femmes et les hommes à l'UIT pour renforcer l'autonomisation des femmes grâce aux télécommunications/</w:t>
            </w:r>
            <w:r w:rsidR="006F7DFC" w:rsidRPr="00C50286">
              <w:br/>
            </w:r>
            <w:r w:rsidRPr="00C50286">
              <w:t>TIC</w:t>
            </w:r>
          </w:p>
        </w:tc>
      </w:tr>
      <w:tr w:rsidR="006F7DFC" w:rsidRPr="00C50286" w14:paraId="543260AF" w14:textId="77777777" w:rsidTr="006F7DFC">
        <w:trPr>
          <w:cantSplit/>
        </w:trPr>
        <w:tc>
          <w:tcPr>
            <w:tcW w:w="2339" w:type="dxa"/>
          </w:tcPr>
          <w:p w14:paraId="37254CCF" w14:textId="77777777" w:rsidR="006F7DFC" w:rsidRPr="00C50286" w:rsidRDefault="006F7DFC" w:rsidP="006F7DFC">
            <w:pPr>
              <w:pStyle w:val="Tabletext"/>
              <w:rPr>
                <w:b/>
                <w:bCs/>
              </w:rPr>
            </w:pPr>
            <w:r w:rsidRPr="00C50286">
              <w:rPr>
                <w:b/>
                <w:bCs/>
              </w:rPr>
              <w:t>Résolution 140</w:t>
            </w:r>
          </w:p>
          <w:p w14:paraId="396C5C40" w14:textId="2D007100" w:rsidR="006F7DFC" w:rsidRPr="00C50286" w:rsidRDefault="006F7DFC" w:rsidP="006F7DFC">
            <w:pPr>
              <w:pStyle w:val="Tabletext"/>
              <w:rPr>
                <w:b/>
                <w:bCs/>
              </w:rPr>
            </w:pPr>
            <w:r w:rsidRPr="00C50286">
              <w:t>Rôle de l'UIT dans la mise en œuvre des résultats du Sommet mondial sur la société de l'information et du Programme de développement durable à l'horizon 2030 ainsi que dans les processus de suivi et d'examen associés</w:t>
            </w:r>
          </w:p>
        </w:tc>
        <w:tc>
          <w:tcPr>
            <w:tcW w:w="2339" w:type="dxa"/>
          </w:tcPr>
          <w:p w14:paraId="04FBD1A3" w14:textId="77777777" w:rsidR="006F7DFC" w:rsidRPr="00C50286" w:rsidRDefault="006F7DFC" w:rsidP="006F7DFC">
            <w:pPr>
              <w:pStyle w:val="Tabletext"/>
              <w:rPr>
                <w:b/>
                <w:bCs/>
              </w:rPr>
            </w:pPr>
            <w:r w:rsidRPr="00C50286">
              <w:rPr>
                <w:b/>
                <w:bCs/>
              </w:rPr>
              <w:t>Résolution 61</w:t>
            </w:r>
          </w:p>
          <w:p w14:paraId="0D1BC9B0" w14:textId="4BA61C60" w:rsidR="006F7DFC" w:rsidRPr="00C50286" w:rsidRDefault="006F7DFC" w:rsidP="006F7DFC">
            <w:pPr>
              <w:pStyle w:val="Tabletext"/>
              <w:rPr>
                <w:b/>
                <w:bCs/>
              </w:rPr>
            </w:pPr>
            <w:r w:rsidRPr="00C50286">
              <w:rPr>
                <w:lang w:eastAsia="ko-KR"/>
              </w:rPr>
              <w:t>Contribution de l'UIT-R à la mise en œuvre des résultats du Sommet mondial sur la société de l'information et du Programme de développement durable à l'horizon 2030</w:t>
            </w:r>
          </w:p>
        </w:tc>
        <w:tc>
          <w:tcPr>
            <w:tcW w:w="2339" w:type="dxa"/>
          </w:tcPr>
          <w:p w14:paraId="3E9B77A0" w14:textId="77777777" w:rsidR="006F7DFC" w:rsidRPr="00C50286" w:rsidRDefault="006F7DFC" w:rsidP="006F7DFC">
            <w:pPr>
              <w:pStyle w:val="Tabletext"/>
              <w:rPr>
                <w:b/>
                <w:bCs/>
              </w:rPr>
            </w:pPr>
            <w:r w:rsidRPr="00C50286">
              <w:rPr>
                <w:b/>
                <w:bCs/>
              </w:rPr>
              <w:t>Résolution 75</w:t>
            </w:r>
          </w:p>
          <w:p w14:paraId="7E150E85" w14:textId="6D490C6A" w:rsidR="006F7DFC" w:rsidRPr="00C50286" w:rsidRDefault="006F7DFC" w:rsidP="006F7DFC">
            <w:pPr>
              <w:pStyle w:val="Tabletext"/>
              <w:rPr>
                <w:b/>
                <w:bCs/>
              </w:rPr>
            </w:pPr>
            <w:r w:rsidRPr="00C50286">
              <w:t>Contribution du Secteur de la normalisation des télécommunications de l'UIT à la mise en œuvre des résultats du Sommet mondial sur la société de l'information, compte tenu du Programme de développement durable à l'horizon 2030</w:t>
            </w:r>
          </w:p>
        </w:tc>
        <w:tc>
          <w:tcPr>
            <w:tcW w:w="2339" w:type="dxa"/>
          </w:tcPr>
          <w:p w14:paraId="266E2FCD" w14:textId="77777777" w:rsidR="006F7DFC" w:rsidRPr="00C50286" w:rsidRDefault="006F7DFC" w:rsidP="006F7DFC">
            <w:pPr>
              <w:pStyle w:val="Tabletext"/>
              <w:rPr>
                <w:b/>
                <w:bCs/>
              </w:rPr>
            </w:pPr>
            <w:r w:rsidRPr="00C50286">
              <w:rPr>
                <w:b/>
                <w:bCs/>
              </w:rPr>
              <w:t>Résolution 30</w:t>
            </w:r>
          </w:p>
          <w:p w14:paraId="08DAFD41" w14:textId="6C2C9786" w:rsidR="006F7DFC" w:rsidRPr="00C50286" w:rsidRDefault="006F7DFC" w:rsidP="006F7DFC">
            <w:pPr>
              <w:pStyle w:val="Tabletext"/>
              <w:rPr>
                <w:b/>
                <w:bCs/>
              </w:rPr>
            </w:pPr>
            <w:r w:rsidRPr="00C50286">
              <w:rPr>
                <w:lang w:eastAsia="ko-KR"/>
              </w:rPr>
              <w:t>Rôle du Secteur du développement des télécommunications de l'UIT dans la mise en œuvre des résultats du Sommet mondial sur la société de l'information, compte tenu du Programme de développement durable à l'horizon 2030</w:t>
            </w:r>
          </w:p>
        </w:tc>
      </w:tr>
      <w:tr w:rsidR="006F7DFC" w:rsidRPr="00C50286" w14:paraId="10DEB7C0" w14:textId="77777777" w:rsidTr="006F7DFC">
        <w:trPr>
          <w:cantSplit/>
        </w:trPr>
        <w:tc>
          <w:tcPr>
            <w:tcW w:w="2339" w:type="dxa"/>
          </w:tcPr>
          <w:p w14:paraId="516A006D" w14:textId="77777777" w:rsidR="006F7DFC" w:rsidRPr="00C50286" w:rsidRDefault="006F7DFC" w:rsidP="006F7DFC">
            <w:pPr>
              <w:pStyle w:val="Tabletext"/>
              <w:rPr>
                <w:b/>
                <w:bCs/>
              </w:rPr>
            </w:pPr>
            <w:r w:rsidRPr="00C50286">
              <w:rPr>
                <w:b/>
                <w:bCs/>
              </w:rPr>
              <w:t>Résolution 154</w:t>
            </w:r>
          </w:p>
          <w:p w14:paraId="58BD5511" w14:textId="6A9F3CC6" w:rsidR="006F7DFC" w:rsidRPr="00C50286" w:rsidRDefault="006F7DFC" w:rsidP="006F7DFC">
            <w:pPr>
              <w:pStyle w:val="Tabletext"/>
              <w:rPr>
                <w:b/>
                <w:bCs/>
              </w:rPr>
            </w:pPr>
            <w:r w:rsidRPr="00C50286">
              <w:t>Utilisation des six langues officielles de l'Union sur un pied d'égalité</w:t>
            </w:r>
          </w:p>
        </w:tc>
        <w:tc>
          <w:tcPr>
            <w:tcW w:w="2339" w:type="dxa"/>
          </w:tcPr>
          <w:p w14:paraId="79EB5656" w14:textId="77777777" w:rsidR="006F7DFC" w:rsidRPr="00C50286" w:rsidRDefault="006F7DFC" w:rsidP="006F7DFC">
            <w:pPr>
              <w:pStyle w:val="Tabletext"/>
              <w:rPr>
                <w:b/>
                <w:bCs/>
              </w:rPr>
            </w:pPr>
            <w:r w:rsidRPr="00C50286">
              <w:rPr>
                <w:b/>
                <w:bCs/>
              </w:rPr>
              <w:t>Résolution 36</w:t>
            </w:r>
          </w:p>
          <w:p w14:paraId="72756210" w14:textId="545C1C59" w:rsidR="006F7DFC" w:rsidRPr="00C50286" w:rsidRDefault="006F7DFC" w:rsidP="006F7DFC">
            <w:pPr>
              <w:pStyle w:val="Tabletext"/>
              <w:rPr>
                <w:b/>
                <w:bCs/>
              </w:rPr>
            </w:pPr>
            <w:r w:rsidRPr="00C50286">
              <w:rPr>
                <w:lang w:eastAsia="ko-KR"/>
              </w:rPr>
              <w:t>Coordination du vocabulaire dans les six langues officielles de l'Union sur un pied d'égalité dans le Secteur des radiocommunications de l'UIT</w:t>
            </w:r>
          </w:p>
        </w:tc>
        <w:tc>
          <w:tcPr>
            <w:tcW w:w="2339" w:type="dxa"/>
          </w:tcPr>
          <w:p w14:paraId="6CB86CF4" w14:textId="77777777" w:rsidR="006F7DFC" w:rsidRPr="00C50286" w:rsidRDefault="006F7DFC" w:rsidP="006F7DFC">
            <w:pPr>
              <w:pStyle w:val="Tabletext"/>
              <w:rPr>
                <w:b/>
                <w:bCs/>
              </w:rPr>
            </w:pPr>
            <w:r w:rsidRPr="00C50286">
              <w:rPr>
                <w:b/>
                <w:bCs/>
              </w:rPr>
              <w:t>Résolution 67</w:t>
            </w:r>
          </w:p>
          <w:p w14:paraId="1C3FE771" w14:textId="7A38B8AF" w:rsidR="006F7DFC" w:rsidRPr="00C50286" w:rsidRDefault="006F7DFC" w:rsidP="006F7DFC">
            <w:pPr>
              <w:pStyle w:val="Tabletext"/>
              <w:rPr>
                <w:b/>
                <w:bCs/>
              </w:rPr>
            </w:pPr>
            <w:r w:rsidRPr="00C50286">
              <w:rPr>
                <w:lang w:eastAsia="ko-KR"/>
              </w:rPr>
              <w:t>Utilisation au sein du Secteur de la normalisation des télécommunications de l'UIT des six langues officielles de l'Union sur un pied d'égalité et Comité de normalisation pour le vocabulaire</w:t>
            </w:r>
          </w:p>
        </w:tc>
        <w:tc>
          <w:tcPr>
            <w:tcW w:w="2339" w:type="dxa"/>
          </w:tcPr>
          <w:p w14:paraId="74B96900" w14:textId="77777777" w:rsidR="006F7DFC" w:rsidRPr="00C50286" w:rsidRDefault="006F7DFC" w:rsidP="006F7DFC">
            <w:pPr>
              <w:pStyle w:val="Tabletext"/>
              <w:rPr>
                <w:b/>
                <w:bCs/>
              </w:rPr>
            </w:pPr>
            <w:r w:rsidRPr="00C50286">
              <w:rPr>
                <w:b/>
                <w:bCs/>
              </w:rPr>
              <w:t>Résolution 1</w:t>
            </w:r>
          </w:p>
          <w:p w14:paraId="5A9E959E" w14:textId="3BF6ED5B" w:rsidR="006F7DFC" w:rsidRPr="00C50286" w:rsidRDefault="006F7DFC" w:rsidP="006F7DFC">
            <w:pPr>
              <w:pStyle w:val="Tabletext"/>
              <w:rPr>
                <w:lang w:eastAsia="ko-KR"/>
              </w:rPr>
            </w:pPr>
            <w:r w:rsidRPr="00C50286">
              <w:rPr>
                <w:lang w:eastAsia="ko-KR"/>
              </w:rPr>
              <w:t>Règlement intérieur du Secteur du développement des télécommunications de l'UIT</w:t>
            </w:r>
          </w:p>
        </w:tc>
      </w:tr>
    </w:tbl>
    <w:p w14:paraId="0AFC844B" w14:textId="3C222960" w:rsidR="0092373C" w:rsidRPr="00C50286" w:rsidRDefault="0092373C">
      <w:r w:rsidRPr="00C50286">
        <w:br w:type="page"/>
      </w:r>
    </w:p>
    <w:tbl>
      <w:tblPr>
        <w:tblStyle w:val="TableGrid"/>
        <w:tblW w:w="9356" w:type="dxa"/>
        <w:tblInd w:w="-5" w:type="dxa"/>
        <w:tblLayout w:type="fixed"/>
        <w:tblLook w:val="04A0" w:firstRow="1" w:lastRow="0" w:firstColumn="1" w:lastColumn="0" w:noHBand="0" w:noVBand="1"/>
      </w:tblPr>
      <w:tblGrid>
        <w:gridCol w:w="2339"/>
        <w:gridCol w:w="2339"/>
        <w:gridCol w:w="2339"/>
        <w:gridCol w:w="2339"/>
      </w:tblGrid>
      <w:tr w:rsidR="0092373C" w:rsidRPr="00C50286" w14:paraId="1FED7203" w14:textId="77777777" w:rsidTr="0092373C">
        <w:tc>
          <w:tcPr>
            <w:tcW w:w="2339" w:type="dxa"/>
          </w:tcPr>
          <w:p w14:paraId="066AEB61" w14:textId="77777777" w:rsidR="0092373C" w:rsidRPr="00C50286" w:rsidRDefault="0092373C" w:rsidP="00405A40">
            <w:pPr>
              <w:pStyle w:val="Tablehead"/>
              <w:keepNext/>
              <w:keepLines/>
            </w:pPr>
            <w:r w:rsidRPr="00C50286">
              <w:lastRenderedPageBreak/>
              <w:t>Résolution de la PP</w:t>
            </w:r>
          </w:p>
        </w:tc>
        <w:tc>
          <w:tcPr>
            <w:tcW w:w="2339" w:type="dxa"/>
          </w:tcPr>
          <w:p w14:paraId="4ED49738" w14:textId="77777777" w:rsidR="0092373C" w:rsidRPr="00C50286" w:rsidRDefault="0092373C" w:rsidP="00405A40">
            <w:pPr>
              <w:pStyle w:val="Tablehead"/>
              <w:keepNext/>
              <w:keepLines/>
            </w:pPr>
            <w:r w:rsidRPr="00C50286">
              <w:t>Résolution UIT</w:t>
            </w:r>
            <w:r w:rsidRPr="00C50286">
              <w:noBreakHyphen/>
              <w:t xml:space="preserve">R </w:t>
            </w:r>
          </w:p>
        </w:tc>
        <w:tc>
          <w:tcPr>
            <w:tcW w:w="2339" w:type="dxa"/>
          </w:tcPr>
          <w:p w14:paraId="4CBA14E9" w14:textId="77777777" w:rsidR="0092373C" w:rsidRPr="00C50286" w:rsidRDefault="0092373C" w:rsidP="00405A40">
            <w:pPr>
              <w:pStyle w:val="Tablehead"/>
              <w:keepNext/>
              <w:keepLines/>
            </w:pPr>
            <w:r w:rsidRPr="00C50286">
              <w:t>Résolution de l'</w:t>
            </w:r>
            <w:proofErr w:type="spellStart"/>
            <w:r w:rsidRPr="00C50286">
              <w:t>AMNT</w:t>
            </w:r>
            <w:proofErr w:type="spellEnd"/>
          </w:p>
        </w:tc>
        <w:tc>
          <w:tcPr>
            <w:tcW w:w="2339" w:type="dxa"/>
          </w:tcPr>
          <w:p w14:paraId="19C1191F" w14:textId="77777777" w:rsidR="0092373C" w:rsidRPr="00C50286" w:rsidRDefault="0092373C" w:rsidP="00405A40">
            <w:pPr>
              <w:pStyle w:val="Tablehead"/>
              <w:keepNext/>
              <w:keepLines/>
            </w:pPr>
            <w:r w:rsidRPr="00C50286">
              <w:t xml:space="preserve">Résolution de la </w:t>
            </w:r>
            <w:proofErr w:type="spellStart"/>
            <w:r w:rsidRPr="00C50286">
              <w:t>CMDT</w:t>
            </w:r>
            <w:proofErr w:type="spellEnd"/>
          </w:p>
        </w:tc>
      </w:tr>
      <w:tr w:rsidR="006F7DFC" w:rsidRPr="00C50286" w14:paraId="4F75CC82" w14:textId="77777777" w:rsidTr="0092373C">
        <w:trPr>
          <w:cantSplit/>
        </w:trPr>
        <w:tc>
          <w:tcPr>
            <w:tcW w:w="2339" w:type="dxa"/>
          </w:tcPr>
          <w:p w14:paraId="697860B8" w14:textId="0F0E2796" w:rsidR="006F7DFC" w:rsidRPr="00C50286" w:rsidRDefault="006F7DFC" w:rsidP="006F7DFC">
            <w:pPr>
              <w:pStyle w:val="Tabletext"/>
            </w:pPr>
          </w:p>
        </w:tc>
        <w:tc>
          <w:tcPr>
            <w:tcW w:w="2339" w:type="dxa"/>
          </w:tcPr>
          <w:p w14:paraId="4C3DEDD3" w14:textId="1486B659" w:rsidR="006F7DFC" w:rsidRPr="00C50286" w:rsidRDefault="006F7DFC" w:rsidP="006F7DFC">
            <w:pPr>
              <w:pStyle w:val="Tabletext"/>
            </w:pPr>
          </w:p>
        </w:tc>
        <w:tc>
          <w:tcPr>
            <w:tcW w:w="2339" w:type="dxa"/>
          </w:tcPr>
          <w:p w14:paraId="7D5E8D0B" w14:textId="24BA2769" w:rsidR="006F7DFC" w:rsidRPr="00C50286" w:rsidRDefault="006F7DFC" w:rsidP="006F7DFC">
            <w:pPr>
              <w:pStyle w:val="Tabletext"/>
            </w:pPr>
          </w:p>
        </w:tc>
        <w:tc>
          <w:tcPr>
            <w:tcW w:w="2339" w:type="dxa"/>
          </w:tcPr>
          <w:p w14:paraId="5A7ED9C9" w14:textId="0EF363BC" w:rsidR="006F7DFC" w:rsidRPr="00C50286" w:rsidRDefault="006F7DFC" w:rsidP="0092373C">
            <w:pPr>
              <w:pStyle w:val="Tabletext"/>
              <w:rPr>
                <w:rFonts w:eastAsiaTheme="minorEastAsia"/>
              </w:rPr>
            </w:pPr>
            <w:r w:rsidRPr="00C50286">
              <w:t>Section 12 – Coordination des travaux de terminologie (</w:t>
            </w:r>
            <w:proofErr w:type="gramStart"/>
            <w:r w:rsidRPr="00C50286">
              <w:t>suite à</w:t>
            </w:r>
            <w:proofErr w:type="gramEnd"/>
            <w:r w:rsidRPr="00C50286">
              <w:t xml:space="preserve"> la suppression, lors de la </w:t>
            </w:r>
            <w:proofErr w:type="spellStart"/>
            <w:r w:rsidRPr="00C50286">
              <w:t>CMDT</w:t>
            </w:r>
            <w:proofErr w:type="spellEnd"/>
            <w:r w:rsidRPr="00C50286">
              <w:t>-22, de la Résolution 86 relative à l'utilisation au sein du Secteur du développement des télécommunications de l'UIT des langues de l'Union sur un pied d'égalité)</w:t>
            </w:r>
          </w:p>
        </w:tc>
      </w:tr>
      <w:tr w:rsidR="006F7DFC" w:rsidRPr="00C50286" w14:paraId="1BF2D8B3" w14:textId="77777777" w:rsidTr="0092373C">
        <w:trPr>
          <w:cantSplit/>
        </w:trPr>
        <w:tc>
          <w:tcPr>
            <w:tcW w:w="2339" w:type="dxa"/>
          </w:tcPr>
          <w:p w14:paraId="753384EB" w14:textId="733B95F5" w:rsidR="006F7DFC" w:rsidRPr="00C50286" w:rsidRDefault="006F7DFC" w:rsidP="006F7DFC">
            <w:pPr>
              <w:pStyle w:val="Tabletext"/>
              <w:rPr>
                <w:b/>
                <w:bCs/>
              </w:rPr>
            </w:pPr>
            <w:r w:rsidRPr="00C50286">
              <w:rPr>
                <w:b/>
                <w:bCs/>
              </w:rPr>
              <w:t>Résolution 191</w:t>
            </w:r>
          </w:p>
          <w:p w14:paraId="547F2893" w14:textId="2CC44955" w:rsidR="006F7DFC" w:rsidRPr="00C50286" w:rsidRDefault="006F7DFC" w:rsidP="006F7DFC">
            <w:pPr>
              <w:pStyle w:val="Tabletext"/>
              <w:rPr>
                <w:lang w:eastAsia="ko-KR"/>
              </w:rPr>
            </w:pPr>
            <w:r w:rsidRPr="00C50286">
              <w:rPr>
                <w:lang w:eastAsia="ko-KR"/>
              </w:rPr>
              <w:t>Stratégie de coordination des efforts entre les trois</w:t>
            </w:r>
            <w:r w:rsidR="0092373C" w:rsidRPr="00C50286">
              <w:rPr>
                <w:lang w:eastAsia="ko-KR"/>
              </w:rPr>
              <w:t> </w:t>
            </w:r>
            <w:r w:rsidRPr="00C50286">
              <w:rPr>
                <w:lang w:eastAsia="ko-KR"/>
              </w:rPr>
              <w:t>Secteurs de l'Union</w:t>
            </w:r>
          </w:p>
        </w:tc>
        <w:tc>
          <w:tcPr>
            <w:tcW w:w="2339" w:type="dxa"/>
          </w:tcPr>
          <w:p w14:paraId="2D447D53" w14:textId="7ABD3E76" w:rsidR="006F7DFC" w:rsidRPr="00C50286" w:rsidRDefault="006F7DFC" w:rsidP="006F7DFC">
            <w:pPr>
              <w:pStyle w:val="Tabletext"/>
              <w:rPr>
                <w:b/>
                <w:bCs/>
              </w:rPr>
            </w:pPr>
            <w:r w:rsidRPr="00C50286">
              <w:rPr>
                <w:b/>
                <w:bCs/>
              </w:rPr>
              <w:t>Résolution 75</w:t>
            </w:r>
          </w:p>
          <w:p w14:paraId="37889E89" w14:textId="1B7A043D" w:rsidR="006F7DFC" w:rsidRPr="00C50286" w:rsidRDefault="006F7DFC" w:rsidP="006F7DFC">
            <w:pPr>
              <w:pStyle w:val="Tabletext"/>
            </w:pPr>
            <w:r w:rsidRPr="00C50286">
              <w:rPr>
                <w:lang w:eastAsia="ko-KR"/>
              </w:rPr>
              <w:t>Renforcement de la coordination et de la coopération entre les trois Secteurs de l'UIT sur des questions d'intérêt mutuel</w:t>
            </w:r>
          </w:p>
        </w:tc>
        <w:tc>
          <w:tcPr>
            <w:tcW w:w="2339" w:type="dxa"/>
          </w:tcPr>
          <w:p w14:paraId="0F36CF41" w14:textId="767EB2F5" w:rsidR="006F7DFC" w:rsidRPr="00C50286" w:rsidRDefault="006F7DFC" w:rsidP="006F7DFC">
            <w:pPr>
              <w:pStyle w:val="Tabletext"/>
              <w:rPr>
                <w:b/>
                <w:bCs/>
              </w:rPr>
            </w:pPr>
            <w:r w:rsidRPr="00C50286">
              <w:rPr>
                <w:b/>
                <w:bCs/>
              </w:rPr>
              <w:t>Résolution 18</w:t>
            </w:r>
          </w:p>
          <w:p w14:paraId="44B9B027" w14:textId="558B4CC4" w:rsidR="006F7DFC" w:rsidRPr="00C50286" w:rsidRDefault="006F7DFC" w:rsidP="006F7DFC">
            <w:pPr>
              <w:pStyle w:val="Tabletext"/>
            </w:pPr>
            <w:r w:rsidRPr="00C50286">
              <w:rPr>
                <w:lang w:eastAsia="ko-KR"/>
              </w:rPr>
              <w:t>Renforcement de la coordination et de la coopération entre les trois Secteurs sur des questions d'intérêt mutuel</w:t>
            </w:r>
          </w:p>
        </w:tc>
        <w:tc>
          <w:tcPr>
            <w:tcW w:w="2339" w:type="dxa"/>
          </w:tcPr>
          <w:p w14:paraId="22A7A335" w14:textId="3A7D6AAE" w:rsidR="006F7DFC" w:rsidRPr="00C50286" w:rsidRDefault="006F7DFC" w:rsidP="006F7DFC">
            <w:pPr>
              <w:pStyle w:val="Tabletext"/>
              <w:rPr>
                <w:b/>
                <w:bCs/>
              </w:rPr>
            </w:pPr>
            <w:r w:rsidRPr="00C50286">
              <w:rPr>
                <w:b/>
                <w:bCs/>
              </w:rPr>
              <w:t>Résolution 59</w:t>
            </w:r>
          </w:p>
          <w:p w14:paraId="142CF655" w14:textId="032D9804" w:rsidR="006F7DFC" w:rsidRPr="00C50286" w:rsidRDefault="006F7DFC" w:rsidP="006F7DFC">
            <w:pPr>
              <w:pStyle w:val="Tabletext"/>
            </w:pPr>
            <w:r w:rsidRPr="00C50286">
              <w:rPr>
                <w:lang w:eastAsia="ko-KR"/>
              </w:rPr>
              <w:t>Renforcement de la coordination et de la coopération entre les trois Secteurs sur des questions d'intérêt mutuel</w:t>
            </w:r>
          </w:p>
        </w:tc>
      </w:tr>
    </w:tbl>
    <w:p w14:paraId="4E6FF8E2" w14:textId="251C5390" w:rsidR="0092518A" w:rsidRPr="00C50286" w:rsidRDefault="0092518A" w:rsidP="0092518A">
      <w:pPr>
        <w:pStyle w:val="Heading1"/>
        <w:rPr>
          <w:lang w:eastAsia="ko-KR"/>
        </w:rPr>
      </w:pPr>
      <w:r w:rsidRPr="00C50286">
        <w:rPr>
          <w:lang w:eastAsia="ko-KR"/>
        </w:rPr>
        <w:t>II</w:t>
      </w:r>
      <w:r w:rsidRPr="00C50286">
        <w:rPr>
          <w:lang w:eastAsia="ko-KR"/>
        </w:rPr>
        <w:tab/>
        <w:t>Propos</w:t>
      </w:r>
      <w:r w:rsidR="00E02D10" w:rsidRPr="00C50286">
        <w:rPr>
          <w:lang w:eastAsia="ko-KR"/>
        </w:rPr>
        <w:t>itions</w:t>
      </w:r>
    </w:p>
    <w:p w14:paraId="035CF0C7" w14:textId="235C0892" w:rsidR="00780731" w:rsidRPr="00C50286" w:rsidRDefault="0092518A" w:rsidP="00405A40">
      <w:pPr>
        <w:jc w:val="both"/>
      </w:pPr>
      <w:r w:rsidRPr="00C50286">
        <w:t>1</w:t>
      </w:r>
      <w:r w:rsidRPr="00C50286">
        <w:tab/>
      </w:r>
      <w:r w:rsidR="00780731" w:rsidRPr="00C50286">
        <w:t xml:space="preserve">Examiner les propositions ci-dessus et recenser un nombre </w:t>
      </w:r>
      <w:r w:rsidR="0008434B" w:rsidRPr="00C50286">
        <w:t>donné</w:t>
      </w:r>
      <w:r w:rsidR="00780731" w:rsidRPr="00C50286">
        <w:t xml:space="preserve"> de Résolutions de la PP qui pourraient être modifiées à la </w:t>
      </w:r>
      <w:proofErr w:type="spellStart"/>
      <w:r w:rsidR="00780731" w:rsidRPr="00C50286">
        <w:t>PP-26</w:t>
      </w:r>
      <w:proofErr w:type="spellEnd"/>
      <w:r w:rsidR="00780731" w:rsidRPr="00C50286">
        <w:t xml:space="preserve"> afin de couvrir les intérêts de tous les Secteurs</w:t>
      </w:r>
      <w:r w:rsidR="00FB706E" w:rsidRPr="00C50286">
        <w:t xml:space="preserve"> et les dispositions pertinentes de leurs Résolutions, ce qui permettra de supprimer ou de raccourcir de manière significative lesdites Résolutions des Secteurs.</w:t>
      </w:r>
    </w:p>
    <w:p w14:paraId="7577EAC2" w14:textId="2AFEF8A7" w:rsidR="00FB706E" w:rsidRPr="00C50286" w:rsidRDefault="0092518A" w:rsidP="00405A40">
      <w:pPr>
        <w:jc w:val="both"/>
      </w:pPr>
      <w:r w:rsidRPr="00C50286">
        <w:t>2</w:t>
      </w:r>
      <w:r w:rsidRPr="00C50286">
        <w:tab/>
        <w:t>Invite</w:t>
      </w:r>
      <w:r w:rsidR="00FB706E" w:rsidRPr="00C50286">
        <w:t>r les membres de l'UIT à participer activement au travail prépara</w:t>
      </w:r>
      <w:r w:rsidR="0008434B" w:rsidRPr="00C50286">
        <w:t>toire</w:t>
      </w:r>
      <w:r w:rsidR="00FB706E" w:rsidRPr="00C50286">
        <w:t xml:space="preserve"> en vue de la </w:t>
      </w:r>
      <w:proofErr w:type="spellStart"/>
      <w:r w:rsidR="00FB706E" w:rsidRPr="00C50286">
        <w:t>PP-26</w:t>
      </w:r>
      <w:proofErr w:type="spellEnd"/>
      <w:r w:rsidR="00FB706E" w:rsidRPr="00C50286">
        <w:t>, puis de l'</w:t>
      </w:r>
      <w:proofErr w:type="spellStart"/>
      <w:r w:rsidR="00FB706E" w:rsidRPr="00C50286">
        <w:t>AR-27</w:t>
      </w:r>
      <w:proofErr w:type="spellEnd"/>
      <w:r w:rsidR="00FB706E" w:rsidRPr="00C50286">
        <w:t>, de l'</w:t>
      </w:r>
      <w:proofErr w:type="spellStart"/>
      <w:r w:rsidR="00FB706E" w:rsidRPr="00C50286">
        <w:t>AMNT</w:t>
      </w:r>
      <w:proofErr w:type="spellEnd"/>
      <w:r w:rsidR="00FB706E" w:rsidRPr="00C50286">
        <w:t xml:space="preserve">-28 et de la </w:t>
      </w:r>
      <w:proofErr w:type="spellStart"/>
      <w:r w:rsidR="00FB706E" w:rsidRPr="00C50286">
        <w:t>CMDT</w:t>
      </w:r>
      <w:proofErr w:type="spellEnd"/>
      <w:r w:rsidR="00FB706E" w:rsidRPr="00C50286">
        <w:t xml:space="preserve">-29, notamment dans le cadre du Groupe </w:t>
      </w:r>
      <w:proofErr w:type="spellStart"/>
      <w:r w:rsidR="00FB706E" w:rsidRPr="00C50286">
        <w:t>ISCG</w:t>
      </w:r>
      <w:proofErr w:type="spellEnd"/>
      <w:r w:rsidR="00FB706E" w:rsidRPr="00C50286">
        <w:t>, compte tenu de la nécessité de modifier les Résolutions de la PP pertinente pour refléter les intérêts de l'UIT-R, de l'UIT-T et de l'UIT-D.</w:t>
      </w:r>
    </w:p>
    <w:p w14:paraId="043494EA" w14:textId="36B97B5C" w:rsidR="00FB706E" w:rsidRPr="00405A40" w:rsidRDefault="0092518A" w:rsidP="00405A40">
      <w:pPr>
        <w:jc w:val="both"/>
        <w:rPr>
          <w:spacing w:val="-2"/>
        </w:rPr>
      </w:pPr>
      <w:r w:rsidRPr="00405A40">
        <w:rPr>
          <w:spacing w:val="-2"/>
        </w:rPr>
        <w:t>3</w:t>
      </w:r>
      <w:r w:rsidRPr="00405A40">
        <w:rPr>
          <w:spacing w:val="-2"/>
        </w:rPr>
        <w:tab/>
      </w:r>
      <w:r w:rsidR="00FB706E" w:rsidRPr="00405A40">
        <w:rPr>
          <w:spacing w:val="-2"/>
        </w:rPr>
        <w:t xml:space="preserve">Sur la base des décisions de la </w:t>
      </w:r>
      <w:proofErr w:type="spellStart"/>
      <w:r w:rsidR="00FB706E" w:rsidRPr="00405A40">
        <w:rPr>
          <w:spacing w:val="-2"/>
        </w:rPr>
        <w:t>PP-26</w:t>
      </w:r>
      <w:proofErr w:type="spellEnd"/>
      <w:r w:rsidR="00FB706E" w:rsidRPr="00405A40">
        <w:rPr>
          <w:spacing w:val="-2"/>
        </w:rPr>
        <w:t xml:space="preserve">, </w:t>
      </w:r>
      <w:r w:rsidR="0008434B" w:rsidRPr="00405A40">
        <w:rPr>
          <w:spacing w:val="-2"/>
        </w:rPr>
        <w:t>poursuivre</w:t>
      </w:r>
      <w:r w:rsidR="00FB706E" w:rsidRPr="00405A40">
        <w:rPr>
          <w:spacing w:val="-2"/>
        </w:rPr>
        <w:t xml:space="preserve"> les travaux menés par les groupes consultatifs des Secteurs pour optimiser les Résolutions pertinentes des Secteurs et de la Conférence de plénipotentiaires lors des travaux préparatoires en vue de l'</w:t>
      </w:r>
      <w:proofErr w:type="spellStart"/>
      <w:r w:rsidR="00FB706E" w:rsidRPr="00405A40">
        <w:rPr>
          <w:spacing w:val="-2"/>
        </w:rPr>
        <w:t>AR-27</w:t>
      </w:r>
      <w:proofErr w:type="spellEnd"/>
      <w:r w:rsidR="00FB706E" w:rsidRPr="00405A40">
        <w:rPr>
          <w:spacing w:val="-2"/>
        </w:rPr>
        <w:t>, de l'</w:t>
      </w:r>
      <w:proofErr w:type="spellStart"/>
      <w:r w:rsidR="00FB706E" w:rsidRPr="00405A40">
        <w:rPr>
          <w:spacing w:val="-2"/>
        </w:rPr>
        <w:t>AMNT</w:t>
      </w:r>
      <w:proofErr w:type="spellEnd"/>
      <w:r w:rsidR="00FB706E" w:rsidRPr="00405A40">
        <w:rPr>
          <w:spacing w:val="-2"/>
        </w:rPr>
        <w:t xml:space="preserve">-28 et de la </w:t>
      </w:r>
      <w:proofErr w:type="spellStart"/>
      <w:r w:rsidR="00FB706E" w:rsidRPr="00405A40">
        <w:rPr>
          <w:spacing w:val="-2"/>
        </w:rPr>
        <w:t>CMDT</w:t>
      </w:r>
      <w:proofErr w:type="spellEnd"/>
      <w:r w:rsidR="00FB706E" w:rsidRPr="00405A40">
        <w:rPr>
          <w:spacing w:val="-2"/>
        </w:rPr>
        <w:t>-29.</w:t>
      </w:r>
    </w:p>
    <w:p w14:paraId="5D3F1474" w14:textId="77777777" w:rsidR="00405A40" w:rsidRPr="00C50286" w:rsidRDefault="00405A40" w:rsidP="00405A40">
      <w:pPr>
        <w:jc w:val="both"/>
      </w:pPr>
    </w:p>
    <w:p w14:paraId="793182FB" w14:textId="77777777" w:rsidR="00897553" w:rsidRPr="00C50286" w:rsidRDefault="006A11AE" w:rsidP="006A11AE">
      <w:pPr>
        <w:jc w:val="center"/>
      </w:pPr>
      <w:r w:rsidRPr="00C50286">
        <w:t>______________</w:t>
      </w:r>
    </w:p>
    <w:sectPr w:rsidR="00897553" w:rsidRPr="00C50286" w:rsidSect="00D72F49">
      <w:headerReference w:type="even" r:id="rId9"/>
      <w:footerReference w:type="even" r:id="rId10"/>
      <w:footerReference w:type="default" r:id="rId11"/>
      <w:headerReference w:type="first" r:id="rId12"/>
      <w:footerReference w:type="first" r:id="rId13"/>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E4B6C" w14:textId="77777777" w:rsidR="00A103C9" w:rsidRDefault="00A103C9">
      <w:r>
        <w:separator/>
      </w:r>
    </w:p>
  </w:endnote>
  <w:endnote w:type="continuationSeparator" w:id="0">
    <w:p w14:paraId="05D70F90" w14:textId="77777777" w:rsidR="00A103C9" w:rsidRDefault="00A10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0D31F" w14:textId="1F669CFC" w:rsidR="00732045" w:rsidRPr="006F7DFC" w:rsidRDefault="0008434B">
    <w:pPr>
      <w:pStyle w:val="Footer"/>
      <w:rPr>
        <w:lang w:val="en-US"/>
      </w:rPr>
    </w:pPr>
    <w:r>
      <w:fldChar w:fldCharType="begin"/>
    </w:r>
    <w:r w:rsidRPr="006F7DFC">
      <w:rPr>
        <w:lang w:val="en-US"/>
      </w:rPr>
      <w:instrText xml:space="preserve"> FILENAME \p \* MERGEFORMAT </w:instrText>
    </w:r>
    <w:r>
      <w:fldChar w:fldCharType="separate"/>
    </w:r>
    <w:r w:rsidR="00C50286">
      <w:rPr>
        <w:lang w:val="en-US"/>
      </w:rPr>
      <w:t>P:\FRA\gDoc\SG\C25\2501342F.docx</w:t>
    </w:r>
    <w:r>
      <w:fldChar w:fldCharType="end"/>
    </w:r>
    <w:r w:rsidR="00732045" w:rsidRPr="006F7DFC">
      <w:rPr>
        <w:lang w:val="en-US"/>
      </w:rPr>
      <w:tab/>
    </w:r>
    <w:r w:rsidR="002F1B76">
      <w:fldChar w:fldCharType="begin"/>
    </w:r>
    <w:r w:rsidR="00732045">
      <w:instrText xml:space="preserve"> savedate \@ dd.MM.yy </w:instrText>
    </w:r>
    <w:r w:rsidR="002F1B76">
      <w:fldChar w:fldCharType="separate"/>
    </w:r>
    <w:r w:rsidR="00BD3C8C">
      <w:t>11.06.25</w:t>
    </w:r>
    <w:r w:rsidR="002F1B76">
      <w:fldChar w:fldCharType="end"/>
    </w:r>
    <w:r w:rsidR="00732045" w:rsidRPr="006F7DFC">
      <w:rPr>
        <w:lang w:val="en-US"/>
      </w:rPr>
      <w:tab/>
    </w:r>
    <w:r w:rsidR="002F1B76">
      <w:fldChar w:fldCharType="begin"/>
    </w:r>
    <w:r w:rsidR="00732045">
      <w:instrText xml:space="preserve"> printdate \@ dd.MM.yy </w:instrText>
    </w:r>
    <w:r w:rsidR="002F1B76">
      <w:fldChar w:fldCharType="separate"/>
    </w:r>
    <w:r w:rsidR="00C50286">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1F90FC9" w14:textId="77777777" w:rsidTr="00E31DCE">
      <w:trPr>
        <w:jc w:val="center"/>
      </w:trPr>
      <w:tc>
        <w:tcPr>
          <w:tcW w:w="1803" w:type="dxa"/>
          <w:vAlign w:val="center"/>
        </w:tcPr>
        <w:p w14:paraId="01530180" w14:textId="087544CD" w:rsidR="00A51849" w:rsidRDefault="00854514" w:rsidP="00A51849">
          <w:pPr>
            <w:pStyle w:val="Header"/>
            <w:jc w:val="left"/>
            <w:rPr>
              <w:noProof/>
            </w:rPr>
          </w:pPr>
          <w:r>
            <w:rPr>
              <w:noProof/>
            </w:rPr>
            <w:t>2501342</w:t>
          </w:r>
        </w:p>
      </w:tc>
      <w:tc>
        <w:tcPr>
          <w:tcW w:w="8261" w:type="dxa"/>
        </w:tcPr>
        <w:p w14:paraId="686D3E39" w14:textId="14D07A79"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proofErr w:type="spellStart"/>
          <w:r w:rsidRPr="00623AE3">
            <w:rPr>
              <w:bCs/>
            </w:rPr>
            <w:t>C</w:t>
          </w:r>
          <w:r>
            <w:rPr>
              <w:bCs/>
            </w:rPr>
            <w:t>2</w:t>
          </w:r>
          <w:r w:rsidR="00FC6D7D">
            <w:rPr>
              <w:bCs/>
            </w:rPr>
            <w:t>5</w:t>
          </w:r>
          <w:proofErr w:type="spellEnd"/>
          <w:r w:rsidRPr="00623AE3">
            <w:rPr>
              <w:bCs/>
            </w:rPr>
            <w:t>/</w:t>
          </w:r>
          <w:r w:rsidR="00E02D10">
            <w:rPr>
              <w:bCs/>
            </w:rPr>
            <w:t>79</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ADF79B9"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6F1836D4" w14:textId="77777777" w:rsidTr="00E31DCE">
      <w:trPr>
        <w:jc w:val="center"/>
      </w:trPr>
      <w:tc>
        <w:tcPr>
          <w:tcW w:w="1803" w:type="dxa"/>
          <w:vAlign w:val="center"/>
        </w:tcPr>
        <w:p w14:paraId="18E0E161" w14:textId="77777777" w:rsidR="00A51849" w:rsidRPr="00FC6D7D" w:rsidRDefault="00FC6D7D" w:rsidP="00A51849">
          <w:pPr>
            <w:pStyle w:val="Header"/>
            <w:jc w:val="left"/>
            <w:rPr>
              <w:noProof/>
              <w:color w:val="0563C1"/>
            </w:rPr>
          </w:pPr>
          <w:hyperlink r:id="rId1" w:history="1">
            <w:proofErr w:type="spellStart"/>
            <w:r w:rsidRPr="00FC6D7D">
              <w:rPr>
                <w:rStyle w:val="Hyperlink"/>
              </w:rPr>
              <w:t>council.itu.int</w:t>
            </w:r>
            <w:proofErr w:type="spellEnd"/>
            <w:r w:rsidRPr="00FC6D7D">
              <w:rPr>
                <w:rStyle w:val="Hyperlink"/>
              </w:rPr>
              <w:t>/2025</w:t>
            </w:r>
          </w:hyperlink>
        </w:p>
      </w:tc>
      <w:tc>
        <w:tcPr>
          <w:tcW w:w="8261" w:type="dxa"/>
        </w:tcPr>
        <w:p w14:paraId="06330A21" w14:textId="39FF7AE2"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proofErr w:type="spellStart"/>
          <w:r w:rsidRPr="00623AE3">
            <w:rPr>
              <w:bCs/>
            </w:rPr>
            <w:t>C</w:t>
          </w:r>
          <w:r>
            <w:rPr>
              <w:bCs/>
            </w:rPr>
            <w:t>2</w:t>
          </w:r>
          <w:r w:rsidR="00FC6D7D">
            <w:rPr>
              <w:bCs/>
            </w:rPr>
            <w:t>5</w:t>
          </w:r>
          <w:proofErr w:type="spellEnd"/>
          <w:r w:rsidRPr="00623AE3">
            <w:rPr>
              <w:bCs/>
            </w:rPr>
            <w:t>/</w:t>
          </w:r>
          <w:r w:rsidR="00E02D10">
            <w:rPr>
              <w:bCs/>
            </w:rPr>
            <w:t>79</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0EFC4E9E"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E51D9" w14:textId="77777777" w:rsidR="00A103C9" w:rsidRDefault="00A103C9">
      <w:r>
        <w:t>____________________</w:t>
      </w:r>
    </w:p>
  </w:footnote>
  <w:footnote w:type="continuationSeparator" w:id="0">
    <w:p w14:paraId="6F0E86BF" w14:textId="77777777" w:rsidR="00A103C9" w:rsidRDefault="00A10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13A2F"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7C01E8E6" w14:textId="77777777" w:rsidR="00732045" w:rsidRDefault="00732045">
    <w:pPr>
      <w:pStyle w:val="Header"/>
    </w:pPr>
    <w:proofErr w:type="spellStart"/>
    <w:r>
      <w:t>C2001</w:t>
    </w:r>
    <w:proofErr w:type="spellEnd"/>
    <w:r>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38DC8492" w14:textId="77777777" w:rsidTr="00D37B53">
      <w:trPr>
        <w:trHeight w:val="1104"/>
        <w:jc w:val="center"/>
      </w:trPr>
      <w:tc>
        <w:tcPr>
          <w:tcW w:w="5317" w:type="dxa"/>
          <w:vAlign w:val="center"/>
        </w:tcPr>
        <w:p w14:paraId="47E82E61"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2ACCC3F0" wp14:editId="0C858B50">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31482C69" w14:textId="77777777" w:rsidR="00524E8D" w:rsidRDefault="00524E8D" w:rsidP="00A51849">
          <w:pPr>
            <w:pStyle w:val="Header"/>
            <w:jc w:val="right"/>
            <w:rPr>
              <w:rFonts w:ascii="Arial" w:hAnsi="Arial" w:cs="Arial"/>
              <w:b/>
              <w:bCs/>
              <w:color w:val="009CD6"/>
              <w:szCs w:val="18"/>
            </w:rPr>
          </w:pPr>
        </w:p>
      </w:tc>
    </w:tr>
  </w:tbl>
  <w:p w14:paraId="7ED6B95D"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A3E3FCB" wp14:editId="412256BE">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5DEE5"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3C9"/>
    <w:rsid w:val="00076A2C"/>
    <w:rsid w:val="0008434B"/>
    <w:rsid w:val="000B2A51"/>
    <w:rsid w:val="000D0D0A"/>
    <w:rsid w:val="00103163"/>
    <w:rsid w:val="00106B19"/>
    <w:rsid w:val="001133EF"/>
    <w:rsid w:val="00115D93"/>
    <w:rsid w:val="001247A8"/>
    <w:rsid w:val="001370B2"/>
    <w:rsid w:val="001378C0"/>
    <w:rsid w:val="00160912"/>
    <w:rsid w:val="0018694A"/>
    <w:rsid w:val="00194B2B"/>
    <w:rsid w:val="00195012"/>
    <w:rsid w:val="001A3287"/>
    <w:rsid w:val="001A6508"/>
    <w:rsid w:val="001D4C31"/>
    <w:rsid w:val="001E4C67"/>
    <w:rsid w:val="001E4D21"/>
    <w:rsid w:val="00207CD1"/>
    <w:rsid w:val="00226657"/>
    <w:rsid w:val="00244316"/>
    <w:rsid w:val="002477A2"/>
    <w:rsid w:val="00252DC3"/>
    <w:rsid w:val="00263A51"/>
    <w:rsid w:val="00267E02"/>
    <w:rsid w:val="002A5D44"/>
    <w:rsid w:val="002C3F32"/>
    <w:rsid w:val="002C4E3D"/>
    <w:rsid w:val="002E0BC4"/>
    <w:rsid w:val="002F1B76"/>
    <w:rsid w:val="0033568E"/>
    <w:rsid w:val="00355FF5"/>
    <w:rsid w:val="00361350"/>
    <w:rsid w:val="003C3FAE"/>
    <w:rsid w:val="004038CB"/>
    <w:rsid w:val="0040546F"/>
    <w:rsid w:val="00405A40"/>
    <w:rsid w:val="004177BD"/>
    <w:rsid w:val="0042404A"/>
    <w:rsid w:val="0044618F"/>
    <w:rsid w:val="0046769A"/>
    <w:rsid w:val="00475FB3"/>
    <w:rsid w:val="004C37A9"/>
    <w:rsid w:val="004D1D50"/>
    <w:rsid w:val="004F259E"/>
    <w:rsid w:val="00511F1D"/>
    <w:rsid w:val="00520F36"/>
    <w:rsid w:val="00524E8D"/>
    <w:rsid w:val="00534E13"/>
    <w:rsid w:val="00540615"/>
    <w:rsid w:val="00540A6D"/>
    <w:rsid w:val="00566679"/>
    <w:rsid w:val="00571EEA"/>
    <w:rsid w:val="00575417"/>
    <w:rsid w:val="005768E1"/>
    <w:rsid w:val="005B1938"/>
    <w:rsid w:val="005C3890"/>
    <w:rsid w:val="005F7BFE"/>
    <w:rsid w:val="00600017"/>
    <w:rsid w:val="006235CA"/>
    <w:rsid w:val="0062366E"/>
    <w:rsid w:val="006643AB"/>
    <w:rsid w:val="0067654E"/>
    <w:rsid w:val="006A11AE"/>
    <w:rsid w:val="006F0A53"/>
    <w:rsid w:val="006F7DFC"/>
    <w:rsid w:val="007210CD"/>
    <w:rsid w:val="00732045"/>
    <w:rsid w:val="0073275D"/>
    <w:rsid w:val="007369DB"/>
    <w:rsid w:val="0077110E"/>
    <w:rsid w:val="00780731"/>
    <w:rsid w:val="00794CDF"/>
    <w:rsid w:val="007956C2"/>
    <w:rsid w:val="007A187E"/>
    <w:rsid w:val="007B1182"/>
    <w:rsid w:val="007C72C2"/>
    <w:rsid w:val="007D4436"/>
    <w:rsid w:val="007F257A"/>
    <w:rsid w:val="007F3665"/>
    <w:rsid w:val="00800037"/>
    <w:rsid w:val="0082299A"/>
    <w:rsid w:val="0083391C"/>
    <w:rsid w:val="008339A8"/>
    <w:rsid w:val="00854514"/>
    <w:rsid w:val="00861D73"/>
    <w:rsid w:val="00882919"/>
    <w:rsid w:val="00897553"/>
    <w:rsid w:val="008A4E87"/>
    <w:rsid w:val="008D76E6"/>
    <w:rsid w:val="0092373C"/>
    <w:rsid w:val="0092392D"/>
    <w:rsid w:val="0092518A"/>
    <w:rsid w:val="0093234A"/>
    <w:rsid w:val="00956A78"/>
    <w:rsid w:val="0097363B"/>
    <w:rsid w:val="00973F53"/>
    <w:rsid w:val="009A6BAA"/>
    <w:rsid w:val="009C307F"/>
    <w:rsid w:val="009C353C"/>
    <w:rsid w:val="009F0FB8"/>
    <w:rsid w:val="00A103C9"/>
    <w:rsid w:val="00A13389"/>
    <w:rsid w:val="00A2113E"/>
    <w:rsid w:val="00A23A51"/>
    <w:rsid w:val="00A24607"/>
    <w:rsid w:val="00A25CD3"/>
    <w:rsid w:val="00A51849"/>
    <w:rsid w:val="00A709FE"/>
    <w:rsid w:val="00A73C60"/>
    <w:rsid w:val="00A82767"/>
    <w:rsid w:val="00AA332F"/>
    <w:rsid w:val="00AA7BBB"/>
    <w:rsid w:val="00AB64A8"/>
    <w:rsid w:val="00AC0266"/>
    <w:rsid w:val="00AD24EC"/>
    <w:rsid w:val="00B27B00"/>
    <w:rsid w:val="00B309F9"/>
    <w:rsid w:val="00B32B60"/>
    <w:rsid w:val="00B51005"/>
    <w:rsid w:val="00B61619"/>
    <w:rsid w:val="00BB13BD"/>
    <w:rsid w:val="00BB4545"/>
    <w:rsid w:val="00BD3C8C"/>
    <w:rsid w:val="00BD5873"/>
    <w:rsid w:val="00BE496E"/>
    <w:rsid w:val="00BF4B60"/>
    <w:rsid w:val="00C049D7"/>
    <w:rsid w:val="00C04BE3"/>
    <w:rsid w:val="00C25D29"/>
    <w:rsid w:val="00C27A7C"/>
    <w:rsid w:val="00C42437"/>
    <w:rsid w:val="00C50286"/>
    <w:rsid w:val="00C93055"/>
    <w:rsid w:val="00CA08ED"/>
    <w:rsid w:val="00CC6EAA"/>
    <w:rsid w:val="00CF183B"/>
    <w:rsid w:val="00D375CD"/>
    <w:rsid w:val="00D37B53"/>
    <w:rsid w:val="00D553A2"/>
    <w:rsid w:val="00D72F49"/>
    <w:rsid w:val="00D774D3"/>
    <w:rsid w:val="00D904E8"/>
    <w:rsid w:val="00DA08C3"/>
    <w:rsid w:val="00DB5A3E"/>
    <w:rsid w:val="00DC22AA"/>
    <w:rsid w:val="00DD1A99"/>
    <w:rsid w:val="00DF74DD"/>
    <w:rsid w:val="00E02D10"/>
    <w:rsid w:val="00E25AD0"/>
    <w:rsid w:val="00E3537C"/>
    <w:rsid w:val="00E4428F"/>
    <w:rsid w:val="00E47427"/>
    <w:rsid w:val="00E93668"/>
    <w:rsid w:val="00E95647"/>
    <w:rsid w:val="00EB6350"/>
    <w:rsid w:val="00EE45D4"/>
    <w:rsid w:val="00F15B57"/>
    <w:rsid w:val="00F35EF4"/>
    <w:rsid w:val="00F37FE5"/>
    <w:rsid w:val="00F427DB"/>
    <w:rsid w:val="00FA5EB1"/>
    <w:rsid w:val="00FA7439"/>
    <w:rsid w:val="00FB706E"/>
    <w:rsid w:val="00FC4EC0"/>
    <w:rsid w:val="00FC6D7D"/>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F8D52B"/>
  <w15:docId w15:val="{BDD2976D-0F97-491A-BBCD-BD978057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general-secretariat/ties/ISCGDocumentLibrary/Liaisons%20Statements%20on%20Inter-Sectoral%20Coordination%20Activities/Mapping-of-Resolutions-Updated%20Dec2024.pdf" TargetMode="Externa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itu.int/en/general-secretariat/ties/ISCGDocumentLibrary/Liaisons%20Statements%20on%20Inter-Sectoral%20Coordination%20Activities/Mapping-of-Resolutions-Updated%20Dec2024.pdf"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u.int/md/S25-CL-C-0029/en"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PF_Council25.dotx</Template>
  <TotalTime>3</TotalTime>
  <Pages>4</Pages>
  <Words>1205</Words>
  <Characters>6505</Characters>
  <Application>Microsoft Office Word</Application>
  <DocSecurity>0</DocSecurity>
  <Lines>251</Lines>
  <Paragraphs>69</Paragraphs>
  <ScaleCrop>false</ScaleCrop>
  <HeadingPairs>
    <vt:vector size="2" baseType="variant">
      <vt:variant>
        <vt:lpstr>Title</vt:lpstr>
      </vt:variant>
      <vt:variant>
        <vt:i4>1</vt:i4>
      </vt:variant>
    </vt:vector>
  </HeadingPairs>
  <TitlesOfParts>
    <vt:vector size="1" baseType="lpstr">
      <vt:lpstr>Rationalisation des résolutions de la Conférence de plénipotentiaires et des Secteurs</vt:lpstr>
    </vt:vector>
  </TitlesOfParts>
  <Manager>Secrétariat général - Pool</Manager>
  <Company>Union internationale des télécommunications (UIT)</Company>
  <LinksUpToDate>false</LinksUpToDate>
  <CharactersWithSpaces>7644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Rationalisation des résolutions de la Conférence de plénipotentiaires et des Secteurs</dc:title>
  <dc:subject>Conseil 2025 de l'UIT</dc:subject>
  <cp:keywords>C2025, C25, Council-25</cp:keywords>
  <dc:description/>
  <cp:lastPrinted>2000-07-18T08:55:00Z</cp:lastPrinted>
  <dcterms:created xsi:type="dcterms:W3CDTF">2025-06-12T15:01:00Z</dcterms:created>
  <dcterms:modified xsi:type="dcterms:W3CDTF">2025-06-12T15:04:00Z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