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05"/>
        <w:gridCol w:w="2966"/>
      </w:tblGrid>
      <w:tr w:rsidR="007B0AA0" w14:paraId="46C35A75" w14:textId="77777777" w:rsidTr="00F363FE">
        <w:tc>
          <w:tcPr>
            <w:tcW w:w="6512" w:type="dxa"/>
          </w:tcPr>
          <w:p w14:paraId="49CC7C17" w14:textId="4C655811" w:rsidR="007B0AA0" w:rsidRPr="007B0AA0" w:rsidRDefault="007B0AA0" w:rsidP="00F363FE">
            <w:pPr>
              <w:spacing w:before="60" w:after="60" w:line="260" w:lineRule="exact"/>
              <w:rPr>
                <w:b/>
                <w:bCs/>
              </w:rPr>
            </w:pPr>
            <w:r w:rsidRPr="007B0AA0">
              <w:rPr>
                <w:rFonts w:hint="cs"/>
                <w:b/>
                <w:bCs/>
                <w:rtl/>
                <w:lang w:bidi="ar-EG"/>
              </w:rPr>
              <w:t>بند جدول الأعمال:</w:t>
            </w:r>
            <w:r w:rsidR="00070E98">
              <w:rPr>
                <w:rFonts w:hint="cs"/>
                <w:b/>
                <w:bCs/>
                <w:rtl/>
              </w:rPr>
              <w:t xml:space="preserve"> </w:t>
            </w:r>
            <w:r w:rsidR="00070E98">
              <w:rPr>
                <w:b/>
                <w:bCs/>
              </w:rPr>
              <w:t>PL</w:t>
            </w:r>
            <w:r w:rsidR="005D4E31">
              <w:rPr>
                <w:b/>
                <w:bCs/>
              </w:rPr>
              <w:t xml:space="preserve"> </w:t>
            </w:r>
            <w:r w:rsidR="00070E98">
              <w:rPr>
                <w:b/>
                <w:bCs/>
              </w:rPr>
              <w:t>3</w:t>
            </w:r>
          </w:p>
        </w:tc>
        <w:tc>
          <w:tcPr>
            <w:tcW w:w="3117" w:type="dxa"/>
          </w:tcPr>
          <w:p w14:paraId="44C14D68" w14:textId="7F0B4176" w:rsidR="007B0AA0" w:rsidRPr="007B0AA0" w:rsidRDefault="007B0AA0" w:rsidP="00F363FE">
            <w:pPr>
              <w:spacing w:before="60" w:after="60" w:line="260" w:lineRule="exact"/>
              <w:rPr>
                <w:b/>
                <w:bCs/>
                <w:lang w:bidi="ar-EG"/>
              </w:rPr>
            </w:pPr>
            <w:r w:rsidRPr="007B0AA0">
              <w:rPr>
                <w:rFonts w:hint="cs"/>
                <w:b/>
                <w:bCs/>
                <w:rtl/>
                <w:lang w:bidi="ar-EG"/>
              </w:rPr>
              <w:t xml:space="preserve">الوثيقة </w:t>
            </w:r>
            <w:r w:rsidRPr="007B0AA0">
              <w:rPr>
                <w:b/>
                <w:bCs/>
                <w:lang w:bidi="ar-EG"/>
              </w:rPr>
              <w:t>C2</w:t>
            </w:r>
            <w:r w:rsidR="006F363C">
              <w:rPr>
                <w:b/>
                <w:bCs/>
                <w:lang w:bidi="ar-EG"/>
              </w:rPr>
              <w:t>5</w:t>
            </w:r>
            <w:r w:rsidRPr="007B0AA0">
              <w:rPr>
                <w:b/>
                <w:bCs/>
                <w:lang w:bidi="ar-EG"/>
              </w:rPr>
              <w:t>/</w:t>
            </w:r>
            <w:r w:rsidR="00070E98">
              <w:rPr>
                <w:b/>
                <w:bCs/>
                <w:lang w:bidi="ar-EG"/>
              </w:rPr>
              <w:t>79</w:t>
            </w:r>
            <w:r w:rsidRPr="007B0AA0">
              <w:rPr>
                <w:b/>
                <w:bCs/>
                <w:lang w:bidi="ar-EG"/>
              </w:rPr>
              <w:t>-A</w:t>
            </w:r>
          </w:p>
        </w:tc>
      </w:tr>
      <w:tr w:rsidR="007B0AA0" w14:paraId="21704863" w14:textId="77777777" w:rsidTr="00F363FE">
        <w:tc>
          <w:tcPr>
            <w:tcW w:w="6512" w:type="dxa"/>
          </w:tcPr>
          <w:p w14:paraId="4F7225E0" w14:textId="77777777" w:rsidR="007B0AA0" w:rsidRPr="007B0AA0" w:rsidRDefault="007B0AA0" w:rsidP="00F363FE">
            <w:pPr>
              <w:spacing w:before="60" w:after="60" w:line="260" w:lineRule="exact"/>
              <w:rPr>
                <w:b/>
                <w:bCs/>
                <w:rtl/>
                <w:lang w:bidi="ar-EG"/>
              </w:rPr>
            </w:pPr>
          </w:p>
        </w:tc>
        <w:tc>
          <w:tcPr>
            <w:tcW w:w="3117" w:type="dxa"/>
          </w:tcPr>
          <w:p w14:paraId="6923E760" w14:textId="75DAF252" w:rsidR="007B0AA0" w:rsidRPr="007B0AA0" w:rsidRDefault="00070E98" w:rsidP="00070E98">
            <w:pPr>
              <w:spacing w:before="60" w:after="60" w:line="260" w:lineRule="exact"/>
              <w:rPr>
                <w:b/>
                <w:bCs/>
                <w:rtl/>
                <w:lang w:bidi="ar-EG"/>
              </w:rPr>
            </w:pPr>
            <w:r w:rsidRPr="00070E98">
              <w:rPr>
                <w:rFonts w:eastAsia="Times New Roman"/>
                <w:b/>
                <w:bCs/>
                <w:color w:val="000000"/>
                <w:rtl/>
              </w:rPr>
              <w:t>31 مايو 2025</w:t>
            </w:r>
          </w:p>
        </w:tc>
      </w:tr>
      <w:tr w:rsidR="007B0AA0" w14:paraId="0A3292A9" w14:textId="77777777" w:rsidTr="00F363FE">
        <w:tc>
          <w:tcPr>
            <w:tcW w:w="6512" w:type="dxa"/>
          </w:tcPr>
          <w:p w14:paraId="6B95B0C4" w14:textId="77777777" w:rsidR="007B0AA0" w:rsidRPr="007B0AA0" w:rsidRDefault="007B0AA0" w:rsidP="00F363FE">
            <w:pPr>
              <w:spacing w:before="60" w:after="60" w:line="260" w:lineRule="exact"/>
              <w:rPr>
                <w:b/>
                <w:bCs/>
                <w:rtl/>
                <w:lang w:bidi="ar-EG"/>
              </w:rPr>
            </w:pPr>
          </w:p>
        </w:tc>
        <w:tc>
          <w:tcPr>
            <w:tcW w:w="3117" w:type="dxa"/>
          </w:tcPr>
          <w:p w14:paraId="68AB2EE2" w14:textId="2473EC32" w:rsidR="007B0AA0" w:rsidRPr="007B0AA0" w:rsidRDefault="001D64C7" w:rsidP="00070E98">
            <w:pPr>
              <w:spacing w:before="60" w:after="60" w:line="260" w:lineRule="exact"/>
              <w:rPr>
                <w:b/>
                <w:bCs/>
                <w:rtl/>
                <w:lang w:bidi="ar-EG"/>
              </w:rPr>
            </w:pPr>
            <w:r w:rsidRPr="007B0AA0">
              <w:rPr>
                <w:rFonts w:hint="cs"/>
                <w:b/>
                <w:bCs/>
                <w:rtl/>
                <w:lang w:bidi="ar-EG"/>
              </w:rPr>
              <w:t xml:space="preserve">الأصل: </w:t>
            </w:r>
            <w:r w:rsidR="00070E98" w:rsidRPr="00070E98">
              <w:rPr>
                <w:b/>
                <w:bCs/>
                <w:rtl/>
              </w:rPr>
              <w:t>بالروسية</w:t>
            </w:r>
          </w:p>
        </w:tc>
      </w:tr>
      <w:tr w:rsidR="007B0AA0" w14:paraId="28C22CAA" w14:textId="77777777" w:rsidTr="00F363FE">
        <w:tc>
          <w:tcPr>
            <w:tcW w:w="6512" w:type="dxa"/>
          </w:tcPr>
          <w:p w14:paraId="513108DA" w14:textId="77777777" w:rsidR="007B0AA0" w:rsidRDefault="007B0AA0" w:rsidP="00F363FE">
            <w:pPr>
              <w:spacing w:before="60" w:after="60" w:line="260" w:lineRule="exact"/>
              <w:rPr>
                <w:lang w:bidi="ar-EG"/>
              </w:rPr>
            </w:pPr>
          </w:p>
        </w:tc>
        <w:tc>
          <w:tcPr>
            <w:tcW w:w="3117" w:type="dxa"/>
          </w:tcPr>
          <w:p w14:paraId="612D7A85" w14:textId="77777777" w:rsidR="007B0AA0" w:rsidRDefault="007B0AA0" w:rsidP="00F363FE">
            <w:pPr>
              <w:spacing w:before="60" w:after="60" w:line="260" w:lineRule="exact"/>
              <w:rPr>
                <w:rtl/>
                <w:lang w:bidi="ar-EG"/>
              </w:rPr>
            </w:pPr>
          </w:p>
        </w:tc>
      </w:tr>
      <w:tr w:rsidR="007B0AA0" w14:paraId="5552C946" w14:textId="77777777" w:rsidTr="00EE7446">
        <w:tc>
          <w:tcPr>
            <w:tcW w:w="9629" w:type="dxa"/>
            <w:gridSpan w:val="2"/>
          </w:tcPr>
          <w:p w14:paraId="3C384243" w14:textId="02370648" w:rsidR="007B0AA0" w:rsidRDefault="00070E98" w:rsidP="00070E98">
            <w:pPr>
              <w:pStyle w:val="Source"/>
              <w:jc w:val="left"/>
              <w:rPr>
                <w:lang w:bidi="ar-EG"/>
              </w:rPr>
            </w:pPr>
            <w:r w:rsidRPr="00070E98">
              <w:rPr>
                <w:rtl/>
              </w:rPr>
              <w:t>مساهمة مقدمة من الاتحاد الروسي</w:t>
            </w:r>
          </w:p>
        </w:tc>
      </w:tr>
      <w:tr w:rsidR="007B0AA0" w14:paraId="7D818D7E" w14:textId="77777777" w:rsidTr="007B0AA0">
        <w:tc>
          <w:tcPr>
            <w:tcW w:w="9629" w:type="dxa"/>
            <w:gridSpan w:val="2"/>
            <w:tcBorders>
              <w:bottom w:val="single" w:sz="4" w:space="0" w:color="auto"/>
            </w:tcBorders>
          </w:tcPr>
          <w:p w14:paraId="64006076" w14:textId="51446813" w:rsidR="007B0AA0" w:rsidRPr="005546CF" w:rsidRDefault="00070E98" w:rsidP="00070E98">
            <w:pPr>
              <w:pStyle w:val="Subtitle0"/>
              <w:rPr>
                <w:sz w:val="32"/>
                <w:szCs w:val="32"/>
              </w:rPr>
            </w:pPr>
            <w:r w:rsidRPr="00070E98">
              <w:rPr>
                <w:b/>
                <w:sz w:val="32"/>
                <w:szCs w:val="32"/>
                <w:rtl/>
                <w:lang w:bidi="ar-SA"/>
              </w:rPr>
              <w:t xml:space="preserve">تبسيط </w:t>
            </w:r>
            <w:r w:rsidRPr="00070E98">
              <w:rPr>
                <w:rFonts w:hint="cs"/>
                <w:b/>
                <w:sz w:val="32"/>
                <w:szCs w:val="32"/>
                <w:rtl/>
                <w:lang w:bidi="ar-SA"/>
              </w:rPr>
              <w:t>ال</w:t>
            </w:r>
            <w:r w:rsidRPr="00070E98">
              <w:rPr>
                <w:b/>
                <w:sz w:val="32"/>
                <w:szCs w:val="32"/>
                <w:rtl/>
                <w:lang w:bidi="ar-SA"/>
              </w:rPr>
              <w:t>قرارات</w:t>
            </w:r>
            <w:r w:rsidRPr="00070E98">
              <w:rPr>
                <w:rFonts w:hint="cs"/>
                <w:b/>
                <w:sz w:val="32"/>
                <w:szCs w:val="32"/>
                <w:rtl/>
                <w:lang w:bidi="ar-SA"/>
              </w:rPr>
              <w:t xml:space="preserve"> الصادرة عن</w:t>
            </w:r>
            <w:r w:rsidRPr="00070E98">
              <w:rPr>
                <w:b/>
                <w:sz w:val="32"/>
                <w:szCs w:val="32"/>
                <w:rtl/>
                <w:lang w:bidi="ar-SA"/>
              </w:rPr>
              <w:t xml:space="preserve"> مؤتمر المندوبين المفوضين والقطاعات</w:t>
            </w:r>
          </w:p>
        </w:tc>
      </w:tr>
      <w:tr w:rsidR="007B0AA0" w14:paraId="59AB76A2" w14:textId="77777777" w:rsidTr="007B0AA0">
        <w:tc>
          <w:tcPr>
            <w:tcW w:w="9629" w:type="dxa"/>
            <w:gridSpan w:val="2"/>
            <w:tcBorders>
              <w:top w:val="single" w:sz="4" w:space="0" w:color="auto"/>
              <w:bottom w:val="single" w:sz="4" w:space="0" w:color="auto"/>
            </w:tcBorders>
          </w:tcPr>
          <w:p w14:paraId="6E1E19ED" w14:textId="77777777" w:rsidR="007B0AA0" w:rsidRPr="007B0AA0" w:rsidRDefault="007B0AA0" w:rsidP="007B0AA0">
            <w:pPr>
              <w:rPr>
                <w:b/>
                <w:bCs/>
                <w:rtl/>
              </w:rPr>
            </w:pPr>
            <w:r w:rsidRPr="00494119">
              <w:rPr>
                <w:rFonts w:hint="cs"/>
                <w:b/>
                <w:bCs/>
                <w:rtl/>
              </w:rPr>
              <w:t>الغرض</w:t>
            </w:r>
          </w:p>
          <w:p w14:paraId="13D57C61" w14:textId="41284479" w:rsidR="007B0AA0" w:rsidRPr="0071670F" w:rsidRDefault="00070E98" w:rsidP="00070E98">
            <w:pPr>
              <w:rPr>
                <w:spacing w:val="-2"/>
                <w:rtl/>
                <w:lang w:eastAsia="zh-TW"/>
              </w:rPr>
            </w:pPr>
            <w:r w:rsidRPr="0071670F">
              <w:rPr>
                <w:color w:val="000000"/>
                <w:spacing w:val="-2"/>
                <w:rtl/>
              </w:rPr>
              <w:t>تقترح هذه المساهمة مواصلة العمل على تبسيط قرارات جمعية الاتصالات الراديوية/الجمعية العالمية لتقييس الاتصالات/المؤتمر العالمي لتنمية الاتصالات استناداً إلى القرارات ذات الصلة الصادرة عن مؤتمر المندوبين المفوضين</w:t>
            </w:r>
            <w:r w:rsidRPr="0071670F">
              <w:rPr>
                <w:spacing w:val="-2"/>
                <w:rtl/>
                <w:lang w:val="ar-SA" w:eastAsia="zh-TW"/>
              </w:rPr>
              <w:t>.</w:t>
            </w:r>
          </w:p>
          <w:p w14:paraId="001162A5" w14:textId="77777777" w:rsidR="007B0AA0" w:rsidRPr="007B0AA0" w:rsidRDefault="007B0AA0" w:rsidP="007B0AA0">
            <w:pPr>
              <w:rPr>
                <w:b/>
                <w:bCs/>
                <w:rtl/>
              </w:rPr>
            </w:pPr>
            <w:r w:rsidRPr="007B0AA0">
              <w:rPr>
                <w:rFonts w:hint="cs"/>
                <w:b/>
                <w:bCs/>
                <w:rtl/>
              </w:rPr>
              <w:t>الإجراء المطلوب من المجلس</w:t>
            </w:r>
          </w:p>
          <w:p w14:paraId="3601F968" w14:textId="235ECD97" w:rsidR="007B0AA0" w:rsidRDefault="00070E98" w:rsidP="00070E98">
            <w:pPr>
              <w:rPr>
                <w:rtl/>
              </w:rPr>
            </w:pPr>
            <w:r w:rsidRPr="00070E98">
              <w:rPr>
                <w:rtl/>
              </w:rPr>
              <w:t>ي</w:t>
            </w:r>
            <w:r>
              <w:rPr>
                <w:rFonts w:hint="cs"/>
                <w:rtl/>
              </w:rPr>
              <w:t>ُ</w:t>
            </w:r>
            <w:r w:rsidRPr="00070E98">
              <w:rPr>
                <w:rtl/>
              </w:rPr>
              <w:t xml:space="preserve">دعى المجلس إلى </w:t>
            </w:r>
            <w:r w:rsidRPr="00070E98">
              <w:rPr>
                <w:b/>
                <w:bCs/>
                <w:rtl/>
              </w:rPr>
              <w:t xml:space="preserve">النظر </w:t>
            </w:r>
            <w:r w:rsidRPr="00070E98">
              <w:rPr>
                <w:rtl/>
              </w:rPr>
              <w:t>في هذه المساهمة واتخاذ الإجراءات المناسبة.</w:t>
            </w:r>
          </w:p>
          <w:p w14:paraId="05F78C77" w14:textId="77777777" w:rsidR="007B0AA0" w:rsidRPr="007B0AA0" w:rsidRDefault="007B0AA0" w:rsidP="007B0AA0">
            <w:pPr>
              <w:rPr>
                <w:rFonts w:ascii="Traditional Arabic" w:hAnsi="Traditional Arabic" w:cs="Traditional Arabic"/>
                <w:sz w:val="30"/>
                <w:szCs w:val="30"/>
                <w:rtl/>
              </w:rPr>
            </w:pPr>
            <w:r w:rsidRPr="007B0AA0">
              <w:rPr>
                <w:rFonts w:ascii="Traditional Arabic" w:hAnsi="Traditional Arabic" w:cs="Traditional Arabic"/>
                <w:sz w:val="30"/>
                <w:szCs w:val="30"/>
                <w:rtl/>
              </w:rPr>
              <w:t>___________</w:t>
            </w:r>
          </w:p>
          <w:p w14:paraId="04D471F9" w14:textId="77777777" w:rsidR="007B0AA0" w:rsidRPr="007B0AA0" w:rsidRDefault="007B0AA0" w:rsidP="007B0AA0">
            <w:pPr>
              <w:rPr>
                <w:b/>
                <w:bCs/>
                <w:rtl/>
              </w:rPr>
            </w:pPr>
            <w:r w:rsidRPr="007B0AA0">
              <w:rPr>
                <w:rFonts w:hint="cs"/>
                <w:b/>
                <w:bCs/>
                <w:rtl/>
              </w:rPr>
              <w:t>المراجع</w:t>
            </w:r>
          </w:p>
          <w:p w14:paraId="65250E88" w14:textId="403CF22B" w:rsidR="007B0AA0" w:rsidRPr="005546CF" w:rsidRDefault="00070E98" w:rsidP="0071670F">
            <w:pPr>
              <w:rPr>
                <w:i/>
                <w:iCs/>
                <w:rtl/>
              </w:rPr>
            </w:pPr>
            <w:r w:rsidRPr="00070E98">
              <w:rPr>
                <w:i/>
                <w:iCs/>
                <w:rtl/>
              </w:rPr>
              <w:t xml:space="preserve">الوثيقة </w:t>
            </w:r>
            <w:hyperlink r:id="rId8" w:history="1">
              <w:r w:rsidR="0071670F" w:rsidRPr="0071670F">
                <w:rPr>
                  <w:rStyle w:val="Hyperlink"/>
                  <w:rFonts w:ascii="Dubai" w:hAnsi="Dubai" w:cs="Dubai"/>
                  <w:i/>
                  <w:iCs/>
                  <w:noProof w:val="0"/>
                  <w:sz w:val="22"/>
                  <w:lang w:eastAsia="zh-CN"/>
                </w:rPr>
                <w:t>C25/29</w:t>
              </w:r>
            </w:hyperlink>
            <w:r w:rsidRPr="00070E98">
              <w:rPr>
                <w:i/>
                <w:iCs/>
                <w:rtl/>
              </w:rPr>
              <w:t xml:space="preserve">، </w:t>
            </w:r>
            <w:hyperlink r:id="rId9" w:history="1">
              <w:r w:rsidRPr="0071670F">
                <w:rPr>
                  <w:rStyle w:val="Hyperlink"/>
                  <w:rFonts w:ascii="Dubai" w:hAnsi="Dubai" w:cs="Dubai"/>
                  <w:i/>
                  <w:iCs/>
                  <w:noProof w:val="0"/>
                  <w:sz w:val="22"/>
                  <w:rtl/>
                  <w:lang w:val="en-US" w:eastAsia="zh-CN"/>
                </w:rPr>
                <w:t>جدول فريق التنسيق المشترك بين القطاعات بشأن تحديد أوجه التقابل بين قرارات مؤتمر المندوبين المفوضين وجمعية الاتصالات الراديوية والمؤتمر العالمي للاتصالات الراديوية والجمعية العالمية لتقييس الاتصالات والمؤتمر العالمي لتنمية الاتصالات</w:t>
              </w:r>
            </w:hyperlink>
          </w:p>
        </w:tc>
      </w:tr>
    </w:tbl>
    <w:p w14:paraId="049441C9" w14:textId="77777777" w:rsidR="00F50E3F" w:rsidRDefault="00F50E3F" w:rsidP="0043260A">
      <w:pPr>
        <w:rPr>
          <w:rtl/>
          <w:lang w:bidi="ar-EG"/>
        </w:rPr>
      </w:pPr>
      <w:r>
        <w:rPr>
          <w:rtl/>
          <w:lang w:bidi="ar-EG"/>
        </w:rPr>
        <w:br w:type="page"/>
      </w:r>
    </w:p>
    <w:p w14:paraId="7DC5CD25" w14:textId="705C0A9C" w:rsidR="0071670F" w:rsidRPr="0071670F" w:rsidRDefault="005D4E31" w:rsidP="0071670F">
      <w:pPr>
        <w:pStyle w:val="Heading1"/>
        <w:rPr>
          <w:lang w:val="ar-SA" w:bidi="ar-EG"/>
        </w:rPr>
      </w:pPr>
      <w:r>
        <w:rPr>
          <w:rFonts w:hint="cs"/>
          <w:rtl/>
          <w:lang w:bidi="ar-EG"/>
        </w:rPr>
        <w:lastRenderedPageBreak/>
        <w:t>أولاً</w:t>
      </w:r>
      <w:r w:rsidR="0071670F" w:rsidRPr="0071670F">
        <w:rPr>
          <w:rtl/>
          <w:lang w:val="en-GB"/>
        </w:rPr>
        <w:tab/>
        <w:t>مقدمة</w:t>
      </w:r>
    </w:p>
    <w:p w14:paraId="285C0924" w14:textId="77777777" w:rsidR="0071670F" w:rsidRPr="0071670F" w:rsidRDefault="0071670F" w:rsidP="0071670F">
      <w:pPr>
        <w:rPr>
          <w:lang w:val="ar-SA" w:bidi="ar-EG"/>
        </w:rPr>
      </w:pPr>
      <w:r w:rsidRPr="0071670F">
        <w:rPr>
          <w:rtl/>
          <w:lang w:val="en-GB"/>
        </w:rPr>
        <w:t xml:space="preserve">أعد فريق العمل التابع للمجلس والمعني بالموارد المالية والبشرية </w:t>
      </w:r>
      <w:r w:rsidRPr="0071670F">
        <w:rPr>
          <w:lang w:bidi="ar-EG"/>
        </w:rPr>
        <w:t>CWG-FHR)</w:t>
      </w:r>
      <w:r w:rsidRPr="0071670F">
        <w:rPr>
          <w:rtl/>
          <w:lang w:val="en-GB"/>
        </w:rPr>
        <w:t>)، عملاً بولايته المتمثلة في مواصلة عملية تحديد أوجه التقارب بين القرارات والمقررات من أجل تنسيق نتائج مؤتمر المندوبين المفوضين (</w:t>
      </w:r>
      <w:r w:rsidRPr="0071670F">
        <w:rPr>
          <w:lang w:bidi="ar-EG"/>
        </w:rPr>
        <w:t>PP</w:t>
      </w:r>
      <w:r w:rsidRPr="0071670F">
        <w:rPr>
          <w:rtl/>
          <w:lang w:val="en-GB"/>
        </w:rPr>
        <w:t>)، مبادئ توجيهية لتنسيق نتائج قرارات ومقررات مؤتمر المندوبين المفوضين، تقدم إرشادات بشأن إعداد قرارات مؤتمر المندوبين المفوضين. غير أن الوثيقة 29 لا تتناول قضايا التنسيق بين قرارات مؤتمر المندوبين المفوضين وقرارات قطاعات الاتحاد.</w:t>
      </w:r>
    </w:p>
    <w:p w14:paraId="6DD777ED" w14:textId="77777777" w:rsidR="0071670F" w:rsidRPr="0071670F" w:rsidRDefault="0071670F" w:rsidP="0071670F">
      <w:pPr>
        <w:rPr>
          <w:lang w:val="ar-SA" w:bidi="ar-EG"/>
        </w:rPr>
      </w:pPr>
      <w:r w:rsidRPr="0071670F">
        <w:rPr>
          <w:rtl/>
          <w:lang w:val="en-GB"/>
        </w:rPr>
        <w:t>رحب مؤتمر المندوبين المفوضين (بوخارست، 2022) (PP-22) بالعمل الذي أُنجز في جميع القطاعات الثلاثة لمواءمة قراراتها مع قرارات مؤتمر المندوبين المفوضين.</w:t>
      </w:r>
    </w:p>
    <w:p w14:paraId="7E20B4BB" w14:textId="77777777" w:rsidR="0071670F" w:rsidRPr="0071670F" w:rsidRDefault="0071670F" w:rsidP="0071670F">
      <w:pPr>
        <w:rPr>
          <w:lang w:val="ar-SA" w:bidi="ar-EG"/>
        </w:rPr>
      </w:pPr>
      <w:r w:rsidRPr="0071670F">
        <w:rPr>
          <w:rtl/>
          <w:lang w:val="en-GB"/>
        </w:rPr>
        <w:t>وعدد من قرارات القطاعات الثلاثة يستند مباشرةً إلى قرارات قائمة صادرة عن مؤتمر المندوبين المفوضين. وفي الممارسة العملية، يكون محتوى الوثائق متقارباً جداً، لا سيما في الديباجات، ويشكل سرد و/أو تفصيل الجزء التنفيذي من قرارات مؤتمر المندوبين المفوضين ذات الصلة جزءاً أساسياً من قرارات القطاعات.</w:t>
      </w:r>
    </w:p>
    <w:p w14:paraId="47C27107" w14:textId="77777777" w:rsidR="0071670F" w:rsidRPr="0071670F" w:rsidRDefault="0071670F" w:rsidP="0071670F">
      <w:pPr>
        <w:rPr>
          <w:lang w:val="ar-SA" w:bidi="ar-EG"/>
        </w:rPr>
      </w:pPr>
      <w:r w:rsidRPr="0071670F">
        <w:rPr>
          <w:rtl/>
          <w:lang w:val="en-GB"/>
        </w:rPr>
        <w:t>أما بالنسبة لقرارات مؤتمر المندوبين المفوضين، فإنها تفتقر في بعض الحالات إلى أحكام تجسد المصالح والأهداف المحددة للقطاعات.</w:t>
      </w:r>
    </w:p>
    <w:p w14:paraId="09770691" w14:textId="77777777" w:rsidR="0071670F" w:rsidRPr="0071670F" w:rsidRDefault="0071670F" w:rsidP="0071670F">
      <w:pPr>
        <w:rPr>
          <w:lang w:val="ar-SA" w:bidi="ar-EG"/>
        </w:rPr>
      </w:pPr>
      <w:r w:rsidRPr="0071670F">
        <w:rPr>
          <w:rtl/>
          <w:lang w:val="en-GB"/>
        </w:rPr>
        <w:t>ويتمثل أحد الحلول الممكنة لتبسيط القرارات في تعديل قرار قائم لمؤتمر المندوبين المفوضين من خلال تضمين المسائل المتعلقة بقطاع معيّن بحيث تعكس قراراته.</w:t>
      </w:r>
    </w:p>
    <w:p w14:paraId="3643A72B" w14:textId="77777777" w:rsidR="0071670F" w:rsidRPr="0071670F" w:rsidRDefault="0071670F" w:rsidP="0071670F">
      <w:pPr>
        <w:rPr>
          <w:lang w:val="ar-SA" w:bidi="ar-EG"/>
        </w:rPr>
      </w:pPr>
      <w:r w:rsidRPr="0071670F">
        <w:rPr>
          <w:rtl/>
          <w:lang w:val="en-GB"/>
        </w:rPr>
        <w:t>وفي هذه الحالة، سيكون من المفيد أن تزود الأمانة جمعية الاتصالات الراديوية/الجمعية العالمية لتقييس الاتصالات/المؤتمر العالمي لتنمية الاتصالات بوثيقة موحدة لجميع تعليمات مؤتمر المندوبين المفوضين الموجهة إلى القطاع المعني، لكي تعتمدها جمعية الاتصالات الراديوية/الجمعية العالمية لتقييس الاتصالات/المؤتمر العالمي لتنمية الاتصالات أو الفريق الاستشاري للاتصالات الراديوية/الفريق الاستشاري لتقييس الاتصالات/الفريق الاستشاري لتنمية الاتصالات، على التوالي.</w:t>
      </w:r>
    </w:p>
    <w:p w14:paraId="5C70E2D4" w14:textId="3A2F3482" w:rsidR="0071670F" w:rsidRPr="0071670F" w:rsidRDefault="0071670F" w:rsidP="0071670F">
      <w:pPr>
        <w:rPr>
          <w:lang w:val="ar-SA" w:bidi="ar-EG"/>
        </w:rPr>
      </w:pPr>
      <w:r w:rsidRPr="00100A8D">
        <w:rPr>
          <w:rtl/>
          <w:lang w:val="en-GB"/>
        </w:rPr>
        <w:t xml:space="preserve">ويمكن إجراء النظر الأولي والتحضير لمؤتمر المندوبين المفوضين لعام 2026 في إطار عملية تنسيقية بين القطاعات، من خلال فريق مقررين يُنشئه فريق التنسيق بين القطاعات </w:t>
      </w:r>
      <w:r w:rsidRPr="00100A8D">
        <w:rPr>
          <w:lang w:bidi="ar-EG"/>
        </w:rPr>
        <w:t>ISCG)</w:t>
      </w:r>
      <w:r w:rsidRPr="00100A8D">
        <w:rPr>
          <w:rtl/>
          <w:lang w:val="en-GB"/>
        </w:rPr>
        <w:t>).</w:t>
      </w:r>
    </w:p>
    <w:p w14:paraId="71BAC06B" w14:textId="7FB5700D" w:rsidR="0071670F" w:rsidRPr="0071670F" w:rsidRDefault="0071670F" w:rsidP="0071670F">
      <w:pPr>
        <w:rPr>
          <w:lang w:val="ar-SA" w:bidi="ar-EG"/>
        </w:rPr>
      </w:pPr>
      <w:r w:rsidRPr="0071670F">
        <w:rPr>
          <w:rtl/>
          <w:lang w:val="en-GB"/>
        </w:rPr>
        <w:t xml:space="preserve">ويقدم </w:t>
      </w:r>
      <w:hyperlink r:id="rId10" w:history="1">
        <w:r w:rsidRPr="0071670F">
          <w:rPr>
            <w:rStyle w:val="Hyperlink"/>
            <w:rFonts w:ascii="Dubai" w:hAnsi="Dubai" w:cs="Dubai"/>
            <w:noProof w:val="0"/>
            <w:sz w:val="22"/>
            <w:rtl/>
            <w:lang w:eastAsia="zh-CN"/>
          </w:rPr>
          <w:t>جدول فريق التنسيق المشترك بين القطاعات بشأن تحديد أوجه التقابل بين قرارات مؤتمر المندوبين المفوضين وجمعية الاتصالات الراديوية والمؤتمر العالمي للاتصالات الراديوية والجمعية العالمية لتقييس الاتصالات والمؤتمر العالمي لتنمية الاتصالات</w:t>
        </w:r>
      </w:hyperlink>
      <w:r w:rsidRPr="0071670F">
        <w:rPr>
          <w:u w:val="single"/>
          <w:rtl/>
          <w:lang w:val="en-GB"/>
        </w:rPr>
        <w:t xml:space="preserve"> </w:t>
      </w:r>
      <w:r w:rsidRPr="0071670F">
        <w:rPr>
          <w:rtl/>
          <w:lang w:val="en-GB"/>
        </w:rPr>
        <w:t>أمثلة على قرارات مؤتمر المندوبين المفوضين التي تتوافق مع القرارات المتخذة في القطاعات الثلاثة، ومن بينها: القرارات 25 و58 و70 و98 و123 و130 و135 و136 و138 و140 و154 و168 و175 و176 و177 و182 و191 و196 و197 و201 و208 و209.</w:t>
      </w:r>
    </w:p>
    <w:p w14:paraId="2474CE2C" w14:textId="77777777" w:rsidR="0071670F" w:rsidRPr="0071670F" w:rsidRDefault="0071670F" w:rsidP="0071670F">
      <w:pPr>
        <w:rPr>
          <w:lang w:val="ar-SA" w:bidi="ar-EG"/>
        </w:rPr>
      </w:pPr>
      <w:r w:rsidRPr="0071670F">
        <w:rPr>
          <w:rtl/>
          <w:lang w:val="en-GB"/>
        </w:rPr>
        <w:t xml:space="preserve">ويقترح البدء باختبار هذا النهج على عدد محدود من القرارات، مثل القرارات </w:t>
      </w:r>
      <w:r w:rsidRPr="0071670F">
        <w:rPr>
          <w:b/>
          <w:bCs/>
          <w:rtl/>
          <w:lang w:val="en-GB"/>
        </w:rPr>
        <w:t xml:space="preserve">70 </w:t>
      </w:r>
      <w:r w:rsidRPr="0071670F">
        <w:rPr>
          <w:rtl/>
          <w:lang w:val="en-GB"/>
        </w:rPr>
        <w:t>و</w:t>
      </w:r>
      <w:r w:rsidRPr="0071670F">
        <w:rPr>
          <w:b/>
          <w:bCs/>
          <w:rtl/>
          <w:lang w:val="en-GB"/>
        </w:rPr>
        <w:t>140</w:t>
      </w:r>
      <w:r w:rsidRPr="0071670F">
        <w:rPr>
          <w:rtl/>
          <w:lang w:val="en-GB"/>
        </w:rPr>
        <w:t xml:space="preserve"> و</w:t>
      </w:r>
      <w:r w:rsidRPr="0071670F">
        <w:rPr>
          <w:b/>
          <w:bCs/>
          <w:rtl/>
          <w:lang w:val="en-GB"/>
        </w:rPr>
        <w:t>154</w:t>
      </w:r>
      <w:r w:rsidRPr="0071670F">
        <w:rPr>
          <w:rtl/>
          <w:lang w:val="en-GB"/>
        </w:rPr>
        <w:t xml:space="preserve"> و</w:t>
      </w:r>
      <w:r w:rsidRPr="0071670F">
        <w:rPr>
          <w:b/>
          <w:bCs/>
          <w:rtl/>
          <w:lang w:val="en-GB"/>
        </w:rPr>
        <w:t>191</w:t>
      </w:r>
      <w:r w:rsidRPr="0071670F">
        <w:rPr>
          <w:rtl/>
          <w:lang w:val="en-GB"/>
        </w:rPr>
        <w:t>، مع مراعاة التجربة الإيجابية للمؤتمر العالمي لتنمية الاتصالات لعام 2022 في تنسيق قرارات مؤتمر المندوبين المفوضين والمؤتمر العالمي لتنمية الاتصالات من خلال تضمين الأحكام ذات الصلة في قراره 1 وإلغاء قراراته 27 و61 و81 و86.</w:t>
      </w:r>
    </w:p>
    <w:tbl>
      <w:tblPr>
        <w:tblStyle w:val="TableGrid"/>
        <w:bidiVisual/>
        <w:tblW w:w="9356" w:type="dxa"/>
        <w:tblInd w:w="-5" w:type="dxa"/>
        <w:tblLayout w:type="fixed"/>
        <w:tblLook w:val="04A0" w:firstRow="1" w:lastRow="0" w:firstColumn="1" w:lastColumn="0" w:noHBand="0" w:noVBand="1"/>
      </w:tblPr>
      <w:tblGrid>
        <w:gridCol w:w="2339"/>
        <w:gridCol w:w="2339"/>
        <w:gridCol w:w="2339"/>
        <w:gridCol w:w="2339"/>
      </w:tblGrid>
      <w:tr w:rsidR="0071670F" w:rsidRPr="0071670F" w14:paraId="33626883" w14:textId="77777777" w:rsidTr="006132E2">
        <w:trPr>
          <w:cantSplit/>
          <w:tblHeader/>
        </w:trPr>
        <w:tc>
          <w:tcPr>
            <w:tcW w:w="2339" w:type="dxa"/>
          </w:tcPr>
          <w:p w14:paraId="5CDD743A" w14:textId="77777777" w:rsidR="0071670F" w:rsidRPr="0071670F" w:rsidRDefault="0071670F" w:rsidP="008E5D08">
            <w:pPr>
              <w:pStyle w:val="Tablehead"/>
              <w:rPr>
                <w:lang w:val="ar-SA" w:bidi="ar-EG"/>
              </w:rPr>
            </w:pPr>
            <w:r w:rsidRPr="0071670F">
              <w:rPr>
                <w:rtl/>
                <w:lang w:val="en-GB"/>
              </w:rPr>
              <w:t>قرار مؤتمر المندوبين المفوضين</w:t>
            </w:r>
          </w:p>
        </w:tc>
        <w:tc>
          <w:tcPr>
            <w:tcW w:w="2339" w:type="dxa"/>
          </w:tcPr>
          <w:p w14:paraId="36C0B8A7" w14:textId="77777777" w:rsidR="0071670F" w:rsidRPr="0071670F" w:rsidRDefault="0071670F" w:rsidP="008E5D08">
            <w:pPr>
              <w:pStyle w:val="Tablehead"/>
              <w:rPr>
                <w:lang w:val="ar-SA" w:bidi="ar-EG"/>
              </w:rPr>
            </w:pPr>
            <w:r w:rsidRPr="0071670F">
              <w:rPr>
                <w:rtl/>
                <w:lang w:val="en-GB"/>
              </w:rPr>
              <w:t>قرار قطاع الاتصالات الراديوية</w:t>
            </w:r>
          </w:p>
        </w:tc>
        <w:tc>
          <w:tcPr>
            <w:tcW w:w="2339" w:type="dxa"/>
          </w:tcPr>
          <w:p w14:paraId="1A78A182" w14:textId="77777777" w:rsidR="0071670F" w:rsidRPr="0071670F" w:rsidRDefault="0071670F" w:rsidP="008E5D08">
            <w:pPr>
              <w:pStyle w:val="Tablehead"/>
              <w:rPr>
                <w:lang w:val="ar-SA" w:bidi="ar-EG"/>
              </w:rPr>
            </w:pPr>
            <w:r w:rsidRPr="0071670F">
              <w:rPr>
                <w:rtl/>
                <w:lang w:val="en-GB"/>
              </w:rPr>
              <w:t>قرار الجمعية العالمية لتقييس الاتصالات</w:t>
            </w:r>
          </w:p>
        </w:tc>
        <w:tc>
          <w:tcPr>
            <w:tcW w:w="2339" w:type="dxa"/>
          </w:tcPr>
          <w:p w14:paraId="20D8AC9B" w14:textId="664B6868" w:rsidR="0071670F" w:rsidRPr="0071670F" w:rsidRDefault="0071670F" w:rsidP="008E5D08">
            <w:pPr>
              <w:pStyle w:val="Tablehead"/>
              <w:rPr>
                <w:lang w:val="ar-SA" w:bidi="ar-EG"/>
              </w:rPr>
            </w:pPr>
            <w:r w:rsidRPr="0071670F">
              <w:rPr>
                <w:rtl/>
                <w:lang w:val="en-GB"/>
              </w:rPr>
              <w:t xml:space="preserve">قرار المؤتمر العالمي </w:t>
            </w:r>
            <w:r w:rsidR="008E5D08">
              <w:rPr>
                <w:lang w:val="en-GB"/>
              </w:rPr>
              <w:br/>
            </w:r>
            <w:r w:rsidRPr="0071670F">
              <w:rPr>
                <w:rtl/>
                <w:lang w:val="en-GB"/>
              </w:rPr>
              <w:t>لتنمية الاتصالات</w:t>
            </w:r>
          </w:p>
        </w:tc>
      </w:tr>
      <w:tr w:rsidR="0071670F" w:rsidRPr="0071670F" w14:paraId="75C5BFBC" w14:textId="77777777" w:rsidTr="006132E2">
        <w:trPr>
          <w:cantSplit/>
        </w:trPr>
        <w:tc>
          <w:tcPr>
            <w:tcW w:w="2339" w:type="dxa"/>
          </w:tcPr>
          <w:p w14:paraId="615037E3" w14:textId="75F139F1" w:rsidR="0071670F" w:rsidRPr="008E5D08" w:rsidRDefault="0071670F" w:rsidP="008E5D08">
            <w:pPr>
              <w:pStyle w:val="Tabletexte"/>
              <w:jc w:val="left"/>
              <w:rPr>
                <w:b/>
                <w:bCs/>
                <w:lang w:val="ar-SA" w:bidi="ar-EG"/>
              </w:rPr>
            </w:pPr>
            <w:r w:rsidRPr="008E5D08">
              <w:rPr>
                <w:b/>
                <w:bCs/>
                <w:rtl/>
                <w:lang w:val="en-GB"/>
              </w:rPr>
              <w:t>القرار 70</w:t>
            </w:r>
            <w:bookmarkStart w:id="0" w:name="_Toc406757666"/>
            <w:bookmarkEnd w:id="0"/>
          </w:p>
          <w:p w14:paraId="5D7CF88C" w14:textId="77777777" w:rsidR="0071670F" w:rsidRPr="0071670F" w:rsidRDefault="0071670F" w:rsidP="008E5D08">
            <w:pPr>
              <w:pStyle w:val="Tabletexte"/>
              <w:jc w:val="left"/>
              <w:rPr>
                <w:lang w:val="ar-SA" w:bidi="ar-EG"/>
              </w:rPr>
            </w:pPr>
            <w:r w:rsidRPr="0071670F">
              <w:rPr>
                <w:rtl/>
                <w:lang w:val="en-GB"/>
              </w:rPr>
              <w:t>تعميم مبدأ المساواة بين الجنسين في الاتحاد وترويج المساواة بين الجنسين وتمكين النساء والفتيات من خلال الاتصالات/تكنولوجيا المعلومات والاتصالات</w:t>
            </w:r>
          </w:p>
        </w:tc>
        <w:tc>
          <w:tcPr>
            <w:tcW w:w="2339" w:type="dxa"/>
          </w:tcPr>
          <w:p w14:paraId="1E580115" w14:textId="77777777" w:rsidR="0071670F" w:rsidRPr="008E5D08" w:rsidRDefault="0071670F" w:rsidP="008E5D08">
            <w:pPr>
              <w:pStyle w:val="Tabletexte"/>
              <w:jc w:val="left"/>
              <w:rPr>
                <w:b/>
                <w:bCs/>
                <w:lang w:val="ar-SA" w:bidi="ar-EG"/>
              </w:rPr>
            </w:pPr>
            <w:r w:rsidRPr="008E5D08">
              <w:rPr>
                <w:b/>
                <w:bCs/>
                <w:rtl/>
                <w:lang w:val="en-GB"/>
              </w:rPr>
              <w:t>القرار 72</w:t>
            </w:r>
          </w:p>
          <w:p w14:paraId="312E3D86" w14:textId="77777777" w:rsidR="0071670F" w:rsidRPr="0071670F" w:rsidRDefault="0071670F" w:rsidP="008E5D08">
            <w:pPr>
              <w:pStyle w:val="Tabletexte"/>
              <w:jc w:val="left"/>
              <w:rPr>
                <w:lang w:val="ar-SA" w:bidi="ar-EG"/>
              </w:rPr>
            </w:pPr>
            <w:r w:rsidRPr="0071670F">
              <w:rPr>
                <w:rtl/>
                <w:lang w:val="en-GB"/>
              </w:rPr>
              <w:t>تعزيز المساواة والإنصاف بين الجنسين، وسد الفجوة بين النساء والرجال من حيث المشاركة والمساهمة في أنشطة قطاع الاتصالات الراديوية بالاتحاد الدولي للاتصالات</w:t>
            </w:r>
          </w:p>
        </w:tc>
        <w:tc>
          <w:tcPr>
            <w:tcW w:w="2339" w:type="dxa"/>
          </w:tcPr>
          <w:p w14:paraId="55FB0EAD" w14:textId="77777777" w:rsidR="0071670F" w:rsidRPr="008E5D08" w:rsidRDefault="0071670F" w:rsidP="008E5D08">
            <w:pPr>
              <w:pStyle w:val="Tabletexte"/>
              <w:jc w:val="left"/>
              <w:rPr>
                <w:b/>
                <w:bCs/>
                <w:lang w:val="ar-SA" w:bidi="ar-EG"/>
              </w:rPr>
            </w:pPr>
            <w:r w:rsidRPr="008E5D08">
              <w:rPr>
                <w:b/>
                <w:bCs/>
                <w:rtl/>
                <w:lang w:val="en-GB"/>
              </w:rPr>
              <w:t>القرار 55</w:t>
            </w:r>
          </w:p>
          <w:p w14:paraId="1B6EEA40" w14:textId="77777777" w:rsidR="0071670F" w:rsidRPr="0071670F" w:rsidRDefault="0071670F" w:rsidP="008E5D08">
            <w:pPr>
              <w:pStyle w:val="Tabletexte"/>
              <w:jc w:val="left"/>
              <w:rPr>
                <w:lang w:val="ar-SA" w:bidi="ar-EG"/>
              </w:rPr>
            </w:pPr>
            <w:r w:rsidRPr="0071670F">
              <w:rPr>
                <w:rtl/>
                <w:lang w:val="en-GB"/>
              </w:rPr>
              <w:t>تعميم المساواة بين الجنسين في أنشطة قطاع تقييس الاتصالات للاتحاد الدولي للاتصالات</w:t>
            </w:r>
          </w:p>
        </w:tc>
        <w:tc>
          <w:tcPr>
            <w:tcW w:w="2339" w:type="dxa"/>
          </w:tcPr>
          <w:p w14:paraId="091D6634" w14:textId="77777777" w:rsidR="0071670F" w:rsidRPr="008E5D08" w:rsidRDefault="0071670F" w:rsidP="008E5D08">
            <w:pPr>
              <w:pStyle w:val="Tabletexte"/>
              <w:jc w:val="left"/>
              <w:rPr>
                <w:b/>
                <w:bCs/>
                <w:lang w:val="ar-SA" w:bidi="ar-EG"/>
              </w:rPr>
            </w:pPr>
            <w:r w:rsidRPr="008E5D08">
              <w:rPr>
                <w:b/>
                <w:bCs/>
                <w:rtl/>
                <w:lang w:val="en-GB"/>
              </w:rPr>
              <w:t>القرار 55</w:t>
            </w:r>
          </w:p>
          <w:p w14:paraId="47E6A145" w14:textId="77777777" w:rsidR="0071670F" w:rsidRPr="0071670F" w:rsidRDefault="0071670F" w:rsidP="008E5D08">
            <w:pPr>
              <w:pStyle w:val="Tabletexte"/>
              <w:jc w:val="left"/>
              <w:rPr>
                <w:lang w:val="ar-SA" w:bidi="ar-EG"/>
              </w:rPr>
            </w:pPr>
            <w:r w:rsidRPr="0071670F">
              <w:rPr>
                <w:rtl/>
                <w:lang w:val="en-GB"/>
              </w:rPr>
              <w:t>تعميم منظور المساواة بين الجنسين في الاتحاد من أجل تمكين المرأة من خلال الاتصالات/تكنولوجيا المعلومات والاتصالات</w:t>
            </w:r>
          </w:p>
        </w:tc>
      </w:tr>
      <w:tr w:rsidR="0071670F" w:rsidRPr="0071670F" w14:paraId="627F61DD" w14:textId="77777777" w:rsidTr="006132E2">
        <w:trPr>
          <w:cantSplit/>
        </w:trPr>
        <w:tc>
          <w:tcPr>
            <w:tcW w:w="2339" w:type="dxa"/>
          </w:tcPr>
          <w:p w14:paraId="3E59902D" w14:textId="77777777" w:rsidR="0071670F" w:rsidRPr="008E5D08" w:rsidRDefault="0071670F" w:rsidP="008E5D08">
            <w:pPr>
              <w:pStyle w:val="Tabletexte"/>
              <w:jc w:val="left"/>
              <w:rPr>
                <w:b/>
                <w:bCs/>
                <w:lang w:val="ar-SA" w:bidi="ar-EG"/>
              </w:rPr>
            </w:pPr>
            <w:r w:rsidRPr="008E5D08">
              <w:rPr>
                <w:b/>
                <w:bCs/>
                <w:rtl/>
                <w:lang w:val="en-GB"/>
              </w:rPr>
              <w:lastRenderedPageBreak/>
              <w:t>القرار 140</w:t>
            </w:r>
          </w:p>
          <w:p w14:paraId="0CFCD203" w14:textId="160FF311" w:rsidR="0071670F" w:rsidRPr="0071670F" w:rsidRDefault="0071670F" w:rsidP="008E5D08">
            <w:pPr>
              <w:pStyle w:val="Tabletexte"/>
              <w:jc w:val="left"/>
              <w:rPr>
                <w:lang w:val="ar-SA" w:bidi="ar-EG"/>
              </w:rPr>
            </w:pPr>
            <w:r w:rsidRPr="0071670F">
              <w:rPr>
                <w:rtl/>
                <w:lang w:val="en-GB"/>
              </w:rPr>
              <w:t>دور الاتحاد في تنفيذ نتائج القمة العالمية لمجتمع المعلومات وخطة التنمية المستدامة لعام 2030 وفي</w:t>
            </w:r>
            <w:r w:rsidR="008E5D08">
              <w:rPr>
                <w:rFonts w:hint="cs"/>
                <w:rtl/>
                <w:lang w:val="en-GB"/>
              </w:rPr>
              <w:t> </w:t>
            </w:r>
            <w:r w:rsidR="00EC705C">
              <w:rPr>
                <w:rFonts w:hint="cs"/>
                <w:rtl/>
                <w:lang w:val="en-GB"/>
              </w:rPr>
              <w:t>عمليات</w:t>
            </w:r>
            <w:r w:rsidR="00EC705C" w:rsidRPr="0071670F">
              <w:rPr>
                <w:rtl/>
                <w:lang w:val="en-GB"/>
              </w:rPr>
              <w:t xml:space="preserve"> </w:t>
            </w:r>
            <w:r w:rsidRPr="0071670F">
              <w:rPr>
                <w:rtl/>
                <w:lang w:val="en-GB"/>
              </w:rPr>
              <w:t>المتابعة والاستعراض ذات الصلة</w:t>
            </w:r>
          </w:p>
        </w:tc>
        <w:tc>
          <w:tcPr>
            <w:tcW w:w="2339" w:type="dxa"/>
          </w:tcPr>
          <w:p w14:paraId="5A117163" w14:textId="77777777" w:rsidR="0071670F" w:rsidRPr="008E5D08" w:rsidRDefault="0071670F" w:rsidP="008E5D08">
            <w:pPr>
              <w:pStyle w:val="Tabletexte"/>
              <w:jc w:val="left"/>
              <w:rPr>
                <w:b/>
                <w:bCs/>
                <w:lang w:val="ar-SA" w:bidi="ar-EG"/>
              </w:rPr>
            </w:pPr>
            <w:r w:rsidRPr="008E5D08">
              <w:rPr>
                <w:b/>
                <w:bCs/>
                <w:rtl/>
                <w:lang w:val="en-GB"/>
              </w:rPr>
              <w:t>القرار 61</w:t>
            </w:r>
          </w:p>
          <w:p w14:paraId="6A37DAEC" w14:textId="7EDE6ED4" w:rsidR="0071670F" w:rsidRPr="0071670F" w:rsidRDefault="0071670F" w:rsidP="008E5D08">
            <w:pPr>
              <w:pStyle w:val="Tabletexte"/>
              <w:jc w:val="left"/>
              <w:rPr>
                <w:lang w:val="ar-SA" w:bidi="ar-EG"/>
              </w:rPr>
            </w:pPr>
            <w:r w:rsidRPr="0071670F">
              <w:rPr>
                <w:rtl/>
                <w:lang w:val="en-GB"/>
              </w:rPr>
              <w:t>مساهمة قطاع الاتصالات الراديوية في تنفيذ نتائج القمة العالمية لمجتمع المعلومات وخطة التنمية المستدامة لعام</w:t>
            </w:r>
            <w:r w:rsidR="008E5D08">
              <w:rPr>
                <w:rFonts w:hint="cs"/>
                <w:rtl/>
                <w:lang w:val="en-GB"/>
              </w:rPr>
              <w:t> </w:t>
            </w:r>
            <w:r w:rsidRPr="0071670F">
              <w:rPr>
                <w:rtl/>
                <w:lang w:val="en-GB"/>
              </w:rPr>
              <w:t>2030</w:t>
            </w:r>
          </w:p>
        </w:tc>
        <w:tc>
          <w:tcPr>
            <w:tcW w:w="2339" w:type="dxa"/>
          </w:tcPr>
          <w:p w14:paraId="7BD68884" w14:textId="77777777" w:rsidR="0071670F" w:rsidRPr="008E5D08" w:rsidRDefault="0071670F" w:rsidP="008E5D08">
            <w:pPr>
              <w:pStyle w:val="Tabletexte"/>
              <w:jc w:val="left"/>
              <w:rPr>
                <w:b/>
                <w:bCs/>
                <w:lang w:val="ar-SA" w:bidi="ar-EG"/>
              </w:rPr>
            </w:pPr>
            <w:r w:rsidRPr="008E5D08">
              <w:rPr>
                <w:b/>
                <w:bCs/>
                <w:rtl/>
                <w:lang w:val="en-GB"/>
              </w:rPr>
              <w:t>القرار 75</w:t>
            </w:r>
          </w:p>
          <w:p w14:paraId="704028A9" w14:textId="77777777" w:rsidR="0071670F" w:rsidRPr="0071670F" w:rsidRDefault="0071670F" w:rsidP="008E5D08">
            <w:pPr>
              <w:pStyle w:val="Tabletexte"/>
              <w:jc w:val="left"/>
              <w:rPr>
                <w:lang w:val="ar-SA" w:bidi="ar-EG"/>
              </w:rPr>
            </w:pPr>
            <w:r w:rsidRPr="0071670F">
              <w:rPr>
                <w:rtl/>
                <w:lang w:val="en-GB"/>
              </w:rPr>
              <w:t>مساهمة قطاع تقييس الاتصالات للاتحاد الدولي للاتصالات في تنفيذ نواتج القمة العالمية لمجتمع المعلومات، مع مراعاة خطة التنمية المستدامة لعام 2030</w:t>
            </w:r>
          </w:p>
        </w:tc>
        <w:tc>
          <w:tcPr>
            <w:tcW w:w="2339" w:type="dxa"/>
          </w:tcPr>
          <w:p w14:paraId="6864CD35" w14:textId="77777777" w:rsidR="0071670F" w:rsidRPr="008E5D08" w:rsidRDefault="0071670F" w:rsidP="008E5D08">
            <w:pPr>
              <w:pStyle w:val="Tabletexte"/>
              <w:jc w:val="left"/>
              <w:rPr>
                <w:b/>
                <w:bCs/>
                <w:lang w:val="ar-SA" w:bidi="ar-EG"/>
              </w:rPr>
            </w:pPr>
            <w:r w:rsidRPr="008E5D08">
              <w:rPr>
                <w:b/>
                <w:bCs/>
                <w:rtl/>
                <w:lang w:val="en-GB"/>
              </w:rPr>
              <w:t>القرار 30</w:t>
            </w:r>
          </w:p>
          <w:p w14:paraId="7E216728" w14:textId="21C1D344" w:rsidR="0071670F" w:rsidRPr="0071670F" w:rsidRDefault="0071670F" w:rsidP="008E5D08">
            <w:pPr>
              <w:pStyle w:val="Tabletexte"/>
              <w:jc w:val="left"/>
              <w:rPr>
                <w:lang w:val="ar-SA" w:bidi="ar-EG"/>
              </w:rPr>
            </w:pPr>
            <w:r w:rsidRPr="0071670F">
              <w:rPr>
                <w:rtl/>
                <w:lang w:val="en-GB"/>
              </w:rPr>
              <w:t>دور قطاع تنمية الاتصالات للاتحاد الدولي للاتصالات في</w:t>
            </w:r>
            <w:r w:rsidR="008E5D08">
              <w:rPr>
                <w:rFonts w:hint="cs"/>
                <w:rtl/>
                <w:lang w:val="en-GB"/>
              </w:rPr>
              <w:t> </w:t>
            </w:r>
            <w:r w:rsidRPr="0071670F">
              <w:rPr>
                <w:rtl/>
                <w:lang w:val="en-GB"/>
              </w:rPr>
              <w:t>تنفيذ نواتج القمة العالمية لمجتمع المعلومات وخطة التنمية المستدامة لعام 2030</w:t>
            </w:r>
          </w:p>
        </w:tc>
      </w:tr>
      <w:tr w:rsidR="0071670F" w:rsidRPr="0071670F" w14:paraId="138B3454" w14:textId="77777777" w:rsidTr="006132E2">
        <w:trPr>
          <w:cantSplit/>
        </w:trPr>
        <w:tc>
          <w:tcPr>
            <w:tcW w:w="2339" w:type="dxa"/>
          </w:tcPr>
          <w:p w14:paraId="4BDA50B3" w14:textId="77777777" w:rsidR="0071670F" w:rsidRPr="008E5D08" w:rsidRDefault="0071670F" w:rsidP="008E5D08">
            <w:pPr>
              <w:pStyle w:val="Tabletexte"/>
              <w:jc w:val="left"/>
              <w:rPr>
                <w:b/>
                <w:bCs/>
                <w:lang w:val="ar-SA" w:bidi="ar-EG"/>
              </w:rPr>
            </w:pPr>
            <w:r w:rsidRPr="008E5D08">
              <w:rPr>
                <w:b/>
                <w:bCs/>
                <w:rtl/>
                <w:lang w:val="en-GB"/>
              </w:rPr>
              <w:t>القرار 154</w:t>
            </w:r>
          </w:p>
          <w:p w14:paraId="1156AEB5" w14:textId="6243CB34" w:rsidR="0071670F" w:rsidRPr="0071670F" w:rsidRDefault="0071670F" w:rsidP="008E5D08">
            <w:pPr>
              <w:pStyle w:val="Tabletexte"/>
              <w:jc w:val="left"/>
              <w:rPr>
                <w:lang w:val="ar-SA" w:bidi="ar-EG"/>
              </w:rPr>
            </w:pPr>
            <w:r w:rsidRPr="0071670F">
              <w:rPr>
                <w:rtl/>
                <w:lang w:val="en-GB"/>
              </w:rPr>
              <w:t>استعمال اللغات الرسمية الست في الاتحاد على قدم</w:t>
            </w:r>
            <w:r w:rsidR="008E5D08">
              <w:rPr>
                <w:rFonts w:hint="cs"/>
                <w:rtl/>
                <w:lang w:val="en-GB"/>
              </w:rPr>
              <w:t> </w:t>
            </w:r>
            <w:r w:rsidRPr="0071670F">
              <w:rPr>
                <w:rtl/>
                <w:lang w:val="en-GB"/>
              </w:rPr>
              <w:t>المساواة</w:t>
            </w:r>
          </w:p>
        </w:tc>
        <w:tc>
          <w:tcPr>
            <w:tcW w:w="2339" w:type="dxa"/>
          </w:tcPr>
          <w:p w14:paraId="45791AC3" w14:textId="77777777" w:rsidR="0071670F" w:rsidRPr="008E5D08" w:rsidRDefault="0071670F" w:rsidP="008E5D08">
            <w:pPr>
              <w:pStyle w:val="Tabletexte"/>
              <w:jc w:val="left"/>
              <w:rPr>
                <w:b/>
                <w:bCs/>
                <w:lang w:val="ar-SA" w:bidi="ar-EG"/>
              </w:rPr>
            </w:pPr>
            <w:r w:rsidRPr="008E5D08">
              <w:rPr>
                <w:b/>
                <w:bCs/>
                <w:rtl/>
                <w:lang w:val="en-GB"/>
              </w:rPr>
              <w:t>القرار 36</w:t>
            </w:r>
          </w:p>
          <w:p w14:paraId="52048FD8" w14:textId="23161F21" w:rsidR="0071670F" w:rsidRPr="0071670F" w:rsidRDefault="0071670F" w:rsidP="008E5D08">
            <w:pPr>
              <w:pStyle w:val="Tabletexte"/>
              <w:jc w:val="left"/>
              <w:rPr>
                <w:lang w:val="ar-SA" w:bidi="ar-EG"/>
              </w:rPr>
            </w:pPr>
            <w:r w:rsidRPr="0071670F">
              <w:rPr>
                <w:rtl/>
                <w:lang w:val="en-GB"/>
              </w:rPr>
              <w:t>تنسيق المفردات باللغات الرسمية الست للاتحاد على قدم المساواة في قطاع الاتصالات الراديوية بالاتحاد</w:t>
            </w:r>
            <w:r w:rsidR="00B07B32">
              <w:rPr>
                <w:rFonts w:hint="cs"/>
                <w:rtl/>
                <w:lang w:val="en-GB"/>
              </w:rPr>
              <w:t xml:space="preserve"> الدولي للاتصالات</w:t>
            </w:r>
          </w:p>
        </w:tc>
        <w:tc>
          <w:tcPr>
            <w:tcW w:w="2339" w:type="dxa"/>
          </w:tcPr>
          <w:p w14:paraId="140F259E" w14:textId="77777777" w:rsidR="0071670F" w:rsidRPr="008E5D08" w:rsidRDefault="0071670F" w:rsidP="008E5D08">
            <w:pPr>
              <w:pStyle w:val="Tabletexte"/>
              <w:jc w:val="left"/>
              <w:rPr>
                <w:b/>
                <w:bCs/>
                <w:lang w:val="ar-SA" w:bidi="ar-EG"/>
              </w:rPr>
            </w:pPr>
            <w:r w:rsidRPr="008E5D08">
              <w:rPr>
                <w:b/>
                <w:bCs/>
                <w:rtl/>
                <w:lang w:val="en-GB"/>
              </w:rPr>
              <w:t>القرار 67</w:t>
            </w:r>
          </w:p>
          <w:p w14:paraId="2422D134" w14:textId="77777777" w:rsidR="0071670F" w:rsidRPr="0071670F" w:rsidRDefault="0071670F" w:rsidP="008E5D08">
            <w:pPr>
              <w:pStyle w:val="Tabletexte"/>
              <w:jc w:val="left"/>
              <w:rPr>
                <w:lang w:val="ar-SA" w:bidi="ar-EG"/>
              </w:rPr>
            </w:pPr>
            <w:r w:rsidRPr="0071670F">
              <w:rPr>
                <w:rtl/>
                <w:lang w:val="en-GB"/>
              </w:rPr>
              <w:t>استعمال لغات الاتحاد الرسمية الست على قدم المساواة في قطاع تقييس الاتصالات للاتحاد الدولي للاتصالات، ولجنة التقييس المعنية بالمفردات</w:t>
            </w:r>
          </w:p>
        </w:tc>
        <w:tc>
          <w:tcPr>
            <w:tcW w:w="2339" w:type="dxa"/>
          </w:tcPr>
          <w:p w14:paraId="66C07135" w14:textId="77777777" w:rsidR="0071670F" w:rsidRPr="008E5D08" w:rsidRDefault="0071670F" w:rsidP="008E5D08">
            <w:pPr>
              <w:pStyle w:val="Tabletexte"/>
              <w:jc w:val="left"/>
              <w:rPr>
                <w:b/>
                <w:bCs/>
                <w:lang w:val="ar-SA" w:bidi="ar-EG"/>
              </w:rPr>
            </w:pPr>
            <w:r w:rsidRPr="008E5D08">
              <w:rPr>
                <w:b/>
                <w:bCs/>
                <w:rtl/>
                <w:lang w:val="en-GB"/>
              </w:rPr>
              <w:t>القرار 1</w:t>
            </w:r>
          </w:p>
          <w:p w14:paraId="7FC3FCBB" w14:textId="5F9F7077" w:rsidR="0071670F" w:rsidRPr="0071670F" w:rsidRDefault="0071670F" w:rsidP="008E5D08">
            <w:pPr>
              <w:pStyle w:val="Tabletexte"/>
              <w:jc w:val="left"/>
              <w:rPr>
                <w:lang w:val="ar-SA" w:bidi="ar-EG"/>
              </w:rPr>
            </w:pPr>
            <w:r w:rsidRPr="0071670F">
              <w:rPr>
                <w:rtl/>
                <w:lang w:val="en-GB"/>
              </w:rPr>
              <w:t>النظام الداخلي لقطاع تنمية الاتصالات التابع للاتحاد الدولي</w:t>
            </w:r>
            <w:r w:rsidR="008E5D08">
              <w:rPr>
                <w:rFonts w:hint="cs"/>
                <w:rtl/>
                <w:lang w:val="en-GB"/>
              </w:rPr>
              <w:t> </w:t>
            </w:r>
            <w:r w:rsidRPr="0071670F">
              <w:rPr>
                <w:rtl/>
                <w:lang w:val="en-GB"/>
              </w:rPr>
              <w:t>للاتصالات</w:t>
            </w:r>
          </w:p>
          <w:p w14:paraId="1CC38327" w14:textId="7CEC9855" w:rsidR="0071670F" w:rsidRPr="0071670F" w:rsidRDefault="0071670F" w:rsidP="008E5D08">
            <w:pPr>
              <w:pStyle w:val="Tabletexte"/>
              <w:jc w:val="left"/>
              <w:rPr>
                <w:lang w:val="ar-SA" w:bidi="ar-EG"/>
              </w:rPr>
            </w:pPr>
            <w:r w:rsidRPr="0071670F">
              <w:rPr>
                <w:rtl/>
                <w:lang w:val="en-GB"/>
              </w:rPr>
              <w:t xml:space="preserve">القسم 12 - تنسيق </w:t>
            </w:r>
            <w:r w:rsidR="00035623">
              <w:rPr>
                <w:rFonts w:hint="cs"/>
                <w:rtl/>
                <w:lang w:val="en-GB"/>
              </w:rPr>
              <w:t>الأعمال</w:t>
            </w:r>
            <w:r w:rsidR="00035623" w:rsidRPr="0071670F">
              <w:rPr>
                <w:rtl/>
                <w:lang w:val="en-GB"/>
              </w:rPr>
              <w:t xml:space="preserve"> </w:t>
            </w:r>
            <w:r w:rsidRPr="0071670F">
              <w:rPr>
                <w:rtl/>
                <w:lang w:val="en-GB"/>
              </w:rPr>
              <w:t>بشأن المصطلحات (بعد إلغاء القرار 86 في المؤتمر WTDC-22 بشأن استعمال لغات الاتحاد على قدم المساواة في</w:t>
            </w:r>
            <w:r w:rsidR="008E5D08">
              <w:rPr>
                <w:rFonts w:hint="cs"/>
                <w:rtl/>
                <w:lang w:val="en-GB"/>
              </w:rPr>
              <w:t> </w:t>
            </w:r>
            <w:r w:rsidRPr="0071670F">
              <w:rPr>
                <w:rtl/>
                <w:lang w:val="en-GB"/>
              </w:rPr>
              <w:t>قطاع تنمية الاتصالات للاتحاد الدولي للاتصالات)</w:t>
            </w:r>
          </w:p>
        </w:tc>
      </w:tr>
      <w:tr w:rsidR="0071670F" w:rsidRPr="0071670F" w14:paraId="1A17B771" w14:textId="77777777" w:rsidTr="006132E2">
        <w:trPr>
          <w:cantSplit/>
        </w:trPr>
        <w:tc>
          <w:tcPr>
            <w:tcW w:w="2339" w:type="dxa"/>
          </w:tcPr>
          <w:p w14:paraId="5E634717" w14:textId="7BE4FDE7" w:rsidR="0071670F" w:rsidRPr="008E5D08" w:rsidRDefault="0071670F" w:rsidP="008E5D08">
            <w:pPr>
              <w:pStyle w:val="Tabletexte"/>
              <w:jc w:val="left"/>
              <w:rPr>
                <w:b/>
                <w:bCs/>
                <w:lang w:val="ar-SA" w:bidi="ar-EG"/>
              </w:rPr>
            </w:pPr>
            <w:r w:rsidRPr="008E5D08">
              <w:rPr>
                <w:b/>
                <w:bCs/>
                <w:rtl/>
                <w:lang w:val="en-GB"/>
              </w:rPr>
              <w:t>القرار 191</w:t>
            </w:r>
          </w:p>
          <w:p w14:paraId="21AB2FA0" w14:textId="77777777" w:rsidR="0071670F" w:rsidRPr="0071670F" w:rsidRDefault="0071670F" w:rsidP="008E5D08">
            <w:pPr>
              <w:pStyle w:val="Tabletexte"/>
              <w:jc w:val="left"/>
              <w:rPr>
                <w:lang w:val="ar-SA" w:bidi="ar-EG"/>
              </w:rPr>
            </w:pPr>
            <w:r w:rsidRPr="0071670F">
              <w:rPr>
                <w:rtl/>
                <w:lang w:val="en-GB"/>
              </w:rPr>
              <w:t>استراتيجية تنسيق الجهود بين قطاعات الاتحاد الثلاثة</w:t>
            </w:r>
          </w:p>
        </w:tc>
        <w:tc>
          <w:tcPr>
            <w:tcW w:w="2339" w:type="dxa"/>
          </w:tcPr>
          <w:p w14:paraId="3F4EC0AD" w14:textId="77777777" w:rsidR="0071670F" w:rsidRPr="008E5D08" w:rsidRDefault="0071670F" w:rsidP="008E5D08">
            <w:pPr>
              <w:pStyle w:val="Tabletexte"/>
              <w:jc w:val="left"/>
              <w:rPr>
                <w:b/>
                <w:bCs/>
                <w:lang w:val="ar-SA" w:bidi="ar-EG"/>
              </w:rPr>
            </w:pPr>
            <w:r w:rsidRPr="008E5D08">
              <w:rPr>
                <w:b/>
                <w:bCs/>
                <w:rtl/>
                <w:lang w:val="en-GB"/>
              </w:rPr>
              <w:t>القرار 75</w:t>
            </w:r>
          </w:p>
          <w:p w14:paraId="4B42857D" w14:textId="222F66FF" w:rsidR="0071670F" w:rsidRPr="0071670F" w:rsidRDefault="0071670F" w:rsidP="008E5D08">
            <w:pPr>
              <w:pStyle w:val="Tabletexte"/>
              <w:jc w:val="left"/>
              <w:rPr>
                <w:lang w:val="ar-SA" w:bidi="ar-EG"/>
              </w:rPr>
            </w:pPr>
            <w:r w:rsidRPr="0071670F">
              <w:rPr>
                <w:rtl/>
                <w:lang w:val="en-GB"/>
              </w:rPr>
              <w:t>تعزيز التنسيق والتعاون فيما بين القطاعات الثلاثة للاتحاد الدولي للاتصالات بشأن المسائل ذات الاهتمام</w:t>
            </w:r>
            <w:r w:rsidR="008E5D08">
              <w:rPr>
                <w:rFonts w:hint="cs"/>
                <w:rtl/>
                <w:lang w:val="en-GB"/>
              </w:rPr>
              <w:t> </w:t>
            </w:r>
            <w:r w:rsidRPr="0071670F">
              <w:rPr>
                <w:rtl/>
                <w:lang w:val="en-GB"/>
              </w:rPr>
              <w:t>المشترك</w:t>
            </w:r>
          </w:p>
        </w:tc>
        <w:tc>
          <w:tcPr>
            <w:tcW w:w="2339" w:type="dxa"/>
          </w:tcPr>
          <w:p w14:paraId="5207E1AE" w14:textId="77777777" w:rsidR="0071670F" w:rsidRPr="008E5D08" w:rsidRDefault="0071670F" w:rsidP="008E5D08">
            <w:pPr>
              <w:pStyle w:val="Tabletexte"/>
              <w:jc w:val="left"/>
              <w:rPr>
                <w:b/>
                <w:bCs/>
                <w:lang w:val="ar-SA" w:bidi="ar-EG"/>
              </w:rPr>
            </w:pPr>
            <w:r w:rsidRPr="008E5D08">
              <w:rPr>
                <w:b/>
                <w:bCs/>
                <w:rtl/>
                <w:lang w:val="en-GB"/>
              </w:rPr>
              <w:t>القرار 18</w:t>
            </w:r>
          </w:p>
          <w:p w14:paraId="13699ED0" w14:textId="7FF2E71A" w:rsidR="0071670F" w:rsidRPr="0071670F" w:rsidRDefault="0071670F" w:rsidP="008E5D08">
            <w:pPr>
              <w:pStyle w:val="Tabletexte"/>
              <w:jc w:val="left"/>
              <w:rPr>
                <w:lang w:val="ar-SA" w:bidi="ar-EG"/>
              </w:rPr>
            </w:pPr>
            <w:r w:rsidRPr="0071670F">
              <w:rPr>
                <w:rtl/>
                <w:lang w:val="en-GB"/>
              </w:rPr>
              <w:t>تعزيز التنسيق والتعاون فيما بين القطاعات الثلاثة للاتحاد الدولي للاتصالات بشأن المسائل ذات الاهتمام</w:t>
            </w:r>
            <w:r w:rsidR="008E5D08">
              <w:rPr>
                <w:rFonts w:hint="cs"/>
                <w:rtl/>
                <w:lang w:val="en-GB"/>
              </w:rPr>
              <w:t> </w:t>
            </w:r>
            <w:r w:rsidRPr="0071670F">
              <w:rPr>
                <w:rtl/>
                <w:lang w:val="en-GB"/>
              </w:rPr>
              <w:t>المشترك</w:t>
            </w:r>
          </w:p>
        </w:tc>
        <w:tc>
          <w:tcPr>
            <w:tcW w:w="2339" w:type="dxa"/>
          </w:tcPr>
          <w:p w14:paraId="55FE59CB" w14:textId="77777777" w:rsidR="0071670F" w:rsidRPr="008E5D08" w:rsidRDefault="0071670F" w:rsidP="008E5D08">
            <w:pPr>
              <w:pStyle w:val="Tabletexte"/>
              <w:jc w:val="left"/>
              <w:rPr>
                <w:b/>
                <w:bCs/>
                <w:lang w:val="ar-SA" w:bidi="ar-EG"/>
              </w:rPr>
            </w:pPr>
            <w:r w:rsidRPr="008E5D08">
              <w:rPr>
                <w:b/>
                <w:bCs/>
                <w:rtl/>
                <w:lang w:val="en-GB"/>
              </w:rPr>
              <w:t>القرار 59</w:t>
            </w:r>
          </w:p>
          <w:p w14:paraId="19C79E7C" w14:textId="14F0E8FC" w:rsidR="0071670F" w:rsidRPr="0071670F" w:rsidRDefault="0071670F" w:rsidP="008E5D08">
            <w:pPr>
              <w:pStyle w:val="Tabletexte"/>
              <w:jc w:val="left"/>
              <w:rPr>
                <w:lang w:val="ar-SA" w:bidi="ar-EG"/>
              </w:rPr>
            </w:pPr>
            <w:r w:rsidRPr="0071670F">
              <w:rPr>
                <w:rtl/>
                <w:lang w:val="en-GB"/>
              </w:rPr>
              <w:t>تعزيز التنسيق والتعاون فيما بين القطاعات الثلاثة للاتحاد الدولي للاتصالات بشأن المسائل ذات الاهتمام</w:t>
            </w:r>
            <w:r w:rsidR="008E5D08">
              <w:rPr>
                <w:rFonts w:hint="cs"/>
                <w:rtl/>
                <w:lang w:val="en-GB"/>
              </w:rPr>
              <w:t> </w:t>
            </w:r>
            <w:r w:rsidRPr="0071670F">
              <w:rPr>
                <w:rtl/>
                <w:lang w:val="en-GB"/>
              </w:rPr>
              <w:t>المشترك</w:t>
            </w:r>
          </w:p>
        </w:tc>
      </w:tr>
    </w:tbl>
    <w:p w14:paraId="1AE52CF7" w14:textId="1B9CE7D2" w:rsidR="0071670F" w:rsidRPr="0071670F" w:rsidRDefault="006C4658" w:rsidP="008E5D08">
      <w:pPr>
        <w:pStyle w:val="Heading1"/>
        <w:rPr>
          <w:lang w:val="ar-SA" w:bidi="ar-EG"/>
        </w:rPr>
      </w:pPr>
      <w:r>
        <w:rPr>
          <w:rFonts w:hint="cs"/>
          <w:rtl/>
          <w:lang w:bidi="ar-EG"/>
        </w:rPr>
        <w:t>ثانياً</w:t>
      </w:r>
      <w:r w:rsidR="0071670F" w:rsidRPr="0071670F">
        <w:rPr>
          <w:rtl/>
          <w:lang w:val="en-GB"/>
        </w:rPr>
        <w:tab/>
      </w:r>
      <w:r w:rsidR="00100A8D">
        <w:rPr>
          <w:rFonts w:hint="cs"/>
          <w:rtl/>
          <w:lang w:val="en-GB"/>
        </w:rPr>
        <w:t>ال</w:t>
      </w:r>
      <w:r w:rsidR="0071670F" w:rsidRPr="0071670F">
        <w:rPr>
          <w:rtl/>
          <w:lang w:val="en-GB"/>
        </w:rPr>
        <w:t>مقترحات</w:t>
      </w:r>
    </w:p>
    <w:p w14:paraId="64FABB12" w14:textId="452A4037" w:rsidR="0071670F" w:rsidRPr="0071670F" w:rsidRDefault="0071670F" w:rsidP="0071670F">
      <w:pPr>
        <w:rPr>
          <w:lang w:val="ar-SA" w:bidi="ar-EG"/>
        </w:rPr>
      </w:pPr>
      <w:r w:rsidRPr="0071670F">
        <w:rPr>
          <w:rtl/>
          <w:lang w:val="en-GB"/>
        </w:rPr>
        <w:t>1</w:t>
      </w:r>
      <w:r w:rsidRPr="0071670F">
        <w:rPr>
          <w:rtl/>
          <w:lang w:val="en-GB"/>
        </w:rPr>
        <w:tab/>
        <w:t>استعراض المقترحات المشار إليها أعلاه وتحديد عدد محدود من قرارات مؤتمر المندوبين المفوضين التي يمكن تعديلها في مؤتمر المندوبين المفوضين لعام 2026 بحيث تغطي مصالح جميع القطاعات والأحكام الضرورية في</w:t>
      </w:r>
      <w:r w:rsidR="008E5D08">
        <w:rPr>
          <w:rFonts w:hint="cs"/>
          <w:rtl/>
          <w:lang w:val="en-GB"/>
        </w:rPr>
        <w:t> </w:t>
      </w:r>
      <w:r w:rsidRPr="0071670F">
        <w:rPr>
          <w:rtl/>
          <w:lang w:val="en-GB"/>
        </w:rPr>
        <w:t>قراراتها، مما يتيح إمكانية حذف هذه القرارات أو اختصارها بشكل كبير.</w:t>
      </w:r>
    </w:p>
    <w:p w14:paraId="01E79C5A" w14:textId="5898440A" w:rsidR="0071670F" w:rsidRPr="0071670F" w:rsidRDefault="0071670F" w:rsidP="0071670F">
      <w:pPr>
        <w:rPr>
          <w:lang w:val="ar-SA" w:bidi="ar-EG"/>
        </w:rPr>
      </w:pPr>
      <w:r w:rsidRPr="0071670F">
        <w:rPr>
          <w:rtl/>
          <w:lang w:val="en-GB"/>
        </w:rPr>
        <w:t>2</w:t>
      </w:r>
      <w:r w:rsidRPr="0071670F">
        <w:rPr>
          <w:rtl/>
          <w:lang w:val="en-GB"/>
        </w:rPr>
        <w:tab/>
        <w:t>‏دعوة أعضاء الاتحاد إلى المشاركة الفعالة في الأعمال التحضيرية لمؤتمر المندوبين المفوضين لعام 2026، ومن بعده جمعية الاتصالات الراديوية لعام 2027، والجمعية العالمية لتقييس الاتصالات لعام 2028، والمؤتمر العالمي لتنمية الاتصالات لعام 2029، بما في ذلك من خلال فريق التنسيق بين القطاعات، مع مراعاة ضرورة تعديل قرارات مؤتمر المندوبين المفوضين ذات الصلة لتعكس مصالح قطاع الاتصالات الراديوية وقطاع تقييس الاتصالات وقطاع تنمية</w:t>
      </w:r>
      <w:r w:rsidR="008E5D08">
        <w:rPr>
          <w:rFonts w:hint="cs"/>
          <w:rtl/>
          <w:lang w:val="en-GB"/>
        </w:rPr>
        <w:t> </w:t>
      </w:r>
      <w:r w:rsidRPr="0071670F">
        <w:rPr>
          <w:rtl/>
          <w:lang w:val="en-GB"/>
        </w:rPr>
        <w:t>الاتصالات.</w:t>
      </w:r>
    </w:p>
    <w:p w14:paraId="2D65D102" w14:textId="2F4E9A7B" w:rsidR="0071670F" w:rsidRPr="0071670F" w:rsidRDefault="0071670F" w:rsidP="00581D34">
      <w:pPr>
        <w:rPr>
          <w:lang w:val="en-GB" w:bidi="en-GB"/>
        </w:rPr>
      </w:pPr>
      <w:r w:rsidRPr="0071670F">
        <w:rPr>
          <w:rtl/>
          <w:lang w:val="en-GB"/>
        </w:rPr>
        <w:t>3</w:t>
      </w:r>
      <w:r w:rsidRPr="0071670F">
        <w:rPr>
          <w:rtl/>
          <w:lang w:val="en-GB"/>
        </w:rPr>
        <w:tab/>
      </w:r>
      <w:r w:rsidRPr="0071670F">
        <w:rPr>
          <w:spacing w:val="-2"/>
          <w:rtl/>
          <w:lang w:val="en-GB"/>
        </w:rPr>
        <w:t>استناداً إلى مقررات مؤتمر المندوبين المفوضين لعام 2026، مواصلة العمل الذي تضطلع به الأفرقة الاستشارية للقطاعات لتحسين القرارات ذات الصلة الصادرة عن القطاعات ومؤتمر المندوبين المفوضين استعداداً ل</w:t>
      </w:r>
      <w:r w:rsidR="00581D34" w:rsidRPr="0071670F">
        <w:rPr>
          <w:spacing w:val="-2"/>
          <w:rtl/>
          <w:lang w:val="en-GB"/>
        </w:rPr>
        <w:t>جمعية الاتصالات الراديوية</w:t>
      </w:r>
      <w:r w:rsidRPr="0071670F">
        <w:rPr>
          <w:spacing w:val="-2"/>
          <w:rtl/>
          <w:lang w:val="en-GB"/>
        </w:rPr>
        <w:t xml:space="preserve"> RA-27 و</w:t>
      </w:r>
      <w:r w:rsidR="008E5D08" w:rsidRPr="00581D34">
        <w:rPr>
          <w:spacing w:val="-2"/>
          <w:rtl/>
          <w:lang w:val="en-GB"/>
        </w:rPr>
        <w:t>الجمعية العالمية لتقييس الاتصالات</w:t>
      </w:r>
      <w:r w:rsidRPr="0071670F">
        <w:rPr>
          <w:spacing w:val="-2"/>
          <w:rtl/>
          <w:lang w:val="en-GB"/>
        </w:rPr>
        <w:t xml:space="preserve"> WTSA-28 و</w:t>
      </w:r>
      <w:r w:rsidR="00581D34" w:rsidRPr="00581D34">
        <w:rPr>
          <w:spacing w:val="-2"/>
          <w:rtl/>
          <w:lang w:val="en-GB"/>
        </w:rPr>
        <w:t xml:space="preserve">المؤتمر العالمي لتنمية الاتصالات </w:t>
      </w:r>
      <w:r w:rsidRPr="0071670F">
        <w:rPr>
          <w:spacing w:val="-2"/>
          <w:rtl/>
          <w:lang w:val="en-GB"/>
        </w:rPr>
        <w:t>WTDC-29.</w:t>
      </w:r>
    </w:p>
    <w:p w14:paraId="72BEB478" w14:textId="77777777" w:rsidR="00F50E3F" w:rsidRDefault="00D63735" w:rsidP="00D63735">
      <w:pPr>
        <w:spacing w:before="600"/>
        <w:jc w:val="center"/>
        <w:rPr>
          <w:rtl/>
          <w:lang w:bidi="ar-EG"/>
        </w:rPr>
      </w:pPr>
      <w:r>
        <w:rPr>
          <w:rFonts w:hint="cs"/>
          <w:rtl/>
          <w:lang w:bidi="ar-EG"/>
        </w:rPr>
        <w:t>ــــــــــــــــــــــــــــــــــــــــــــــــــــــــــــــــــــــــــــــــــــــــــــــــ</w:t>
      </w:r>
    </w:p>
    <w:sectPr w:rsidR="00F50E3F" w:rsidSect="006F363C">
      <w:footerReference w:type="default" r:id="rId11"/>
      <w:headerReference w:type="first" r:id="rId12"/>
      <w:footerReference w:type="first" r:id="rId13"/>
      <w:type w:val="oddPage"/>
      <w:pgSz w:w="11907" w:h="16840"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64C77" w14:textId="77777777" w:rsidR="00070E98" w:rsidRDefault="00070E98" w:rsidP="006C3242">
      <w:pPr>
        <w:spacing w:before="0" w:line="240" w:lineRule="auto"/>
      </w:pPr>
      <w:r>
        <w:separator/>
      </w:r>
    </w:p>
  </w:endnote>
  <w:endnote w:type="continuationSeparator" w:id="0">
    <w:p w14:paraId="08AF4C37" w14:textId="77777777" w:rsidR="00070E98" w:rsidRDefault="00070E98"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charset w:val="B2"/>
    <w:family w:val="roman"/>
    <w:pitch w:val="variable"/>
    <w:sig w:usb0="00002003" w:usb1="80000000" w:usb2="00000008" w:usb3="00000000" w:csb0="00000041" w:csb1="00000000"/>
  </w:font>
  <w:font w:name="Avenir Nxt2 W1G Medium">
    <w:altName w:val="Calibri"/>
    <w:panose1 w:val="00000000000000000000"/>
    <w:charset w:val="00"/>
    <w:family w:val="swiss"/>
    <w:notTrueType/>
    <w:pitch w:val="variable"/>
    <w:sig w:usb0="A00002EF"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bidiVisual/>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7"/>
      <w:gridCol w:w="7874"/>
      <w:gridCol w:w="443"/>
    </w:tblGrid>
    <w:tr w:rsidR="00F50E3F" w:rsidRPr="007B0AA0" w14:paraId="1A61DE77" w14:textId="77777777" w:rsidTr="00A67F05">
      <w:trPr>
        <w:jc w:val="center"/>
      </w:trPr>
      <w:tc>
        <w:tcPr>
          <w:tcW w:w="868" w:type="pct"/>
          <w:vAlign w:val="center"/>
        </w:tcPr>
        <w:p w14:paraId="7EF3AB06" w14:textId="7B050B29" w:rsidR="00F50E3F" w:rsidRPr="0071670F" w:rsidRDefault="0071670F" w:rsidP="0071670F">
          <w:pPr>
            <w:tabs>
              <w:tab w:val="clear" w:pos="794"/>
            </w:tabs>
            <w:overflowPunct w:val="0"/>
            <w:autoSpaceDE w:val="0"/>
            <w:autoSpaceDN w:val="0"/>
            <w:bidi w:val="0"/>
            <w:adjustRightInd w:val="0"/>
            <w:spacing w:before="0" w:line="240" w:lineRule="auto"/>
            <w:jc w:val="right"/>
            <w:textAlignment w:val="baseline"/>
            <w:rPr>
              <w:rFonts w:ascii="Calibri" w:hAnsi="Calibri" w:cs="Arial"/>
              <w:noProof/>
              <w:sz w:val="18"/>
            </w:rPr>
          </w:pPr>
          <w:r w:rsidRPr="0071670F">
            <w:rPr>
              <w:rFonts w:ascii="Calibri" w:hAnsi="Calibri" w:cs="Arial"/>
              <w:sz w:val="18"/>
              <w:szCs w:val="14"/>
              <w:lang w:val="en-US"/>
            </w:rPr>
            <w:t>2501342</w:t>
          </w:r>
        </w:p>
      </w:tc>
      <w:tc>
        <w:tcPr>
          <w:tcW w:w="3912" w:type="pct"/>
        </w:tcPr>
        <w:p w14:paraId="64F50DD9" w14:textId="10A7523A" w:rsidR="00F50E3F" w:rsidRPr="007B0AA0" w:rsidRDefault="00F50E3F"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Arial" w:hAnsi="Arial" w:cs="Arial"/>
              <w:b/>
              <w:bCs/>
              <w:color w:val="7F7F7F"/>
              <w:sz w:val="18"/>
              <w:szCs w:val="18"/>
            </w:rPr>
          </w:pPr>
          <w:r w:rsidRPr="007B0AA0">
            <w:rPr>
              <w:rFonts w:ascii="Calibri" w:hAnsi="Calibri" w:cs="Arial"/>
              <w:bCs/>
              <w:color w:val="7F7F7F"/>
              <w:sz w:val="18"/>
            </w:rPr>
            <w:t>C2</w:t>
          </w:r>
          <w:r w:rsidR="006F363C">
            <w:rPr>
              <w:rFonts w:ascii="Calibri" w:hAnsi="Calibri" w:cs="Arial"/>
              <w:bCs/>
              <w:color w:val="7F7F7F"/>
              <w:sz w:val="18"/>
            </w:rPr>
            <w:t>5</w:t>
          </w:r>
          <w:r w:rsidRPr="007B0AA0">
            <w:rPr>
              <w:rFonts w:ascii="Calibri" w:hAnsi="Calibri" w:cs="Arial"/>
              <w:bCs/>
              <w:color w:val="7F7F7F"/>
              <w:sz w:val="18"/>
            </w:rPr>
            <w:t>/</w:t>
          </w:r>
          <w:r w:rsidR="0071670F">
            <w:rPr>
              <w:rFonts w:ascii="Calibri" w:hAnsi="Calibri" w:cs="Arial"/>
              <w:bCs/>
              <w:color w:val="7F7F7F"/>
              <w:sz w:val="18"/>
            </w:rPr>
            <w:t>79</w:t>
          </w:r>
          <w:r w:rsidRPr="007B0AA0">
            <w:rPr>
              <w:rFonts w:ascii="Calibri" w:hAnsi="Calibri" w:cs="Arial"/>
              <w:bCs/>
              <w:color w:val="7F7F7F"/>
              <w:sz w:val="18"/>
            </w:rPr>
            <w:t>-</w:t>
          </w:r>
          <w:r>
            <w:rPr>
              <w:rFonts w:ascii="Calibri" w:hAnsi="Calibri" w:cs="Arial"/>
              <w:bCs/>
              <w:color w:val="7F7F7F"/>
              <w:sz w:val="18"/>
            </w:rPr>
            <w:t>A</w:t>
          </w:r>
        </w:p>
      </w:tc>
      <w:tc>
        <w:tcPr>
          <w:tcW w:w="220" w:type="pct"/>
        </w:tcPr>
        <w:p w14:paraId="282123A9" w14:textId="77777777" w:rsidR="00F50E3F" w:rsidRPr="007B0AA0" w:rsidRDefault="00F50E3F"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Calibri" w:hAnsi="Calibri" w:cs="Arial"/>
              <w:bCs/>
              <w:color w:val="7F7F7F"/>
              <w:sz w:val="18"/>
            </w:rPr>
          </w:pPr>
          <w:r w:rsidRPr="007B0AA0">
            <w:rPr>
              <w:rFonts w:ascii="Calibri" w:hAnsi="Calibri" w:cs="Arial"/>
              <w:color w:val="7F7F7F"/>
              <w:sz w:val="18"/>
            </w:rPr>
            <w:fldChar w:fldCharType="begin"/>
          </w:r>
          <w:r w:rsidRPr="007B0AA0">
            <w:rPr>
              <w:rFonts w:ascii="Calibri" w:hAnsi="Calibri" w:cs="Arial"/>
              <w:color w:val="7F7F7F"/>
              <w:sz w:val="18"/>
            </w:rPr>
            <w:instrText>PAGE</w:instrText>
          </w:r>
          <w:r w:rsidRPr="007B0AA0">
            <w:rPr>
              <w:rFonts w:ascii="Calibri" w:hAnsi="Calibri" w:cs="Arial"/>
              <w:color w:val="7F7F7F"/>
              <w:sz w:val="18"/>
            </w:rPr>
            <w:fldChar w:fldCharType="separate"/>
          </w:r>
          <w:r>
            <w:rPr>
              <w:rFonts w:cs="Arial"/>
              <w:color w:val="7F7F7F"/>
              <w:sz w:val="18"/>
            </w:rPr>
            <w:t>1</w:t>
          </w:r>
          <w:r w:rsidRPr="007B0AA0">
            <w:rPr>
              <w:rFonts w:ascii="Calibri" w:hAnsi="Calibri" w:cs="Arial"/>
              <w:noProof/>
              <w:color w:val="7F7F7F"/>
              <w:sz w:val="18"/>
            </w:rPr>
            <w:fldChar w:fldCharType="end"/>
          </w:r>
        </w:p>
      </w:tc>
    </w:tr>
  </w:tbl>
  <w:p w14:paraId="37A04D6D" w14:textId="77777777" w:rsidR="006C3242" w:rsidRPr="00077A58" w:rsidRDefault="006C3242" w:rsidP="00077A58">
    <w:pPr>
      <w:pStyle w:val="Footer"/>
      <w:tabs>
        <w:tab w:val="clear" w:pos="4153"/>
        <w:tab w:val="clear" w:pos="8306"/>
        <w:tab w:val="center" w:pos="5103"/>
        <w:tab w:val="right" w:pos="9639"/>
      </w:tabs>
      <w:spacing w:after="0"/>
      <w:rPr>
        <w:sz w:val="2"/>
        <w:szCs w:val="2"/>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bidiVisual/>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39"/>
      <w:gridCol w:w="7584"/>
      <w:gridCol w:w="441"/>
    </w:tblGrid>
    <w:tr w:rsidR="007B0AA0" w:rsidRPr="007B0AA0" w14:paraId="6718CFB9" w14:textId="77777777" w:rsidTr="00A67F05">
      <w:trPr>
        <w:jc w:val="center"/>
      </w:trPr>
      <w:tc>
        <w:tcPr>
          <w:tcW w:w="1013" w:type="pct"/>
          <w:vAlign w:val="center"/>
        </w:tcPr>
        <w:p w14:paraId="439E30C1" w14:textId="77777777" w:rsidR="007B0AA0" w:rsidRPr="00660DEA" w:rsidRDefault="00660DEA" w:rsidP="00A67F05">
          <w:pPr>
            <w:tabs>
              <w:tab w:val="clear" w:pos="794"/>
            </w:tabs>
            <w:overflowPunct w:val="0"/>
            <w:autoSpaceDE w:val="0"/>
            <w:autoSpaceDN w:val="0"/>
            <w:bidi w:val="0"/>
            <w:adjustRightInd w:val="0"/>
            <w:spacing w:before="0" w:line="240" w:lineRule="auto"/>
            <w:jc w:val="right"/>
            <w:textAlignment w:val="baseline"/>
            <w:rPr>
              <w:rFonts w:ascii="Calibri" w:hAnsi="Calibri" w:cs="Arial"/>
              <w:noProof/>
              <w:color w:val="7F7F7F"/>
              <w:sz w:val="18"/>
            </w:rPr>
          </w:pPr>
          <w:hyperlink r:id="rId1" w:history="1">
            <w:r w:rsidRPr="00660DEA">
              <w:rPr>
                <w:rStyle w:val="Hyperlink"/>
              </w:rPr>
              <w:t>council.itu.int/2025</w:t>
            </w:r>
          </w:hyperlink>
        </w:p>
      </w:tc>
      <w:tc>
        <w:tcPr>
          <w:tcW w:w="3768" w:type="pct"/>
        </w:tcPr>
        <w:p w14:paraId="26C14637" w14:textId="4F141D46" w:rsidR="007B0AA0" w:rsidRPr="007B0AA0" w:rsidRDefault="007B0AA0"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Arial" w:hAnsi="Arial" w:cs="Arial"/>
              <w:b/>
              <w:bCs/>
              <w:color w:val="7F7F7F"/>
              <w:sz w:val="18"/>
              <w:szCs w:val="18"/>
            </w:rPr>
          </w:pPr>
          <w:r w:rsidRPr="007B0AA0">
            <w:rPr>
              <w:rFonts w:ascii="Calibri" w:hAnsi="Calibri" w:cs="Arial"/>
              <w:bCs/>
              <w:color w:val="7F7F7F"/>
              <w:sz w:val="18"/>
            </w:rPr>
            <w:t>C2</w:t>
          </w:r>
          <w:r w:rsidR="006F363C">
            <w:rPr>
              <w:rFonts w:ascii="Calibri" w:hAnsi="Calibri" w:cs="Arial"/>
              <w:bCs/>
              <w:color w:val="7F7F7F"/>
              <w:sz w:val="18"/>
            </w:rPr>
            <w:t>5</w:t>
          </w:r>
          <w:r w:rsidRPr="007B0AA0">
            <w:rPr>
              <w:rFonts w:ascii="Calibri" w:hAnsi="Calibri" w:cs="Arial"/>
              <w:bCs/>
              <w:color w:val="7F7F7F"/>
              <w:sz w:val="18"/>
            </w:rPr>
            <w:t>/</w:t>
          </w:r>
          <w:r w:rsidR="00070E98">
            <w:rPr>
              <w:rFonts w:ascii="Calibri" w:hAnsi="Calibri" w:cs="Arial"/>
              <w:bCs/>
              <w:color w:val="7F7F7F"/>
              <w:sz w:val="18"/>
            </w:rPr>
            <w:t>79</w:t>
          </w:r>
          <w:r w:rsidRPr="007B0AA0">
            <w:rPr>
              <w:rFonts w:ascii="Calibri" w:hAnsi="Calibri" w:cs="Arial"/>
              <w:bCs/>
              <w:color w:val="7F7F7F"/>
              <w:sz w:val="18"/>
            </w:rPr>
            <w:t>-</w:t>
          </w:r>
          <w:r>
            <w:rPr>
              <w:rFonts w:ascii="Calibri" w:hAnsi="Calibri" w:cs="Arial"/>
              <w:bCs/>
              <w:color w:val="7F7F7F"/>
              <w:sz w:val="18"/>
            </w:rPr>
            <w:t>A</w:t>
          </w:r>
        </w:p>
      </w:tc>
      <w:tc>
        <w:tcPr>
          <w:tcW w:w="220" w:type="pct"/>
        </w:tcPr>
        <w:p w14:paraId="5FAF673F" w14:textId="77777777" w:rsidR="007B0AA0" w:rsidRPr="007B0AA0" w:rsidRDefault="00F50E3F"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Calibri" w:hAnsi="Calibri" w:cs="Arial"/>
              <w:bCs/>
              <w:color w:val="7F7F7F"/>
              <w:sz w:val="18"/>
            </w:rPr>
          </w:pPr>
          <w:r w:rsidRPr="007B0AA0">
            <w:rPr>
              <w:rFonts w:ascii="Calibri" w:hAnsi="Calibri" w:cs="Arial"/>
              <w:color w:val="7F7F7F"/>
              <w:sz w:val="18"/>
            </w:rPr>
            <w:fldChar w:fldCharType="begin"/>
          </w:r>
          <w:r w:rsidRPr="007B0AA0">
            <w:rPr>
              <w:rFonts w:ascii="Calibri" w:hAnsi="Calibri" w:cs="Arial"/>
              <w:color w:val="7F7F7F"/>
              <w:sz w:val="18"/>
            </w:rPr>
            <w:instrText>PAGE</w:instrText>
          </w:r>
          <w:r w:rsidRPr="007B0AA0">
            <w:rPr>
              <w:rFonts w:ascii="Calibri" w:hAnsi="Calibri" w:cs="Arial"/>
              <w:color w:val="7F7F7F"/>
              <w:sz w:val="18"/>
            </w:rPr>
            <w:fldChar w:fldCharType="separate"/>
          </w:r>
          <w:r>
            <w:rPr>
              <w:rFonts w:cs="Arial"/>
              <w:color w:val="7F7F7F"/>
              <w:sz w:val="18"/>
            </w:rPr>
            <w:t>1</w:t>
          </w:r>
          <w:r w:rsidRPr="007B0AA0">
            <w:rPr>
              <w:rFonts w:ascii="Calibri" w:hAnsi="Calibri" w:cs="Arial"/>
              <w:noProof/>
              <w:color w:val="7F7F7F"/>
              <w:sz w:val="18"/>
            </w:rPr>
            <w:fldChar w:fldCharType="end"/>
          </w:r>
        </w:p>
      </w:tc>
    </w:tr>
  </w:tbl>
  <w:p w14:paraId="3DE5E55E" w14:textId="77777777" w:rsidR="0006468A" w:rsidRPr="00077A58" w:rsidRDefault="0006468A" w:rsidP="00077A58">
    <w:pPr>
      <w:pStyle w:val="Footer"/>
      <w:tabs>
        <w:tab w:val="clear" w:pos="4153"/>
        <w:tab w:val="clear" w:pos="8306"/>
        <w:tab w:val="center" w:pos="5103"/>
        <w:tab w:val="right" w:pos="9639"/>
      </w:tabs>
      <w:spacing w:after="0"/>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0F23D" w14:textId="77777777" w:rsidR="00070E98" w:rsidRDefault="00070E98" w:rsidP="006C3242">
      <w:pPr>
        <w:spacing w:before="0" w:line="240" w:lineRule="auto"/>
      </w:pPr>
      <w:r>
        <w:separator/>
      </w:r>
    </w:p>
  </w:footnote>
  <w:footnote w:type="continuationSeparator" w:id="0">
    <w:p w14:paraId="5FCB52A1" w14:textId="77777777" w:rsidR="00070E98" w:rsidRDefault="00070E98" w:rsidP="006C324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57129" w14:textId="77777777" w:rsidR="007B0AA0" w:rsidRDefault="007648A6" w:rsidP="00935AAC">
    <w:pPr>
      <w:pStyle w:val="Header"/>
      <w:spacing w:before="120" w:after="600"/>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3CE26E97" wp14:editId="55B97ABC">
              <wp:simplePos x="0" y="0"/>
              <wp:positionH relativeFrom="page">
                <wp:posOffset>7453630</wp:posOffset>
              </wp:positionH>
              <wp:positionV relativeFrom="topMargin">
                <wp:posOffset>641294</wp:posOffset>
              </wp:positionV>
              <wp:extent cx="92075" cy="360680"/>
              <wp:effectExtent l="0" t="0" r="3175" b="127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36068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639FF7" id="Rectangle 5" o:spid="_x0000_s1026" style="position:absolute;margin-left:586.9pt;margin-top:50.5pt;width:7.25pt;height:28.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7n46AEAALMDAAAOAAAAZHJzL2Uyb0RvYy54bWysU11v2yAUfZ+0/4B4X2xnSdpYcaoqUadJ&#10;3YfU9QdgjG00zGUXEif79buQNI22t2oviMuFwzmHw+ruMBi2V+g12IoXk5wzZSU02nYVf/7x8OGW&#10;Mx+EbYQBqyp+VJ7frd+/W42uVFPowTQKGYFYX46u4n0IrswyL3s1CD8Bpyw1W8BBBCqxyxoUI6EP&#10;Jpvm+SIbARuHIJX3tLo9Nfk64betkuFb23oVmKk4cQtpxDTWcczWK1F2KFyv5ZmGeAOLQWhLl16g&#10;tiIItkP9D9SgJYKHNkwkDBm0rZYqaSA1Rf6XmqdeOJW0kDneXWzy/w9Wft0/ue8YqXv3CPKnZxY2&#10;vbCdukeEsVeioeuKaFQ2Ol9eDsTC01FWj1+goacVuwDJg0OLQwQkdeyQrD5erFaHwCQtLqf5zZwz&#10;SZ2Pi3xxm14iE+XLWYc+fFIwsDipONJDJmyxf/QhchHly5bEHYxuHrQxqcCu3hhkexEfPV9utvNE&#10;nyRebzM2brYQj50Q40oSGXXFCPmyhuZIGhFOyaGk06QH/M3ZSKmpuP+1E6g4M58t+bQsZrMYs1TM&#10;5jdTKvC6U193hJUEVfHA2Wm6Cado7hzqrqebiiTawj152+ok/JXVmSwlI/lxTnGM3nWddr3+tfUf&#10;AAAA//8DAFBLAwQUAAYACAAAACEA/5N/weIAAAANAQAADwAAAGRycy9kb3ducmV2LnhtbEyPQU/C&#10;QBCF7yb+h82YcJNtS7RN7ZYQIgeCB0Uu3Jbu2Fa7s7W7QPHXO5z09l7m5c33ivloO3HCwbeOFMTT&#10;CARS5UxLtYLd++o+A+GDJqM7R6jggh7m5e1NoXPjzvSGp22oBZeQz7WCJoQ+l9JXDVrtp65H4tuH&#10;G6wObIdamkGfudx2MomiR2l1S/yh0T0uG6y+tkerIOyTOr28bkKye958v3yu1+2P2Ss1uRsXTyAC&#10;juEvDFd8RoeSmQ7uSMaLjn2czpg9sIpiXnWNxFk2A3Fg9ZBmIMtC/l9R/gIAAP//AwBQSwECLQAU&#10;AAYACAAAACEAtoM4kv4AAADhAQAAEwAAAAAAAAAAAAAAAAAAAAAAW0NvbnRlbnRfVHlwZXNdLnht&#10;bFBLAQItABQABgAIAAAAIQA4/SH/1gAAAJQBAAALAAAAAAAAAAAAAAAAAC8BAABfcmVscy8ucmVs&#10;c1BLAQItABQABgAIAAAAIQAal7n46AEAALMDAAAOAAAAAAAAAAAAAAAAAC4CAABkcnMvZTJvRG9j&#10;LnhtbFBLAQItABQABgAIAAAAIQD/k3/B4gAAAA0BAAAPAAAAAAAAAAAAAAAAAEIEAABkcnMvZG93&#10;bnJldi54bWxQSwUGAAAAAAQABADzAAAAUQUAAAAA&#10;" fillcolor="#009cd5" stroked="f">
              <w10:wrap anchorx="page" anchory="margin"/>
            </v:rect>
          </w:pict>
        </mc:Fallback>
      </mc:AlternateContent>
    </w:r>
    <w:r w:rsidR="00420F8A">
      <w:rPr>
        <w:rFonts w:ascii="Avenir Nxt2 W1G Medium" w:eastAsia="Avenir Nxt2 W1G Medium" w:hAnsi="Avenir Nxt2 W1G Medium" w:cs="Avenir Nxt2 W1G Medium"/>
        <w:noProof/>
      </w:rPr>
      <w:drawing>
        <wp:inline distT="0" distB="0" distL="0" distR="0" wp14:anchorId="47A65D02" wp14:editId="544ADFFB">
          <wp:extent cx="2999433" cy="612775"/>
          <wp:effectExtent l="0" t="0" r="0" b="0"/>
          <wp:docPr id="1631567398" name="Picture 1"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567398" name="Picture 1" descr="A black background with blue text&#10;&#10;AI-generated content may be incorrect."/>
                  <pic:cNvPicPr/>
                </pic:nvPicPr>
                <pic:blipFill rotWithShape="1">
                  <a:blip r:embed="rId1">
                    <a:extLst>
                      <a:ext uri="{28A0092B-C50C-407E-A947-70E740481C1C}">
                        <a14:useLocalDpi xmlns:a14="http://schemas.microsoft.com/office/drawing/2010/main" val="0"/>
                      </a:ext>
                    </a:extLst>
                  </a:blip>
                  <a:srcRect r="18302"/>
                  <a:stretch/>
                </pic:blipFill>
                <pic:spPr bwMode="auto">
                  <a:xfrm>
                    <a:off x="0" y="0"/>
                    <a:ext cx="2999932" cy="612877"/>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AE802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4E485B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3D673E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D2EF55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F98DF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74AB8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6B2FBF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448FE4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0E0721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A9EA8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838345589">
    <w:abstractNumId w:val="9"/>
  </w:num>
  <w:num w:numId="2" w16cid:durableId="1774472849">
    <w:abstractNumId w:val="7"/>
  </w:num>
  <w:num w:numId="3" w16cid:durableId="923494626">
    <w:abstractNumId w:val="6"/>
  </w:num>
  <w:num w:numId="4" w16cid:durableId="442574474">
    <w:abstractNumId w:val="5"/>
  </w:num>
  <w:num w:numId="5" w16cid:durableId="1628318554">
    <w:abstractNumId w:val="4"/>
  </w:num>
  <w:num w:numId="6" w16cid:durableId="2075542342">
    <w:abstractNumId w:val="8"/>
  </w:num>
  <w:num w:numId="7" w16cid:durableId="1174762821">
    <w:abstractNumId w:val="3"/>
  </w:num>
  <w:num w:numId="8" w16cid:durableId="201795547">
    <w:abstractNumId w:val="2"/>
  </w:num>
  <w:num w:numId="9" w16cid:durableId="355010693">
    <w:abstractNumId w:val="1"/>
  </w:num>
  <w:num w:numId="10" w16cid:durableId="844200481">
    <w:abstractNumId w:val="0"/>
  </w:num>
  <w:num w:numId="11" w16cid:durableId="1104838316">
    <w:abstractNumId w:val="10"/>
  </w:num>
  <w:num w:numId="12" w16cid:durableId="1407652750">
    <w:abstractNumId w:val="8"/>
  </w:num>
  <w:num w:numId="13" w16cid:durableId="1049453122">
    <w:abstractNumId w:val="3"/>
  </w:num>
  <w:num w:numId="14" w16cid:durableId="1525511450">
    <w:abstractNumId w:val="2"/>
  </w:num>
  <w:num w:numId="15" w16cid:durableId="557471726">
    <w:abstractNumId w:val="1"/>
  </w:num>
  <w:num w:numId="16" w16cid:durableId="402216169">
    <w:abstractNumId w:val="0"/>
  </w:num>
  <w:num w:numId="17" w16cid:durableId="85083610">
    <w:abstractNumId w:val="8"/>
  </w:num>
  <w:num w:numId="18" w16cid:durableId="182133464">
    <w:abstractNumId w:val="3"/>
  </w:num>
  <w:num w:numId="19" w16cid:durableId="1365599771">
    <w:abstractNumId w:val="2"/>
  </w:num>
  <w:num w:numId="20" w16cid:durableId="1409306605">
    <w:abstractNumId w:val="1"/>
  </w:num>
  <w:num w:numId="21" w16cid:durableId="1284649982">
    <w:abstractNumId w:val="0"/>
  </w:num>
  <w:num w:numId="22" w16cid:durableId="348413628">
    <w:abstractNumId w:val="8"/>
  </w:num>
  <w:num w:numId="23" w16cid:durableId="388699320">
    <w:abstractNumId w:val="3"/>
  </w:num>
  <w:num w:numId="24" w16cid:durableId="1477643495">
    <w:abstractNumId w:val="2"/>
  </w:num>
  <w:num w:numId="25" w16cid:durableId="1762556478">
    <w:abstractNumId w:val="1"/>
  </w:num>
  <w:num w:numId="26" w16cid:durableId="899632476">
    <w:abstractNumId w:val="0"/>
  </w:num>
  <w:num w:numId="27" w16cid:durableId="150414016">
    <w:abstractNumId w:val="8"/>
  </w:num>
  <w:num w:numId="28" w16cid:durableId="799421220">
    <w:abstractNumId w:val="3"/>
  </w:num>
  <w:num w:numId="29" w16cid:durableId="1904177792">
    <w:abstractNumId w:val="2"/>
  </w:num>
  <w:num w:numId="30" w16cid:durableId="771977017">
    <w:abstractNumId w:val="1"/>
  </w:num>
  <w:num w:numId="31" w16cid:durableId="370568759">
    <w:abstractNumId w:val="0"/>
  </w:num>
  <w:num w:numId="32" w16cid:durableId="2108042664">
    <w:abstractNumId w:val="8"/>
  </w:num>
  <w:num w:numId="33" w16cid:durableId="162429188">
    <w:abstractNumId w:val="3"/>
  </w:num>
  <w:num w:numId="34" w16cid:durableId="106317881">
    <w:abstractNumId w:val="2"/>
  </w:num>
  <w:num w:numId="35" w16cid:durableId="1237283244">
    <w:abstractNumId w:val="1"/>
  </w:num>
  <w:num w:numId="36" w16cid:durableId="1493793836">
    <w:abstractNumId w:val="0"/>
  </w:num>
  <w:num w:numId="37" w16cid:durableId="483088725">
    <w:abstractNumId w:val="8"/>
  </w:num>
  <w:num w:numId="38" w16cid:durableId="272902592">
    <w:abstractNumId w:val="3"/>
  </w:num>
  <w:num w:numId="39" w16cid:durableId="764108863">
    <w:abstractNumId w:val="2"/>
  </w:num>
  <w:num w:numId="40" w16cid:durableId="342519153">
    <w:abstractNumId w:val="1"/>
  </w:num>
  <w:num w:numId="41" w16cid:durableId="587881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E98"/>
    <w:rsid w:val="00035623"/>
    <w:rsid w:val="0006468A"/>
    <w:rsid w:val="00070E98"/>
    <w:rsid w:val="00077A58"/>
    <w:rsid w:val="00090574"/>
    <w:rsid w:val="000C1C0E"/>
    <w:rsid w:val="000C548A"/>
    <w:rsid w:val="00100A8D"/>
    <w:rsid w:val="00191059"/>
    <w:rsid w:val="001B6E2B"/>
    <w:rsid w:val="001C0169"/>
    <w:rsid w:val="001C0C21"/>
    <w:rsid w:val="001D1D50"/>
    <w:rsid w:val="001D64C7"/>
    <w:rsid w:val="001D6745"/>
    <w:rsid w:val="001E446E"/>
    <w:rsid w:val="00204090"/>
    <w:rsid w:val="002154EE"/>
    <w:rsid w:val="002276D2"/>
    <w:rsid w:val="0023283D"/>
    <w:rsid w:val="00254393"/>
    <w:rsid w:val="0026373E"/>
    <w:rsid w:val="00267279"/>
    <w:rsid w:val="00271C43"/>
    <w:rsid w:val="00290728"/>
    <w:rsid w:val="002978F4"/>
    <w:rsid w:val="002B028D"/>
    <w:rsid w:val="002C3F32"/>
    <w:rsid w:val="002E6541"/>
    <w:rsid w:val="00334924"/>
    <w:rsid w:val="003409BC"/>
    <w:rsid w:val="00357185"/>
    <w:rsid w:val="00383829"/>
    <w:rsid w:val="003F4B29"/>
    <w:rsid w:val="00420F8A"/>
    <w:rsid w:val="0042686F"/>
    <w:rsid w:val="004317D8"/>
    <w:rsid w:val="0043260A"/>
    <w:rsid w:val="00434183"/>
    <w:rsid w:val="00443869"/>
    <w:rsid w:val="00447F32"/>
    <w:rsid w:val="00491BA9"/>
    <w:rsid w:val="00494119"/>
    <w:rsid w:val="004A4701"/>
    <w:rsid w:val="004B7334"/>
    <w:rsid w:val="004E11DC"/>
    <w:rsid w:val="005130DE"/>
    <w:rsid w:val="00513157"/>
    <w:rsid w:val="00525DDD"/>
    <w:rsid w:val="005409AC"/>
    <w:rsid w:val="005434E0"/>
    <w:rsid w:val="005546CF"/>
    <w:rsid w:val="0055516A"/>
    <w:rsid w:val="00581D34"/>
    <w:rsid w:val="0058491B"/>
    <w:rsid w:val="00592EA5"/>
    <w:rsid w:val="005A3170"/>
    <w:rsid w:val="005D4E31"/>
    <w:rsid w:val="00657019"/>
    <w:rsid w:val="00660DEA"/>
    <w:rsid w:val="00677396"/>
    <w:rsid w:val="00683F16"/>
    <w:rsid w:val="0069200F"/>
    <w:rsid w:val="006A65CB"/>
    <w:rsid w:val="006B12E5"/>
    <w:rsid w:val="006C3242"/>
    <w:rsid w:val="006C4658"/>
    <w:rsid w:val="006C7CC0"/>
    <w:rsid w:val="006F363C"/>
    <w:rsid w:val="006F63F7"/>
    <w:rsid w:val="007025C7"/>
    <w:rsid w:val="00706D7A"/>
    <w:rsid w:val="00706F27"/>
    <w:rsid w:val="0071670F"/>
    <w:rsid w:val="00722F0D"/>
    <w:rsid w:val="00735081"/>
    <w:rsid w:val="0074420E"/>
    <w:rsid w:val="00756A02"/>
    <w:rsid w:val="007648A6"/>
    <w:rsid w:val="0077110E"/>
    <w:rsid w:val="00783E26"/>
    <w:rsid w:val="007A6684"/>
    <w:rsid w:val="007B0AA0"/>
    <w:rsid w:val="007C3BC7"/>
    <w:rsid w:val="007C3BCD"/>
    <w:rsid w:val="007D4ACF"/>
    <w:rsid w:val="007F0787"/>
    <w:rsid w:val="00810B7B"/>
    <w:rsid w:val="0082358A"/>
    <w:rsid w:val="008235CD"/>
    <w:rsid w:val="008247DE"/>
    <w:rsid w:val="008339C0"/>
    <w:rsid w:val="00840B10"/>
    <w:rsid w:val="008513CB"/>
    <w:rsid w:val="00874E9F"/>
    <w:rsid w:val="008A7D3A"/>
    <w:rsid w:val="008A7F84"/>
    <w:rsid w:val="008E5D08"/>
    <w:rsid w:val="0091702E"/>
    <w:rsid w:val="00923B0C"/>
    <w:rsid w:val="00924F46"/>
    <w:rsid w:val="00935AAC"/>
    <w:rsid w:val="0094021C"/>
    <w:rsid w:val="00952F86"/>
    <w:rsid w:val="00982B28"/>
    <w:rsid w:val="009939A0"/>
    <w:rsid w:val="009D313F"/>
    <w:rsid w:val="009D7093"/>
    <w:rsid w:val="00A47A5A"/>
    <w:rsid w:val="00A63AE6"/>
    <w:rsid w:val="00A6683B"/>
    <w:rsid w:val="00A67F05"/>
    <w:rsid w:val="00A97F94"/>
    <w:rsid w:val="00AA7EA2"/>
    <w:rsid w:val="00AB5A56"/>
    <w:rsid w:val="00B03099"/>
    <w:rsid w:val="00B05BC8"/>
    <w:rsid w:val="00B07B32"/>
    <w:rsid w:val="00B30F5E"/>
    <w:rsid w:val="00B64B47"/>
    <w:rsid w:val="00B95654"/>
    <w:rsid w:val="00B97F32"/>
    <w:rsid w:val="00BA04B2"/>
    <w:rsid w:val="00C002DE"/>
    <w:rsid w:val="00C0602B"/>
    <w:rsid w:val="00C224DA"/>
    <w:rsid w:val="00C53BF8"/>
    <w:rsid w:val="00C66157"/>
    <w:rsid w:val="00C674FE"/>
    <w:rsid w:val="00C67501"/>
    <w:rsid w:val="00C75633"/>
    <w:rsid w:val="00CE2EE1"/>
    <w:rsid w:val="00CE3349"/>
    <w:rsid w:val="00CE36E5"/>
    <w:rsid w:val="00CE4360"/>
    <w:rsid w:val="00CF27F5"/>
    <w:rsid w:val="00CF3FFD"/>
    <w:rsid w:val="00D10CCF"/>
    <w:rsid w:val="00D13941"/>
    <w:rsid w:val="00D23F5F"/>
    <w:rsid w:val="00D43F7D"/>
    <w:rsid w:val="00D63735"/>
    <w:rsid w:val="00D77D0F"/>
    <w:rsid w:val="00DA1CF0"/>
    <w:rsid w:val="00DC1E02"/>
    <w:rsid w:val="00DC24B4"/>
    <w:rsid w:val="00DC5FB0"/>
    <w:rsid w:val="00DF16DC"/>
    <w:rsid w:val="00E45211"/>
    <w:rsid w:val="00E473C5"/>
    <w:rsid w:val="00E61BE8"/>
    <w:rsid w:val="00E83FF1"/>
    <w:rsid w:val="00E92863"/>
    <w:rsid w:val="00E979B2"/>
    <w:rsid w:val="00EB796D"/>
    <w:rsid w:val="00EC705C"/>
    <w:rsid w:val="00F058DC"/>
    <w:rsid w:val="00F216AA"/>
    <w:rsid w:val="00F24FC4"/>
    <w:rsid w:val="00F2676C"/>
    <w:rsid w:val="00F363FE"/>
    <w:rsid w:val="00F50E3F"/>
    <w:rsid w:val="00F84366"/>
    <w:rsid w:val="00F85089"/>
    <w:rsid w:val="00F9555A"/>
    <w:rsid w:val="00F974C5"/>
    <w:rsid w:val="00FA3763"/>
    <w:rsid w:val="00FA6F46"/>
    <w:rsid w:val="00FC0E94"/>
    <w:rsid w:val="00FC4592"/>
    <w:rsid w:val="00FD527F"/>
    <w:rsid w:val="00FE5872"/>
    <w:rsid w:val="00FE7F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81A976"/>
  <w15:chartTrackingRefBased/>
  <w15:docId w15:val="{1BADAF53-2284-4C1A-B785-F0665E465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081"/>
    <w:pPr>
      <w:tabs>
        <w:tab w:val="left" w:pos="794"/>
      </w:tabs>
      <w:bidi/>
      <w:spacing w:before="120" w:after="12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_i"/>
    <w:basedOn w:val="Normal"/>
    <w:qFormat/>
    <w:rsid w:val="00F974C5"/>
    <w:pPr>
      <w:keepNext/>
      <w:keepLines/>
      <w:spacing w:before="160"/>
    </w:pPr>
    <w:rPr>
      <w:i/>
      <w:iCs/>
    </w:rPr>
  </w:style>
  <w:style w:type="paragraph" w:customStyle="1" w:styleId="AgendaItem">
    <w:name w:val="Agenda Item"/>
    <w:basedOn w:val="Normal"/>
    <w:qFormat/>
    <w:rsid w:val="00F974C5"/>
    <w:pPr>
      <w:spacing w:before="360"/>
      <w:jc w:val="center"/>
    </w:pPr>
    <w:rPr>
      <w:sz w:val="26"/>
      <w:szCs w:val="26"/>
      <w:lang w:bidi="ar-SY"/>
    </w:rPr>
  </w:style>
  <w:style w:type="paragraph" w:customStyle="1" w:styleId="AnnexNo">
    <w:name w:val="Annex_No"/>
    <w:basedOn w:val="AgendaItem"/>
    <w:qFormat/>
    <w:rsid w:val="00F974C5"/>
  </w:style>
  <w:style w:type="paragraph" w:customStyle="1" w:styleId="Annextitle">
    <w:name w:val="Annex_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_No"/>
    <w:basedOn w:val="Normal"/>
    <w:qFormat/>
    <w:rsid w:val="00F974C5"/>
    <w:pPr>
      <w:keepNext/>
      <w:keepLines/>
      <w:spacing w:before="360"/>
      <w:jc w:val="center"/>
    </w:pPr>
    <w:rPr>
      <w:sz w:val="26"/>
      <w:szCs w:val="26"/>
      <w:lang w:bidi="ar-SY"/>
    </w:rPr>
  </w:style>
  <w:style w:type="paragraph" w:customStyle="1" w:styleId="Appendixtitle">
    <w:name w:val="Appendix_title"/>
    <w:basedOn w:val="Normal"/>
    <w:qFormat/>
    <w:rsid w:val="00F974C5"/>
    <w:pPr>
      <w:keepNext/>
      <w:keepLines/>
      <w:spacing w:after="360"/>
      <w:jc w:val="center"/>
    </w:pPr>
    <w:rPr>
      <w:b/>
      <w:bCs/>
      <w:sz w:val="28"/>
      <w:szCs w:val="28"/>
    </w:rPr>
  </w:style>
  <w:style w:type="paragraph" w:customStyle="1" w:styleId="ArticleNo">
    <w:name w:val="Article_No"/>
    <w:basedOn w:val="Normal"/>
    <w:qFormat/>
    <w:rsid w:val="00F974C5"/>
    <w:pPr>
      <w:keepNext/>
      <w:keepLines/>
      <w:spacing w:after="360"/>
      <w:jc w:val="center"/>
    </w:pPr>
    <w:rPr>
      <w:sz w:val="26"/>
      <w:szCs w:val="26"/>
      <w:lang w:bidi="ar-SY"/>
    </w:rPr>
  </w:style>
  <w:style w:type="paragraph" w:customStyle="1" w:styleId="Articletitle">
    <w:name w:val="Article_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_No"/>
    <w:basedOn w:val="Normal"/>
    <w:qFormat/>
    <w:rsid w:val="00F974C5"/>
    <w:pPr>
      <w:keepNext/>
      <w:keepLines/>
      <w:spacing w:before="600"/>
      <w:jc w:val="center"/>
    </w:pPr>
    <w:rPr>
      <w:sz w:val="28"/>
      <w:szCs w:val="28"/>
      <w:lang w:bidi="ar-SY"/>
    </w:rPr>
  </w:style>
  <w:style w:type="paragraph" w:customStyle="1" w:styleId="Chaptertitle">
    <w:name w:val="Chapter_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1"/>
    <w:basedOn w:val="Normal"/>
    <w:qFormat/>
    <w:rsid w:val="00077A58"/>
    <w:pPr>
      <w:spacing w:before="80" w:after="80"/>
      <w:ind w:left="794" w:hanging="794"/>
      <w:outlineLvl w:val="0"/>
    </w:pPr>
    <w:rPr>
      <w:lang w:bidi="ar-SY"/>
    </w:rPr>
  </w:style>
  <w:style w:type="paragraph" w:customStyle="1" w:styleId="enumlev2">
    <w:name w:val="enumlev2"/>
    <w:basedOn w:val="Normal"/>
    <w:next w:val="enumlev1"/>
    <w:qFormat/>
    <w:rsid w:val="00077A58"/>
    <w:pPr>
      <w:spacing w:before="80" w:after="80"/>
      <w:ind w:left="1588" w:hanging="794"/>
      <w:outlineLvl w:val="1"/>
    </w:pPr>
  </w:style>
  <w:style w:type="paragraph" w:customStyle="1" w:styleId="enumlev3">
    <w:name w:val="enumlev3"/>
    <w:basedOn w:val="Normal"/>
    <w:qFormat/>
    <w:rsid w:val="00077A58"/>
    <w:pPr>
      <w:spacing w:before="80" w:after="80"/>
      <w:ind w:left="2382" w:hanging="794"/>
      <w:outlineLvl w:val="2"/>
    </w:pPr>
    <w:rPr>
      <w:lang w:bidi="ar-SY"/>
    </w:rPr>
  </w:style>
  <w:style w:type="paragraph" w:customStyle="1" w:styleId="Figurelegend">
    <w:name w:val="Figure_legend"/>
    <w:basedOn w:val="Normal"/>
    <w:qFormat/>
    <w:rsid w:val="00F974C5"/>
    <w:pPr>
      <w:spacing w:before="60"/>
    </w:pPr>
    <w:rPr>
      <w:lang w:bidi="ar-SY"/>
    </w:rPr>
  </w:style>
  <w:style w:type="paragraph" w:styleId="FootnoteText">
    <w:name w:val="footnote text"/>
    <w:basedOn w:val="Normal"/>
    <w:link w:val="FootnoteTextChar"/>
    <w:uiPriority w:val="99"/>
    <w:semiHidden/>
    <w:unhideWhenUsed/>
    <w:qFormat/>
    <w:rsid w:val="002E6541"/>
    <w:pPr>
      <w:spacing w:before="60" w:line="168" w:lineRule="auto"/>
    </w:pPr>
    <w:rPr>
      <w:sz w:val="20"/>
      <w:szCs w:val="26"/>
    </w:rPr>
  </w:style>
  <w:style w:type="character" w:styleId="FootnoteReference">
    <w:name w:val="footnote reference"/>
    <w:aliases w:val="Footnote_Reference"/>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semiHidden/>
    <w:rsid w:val="002E6541"/>
    <w:rPr>
      <w:rFonts w:ascii="Calibri" w:hAnsi="Calibri" w:cs="Traditional Arabic"/>
      <w:sz w:val="20"/>
      <w:szCs w:val="26"/>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_No"/>
    <w:basedOn w:val="Normal"/>
    <w:qFormat/>
    <w:rsid w:val="00F974C5"/>
    <w:pPr>
      <w:keepNext/>
      <w:keepLines/>
      <w:spacing w:before="360"/>
      <w:jc w:val="center"/>
    </w:pPr>
    <w:rPr>
      <w:sz w:val="26"/>
      <w:szCs w:val="26"/>
    </w:rPr>
  </w:style>
  <w:style w:type="paragraph" w:customStyle="1" w:styleId="Parttitle">
    <w:name w:val="Part_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_1"/>
    <w:basedOn w:val="Normal"/>
    <w:qFormat/>
    <w:rsid w:val="00F974C5"/>
    <w:pPr>
      <w:keepNext/>
      <w:spacing w:before="360" w:after="240"/>
      <w:jc w:val="center"/>
    </w:pPr>
    <w:rPr>
      <w:b/>
      <w:bCs/>
      <w:sz w:val="26"/>
      <w:szCs w:val="26"/>
      <w:lang w:bidi="ar-SY"/>
    </w:rPr>
  </w:style>
  <w:style w:type="paragraph" w:customStyle="1" w:styleId="Section2">
    <w:name w:val="Section_2"/>
    <w:basedOn w:val="Section1"/>
    <w:qFormat/>
    <w:rsid w:val="00F974C5"/>
    <w:pPr>
      <w:spacing w:before="240"/>
    </w:pPr>
    <w:rPr>
      <w:b w:val="0"/>
      <w:bCs w:val="0"/>
    </w:rPr>
  </w:style>
  <w:style w:type="paragraph" w:customStyle="1" w:styleId="SectionNo">
    <w:name w:val="Section_No"/>
    <w:basedOn w:val="Normal"/>
    <w:qFormat/>
    <w:rsid w:val="00F974C5"/>
    <w:pPr>
      <w:keepNext/>
      <w:keepLines/>
      <w:spacing w:before="36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jc w:val="center"/>
    </w:pPr>
    <w:rPr>
      <w:b/>
      <w:bCs/>
      <w:sz w:val="32"/>
      <w:szCs w:val="32"/>
    </w:rPr>
  </w:style>
  <w:style w:type="paragraph" w:customStyle="1" w:styleId="FigureNo">
    <w:name w:val="Figure_No"/>
    <w:basedOn w:val="Normal"/>
    <w:qFormat/>
    <w:rsid w:val="00F974C5"/>
    <w:pPr>
      <w:keepNext/>
      <w:spacing w:before="240"/>
      <w:jc w:val="center"/>
    </w:pPr>
    <w:rPr>
      <w:lang w:bidi="ar-SY"/>
    </w:rPr>
  </w:style>
  <w:style w:type="paragraph" w:customStyle="1" w:styleId="Figuretitle">
    <w:name w:val="Figure_title"/>
    <w:basedOn w:val="Normal"/>
    <w:qFormat/>
    <w:rsid w:val="00F974C5"/>
    <w:pPr>
      <w:keepNext/>
      <w:spacing w:after="240"/>
      <w:jc w:val="center"/>
    </w:pPr>
    <w:rPr>
      <w:b/>
      <w:bCs/>
    </w:rPr>
  </w:style>
  <w:style w:type="paragraph" w:customStyle="1" w:styleId="TableNo">
    <w:name w:val="Table_No"/>
    <w:basedOn w:val="Normal"/>
    <w:qFormat/>
    <w:rsid w:val="00F974C5"/>
    <w:pPr>
      <w:keepNext/>
      <w:spacing w:before="240"/>
      <w:jc w:val="center"/>
    </w:pPr>
    <w:rPr>
      <w:lang w:bidi="ar-SY"/>
    </w:rPr>
  </w:style>
  <w:style w:type="paragraph" w:customStyle="1" w:styleId="Tabletitle">
    <w:name w:val="Table_title"/>
    <w:basedOn w:val="TableNo"/>
    <w:qFormat/>
    <w:rsid w:val="00F974C5"/>
    <w:pPr>
      <w:spacing w:before="120" w:after="240"/>
    </w:pPr>
    <w:rPr>
      <w:b/>
      <w:bCs/>
    </w:rPr>
  </w:style>
  <w:style w:type="paragraph" w:customStyle="1" w:styleId="Tablehead">
    <w:name w:val="Table_head"/>
    <w:basedOn w:val="Normal"/>
    <w:qFormat/>
    <w:rsid w:val="00F974C5"/>
    <w:pPr>
      <w:keepNext/>
      <w:spacing w:before="60" w:after="60" w:line="260" w:lineRule="exact"/>
      <w:jc w:val="center"/>
    </w:pPr>
    <w:rPr>
      <w:b/>
      <w:bCs/>
      <w:sz w:val="20"/>
      <w:szCs w:val="20"/>
    </w:rPr>
  </w:style>
  <w:style w:type="paragraph" w:customStyle="1" w:styleId="Tabletexte">
    <w:name w:val="Table_texte"/>
    <w:basedOn w:val="Normal"/>
    <w:qFormat/>
    <w:rsid w:val="00F974C5"/>
    <w:pPr>
      <w:spacing w:before="60" w:after="60" w:line="260" w:lineRule="exact"/>
    </w:pPr>
    <w:rPr>
      <w:sz w:val="20"/>
      <w:szCs w:val="20"/>
      <w:lang w:bidi="ar-SY"/>
    </w:rPr>
  </w:style>
  <w:style w:type="paragraph" w:customStyle="1" w:styleId="Title1">
    <w:name w:val="Title 1"/>
    <w:basedOn w:val="Normal"/>
    <w:qFormat/>
    <w:rsid w:val="007C3BCD"/>
    <w:pPr>
      <w:keepNext/>
      <w:spacing w:before="36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_No"/>
    <w:basedOn w:val="Normal"/>
    <w:qFormat/>
    <w:rsid w:val="00F974C5"/>
    <w:pPr>
      <w:keepNext/>
      <w:spacing w:before="360"/>
      <w:jc w:val="center"/>
    </w:pPr>
    <w:rPr>
      <w:sz w:val="26"/>
      <w:szCs w:val="26"/>
      <w:lang w:bidi="ar-SY"/>
    </w:rPr>
  </w:style>
  <w:style w:type="paragraph" w:customStyle="1" w:styleId="Volumetitle">
    <w:name w:val="Volume_title"/>
    <w:basedOn w:val="VolumeNo"/>
    <w:qFormat/>
    <w:rsid w:val="00F974C5"/>
    <w:pPr>
      <w:spacing w:before="120" w:after="360"/>
    </w:pPr>
    <w:rPr>
      <w:b/>
      <w:bCs/>
      <w:sz w:val="28"/>
      <w:szCs w:val="28"/>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_No"/>
    <w:basedOn w:val="Normal"/>
    <w:qFormat/>
    <w:rsid w:val="00F974C5"/>
    <w:pPr>
      <w:keepNext/>
      <w:keepLines/>
      <w:spacing w:before="360"/>
      <w:jc w:val="center"/>
    </w:pPr>
    <w:rPr>
      <w:sz w:val="26"/>
      <w:szCs w:val="26"/>
    </w:rPr>
  </w:style>
  <w:style w:type="paragraph" w:customStyle="1" w:styleId="Opiniontitle">
    <w:name w:val="Opinion_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3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basedOn w:val="DefaultParagraphFont"/>
    <w:uiPriority w:val="99"/>
    <w:unhideWhenUsed/>
    <w:rsid w:val="00077A58"/>
    <w:rPr>
      <w:rFonts w:ascii="Calibri" w:hAnsi="Calibri" w:cs="Arial"/>
      <w:noProof/>
      <w:color w:val="5B9BD5"/>
      <w:sz w:val="18"/>
      <w:u w:val="single" w:color="5B9BD5"/>
      <w:lang w:val="en-GB" w:eastAsia="en-US"/>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_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_legend"/>
    <w:basedOn w:val="Normal"/>
    <w:qFormat/>
    <w:rsid w:val="00F974C5"/>
    <w:pPr>
      <w:spacing w:before="80"/>
    </w:pPr>
    <w:rPr>
      <w:lang w:bidi="ar-SY"/>
    </w:rPr>
  </w:style>
  <w:style w:type="paragraph" w:customStyle="1" w:styleId="Headingb">
    <w:name w:val="Heading_b"/>
    <w:basedOn w:val="Normal"/>
    <w:qFormat/>
    <w:rsid w:val="008339C0"/>
    <w:pPr>
      <w:keepNext/>
      <w:spacing w:before="240"/>
      <w:ind w:left="1134" w:hanging="1134"/>
    </w:pPr>
    <w:rPr>
      <w:b/>
      <w:bCs/>
      <w:sz w:val="24"/>
      <w:szCs w:val="24"/>
    </w:rPr>
  </w:style>
  <w:style w:type="table" w:styleId="GridTable5Dark-Accent1">
    <w:name w:val="Grid Table 5 Dark Accent 1"/>
    <w:basedOn w:val="TableNormal"/>
    <w:uiPriority w:val="50"/>
    <w:rsid w:val="00E61BE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Subtitle0">
    <w:name w:val="Sub_title"/>
    <w:basedOn w:val="Normal"/>
    <w:qFormat/>
    <w:rsid w:val="007B0AA0"/>
    <w:rPr>
      <w:sz w:val="30"/>
      <w:szCs w:val="30"/>
      <w:lang w:bidi="ar-EG"/>
    </w:rPr>
  </w:style>
  <w:style w:type="table" w:customStyle="1" w:styleId="TableGrid1">
    <w:name w:val="Table Grid1"/>
    <w:basedOn w:val="TableNormal"/>
    <w:next w:val="TableGrid"/>
    <w:uiPriority w:val="39"/>
    <w:rsid w:val="007B0AA0"/>
    <w:pPr>
      <w:spacing w:after="0" w:line="240" w:lineRule="auto"/>
    </w:pPr>
    <w:rPr>
      <w:rFonts w:eastAsia="Calibr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60DEA"/>
    <w:rPr>
      <w:color w:val="605E5C"/>
      <w:shd w:val="clear" w:color="auto" w:fill="E1DFDD"/>
    </w:rPr>
  </w:style>
  <w:style w:type="paragraph" w:styleId="Revision">
    <w:name w:val="Revision"/>
    <w:hidden/>
    <w:uiPriority w:val="99"/>
    <w:semiHidden/>
    <w:rsid w:val="005D4E31"/>
    <w:pPr>
      <w:spacing w:after="0" w:line="240" w:lineRule="auto"/>
    </w:pPr>
    <w:rPr>
      <w:rFonts w:ascii="Dubai" w:hAnsi="Dubai" w:cs="Dubai"/>
    </w:rPr>
  </w:style>
  <w:style w:type="character" w:styleId="FollowedHyperlink">
    <w:name w:val="FollowedHyperlink"/>
    <w:basedOn w:val="DefaultParagraphFont"/>
    <w:uiPriority w:val="99"/>
    <w:semiHidden/>
    <w:unhideWhenUsed/>
    <w:rsid w:val="005D4E3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41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tu.int/md/S25-CL-C-0029/en"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itu.int/en/general-secretariat/ties/ISCGDocumentLibrary/Liaisons%20Statements%20on%20Inter-Sectoral%20Coordination%20Activities/Mapping-of-Resolutions-Updated%20Dec2024.pdf" TargetMode="External"/><Relationship Id="rId4" Type="http://schemas.openxmlformats.org/officeDocument/2006/relationships/settings" Target="settings.xml"/><Relationship Id="rId9" Type="http://schemas.openxmlformats.org/officeDocument/2006/relationships/hyperlink" Target="https://www.itu.int/en/general-secretariat/ties/ISCGDocumentLibrary/Liaisons%20Statements%20on%20Inter-Sectoral%20Coordination%20Activities/Mapping-of-Resolutions-Updated%20Dec2024.pdf"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5/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428108-4966-4581-8805-B68FC0355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952</Words>
  <Characters>6151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International Telecommunication Union</Company>
  <LinksUpToDate>false</LinksUpToDate>
  <CharactersWithSpaces>7089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Council 2024</dc:subject>
  <dc:creator>Elkenany, Hagar</dc:creator>
  <cp:keywords>C2024, C24, Council-24</cp:keywords>
  <dc:description/>
  <cp:lastModifiedBy>GBS</cp:lastModifiedBy>
  <cp:revision>2</cp:revision>
  <dcterms:created xsi:type="dcterms:W3CDTF">2025-06-10T15:58:00Z</dcterms:created>
  <dcterms:modified xsi:type="dcterms:W3CDTF">2025-06-10T15:58:00Z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4764bc0ed8aab6cc3f228418da0bf4d692034987165b3c327d8e9737cd820415</vt:lpwstr>
  </property>
</Properties>
</file>