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4A3418" w14:paraId="16663FCD" w14:textId="77777777" w:rsidTr="00D72F49">
        <w:trPr>
          <w:cantSplit/>
          <w:trHeight w:val="23"/>
        </w:trPr>
        <w:tc>
          <w:tcPr>
            <w:tcW w:w="3969" w:type="dxa"/>
            <w:vMerge w:val="restart"/>
            <w:tcMar>
              <w:left w:w="0" w:type="dxa"/>
            </w:tcMar>
          </w:tcPr>
          <w:p w14:paraId="35D43122" w14:textId="32A76420" w:rsidR="00D72F49" w:rsidRPr="004A3418" w:rsidRDefault="00D72F49" w:rsidP="00D72F49">
            <w:pPr>
              <w:tabs>
                <w:tab w:val="left" w:pos="851"/>
              </w:tabs>
              <w:spacing w:before="0" w:line="240" w:lineRule="atLeast"/>
              <w:rPr>
                <w:b/>
              </w:rPr>
            </w:pPr>
            <w:r w:rsidRPr="004A3418">
              <w:rPr>
                <w:b/>
              </w:rPr>
              <w:t>Point de l'ordre du jour:</w:t>
            </w:r>
            <w:r w:rsidR="005E204A" w:rsidRPr="004A3418">
              <w:rPr>
                <w:b/>
              </w:rPr>
              <w:t xml:space="preserve"> PL 2</w:t>
            </w:r>
          </w:p>
        </w:tc>
        <w:tc>
          <w:tcPr>
            <w:tcW w:w="5245" w:type="dxa"/>
          </w:tcPr>
          <w:p w14:paraId="286DC689" w14:textId="64F99C9E" w:rsidR="00D72F49" w:rsidRPr="004A3418" w:rsidRDefault="00D72F49" w:rsidP="00D72F49">
            <w:pPr>
              <w:tabs>
                <w:tab w:val="left" w:pos="851"/>
              </w:tabs>
              <w:spacing w:before="0" w:line="240" w:lineRule="atLeast"/>
              <w:jc w:val="right"/>
              <w:rPr>
                <w:b/>
              </w:rPr>
            </w:pPr>
            <w:r w:rsidRPr="004A3418">
              <w:rPr>
                <w:b/>
              </w:rPr>
              <w:t>Document C2</w:t>
            </w:r>
            <w:r w:rsidR="00FC6D7D" w:rsidRPr="004A3418">
              <w:rPr>
                <w:b/>
              </w:rPr>
              <w:t>5</w:t>
            </w:r>
            <w:r w:rsidRPr="004A3418">
              <w:rPr>
                <w:b/>
              </w:rPr>
              <w:t>/</w:t>
            </w:r>
            <w:r w:rsidR="005E204A" w:rsidRPr="004A3418">
              <w:rPr>
                <w:b/>
              </w:rPr>
              <w:t>76</w:t>
            </w:r>
            <w:r w:rsidRPr="004A3418">
              <w:rPr>
                <w:b/>
              </w:rPr>
              <w:t>-F</w:t>
            </w:r>
          </w:p>
        </w:tc>
      </w:tr>
      <w:tr w:rsidR="00D72F49" w:rsidRPr="004A3418" w14:paraId="6A0C8F03" w14:textId="77777777" w:rsidTr="00D72F49">
        <w:trPr>
          <w:cantSplit/>
        </w:trPr>
        <w:tc>
          <w:tcPr>
            <w:tcW w:w="3969" w:type="dxa"/>
            <w:vMerge/>
          </w:tcPr>
          <w:p w14:paraId="6BAA60A1" w14:textId="77777777" w:rsidR="00D72F49" w:rsidRPr="004A3418" w:rsidRDefault="00D72F49" w:rsidP="00D72F49">
            <w:pPr>
              <w:tabs>
                <w:tab w:val="left" w:pos="851"/>
              </w:tabs>
              <w:spacing w:line="240" w:lineRule="atLeast"/>
              <w:rPr>
                <w:b/>
              </w:rPr>
            </w:pPr>
          </w:p>
        </w:tc>
        <w:tc>
          <w:tcPr>
            <w:tcW w:w="5245" w:type="dxa"/>
          </w:tcPr>
          <w:p w14:paraId="0249F36F" w14:textId="13D44EAF" w:rsidR="00D72F49" w:rsidRPr="004A3418" w:rsidRDefault="005E204A" w:rsidP="00D72F49">
            <w:pPr>
              <w:tabs>
                <w:tab w:val="left" w:pos="851"/>
              </w:tabs>
              <w:spacing w:before="0"/>
              <w:jc w:val="right"/>
              <w:rPr>
                <w:b/>
              </w:rPr>
            </w:pPr>
            <w:r w:rsidRPr="004A3418">
              <w:rPr>
                <w:b/>
              </w:rPr>
              <w:t>29 mai 2025</w:t>
            </w:r>
          </w:p>
        </w:tc>
      </w:tr>
      <w:tr w:rsidR="00D72F49" w:rsidRPr="004A3418" w14:paraId="407C4698" w14:textId="77777777" w:rsidTr="00D72F49">
        <w:trPr>
          <w:cantSplit/>
          <w:trHeight w:val="23"/>
        </w:trPr>
        <w:tc>
          <w:tcPr>
            <w:tcW w:w="3969" w:type="dxa"/>
            <w:vMerge/>
          </w:tcPr>
          <w:p w14:paraId="7ED74DF0" w14:textId="77777777" w:rsidR="00D72F49" w:rsidRPr="004A3418" w:rsidRDefault="00D72F49" w:rsidP="00D72F49">
            <w:pPr>
              <w:tabs>
                <w:tab w:val="left" w:pos="851"/>
              </w:tabs>
              <w:spacing w:line="240" w:lineRule="atLeast"/>
              <w:rPr>
                <w:b/>
              </w:rPr>
            </w:pPr>
          </w:p>
        </w:tc>
        <w:tc>
          <w:tcPr>
            <w:tcW w:w="5245" w:type="dxa"/>
          </w:tcPr>
          <w:p w14:paraId="24D5FDF4" w14:textId="77777777" w:rsidR="00D72F49" w:rsidRPr="004A3418" w:rsidRDefault="00D72F49" w:rsidP="00D72F49">
            <w:pPr>
              <w:tabs>
                <w:tab w:val="left" w:pos="851"/>
              </w:tabs>
              <w:spacing w:before="0" w:line="240" w:lineRule="atLeast"/>
              <w:jc w:val="right"/>
              <w:rPr>
                <w:b/>
              </w:rPr>
            </w:pPr>
            <w:r w:rsidRPr="004A3418">
              <w:rPr>
                <w:b/>
              </w:rPr>
              <w:t>Original: anglais</w:t>
            </w:r>
          </w:p>
        </w:tc>
      </w:tr>
      <w:tr w:rsidR="00D72F49" w:rsidRPr="004A3418" w14:paraId="14EE1234" w14:textId="77777777" w:rsidTr="00D72F49">
        <w:trPr>
          <w:cantSplit/>
          <w:trHeight w:val="23"/>
        </w:trPr>
        <w:tc>
          <w:tcPr>
            <w:tcW w:w="3969" w:type="dxa"/>
          </w:tcPr>
          <w:p w14:paraId="7AACFD99" w14:textId="77777777" w:rsidR="00D72F49" w:rsidRPr="004A3418" w:rsidRDefault="00D72F49" w:rsidP="00D72F49">
            <w:pPr>
              <w:tabs>
                <w:tab w:val="left" w:pos="851"/>
              </w:tabs>
              <w:spacing w:line="240" w:lineRule="atLeast"/>
              <w:rPr>
                <w:b/>
              </w:rPr>
            </w:pPr>
          </w:p>
        </w:tc>
        <w:tc>
          <w:tcPr>
            <w:tcW w:w="5245" w:type="dxa"/>
          </w:tcPr>
          <w:p w14:paraId="5989C241" w14:textId="77777777" w:rsidR="00D72F49" w:rsidRPr="004A3418" w:rsidRDefault="00D72F49" w:rsidP="00D72F49">
            <w:pPr>
              <w:tabs>
                <w:tab w:val="left" w:pos="851"/>
              </w:tabs>
              <w:spacing w:before="0" w:line="240" w:lineRule="atLeast"/>
              <w:jc w:val="right"/>
              <w:rPr>
                <w:b/>
              </w:rPr>
            </w:pPr>
          </w:p>
        </w:tc>
      </w:tr>
      <w:tr w:rsidR="00D72F49" w:rsidRPr="004A3418" w14:paraId="1FEF07DC" w14:textId="77777777" w:rsidTr="00D72F49">
        <w:trPr>
          <w:cantSplit/>
        </w:trPr>
        <w:tc>
          <w:tcPr>
            <w:tcW w:w="9214" w:type="dxa"/>
            <w:gridSpan w:val="2"/>
            <w:tcMar>
              <w:left w:w="0" w:type="dxa"/>
            </w:tcMar>
          </w:tcPr>
          <w:p w14:paraId="0C3D1F86" w14:textId="631C7A7D" w:rsidR="00D72F49" w:rsidRPr="004A3418" w:rsidRDefault="005E204A" w:rsidP="00D72F49">
            <w:pPr>
              <w:pStyle w:val="Source"/>
              <w:jc w:val="left"/>
              <w:rPr>
                <w:sz w:val="34"/>
                <w:szCs w:val="34"/>
              </w:rPr>
            </w:pPr>
            <w:r w:rsidRPr="004A3418">
              <w:rPr>
                <w:rFonts w:cstheme="minorHAnsi"/>
                <w:color w:val="000000"/>
                <w:sz w:val="34"/>
                <w:szCs w:val="34"/>
              </w:rPr>
              <w:t>Contribution de la Malaisie</w:t>
            </w:r>
          </w:p>
        </w:tc>
      </w:tr>
      <w:tr w:rsidR="00D72F49" w:rsidRPr="004A3418" w14:paraId="0A7EA418" w14:textId="77777777" w:rsidTr="00D72F49">
        <w:trPr>
          <w:cantSplit/>
        </w:trPr>
        <w:tc>
          <w:tcPr>
            <w:tcW w:w="9214" w:type="dxa"/>
            <w:gridSpan w:val="2"/>
            <w:tcMar>
              <w:left w:w="0" w:type="dxa"/>
            </w:tcMar>
          </w:tcPr>
          <w:p w14:paraId="300D54E5" w14:textId="5A34A610" w:rsidR="00D72F49" w:rsidRPr="004A3418" w:rsidRDefault="008C260A" w:rsidP="00D72F49">
            <w:pPr>
              <w:pStyle w:val="Subtitle"/>
              <w:framePr w:hSpace="0" w:wrap="auto" w:hAnchor="text" w:xAlign="left" w:yAlign="inline"/>
              <w:rPr>
                <w:sz w:val="32"/>
                <w:szCs w:val="32"/>
                <w:lang w:val="fr-FR"/>
              </w:rPr>
            </w:pPr>
            <w:r w:rsidRPr="004A3418">
              <w:rPr>
                <w:rFonts w:cstheme="minorHAnsi"/>
                <w:sz w:val="32"/>
                <w:szCs w:val="32"/>
                <w:lang w:val="fr-FR"/>
              </w:rPr>
              <w:t>BILAN DE L'ÉDITION DE 2025 DE LA JOURNÉE MONDIALE DES TÉLÉCOMMUNICATIONS ET DE LA SOCIÉTÉ DE L'INFORMATION, DE L'ÉDITION DE 2025 DE LA JOURNÉE INTERNATIONALE DES JEUNES FILLES DANS LE SECTEUR DES TIC ET DES CÉLÉBRATIONS DU 160ème ANNIVERSAIRE DE L'UNION INTERNATIONALE DES TÉLÉCOMMUNICATIONS (UIT) EN MALAISIE – TRADUIRE LES OBJECTIFS STRATÉGIQUES DE L'UIT EN RETOMBÉES NATIONALES CONCRÈTES</w:t>
            </w:r>
          </w:p>
        </w:tc>
      </w:tr>
      <w:tr w:rsidR="00D72F49" w:rsidRPr="004A3418" w14:paraId="717960A3" w14:textId="77777777" w:rsidTr="00D72F49">
        <w:trPr>
          <w:cantSplit/>
        </w:trPr>
        <w:tc>
          <w:tcPr>
            <w:tcW w:w="9214" w:type="dxa"/>
            <w:gridSpan w:val="2"/>
            <w:tcBorders>
              <w:top w:val="single" w:sz="4" w:space="0" w:color="auto"/>
              <w:bottom w:val="single" w:sz="4" w:space="0" w:color="auto"/>
            </w:tcBorders>
            <w:tcMar>
              <w:left w:w="0" w:type="dxa"/>
            </w:tcMar>
          </w:tcPr>
          <w:p w14:paraId="3769EA76" w14:textId="77777777" w:rsidR="00D72F49" w:rsidRPr="004A3418" w:rsidRDefault="00F37FE5" w:rsidP="00D72F49">
            <w:pPr>
              <w:spacing w:before="160"/>
              <w:rPr>
                <w:b/>
                <w:bCs/>
                <w:sz w:val="26"/>
                <w:szCs w:val="26"/>
              </w:rPr>
            </w:pPr>
            <w:r w:rsidRPr="004A3418">
              <w:rPr>
                <w:b/>
                <w:bCs/>
                <w:sz w:val="26"/>
                <w:szCs w:val="26"/>
              </w:rPr>
              <w:t>Objet</w:t>
            </w:r>
          </w:p>
          <w:p w14:paraId="75547E1E" w14:textId="4253D2C2" w:rsidR="00D72F49" w:rsidRPr="004A3418" w:rsidRDefault="005E204A" w:rsidP="008C260A">
            <w:pPr>
              <w:jc w:val="both"/>
            </w:pPr>
            <w:r w:rsidRPr="004A3418">
              <w:t>On trouvera dans le présent document un résumé de l'édition de 2025 de la Journée mondiale des télécommunications et de la société de l'information, de l'édition de 2025 de</w:t>
            </w:r>
            <w:r w:rsidR="00C719D6" w:rsidRPr="004A3418">
              <w:t> </w:t>
            </w:r>
            <w:r w:rsidRPr="004A3418">
              <w:t>la</w:t>
            </w:r>
            <w:r w:rsidR="00C719D6" w:rsidRPr="004A3418">
              <w:t> </w:t>
            </w:r>
            <w:r w:rsidRPr="004A3418">
              <w:t>Journée internationale des jeunes filles dans le secteur des TIC et des célébrations du</w:t>
            </w:r>
            <w:r w:rsidR="00C719D6" w:rsidRPr="004A3418">
              <w:t> </w:t>
            </w:r>
            <w:r w:rsidRPr="004A3418">
              <w:t>160ème anniversaire de l</w:t>
            </w:r>
            <w:r w:rsidR="0045649F" w:rsidRPr="004A3418">
              <w:t>'</w:t>
            </w:r>
            <w:r w:rsidRPr="004A3418">
              <w:t>UIT en Malaisie, qui ont eu lieu le 17 mai 2025 à Cyberjaya (Malaisie). Le présent document, qui fait d'abord ressortir les discussions tenues lors des manifestations, met également en évidence les réalisations de la Malaisie en ce qui concerne</w:t>
            </w:r>
            <w:r w:rsidR="00C719D6" w:rsidRPr="004A3418">
              <w:t> </w:t>
            </w:r>
            <w:r w:rsidRPr="004A3418">
              <w:t>la connectivité numérique et la transformation numérique durable.</w:t>
            </w:r>
          </w:p>
          <w:p w14:paraId="45772927" w14:textId="77777777" w:rsidR="00D72F49" w:rsidRPr="004A3418" w:rsidRDefault="00D72F49" w:rsidP="00D72F49">
            <w:pPr>
              <w:spacing w:before="160"/>
              <w:rPr>
                <w:b/>
                <w:bCs/>
                <w:sz w:val="26"/>
                <w:szCs w:val="26"/>
              </w:rPr>
            </w:pPr>
            <w:r w:rsidRPr="004A3418">
              <w:rPr>
                <w:b/>
                <w:bCs/>
                <w:sz w:val="26"/>
                <w:szCs w:val="26"/>
              </w:rPr>
              <w:t>Suite à donner par le Conseil</w:t>
            </w:r>
          </w:p>
          <w:p w14:paraId="07729882" w14:textId="0B8B36C3" w:rsidR="00D72F49" w:rsidRPr="004A3418" w:rsidRDefault="005E204A" w:rsidP="00D72F49">
            <w:r w:rsidRPr="004A3418">
              <w:t xml:space="preserve">Le Conseil est prié de </w:t>
            </w:r>
            <w:r w:rsidRPr="004A3418">
              <w:rPr>
                <w:b/>
                <w:bCs/>
              </w:rPr>
              <w:t>prendre note</w:t>
            </w:r>
            <w:r w:rsidRPr="004A3418">
              <w:t xml:space="preserve"> de la présente contribution.</w:t>
            </w:r>
          </w:p>
          <w:p w14:paraId="36B073FC" w14:textId="77777777" w:rsidR="00D72F49" w:rsidRPr="004A3418" w:rsidRDefault="00D72F49" w:rsidP="00D72F49">
            <w:pPr>
              <w:spacing w:before="160"/>
              <w:rPr>
                <w:caps/>
                <w:sz w:val="22"/>
              </w:rPr>
            </w:pPr>
            <w:r w:rsidRPr="004A3418">
              <w:rPr>
                <w:sz w:val="22"/>
              </w:rPr>
              <w:t>__________________</w:t>
            </w:r>
          </w:p>
          <w:p w14:paraId="2A5E6A88" w14:textId="77777777" w:rsidR="00D72F49" w:rsidRPr="004A3418" w:rsidRDefault="00D72F49" w:rsidP="00D72F49">
            <w:pPr>
              <w:spacing w:before="160"/>
              <w:rPr>
                <w:b/>
                <w:bCs/>
                <w:sz w:val="26"/>
                <w:szCs w:val="26"/>
              </w:rPr>
            </w:pPr>
            <w:r w:rsidRPr="004A3418">
              <w:rPr>
                <w:b/>
                <w:bCs/>
                <w:sz w:val="26"/>
                <w:szCs w:val="26"/>
              </w:rPr>
              <w:t>Références</w:t>
            </w:r>
          </w:p>
          <w:p w14:paraId="0329B109" w14:textId="597C7BC7" w:rsidR="00D72F49" w:rsidRPr="008C260A" w:rsidRDefault="005E204A" w:rsidP="008C260A">
            <w:pPr>
              <w:spacing w:after="160"/>
              <w:jc w:val="both"/>
              <w:rPr>
                <w:i/>
                <w:iCs/>
                <w:sz w:val="22"/>
                <w:szCs w:val="22"/>
              </w:rPr>
            </w:pPr>
            <w:r w:rsidRPr="008C260A">
              <w:rPr>
                <w:i/>
                <w:iCs/>
                <w:sz w:val="22"/>
                <w:szCs w:val="22"/>
              </w:rPr>
              <w:t>Édition de 2025 de la Journée mondiale des télécommunications et de la société de l</w:t>
            </w:r>
            <w:r w:rsidR="0045649F" w:rsidRPr="008C260A">
              <w:rPr>
                <w:i/>
                <w:iCs/>
                <w:sz w:val="22"/>
                <w:szCs w:val="22"/>
              </w:rPr>
              <w:t>'</w:t>
            </w:r>
            <w:r w:rsidRPr="008C260A">
              <w:rPr>
                <w:i/>
                <w:iCs/>
                <w:sz w:val="22"/>
                <w:szCs w:val="22"/>
              </w:rPr>
              <w:t>information, édition de 2025 de la Journée internationale des jeunes filles dans le secteur des TIC et 160ème anniversaire de l</w:t>
            </w:r>
            <w:r w:rsidR="0045649F" w:rsidRPr="008C260A">
              <w:rPr>
                <w:i/>
                <w:iCs/>
                <w:sz w:val="22"/>
                <w:szCs w:val="22"/>
              </w:rPr>
              <w:t>'</w:t>
            </w:r>
            <w:r w:rsidRPr="008C260A">
              <w:rPr>
                <w:i/>
                <w:iCs/>
                <w:sz w:val="22"/>
                <w:szCs w:val="22"/>
              </w:rPr>
              <w:t xml:space="preserve">Union internationale des télécommunications (UIT); </w:t>
            </w:r>
            <w:hyperlink r:id="rId6" w:history="1">
              <w:r w:rsidRPr="008C260A">
                <w:rPr>
                  <w:rStyle w:val="Hyperlink"/>
                  <w:rFonts w:eastAsia="Times New Roman" w:cs="Times New Roman"/>
                  <w:i/>
                  <w:iCs/>
                  <w:sz w:val="22"/>
                </w:rPr>
                <w:t>https://www.mcmc.gov.my/en/media/press-releases/malaysia-komited-bina-masa-depan-lebih-inklusif-m</w:t>
              </w:r>
            </w:hyperlink>
            <w:r w:rsidRPr="008C260A">
              <w:rPr>
                <w:i/>
                <w:iCs/>
                <w:sz w:val="22"/>
                <w:szCs w:val="22"/>
              </w:rPr>
              <w:t>.</w:t>
            </w:r>
          </w:p>
        </w:tc>
      </w:tr>
    </w:tbl>
    <w:p w14:paraId="572D2BDB" w14:textId="77777777" w:rsidR="00A51849" w:rsidRPr="004A3418" w:rsidRDefault="00A51849">
      <w:pPr>
        <w:tabs>
          <w:tab w:val="clear" w:pos="567"/>
          <w:tab w:val="clear" w:pos="1134"/>
          <w:tab w:val="clear" w:pos="1701"/>
          <w:tab w:val="clear" w:pos="2268"/>
          <w:tab w:val="clear" w:pos="2835"/>
        </w:tabs>
        <w:overflowPunct/>
        <w:autoSpaceDE/>
        <w:autoSpaceDN/>
        <w:adjustRightInd/>
        <w:spacing w:before="0"/>
        <w:textAlignment w:val="auto"/>
      </w:pPr>
      <w:r w:rsidRPr="004A3418">
        <w:br w:type="page"/>
      </w:r>
    </w:p>
    <w:p w14:paraId="1078ACA8" w14:textId="77777777" w:rsidR="005E204A" w:rsidRPr="004A3418" w:rsidRDefault="005E204A" w:rsidP="008C260A">
      <w:pPr>
        <w:pStyle w:val="Heading1"/>
      </w:pPr>
      <w:r w:rsidRPr="004A3418">
        <w:lastRenderedPageBreak/>
        <w:t>1</w:t>
      </w:r>
      <w:r w:rsidRPr="004A3418">
        <w:tab/>
        <w:t>Considérations générales</w:t>
      </w:r>
    </w:p>
    <w:p w14:paraId="00846773" w14:textId="4226A52A" w:rsidR="005E204A" w:rsidRPr="004A3418" w:rsidRDefault="005E204A" w:rsidP="008C260A">
      <w:pPr>
        <w:jc w:val="both"/>
      </w:pPr>
      <w:r w:rsidRPr="004A3418">
        <w:t>1.1</w:t>
      </w:r>
      <w:r w:rsidRPr="004A3418">
        <w:tab/>
        <w:t>La Journée mondiale des télécommunications est célébrée chaque année le 17 mai depuis 1969 pour commémorer la création de l'UIT et la signature de la première Convention télégraphique internationale en 1865. Cette Journée a été officiellement instituée par la Conférence de plénipotentiaires de l</w:t>
      </w:r>
      <w:r w:rsidR="0045649F" w:rsidRPr="004A3418">
        <w:t>'</w:t>
      </w:r>
      <w:r w:rsidRPr="004A3418">
        <w:t>UIT de 1973, tenue à Málaga</w:t>
      </w:r>
      <w:r w:rsidRPr="004A3418">
        <w:noBreakHyphen/>
        <w:t>Torremolinos (Espagne), dans sa Résolution 46.</w:t>
      </w:r>
    </w:p>
    <w:p w14:paraId="72816604" w14:textId="3E1BA7C7" w:rsidR="005E204A" w:rsidRPr="004A3418" w:rsidRDefault="005E204A" w:rsidP="008C260A">
      <w:pPr>
        <w:jc w:val="both"/>
      </w:pPr>
      <w:r w:rsidRPr="004A3418">
        <w:t>1.2</w:t>
      </w:r>
      <w:r w:rsidRPr="004A3418">
        <w:tab/>
        <w:t>En novembre 2005, les participants au Sommet mondial sur la société de l</w:t>
      </w:r>
      <w:r w:rsidR="0045649F" w:rsidRPr="004A3418">
        <w:t>'</w:t>
      </w:r>
      <w:r w:rsidRPr="004A3418">
        <w:t>information (SMSI) ont demandé à l</w:t>
      </w:r>
      <w:r w:rsidR="0045649F" w:rsidRPr="004A3418">
        <w:t>'</w:t>
      </w:r>
      <w:r w:rsidRPr="004A3418">
        <w:t>Assemblée générale des Nations Unies de déclarer le 17 mai Journée</w:t>
      </w:r>
      <w:r w:rsidR="00B72025" w:rsidRPr="004A3418">
        <w:t> </w:t>
      </w:r>
      <w:r w:rsidRPr="004A3418">
        <w:t>mondiale de la société de l</w:t>
      </w:r>
      <w:r w:rsidR="0045649F" w:rsidRPr="004A3418">
        <w:t>'</w:t>
      </w:r>
      <w:r w:rsidRPr="004A3418">
        <w:t>information. Par la suite, lors de sa 60ème session tenue</w:t>
      </w:r>
      <w:r w:rsidR="00B72025" w:rsidRPr="004A3418">
        <w:t> </w:t>
      </w:r>
      <w:r w:rsidRPr="004A3418">
        <w:t>le</w:t>
      </w:r>
      <w:r w:rsidR="00B72025" w:rsidRPr="004A3418">
        <w:t xml:space="preserve"> </w:t>
      </w:r>
      <w:r w:rsidRPr="004A3418">
        <w:t>27 mars</w:t>
      </w:r>
      <w:r w:rsidR="00B72025" w:rsidRPr="004A3418">
        <w:t> </w:t>
      </w:r>
      <w:r w:rsidRPr="004A3418">
        <w:t>2006, l</w:t>
      </w:r>
      <w:r w:rsidR="0045649F" w:rsidRPr="004A3418">
        <w:t>'</w:t>
      </w:r>
      <w:r w:rsidRPr="004A3418">
        <w:t>Assemblée générale des Nations Unies a adopté la Résolution A/RES/60/252, désignant officiellement le 17 mai comme journée de sensibilisation aux possibilités que les technologies de l</w:t>
      </w:r>
      <w:r w:rsidR="0045649F" w:rsidRPr="004A3418">
        <w:t>'</w:t>
      </w:r>
      <w:r w:rsidRPr="004A3418">
        <w:t>information et de la communication (TIC) peuvent offrir aux sociétés et aux économies et aux moyens de réduire la fracture numérique.</w:t>
      </w:r>
    </w:p>
    <w:p w14:paraId="69338CFB" w14:textId="1C36BE89" w:rsidR="005E204A" w:rsidRPr="004A3418" w:rsidRDefault="005E204A" w:rsidP="008C260A">
      <w:pPr>
        <w:jc w:val="both"/>
      </w:pPr>
      <w:r w:rsidRPr="004A3418">
        <w:t>1.3</w:t>
      </w:r>
      <w:r w:rsidRPr="004A3418">
        <w:tab/>
        <w:t>Plus tard, en novembre 2006, la PP</w:t>
      </w:r>
      <w:r w:rsidR="00B72025" w:rsidRPr="004A3418">
        <w:t>-</w:t>
      </w:r>
      <w:r w:rsidRPr="004A3418">
        <w:t>06, qui s</w:t>
      </w:r>
      <w:r w:rsidR="0045649F" w:rsidRPr="004A3418">
        <w:t>'</w:t>
      </w:r>
      <w:r w:rsidRPr="004A3418">
        <w:t>est tenue à Antalya (</w:t>
      </w:r>
      <w:r w:rsidR="00B72025" w:rsidRPr="004A3418">
        <w:t>Türkiye</w:t>
      </w:r>
      <w:r w:rsidRPr="004A3418">
        <w:t>), a adopté une version actualisée de la Résolution 68 (Rév. Antalya, 2006), aux termes de laquelle il est décidé de célébrer à la fois la création de l</w:t>
      </w:r>
      <w:r w:rsidR="0045649F" w:rsidRPr="004A3418">
        <w:t>'</w:t>
      </w:r>
      <w:r w:rsidRPr="004A3418">
        <w:t>UIT et la Journée mondiale de la société de l</w:t>
      </w:r>
      <w:r w:rsidR="0045649F" w:rsidRPr="004A3418">
        <w:t>'</w:t>
      </w:r>
      <w:r w:rsidRPr="004A3418">
        <w:t>information sous le titre combiné de Journée mondiale des télécommunications et de la société de l</w:t>
      </w:r>
      <w:r w:rsidR="0045649F" w:rsidRPr="004A3418">
        <w:t>'</w:t>
      </w:r>
      <w:r w:rsidRPr="004A3418">
        <w:t>information. La résolution invite en outre les États Membres et les Membres des Secteurs à célébrer chaque année la Journée mondiale des télécommunications et de la société de l'information en mettant sur pied des programmes nationaux appropriés visant à encourager la réflexion et les échanges d'idées sur le thème adopté par le Conseil et à rendre compte des résultats à l</w:t>
      </w:r>
      <w:r w:rsidR="0045649F" w:rsidRPr="004A3418">
        <w:t>'</w:t>
      </w:r>
      <w:r w:rsidRPr="004A3418">
        <w:t>ensemble des membres de l</w:t>
      </w:r>
      <w:r w:rsidR="0045649F" w:rsidRPr="004A3418">
        <w:t>'</w:t>
      </w:r>
      <w:r w:rsidRPr="004A3418">
        <w:t>UIT.</w:t>
      </w:r>
    </w:p>
    <w:p w14:paraId="79B4635B" w14:textId="44ADD92F" w:rsidR="005E204A" w:rsidRPr="004A3418" w:rsidRDefault="005E204A" w:rsidP="008C260A">
      <w:pPr>
        <w:jc w:val="both"/>
      </w:pPr>
      <w:r w:rsidRPr="004A3418">
        <w:t>1.4</w:t>
      </w:r>
      <w:r w:rsidRPr="004A3418">
        <w:tab/>
        <w:t>En plus d'avoir institué la Journée mondiale des télécommunications et de la société de l'information, l</w:t>
      </w:r>
      <w:r w:rsidR="0045649F" w:rsidRPr="004A3418">
        <w:t>'</w:t>
      </w:r>
      <w:r w:rsidRPr="004A3418">
        <w:t>UIT a également joué un rôle moteur en faveur de l</w:t>
      </w:r>
      <w:r w:rsidR="0045649F" w:rsidRPr="004A3418">
        <w:t>'</w:t>
      </w:r>
      <w:r w:rsidRPr="004A3418">
        <w:t>inclusion numérique en créant l</w:t>
      </w:r>
      <w:r w:rsidR="0045649F" w:rsidRPr="004A3418">
        <w:t>'</w:t>
      </w:r>
      <w:r w:rsidR="00B72025" w:rsidRPr="004A3418">
        <w:t>I</w:t>
      </w:r>
      <w:r w:rsidRPr="004A3418">
        <w:t>nitiative "Journée des jeunes filles dans le secteur des TIC" par la voie de la Résolution 70 (Rév. Guadalajara</w:t>
      </w:r>
      <w:r w:rsidR="00B72025" w:rsidRPr="004A3418">
        <w:t>,</w:t>
      </w:r>
      <w:r w:rsidRPr="004A3418">
        <w:t xml:space="preserve"> 2010) au cours de la PP-10. Cette initiative vise à donner l'envie et les moyens aux filles et aux jeunes femmes d'adopter les TIC pour leur développement éducatif et socio-économique, et à les encourager à poursuivre des carrières dans les domaines des sciences, de la technologie, de l</w:t>
      </w:r>
      <w:r w:rsidR="0045649F" w:rsidRPr="004A3418">
        <w:t>'</w:t>
      </w:r>
      <w:r w:rsidRPr="004A3418">
        <w:t>ingénierie et des mathématiques (STEM) et dans des domaines liés à la technologie. Depuis sa création le 8 avril 2011, l</w:t>
      </w:r>
      <w:r w:rsidR="0045649F" w:rsidRPr="004A3418">
        <w:t>'</w:t>
      </w:r>
      <w:r w:rsidRPr="004A3418">
        <w:t>UIT célèbre chaque année cette Journée le quatrième jeudi d</w:t>
      </w:r>
      <w:r w:rsidR="0045649F" w:rsidRPr="004A3418">
        <w:t>'</w:t>
      </w:r>
      <w:r w:rsidRPr="004A3418">
        <w:t>avril.</w:t>
      </w:r>
    </w:p>
    <w:p w14:paraId="185482A9" w14:textId="098C2297" w:rsidR="005E204A" w:rsidRPr="004A3418" w:rsidRDefault="005E204A" w:rsidP="008C260A">
      <w:pPr>
        <w:jc w:val="both"/>
      </w:pPr>
      <w:r w:rsidRPr="004A3418">
        <w:t>1.5</w:t>
      </w:r>
      <w:r w:rsidRPr="004A3418">
        <w:tab/>
        <w:t>La Malaisie est un membre actif de l'UIT depuis le 3 février 1958, preuve de son engagement de longue date à faire avancer la réalisation des objectifs mondiaux dans les domaines des télécommunications et de la société de l</w:t>
      </w:r>
      <w:r w:rsidR="0045649F" w:rsidRPr="004A3418">
        <w:t>'</w:t>
      </w:r>
      <w:r w:rsidRPr="004A3418">
        <w:t>information. En reconnaissance de ses contributions et de sa participation active, la Malaisie a été élue à maintes reprises au Conseil de l</w:t>
      </w:r>
      <w:r w:rsidR="0045649F" w:rsidRPr="004A3418">
        <w:t>'</w:t>
      </w:r>
      <w:r w:rsidRPr="004A3418">
        <w:t>UIT, représentant la Région E (Asie et Australasie) pendant les mandats 1973</w:t>
      </w:r>
      <w:r w:rsidRPr="004A3418">
        <w:noBreakHyphen/>
        <w:t>1982 (Málaga-Torremolinos, 1973), 1990-1992 (Nice, 1989), 1993-1994 (APP-92), 1999-2002 (PP-98), 2003-2006 (PP-02), 2007-2010 (PP-06), 2011-2014 (PP-10) et, plus récemment, pour le mandat 2023-2026 de la PP-22. Dans le cadre de son rôle au sein du Conseil, elle continue de soutenir l</w:t>
      </w:r>
      <w:r w:rsidR="0045649F" w:rsidRPr="004A3418">
        <w:t>'</w:t>
      </w:r>
      <w:r w:rsidRPr="004A3418">
        <w:t>orientation stratégique de l</w:t>
      </w:r>
      <w:r w:rsidR="0045649F" w:rsidRPr="004A3418">
        <w:t>'</w:t>
      </w:r>
      <w:r w:rsidRPr="004A3418">
        <w:t>UIT, de contribuer à l</w:t>
      </w:r>
      <w:r w:rsidR="0045649F" w:rsidRPr="004A3418">
        <w:t>'</w:t>
      </w:r>
      <w:r w:rsidRPr="004A3418">
        <w:t>élaboration de politiques mondiales dans le domaine des TIC et de promouvoir une transformation numérique inclusive et durable dans l</w:t>
      </w:r>
      <w:r w:rsidR="0045649F" w:rsidRPr="004A3418">
        <w:t>'</w:t>
      </w:r>
      <w:r w:rsidRPr="004A3418">
        <w:t>ensemble des États Membres.</w:t>
      </w:r>
    </w:p>
    <w:p w14:paraId="7D2556BF" w14:textId="44B25925" w:rsidR="005E204A" w:rsidRPr="004A3418" w:rsidRDefault="005E204A" w:rsidP="008C260A">
      <w:pPr>
        <w:jc w:val="both"/>
      </w:pPr>
      <w:r w:rsidRPr="004A3418">
        <w:t>1.6</w:t>
      </w:r>
      <w:r w:rsidRPr="004A3418">
        <w:tab/>
        <w:t>Le 160ème anniversaire de l</w:t>
      </w:r>
      <w:r w:rsidR="0045649F" w:rsidRPr="004A3418">
        <w:t>'</w:t>
      </w:r>
      <w:r w:rsidRPr="004A3418">
        <w:t>UIT marque une étape historique depuis la création de l</w:t>
      </w:r>
      <w:r w:rsidR="0045649F" w:rsidRPr="004A3418">
        <w:t>'</w:t>
      </w:r>
      <w:r w:rsidRPr="004A3418">
        <w:t>organisation en 1865 sous le nom d</w:t>
      </w:r>
      <w:r w:rsidR="0045649F" w:rsidRPr="004A3418">
        <w:t>'</w:t>
      </w:r>
      <w:r w:rsidRPr="004A3418">
        <w:t>Union télégraphique internationale. En tant que plus ancienne institution spécialisée des Nations Unies, l</w:t>
      </w:r>
      <w:r w:rsidR="0045649F" w:rsidRPr="004A3418">
        <w:t>'</w:t>
      </w:r>
      <w:r w:rsidRPr="004A3418">
        <w:t xml:space="preserve">UIT joue un rôle déterminant pour faire </w:t>
      </w:r>
      <w:r w:rsidRPr="004A3418">
        <w:lastRenderedPageBreak/>
        <w:t>progresser le développement des télécommunications et des TIC dans le monde. Cet anniversaire célèbre l</w:t>
      </w:r>
      <w:r w:rsidR="0045649F" w:rsidRPr="004A3418">
        <w:t>'</w:t>
      </w:r>
      <w:r w:rsidRPr="004A3418">
        <w:t>héritage de l</w:t>
      </w:r>
      <w:r w:rsidR="0045649F" w:rsidRPr="004A3418">
        <w:t>'</w:t>
      </w:r>
      <w:r w:rsidRPr="004A3418">
        <w:t>UIT en matière de coopération internationale et sa mission toujours d'actualité consistant à promouvoir des sociétés numériques inclusives, sécurisées et connectées.</w:t>
      </w:r>
    </w:p>
    <w:p w14:paraId="1C7DD6EC" w14:textId="34E03F6C" w:rsidR="005E204A" w:rsidRPr="00DB6A5A" w:rsidRDefault="005E204A" w:rsidP="008C260A">
      <w:pPr>
        <w:jc w:val="both"/>
        <w:rPr>
          <w:spacing w:val="-2"/>
        </w:rPr>
      </w:pPr>
      <w:r w:rsidRPr="00DB6A5A">
        <w:rPr>
          <w:spacing w:val="-2"/>
        </w:rPr>
        <w:t>1.7</w:t>
      </w:r>
      <w:r w:rsidRPr="00DB6A5A">
        <w:rPr>
          <w:spacing w:val="-2"/>
        </w:rPr>
        <w:tab/>
        <w:t>Le 17 mai 2025, la Malaisie a organisé une manifestation d</w:t>
      </w:r>
      <w:r w:rsidR="0045649F" w:rsidRPr="00DB6A5A">
        <w:rPr>
          <w:spacing w:val="-2"/>
        </w:rPr>
        <w:t>'</w:t>
      </w:r>
      <w:r w:rsidRPr="00DB6A5A">
        <w:rPr>
          <w:spacing w:val="-2"/>
        </w:rPr>
        <w:t>une journée pour célébrer les trois (3) programmes, à savoir l'édition de 2025 de la Journée mondiale des télécommunications et de la société de l'information, l'édition de 2025 de la Journée des jeunes filles dans le secteur des TIC et le 160ème anniversaire de l</w:t>
      </w:r>
      <w:r w:rsidR="0045649F" w:rsidRPr="00DB6A5A">
        <w:rPr>
          <w:spacing w:val="-2"/>
        </w:rPr>
        <w:t>'</w:t>
      </w:r>
      <w:r w:rsidRPr="00DB6A5A">
        <w:rPr>
          <w:spacing w:val="-2"/>
        </w:rPr>
        <w:t>UIT, où plusieurs tables rondes et conférences se sont tenues. La manifestation a été présidée par M.</w:t>
      </w:r>
      <w:r w:rsidR="00EA4E74" w:rsidRPr="00DB6A5A">
        <w:rPr>
          <w:spacing w:val="-2"/>
        </w:rPr>
        <w:t> </w:t>
      </w:r>
      <w:r w:rsidRPr="00DB6A5A">
        <w:rPr>
          <w:spacing w:val="-2"/>
        </w:rPr>
        <w:t>Datuk</w:t>
      </w:r>
      <w:r w:rsidR="00EA4E74" w:rsidRPr="00DB6A5A">
        <w:rPr>
          <w:spacing w:val="-2"/>
        </w:rPr>
        <w:t> </w:t>
      </w:r>
      <w:r w:rsidRPr="00DB6A5A">
        <w:rPr>
          <w:spacing w:val="-2"/>
        </w:rPr>
        <w:t>Fahmi</w:t>
      </w:r>
      <w:r w:rsidR="00EA4E74" w:rsidRPr="00DB6A5A">
        <w:rPr>
          <w:spacing w:val="-2"/>
        </w:rPr>
        <w:t> </w:t>
      </w:r>
      <w:r w:rsidRPr="00DB6A5A">
        <w:rPr>
          <w:spacing w:val="-2"/>
        </w:rPr>
        <w:t>Fadzil du Ministère des communications de la Malaisie, et a également vu la participation de M. Kishore Babu Yerraballa, Représentant de zone de l</w:t>
      </w:r>
      <w:r w:rsidR="0045649F" w:rsidRPr="00DB6A5A">
        <w:rPr>
          <w:spacing w:val="-2"/>
        </w:rPr>
        <w:t>'</w:t>
      </w:r>
      <w:r w:rsidRPr="00DB6A5A">
        <w:rPr>
          <w:spacing w:val="-2"/>
        </w:rPr>
        <w:t>UIT pour l</w:t>
      </w:r>
      <w:r w:rsidR="0045649F" w:rsidRPr="00DB6A5A">
        <w:rPr>
          <w:spacing w:val="-2"/>
        </w:rPr>
        <w:t>'</w:t>
      </w:r>
      <w:r w:rsidRPr="00DB6A5A">
        <w:rPr>
          <w:spacing w:val="-2"/>
        </w:rPr>
        <w:t>Asie du Sud-Est et d</w:t>
      </w:r>
      <w:r w:rsidR="0045649F" w:rsidRPr="00DB6A5A">
        <w:rPr>
          <w:spacing w:val="-2"/>
        </w:rPr>
        <w:t>'</w:t>
      </w:r>
      <w:r w:rsidRPr="00DB6A5A">
        <w:rPr>
          <w:spacing w:val="-2"/>
        </w:rPr>
        <w:t>autres États Membres du Pacifique. Elle a accueilli plus de 500 participants, dont sept (7) partenaires du secteur privé qui ont mis en avant leurs initiatives sur des stands d</w:t>
      </w:r>
      <w:r w:rsidR="0045649F" w:rsidRPr="00DB6A5A">
        <w:rPr>
          <w:spacing w:val="-2"/>
        </w:rPr>
        <w:t>'</w:t>
      </w:r>
      <w:r w:rsidRPr="00DB6A5A">
        <w:rPr>
          <w:spacing w:val="-2"/>
        </w:rPr>
        <w:t>exposition.</w:t>
      </w:r>
    </w:p>
    <w:p w14:paraId="22AAE730" w14:textId="3B101065" w:rsidR="005E204A" w:rsidRPr="004A3418" w:rsidRDefault="005E204A" w:rsidP="008C260A">
      <w:pPr>
        <w:jc w:val="both"/>
      </w:pPr>
      <w:r w:rsidRPr="004A3418">
        <w:t>1.8</w:t>
      </w:r>
      <w:r w:rsidRPr="004A3418">
        <w:tab/>
        <w:t>Au cours de la manifestation, la Malaisie a également lancé l'édition malaisienne du timbre commémorant le 160ème anniversaire de l</w:t>
      </w:r>
      <w:r w:rsidR="0045649F" w:rsidRPr="004A3418">
        <w:t>'</w:t>
      </w:r>
      <w:r w:rsidRPr="004A3418">
        <w:t>UIT. Les timbres sont produits en exclusivité et sont accompagnés d</w:t>
      </w:r>
      <w:r w:rsidR="0045649F" w:rsidRPr="004A3418">
        <w:t>'</w:t>
      </w:r>
      <w:r w:rsidRPr="004A3418">
        <w:t>autres supports regroupés dans une pochette, comme on peut le voir ci-dessous:</w:t>
      </w:r>
    </w:p>
    <w:p w14:paraId="52B8D1AA" w14:textId="1750361C" w:rsidR="00EA4E74" w:rsidRPr="004A3418" w:rsidRDefault="00EA4E74" w:rsidP="00EA4E74">
      <w:pPr>
        <w:jc w:val="center"/>
      </w:pPr>
      <w:r w:rsidRPr="004A3418">
        <w:rPr>
          <w:noProof/>
        </w:rPr>
        <w:drawing>
          <wp:inline distT="0" distB="0" distL="0" distR="0" wp14:anchorId="7B38915B" wp14:editId="442D514F">
            <wp:extent cx="4443095" cy="2762250"/>
            <wp:effectExtent l="0" t="0" r="0" b="0"/>
            <wp:docPr id="866600637" name="Picture 2" descr="A collection of envelopes and envelop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00637" name="Picture 2" descr="A collection of envelopes and envelopes&#10;&#10;AI-generated content may be incorrect."/>
                    <pic:cNvPicPr/>
                  </pic:nvPicPr>
                  <pic:blipFill rotWithShape="1">
                    <a:blip r:embed="rId7" cstate="print">
                      <a:extLst>
                        <a:ext uri="{28A0092B-C50C-407E-A947-70E740481C1C}">
                          <a14:useLocalDpi xmlns:a14="http://schemas.microsoft.com/office/drawing/2010/main" val="0"/>
                        </a:ext>
                      </a:extLst>
                    </a:blip>
                    <a:srcRect t="6699" b="5437"/>
                    <a:stretch/>
                  </pic:blipFill>
                  <pic:spPr bwMode="auto">
                    <a:xfrm>
                      <a:off x="0" y="0"/>
                      <a:ext cx="4443095" cy="2762250"/>
                    </a:xfrm>
                    <a:prstGeom prst="rect">
                      <a:avLst/>
                    </a:prstGeom>
                    <a:ln>
                      <a:noFill/>
                    </a:ln>
                    <a:extLst>
                      <a:ext uri="{53640926-AAD7-44D8-BBD7-CCE9431645EC}">
                        <a14:shadowObscured xmlns:a14="http://schemas.microsoft.com/office/drawing/2010/main"/>
                      </a:ext>
                    </a:extLst>
                  </pic:spPr>
                </pic:pic>
              </a:graphicData>
            </a:graphic>
          </wp:inline>
        </w:drawing>
      </w:r>
    </w:p>
    <w:p w14:paraId="283A7949" w14:textId="77777777" w:rsidR="005E204A" w:rsidRPr="004A3418" w:rsidRDefault="005E204A" w:rsidP="008C260A">
      <w:pPr>
        <w:pStyle w:val="Heading1"/>
      </w:pPr>
      <w:r w:rsidRPr="004A3418">
        <w:t>2</w:t>
      </w:r>
      <w:r w:rsidRPr="004A3418">
        <w:tab/>
        <w:t>Édition de 2025 de la Journée mondiale des télécommunications et de la société de l'information</w:t>
      </w:r>
    </w:p>
    <w:p w14:paraId="664BB88A" w14:textId="77777777" w:rsidR="005E204A" w:rsidRPr="004A3418" w:rsidRDefault="005E204A" w:rsidP="008C260A">
      <w:pPr>
        <w:pStyle w:val="Heading2"/>
      </w:pPr>
      <w:r w:rsidRPr="004A3418">
        <w:t>2.1</w:t>
      </w:r>
      <w:r w:rsidRPr="004A3418">
        <w:tab/>
      </w:r>
      <w:r w:rsidRPr="008C260A">
        <w:t>Introduction</w:t>
      </w:r>
    </w:p>
    <w:p w14:paraId="01F369DE" w14:textId="0D9BBB79" w:rsidR="005E204A" w:rsidRPr="004A3418" w:rsidRDefault="005E204A" w:rsidP="008C260A">
      <w:pPr>
        <w:jc w:val="both"/>
      </w:pPr>
      <w:r w:rsidRPr="004A3418">
        <w:t>En 2023, le Conseil de l</w:t>
      </w:r>
      <w:r w:rsidR="0045649F" w:rsidRPr="004A3418">
        <w:t>'</w:t>
      </w:r>
      <w:r w:rsidRPr="004A3418">
        <w:t>UIT a adopté la Résolution 1416, aux termes de laquelle il a été décidé que le thème retenu pour l'édition de 2025 de la Journée mondiale des télécommunications et de la société de l'information serait "</w:t>
      </w:r>
      <w:r w:rsidRPr="004A3418">
        <w:rPr>
          <w:b/>
          <w:bCs/>
        </w:rPr>
        <w:t>l</w:t>
      </w:r>
      <w:r w:rsidR="0045649F" w:rsidRPr="004A3418">
        <w:rPr>
          <w:b/>
          <w:bCs/>
        </w:rPr>
        <w:t>'</w:t>
      </w:r>
      <w:r w:rsidRPr="004A3418">
        <w:rPr>
          <w:b/>
          <w:bCs/>
        </w:rPr>
        <w:t>égalité hommes-femmes dans la transformation numérique</w:t>
      </w:r>
      <w:r w:rsidRPr="004A3418">
        <w:t>", un thème mettant en avant la nécessité urgente de réduire les disparités entre les hommes et les femmes et la fracture numérique grâce à des politiques inclusives, à l</w:t>
      </w:r>
      <w:r w:rsidR="0045649F" w:rsidRPr="004A3418">
        <w:t>'</w:t>
      </w:r>
      <w:r w:rsidRPr="004A3418">
        <w:t xml:space="preserve">éducation et à des partenariats. Le programme de la Journée a fait ressortir l'importance des politiques inclusives, de la maîtrise des outils numériques et des efforts de collaboration pour faire en sorte que tout le monde puisse tirer profit de la transformation numérique. Dans son discours liminaire enregistré sous forme de message vidéo, Mme Atsuko Okuda, Directrice </w:t>
      </w:r>
      <w:r w:rsidRPr="004A3418">
        <w:lastRenderedPageBreak/>
        <w:t>régionale de l</w:t>
      </w:r>
      <w:r w:rsidR="0045649F" w:rsidRPr="004A3418">
        <w:t>'</w:t>
      </w:r>
      <w:r w:rsidRPr="004A3418">
        <w:t>UIT pour l</w:t>
      </w:r>
      <w:r w:rsidR="0045649F" w:rsidRPr="004A3418">
        <w:t>'</w:t>
      </w:r>
      <w:r w:rsidRPr="004A3418">
        <w:t>Asie et le Pacifique, a salué le rôle de chef de file joué par la Malaisie dans la promotion de l</w:t>
      </w:r>
      <w:r w:rsidR="0045649F" w:rsidRPr="004A3418">
        <w:t>'</w:t>
      </w:r>
      <w:r w:rsidRPr="004A3418">
        <w:t>inclusion numérique et a mis en avant le rôle de l</w:t>
      </w:r>
      <w:r w:rsidR="0045649F" w:rsidRPr="004A3418">
        <w:t>'</w:t>
      </w:r>
      <w:r w:rsidRPr="004A3418">
        <w:t>éducation, des partenariats et de la mobilisation des jeunes dans la réduction de la fracture numérique entre les sexes. Elle a appelé à poursuivre la collaboration en vue de bâtir un avenir numérique plus inclusif, plus sûr et plus durable en Malaisie et dans la région Asie-Pacifique.</w:t>
      </w:r>
    </w:p>
    <w:p w14:paraId="7231140E" w14:textId="7CD196B0" w:rsidR="005E204A" w:rsidRPr="004A3418" w:rsidRDefault="005E204A" w:rsidP="008C260A">
      <w:pPr>
        <w:pStyle w:val="Heading2"/>
      </w:pPr>
      <w:r w:rsidRPr="004A3418">
        <w:t>2.2</w:t>
      </w:r>
      <w:r w:rsidRPr="004A3418">
        <w:tab/>
        <w:t>Dialogue 1</w:t>
      </w:r>
      <w:r w:rsidR="00EA4E74" w:rsidRPr="004A3418">
        <w:t xml:space="preserve"> –</w:t>
      </w:r>
      <w:r w:rsidRPr="004A3418">
        <w:t xml:space="preserve"> L</w:t>
      </w:r>
      <w:r w:rsidR="0045649F" w:rsidRPr="004A3418">
        <w:t>'</w:t>
      </w:r>
      <w:r w:rsidRPr="004A3418">
        <w:t>avenir de la connectivité: faire progresser l</w:t>
      </w:r>
      <w:r w:rsidR="0045649F" w:rsidRPr="004A3418">
        <w:t>'</w:t>
      </w:r>
      <w:r w:rsidRPr="004A3418">
        <w:t>inclusion numérique grâce aux technologies porteuses de transformations</w:t>
      </w:r>
    </w:p>
    <w:p w14:paraId="5FDB55F2" w14:textId="1168C619" w:rsidR="005E204A" w:rsidRPr="004A3418" w:rsidRDefault="005E204A" w:rsidP="008C260A">
      <w:pPr>
        <w:jc w:val="both"/>
      </w:pPr>
      <w:r w:rsidRPr="004A3418">
        <w:t>La session avait pour thème principal le rôle des technologies porteuses de transformations, telles que la 5G, l</w:t>
      </w:r>
      <w:r w:rsidR="0045649F" w:rsidRPr="004A3418">
        <w:t>'</w:t>
      </w:r>
      <w:r w:rsidRPr="004A3418">
        <w:t>IA et la cybersécurité, dans la promotion de l</w:t>
      </w:r>
      <w:r w:rsidR="0045649F" w:rsidRPr="004A3418">
        <w:t>'</w:t>
      </w:r>
      <w:r w:rsidRPr="004A3418">
        <w:t>inclusion numérique. Les participants ont souligné les progrès accomplis par la Malaisie en ce qui concerne l'infrastructure numérique grâce au Plan national pour l'infrastructure numérique (JENDELA), les avantages socio-économiques de l</w:t>
      </w:r>
      <w:r w:rsidR="0045649F" w:rsidRPr="004A3418">
        <w:t>'</w:t>
      </w:r>
      <w:r w:rsidRPr="004A3418">
        <w:t>accès au large bande et l</w:t>
      </w:r>
      <w:r w:rsidR="0045649F" w:rsidRPr="004A3418">
        <w:t>'</w:t>
      </w:r>
      <w:r w:rsidRPr="004A3418">
        <w:t>importance croissante de la cybersécurité et de la maîtrise des outils numériques. Les discussions ont également porté sur l</w:t>
      </w:r>
      <w:r w:rsidR="0045649F" w:rsidRPr="004A3418">
        <w:t>'</w:t>
      </w:r>
      <w:r w:rsidRPr="004A3418">
        <w:t>importance de l</w:t>
      </w:r>
      <w:r w:rsidR="0045649F" w:rsidRPr="004A3418">
        <w:t>'</w:t>
      </w:r>
      <w:r w:rsidRPr="004A3418">
        <w:t>évolution réglementaire et des programmes de formation inclusifs pour faire en sorte que la transformation numérique soit tournée vers l</w:t>
      </w:r>
      <w:r w:rsidR="0045649F" w:rsidRPr="004A3418">
        <w:t>'</w:t>
      </w:r>
      <w:r w:rsidRPr="004A3418">
        <w:t>avenir, équitable et durable.</w:t>
      </w:r>
    </w:p>
    <w:p w14:paraId="7C7D153A" w14:textId="3084A16C" w:rsidR="005E204A" w:rsidRPr="004A3418" w:rsidRDefault="005E204A" w:rsidP="008C260A">
      <w:pPr>
        <w:jc w:val="both"/>
      </w:pPr>
      <w:r w:rsidRPr="004A3418">
        <w:t>Principaux résultats:</w:t>
      </w:r>
    </w:p>
    <w:p w14:paraId="65A45CFC" w14:textId="0CDDF045" w:rsidR="005E204A" w:rsidRPr="004A3418" w:rsidRDefault="005E204A" w:rsidP="008C260A">
      <w:pPr>
        <w:pStyle w:val="enumlev1"/>
      </w:pPr>
      <w:r w:rsidRPr="004A3418">
        <w:t>–</w:t>
      </w:r>
      <w:r w:rsidRPr="004A3418">
        <w:tab/>
      </w:r>
      <w:r w:rsidRPr="004A3418">
        <w:rPr>
          <w:b/>
          <w:bCs/>
        </w:rPr>
        <w:t>Le rôle du Plan JENDELA dans l</w:t>
      </w:r>
      <w:r w:rsidR="0045649F" w:rsidRPr="004A3418">
        <w:rPr>
          <w:b/>
          <w:bCs/>
        </w:rPr>
        <w:t>'</w:t>
      </w:r>
      <w:r w:rsidRPr="004A3418">
        <w:rPr>
          <w:b/>
          <w:bCs/>
        </w:rPr>
        <w:t>expansion de l</w:t>
      </w:r>
      <w:r w:rsidR="0045649F" w:rsidRPr="004A3418">
        <w:rPr>
          <w:b/>
          <w:bCs/>
        </w:rPr>
        <w:t>'</w:t>
      </w:r>
      <w:r w:rsidRPr="004A3418">
        <w:rPr>
          <w:b/>
          <w:bCs/>
        </w:rPr>
        <w:t>infrastructure</w:t>
      </w:r>
      <w:r w:rsidRPr="004A3418">
        <w:t>: le Plan JENDELA de la Malaisie a permis d'élargir considérablement la couverture large bande et 5G, le pays étant parvenu à une couverture 5G supérieure à 82,4% et à une couverture de la population de 98,66% plus rapidement que prévu. Cette infrastructure robuste constitue le fondement d</w:t>
      </w:r>
      <w:r w:rsidR="0045649F" w:rsidRPr="004A3418">
        <w:t>'</w:t>
      </w:r>
      <w:r w:rsidRPr="004A3418">
        <w:t>une transformation numérique nationale inclusive.</w:t>
      </w:r>
    </w:p>
    <w:p w14:paraId="6D9026C1" w14:textId="64F19B32" w:rsidR="005E204A" w:rsidRPr="004A3418" w:rsidRDefault="005E204A" w:rsidP="008C260A">
      <w:pPr>
        <w:pStyle w:val="enumlev1"/>
      </w:pPr>
      <w:r w:rsidRPr="004A3418">
        <w:t>–</w:t>
      </w:r>
      <w:r w:rsidRPr="004A3418">
        <w:tab/>
      </w:r>
      <w:r w:rsidRPr="004A3418">
        <w:rPr>
          <w:b/>
          <w:bCs/>
        </w:rPr>
        <w:t>La cybersécurité en tant que pilier de la confiance numérique</w:t>
      </w:r>
      <w:r w:rsidRPr="004A3418">
        <w:t>: les initiatives de renforcement des capacités en matière de cybersécurité, y compris les systèmes de sensibilisation et d'appui en milieu rural (par exemple des lignes d</w:t>
      </w:r>
      <w:r w:rsidR="0045649F" w:rsidRPr="004A3418">
        <w:t>'</w:t>
      </w:r>
      <w:r w:rsidRPr="004A3418">
        <w:t>assistance téléphonique pour le signalement des arnaques ou des interrupteurs d'arrêt d'urgence), ont renforcé la confiance du public à l'égard des services numériques, laquelle constitue un catalyseur essentiel d'une adoption plus large du numérique et d'une transformation sûre.</w:t>
      </w:r>
    </w:p>
    <w:p w14:paraId="4E2BB9F1" w14:textId="7311D4C4" w:rsidR="005E204A" w:rsidRPr="004A3418" w:rsidRDefault="005E204A" w:rsidP="008C260A">
      <w:pPr>
        <w:pStyle w:val="enumlev1"/>
      </w:pPr>
      <w:r w:rsidRPr="004A3418">
        <w:t>–</w:t>
      </w:r>
      <w:r w:rsidRPr="004A3418">
        <w:tab/>
      </w:r>
      <w:r w:rsidRPr="004A3418">
        <w:rPr>
          <w:b/>
          <w:bCs/>
        </w:rPr>
        <w:t>Formation d'une main-d</w:t>
      </w:r>
      <w:r w:rsidR="0045649F" w:rsidRPr="004A3418">
        <w:rPr>
          <w:b/>
          <w:bCs/>
        </w:rPr>
        <w:t>'</w:t>
      </w:r>
      <w:r w:rsidRPr="004A3418">
        <w:rPr>
          <w:b/>
          <w:bCs/>
        </w:rPr>
        <w:t>œuvre prête pour l</w:t>
      </w:r>
      <w:r w:rsidR="0045649F" w:rsidRPr="004A3418">
        <w:rPr>
          <w:b/>
          <w:bCs/>
        </w:rPr>
        <w:t>'</w:t>
      </w:r>
      <w:r w:rsidRPr="004A3418">
        <w:rPr>
          <w:b/>
          <w:bCs/>
        </w:rPr>
        <w:t>avenir et inclusive</w:t>
      </w:r>
      <w:r w:rsidRPr="004A3418">
        <w:t>: les formations gratuites s'adressant aux femmes et aux communautés défavorisées et le cours "5G</w:t>
      </w:r>
      <w:r w:rsidR="00871F17" w:rsidRPr="004A3418">
        <w:t> </w:t>
      </w:r>
      <w:r w:rsidRPr="004A3418">
        <w:t>Pioneers", par exemple, témoignent des efforts visant à garantir que l</w:t>
      </w:r>
      <w:r w:rsidR="0045649F" w:rsidRPr="004A3418">
        <w:t>'</w:t>
      </w:r>
      <w:r w:rsidRPr="004A3418">
        <w:t>avenir numérique de la Malaisie soit inclusif, axé sur les compétences et respectueux de l</w:t>
      </w:r>
      <w:r w:rsidR="0045649F" w:rsidRPr="004A3418">
        <w:t>'</w:t>
      </w:r>
      <w:r w:rsidRPr="004A3418">
        <w:t>environnement, l'accent étant mis sur le renforcement des compétences pour les nouveaux rôles.</w:t>
      </w:r>
    </w:p>
    <w:p w14:paraId="7E8927E4" w14:textId="3B983D47" w:rsidR="005E204A" w:rsidRPr="004A3418" w:rsidRDefault="005E204A" w:rsidP="008C260A">
      <w:pPr>
        <w:pStyle w:val="enumlev1"/>
      </w:pPr>
      <w:r w:rsidRPr="004A3418">
        <w:t>–</w:t>
      </w:r>
      <w:r w:rsidRPr="004A3418">
        <w:tab/>
      </w:r>
      <w:r w:rsidRPr="004A3418">
        <w:rPr>
          <w:b/>
          <w:bCs/>
        </w:rPr>
        <w:t>Autonomisation des communautés grâce à l</w:t>
      </w:r>
      <w:r w:rsidR="0045649F" w:rsidRPr="004A3418">
        <w:rPr>
          <w:b/>
          <w:bCs/>
        </w:rPr>
        <w:t>'</w:t>
      </w:r>
      <w:r w:rsidRPr="004A3418">
        <w:rPr>
          <w:b/>
          <w:bCs/>
        </w:rPr>
        <w:t>inclusion numérique</w:t>
      </w:r>
      <w:r w:rsidRPr="004A3418">
        <w:t>: les initiatives nationales telles que les centres nationaux de diffusion et d'information (NADI), les programmes AI Teach et les initiatives d</w:t>
      </w:r>
      <w:r w:rsidR="0045649F" w:rsidRPr="004A3418">
        <w:t>'</w:t>
      </w:r>
      <w:r w:rsidRPr="004A3418">
        <w:t>agriculture intelligente montrent comment une connectivité efficace autonomise les communautés au-delà de l</w:t>
      </w:r>
      <w:r w:rsidR="0045649F" w:rsidRPr="004A3418">
        <w:t>'</w:t>
      </w:r>
      <w:r w:rsidRPr="004A3418">
        <w:t>accès en favorisant une participation productive, sûre et éclairée à l</w:t>
      </w:r>
      <w:r w:rsidR="0045649F" w:rsidRPr="004A3418">
        <w:t>'</w:t>
      </w:r>
      <w:r w:rsidRPr="004A3418">
        <w:t>économie numérique.</w:t>
      </w:r>
    </w:p>
    <w:p w14:paraId="6ECC51C2" w14:textId="219B88B9" w:rsidR="005E204A" w:rsidRPr="004A3418" w:rsidRDefault="005E204A" w:rsidP="008C260A">
      <w:pPr>
        <w:pStyle w:val="Heading2"/>
      </w:pPr>
      <w:r w:rsidRPr="004A3418">
        <w:t>2.3</w:t>
      </w:r>
      <w:r w:rsidRPr="004A3418">
        <w:tab/>
        <w:t>Dialogue 2</w:t>
      </w:r>
      <w:r w:rsidR="001D09CF" w:rsidRPr="004A3418">
        <w:t xml:space="preserve"> –</w:t>
      </w:r>
      <w:r w:rsidRPr="004A3418">
        <w:t xml:space="preserve"> Connectivité sans frontières: comment les TIC peuvent favoriser la durabilité, l</w:t>
      </w:r>
      <w:r w:rsidR="0045649F" w:rsidRPr="004A3418">
        <w:t>'</w:t>
      </w:r>
      <w:r w:rsidRPr="004A3418">
        <w:t>égalité et la sécurité</w:t>
      </w:r>
    </w:p>
    <w:p w14:paraId="2F696A1A" w14:textId="56672D91" w:rsidR="005E204A" w:rsidRPr="00DB6A5A" w:rsidRDefault="005E204A" w:rsidP="008C260A">
      <w:pPr>
        <w:jc w:val="both"/>
        <w:rPr>
          <w:spacing w:val="-2"/>
        </w:rPr>
      </w:pPr>
      <w:r w:rsidRPr="00DB6A5A">
        <w:rPr>
          <w:spacing w:val="-2"/>
        </w:rPr>
        <w:t>Cette session visait à examiner la façon dont les TIC permettent une connectivité sans frontières qui favorise la durabilité, l</w:t>
      </w:r>
      <w:r w:rsidR="0045649F" w:rsidRPr="00DB6A5A">
        <w:rPr>
          <w:spacing w:val="-2"/>
        </w:rPr>
        <w:t>'</w:t>
      </w:r>
      <w:r w:rsidRPr="00DB6A5A">
        <w:rPr>
          <w:spacing w:val="-2"/>
        </w:rPr>
        <w:t xml:space="preserve">égalité et la sécurité. Les discussions ont principalement porté sur l'importance de l'adoption des technologies dans la vie quotidienne par les utilisateurs pour </w:t>
      </w:r>
      <w:r w:rsidRPr="00DB6A5A">
        <w:rPr>
          <w:spacing w:val="-2"/>
        </w:rPr>
        <w:lastRenderedPageBreak/>
        <w:t>optimiser autant que possible les retombées technologiques, l'intégration des TIC dans les services urbains et les services publics, le développement d</w:t>
      </w:r>
      <w:r w:rsidR="0045649F" w:rsidRPr="00DB6A5A">
        <w:rPr>
          <w:spacing w:val="-2"/>
        </w:rPr>
        <w:t>'</w:t>
      </w:r>
      <w:r w:rsidRPr="00DB6A5A">
        <w:rPr>
          <w:spacing w:val="-2"/>
        </w:rPr>
        <w:t>infrastructures numériques vertes et le rôle de l</w:t>
      </w:r>
      <w:r w:rsidR="0045649F" w:rsidRPr="00DB6A5A">
        <w:rPr>
          <w:spacing w:val="-2"/>
        </w:rPr>
        <w:t>'</w:t>
      </w:r>
      <w:r w:rsidRPr="00DB6A5A">
        <w:rPr>
          <w:spacing w:val="-2"/>
        </w:rPr>
        <w:t>éducation dans la préparation de la main d'œuvre aux évolutions numériques futures. Les participants ont également souligné la nécessité d</w:t>
      </w:r>
      <w:r w:rsidR="0045649F" w:rsidRPr="00DB6A5A">
        <w:rPr>
          <w:spacing w:val="-2"/>
        </w:rPr>
        <w:t>'</w:t>
      </w:r>
      <w:r w:rsidRPr="00DB6A5A">
        <w:rPr>
          <w:spacing w:val="-2"/>
        </w:rPr>
        <w:t>une collaboration intersectorielle inclusive pour garantir que la transformation numérique reste à la fois percutante et durable.</w:t>
      </w:r>
    </w:p>
    <w:p w14:paraId="7A182D33" w14:textId="77777777" w:rsidR="005E204A" w:rsidRPr="004A3418" w:rsidRDefault="005E204A" w:rsidP="008C260A">
      <w:pPr>
        <w:jc w:val="both"/>
      </w:pPr>
      <w:r w:rsidRPr="004A3418">
        <w:t>Principaux résultats:</w:t>
      </w:r>
    </w:p>
    <w:p w14:paraId="0C8B01DB" w14:textId="32A552D9" w:rsidR="005E204A" w:rsidRPr="004A3418" w:rsidRDefault="005E204A" w:rsidP="008C260A">
      <w:pPr>
        <w:pStyle w:val="enumlev1"/>
      </w:pPr>
      <w:r w:rsidRPr="004A3418">
        <w:t>–</w:t>
      </w:r>
      <w:r w:rsidRPr="004A3418">
        <w:tab/>
      </w:r>
      <w:r w:rsidRPr="004A3418">
        <w:rPr>
          <w:b/>
          <w:bCs/>
        </w:rPr>
        <w:t>Adoption de technologies centrées sur l</w:t>
      </w:r>
      <w:r w:rsidR="0045649F" w:rsidRPr="004A3418">
        <w:rPr>
          <w:b/>
          <w:bCs/>
        </w:rPr>
        <w:t>'</w:t>
      </w:r>
      <w:r w:rsidRPr="004A3418">
        <w:rPr>
          <w:b/>
          <w:bCs/>
        </w:rPr>
        <w:t>utilisateur</w:t>
      </w:r>
      <w:r w:rsidRPr="004A3418">
        <w:t>: une transformation numérique efficace dépend non seulement de l</w:t>
      </w:r>
      <w:r w:rsidR="0045649F" w:rsidRPr="004A3418">
        <w:t>'</w:t>
      </w:r>
      <w:r w:rsidRPr="004A3418">
        <w:t>infrastructure, mais aussi de la pertinence et de l'adoption des technologies dans la vie quotidienne par les utilisateurs. Les technologies telles que les codes QR et les porte-monnaie électroniques n</w:t>
      </w:r>
      <w:r w:rsidR="0045649F" w:rsidRPr="004A3418">
        <w:t>'</w:t>
      </w:r>
      <w:r w:rsidRPr="004A3418">
        <w:t>ont gagné en popularité que lorsqu'elles ont été associées à des besoins immédiats et quotidiens, ce qui témoigne de l</w:t>
      </w:r>
      <w:r w:rsidR="0045649F" w:rsidRPr="004A3418">
        <w:t>'</w:t>
      </w:r>
      <w:r w:rsidRPr="004A3418">
        <w:t>importance de mettre au point des solutions TIC permettant de résoudre des problèmes concrets pour la population.</w:t>
      </w:r>
    </w:p>
    <w:p w14:paraId="4BD2D9A4" w14:textId="3D46A5C1" w:rsidR="005E204A" w:rsidRPr="004A3418" w:rsidRDefault="005E204A" w:rsidP="008C260A">
      <w:pPr>
        <w:pStyle w:val="enumlev1"/>
      </w:pPr>
      <w:r w:rsidRPr="004A3418">
        <w:t>–</w:t>
      </w:r>
      <w:r w:rsidRPr="004A3418">
        <w:tab/>
      </w:r>
      <w:r w:rsidRPr="004A3418">
        <w:rPr>
          <w:b/>
          <w:bCs/>
        </w:rPr>
        <w:t>Talents de la prochaine génération et état de préparation des infrastructures</w:t>
      </w:r>
      <w:r w:rsidRPr="004A3418">
        <w:t>: le prochain laboratoire de recherche sur l</w:t>
      </w:r>
      <w:r w:rsidR="0045649F" w:rsidRPr="004A3418">
        <w:t>'</w:t>
      </w:r>
      <w:r w:rsidRPr="004A3418">
        <w:t>IA et la 6G de la Multimedia University, ainsi que des programmes intégrant le principe de durabilité et des programmes associés au secteur privé, montrent comment l</w:t>
      </w:r>
      <w:r w:rsidR="0045649F" w:rsidRPr="004A3418">
        <w:t>'</w:t>
      </w:r>
      <w:r w:rsidRPr="004A3418">
        <w:t>éducation peut former une future main-d</w:t>
      </w:r>
      <w:r w:rsidR="0045649F" w:rsidRPr="004A3418">
        <w:t>'</w:t>
      </w:r>
      <w:r w:rsidRPr="004A3418">
        <w:t>œuvre capable de diriger et soutenir l</w:t>
      </w:r>
      <w:r w:rsidR="0045649F" w:rsidRPr="004A3418">
        <w:t>'</w:t>
      </w:r>
      <w:r w:rsidRPr="004A3418">
        <w:t>économie numérique malaisienne.</w:t>
      </w:r>
    </w:p>
    <w:p w14:paraId="72F4536C" w14:textId="0A3553B7" w:rsidR="005E204A" w:rsidRPr="004A3418" w:rsidRDefault="005E204A" w:rsidP="008C260A">
      <w:pPr>
        <w:pStyle w:val="enumlev1"/>
      </w:pPr>
      <w:r w:rsidRPr="004A3418">
        <w:t>–</w:t>
      </w:r>
      <w:r w:rsidRPr="004A3418">
        <w:tab/>
      </w:r>
      <w:r w:rsidRPr="004A3418">
        <w:rPr>
          <w:b/>
          <w:bCs/>
        </w:rPr>
        <w:t>Des villes intelligentes pour un développement urbain durable</w:t>
      </w:r>
      <w:r w:rsidRPr="004A3418">
        <w:t>: l'initiative de ville intelligente de Telekom Malaysia à Ipoh, qui propose des solutions de gestion du trafic et de mobilité publique reposant sur l</w:t>
      </w:r>
      <w:r w:rsidR="0045649F" w:rsidRPr="004A3418">
        <w:t>'</w:t>
      </w:r>
      <w:r w:rsidRPr="004A3418">
        <w:t>IA, montre comment les TIC peuvent réduire les émissions de carbone et améliorer la qualité de vie urbaine grâce à des infrastructures plus efficaces.</w:t>
      </w:r>
    </w:p>
    <w:p w14:paraId="22315730" w14:textId="3D196FF4" w:rsidR="005E204A" w:rsidRPr="004A3418" w:rsidRDefault="005E204A" w:rsidP="008C260A">
      <w:pPr>
        <w:pStyle w:val="enumlev1"/>
      </w:pPr>
      <w:r w:rsidRPr="004A3418">
        <w:t>–</w:t>
      </w:r>
      <w:r w:rsidRPr="004A3418">
        <w:tab/>
      </w:r>
      <w:r w:rsidRPr="004A3418">
        <w:rPr>
          <w:b/>
          <w:bCs/>
        </w:rPr>
        <w:t>Renforcement de la connectivité nationale et mondiale</w:t>
      </w:r>
      <w:r w:rsidRPr="004A3418">
        <w:t>: les investissements de Telekom Malaysia dans les systèmes de câbles sous-marins, tels que les câbles CMEW6 et ALC, font de la Malaisie un acteur important de l</w:t>
      </w:r>
      <w:r w:rsidR="0045649F" w:rsidRPr="004A3418">
        <w:t>'</w:t>
      </w:r>
      <w:r w:rsidRPr="004A3418">
        <w:t>infrastructure numérique régionale et mondiale, et améliorent ainsi la résilience numérique et la compétitivité économique du pays.</w:t>
      </w:r>
    </w:p>
    <w:p w14:paraId="59EA9724" w14:textId="77777777" w:rsidR="005E204A" w:rsidRPr="004A3418" w:rsidRDefault="005E204A" w:rsidP="008C260A">
      <w:pPr>
        <w:pStyle w:val="Heading1"/>
      </w:pPr>
      <w:r w:rsidRPr="004A3418">
        <w:t>3</w:t>
      </w:r>
      <w:r w:rsidRPr="004A3418">
        <w:tab/>
        <w:t>Édition de 2025 de la Journée des jeunes filles dans le secteur des TIC</w:t>
      </w:r>
    </w:p>
    <w:p w14:paraId="17B51D97" w14:textId="77777777" w:rsidR="005E204A" w:rsidRPr="004A3418" w:rsidRDefault="005E204A" w:rsidP="008C260A">
      <w:pPr>
        <w:pStyle w:val="Heading2"/>
      </w:pPr>
      <w:r w:rsidRPr="004A3418">
        <w:t>3.1</w:t>
      </w:r>
      <w:r w:rsidRPr="004A3418">
        <w:tab/>
        <w:t>Introduction</w:t>
      </w:r>
    </w:p>
    <w:p w14:paraId="1A3CF7B5" w14:textId="5B04F40B" w:rsidR="005E204A" w:rsidRPr="004A3418" w:rsidRDefault="005E204A" w:rsidP="008C260A">
      <w:pPr>
        <w:jc w:val="both"/>
      </w:pPr>
      <w:r w:rsidRPr="004A3418">
        <w:t>L'édition de 2025 de la Journée des jeunes filles dans le secteur des TIC, qui avait pour thème "</w:t>
      </w:r>
      <w:r w:rsidRPr="004A3418">
        <w:rPr>
          <w:b/>
          <w:bCs/>
        </w:rPr>
        <w:t>Les jeunes filles dans le secteur des TIC au service d'une transformation numérique inclusive</w:t>
      </w:r>
      <w:r w:rsidRPr="004A3418">
        <w:t>", a mis en avant l</w:t>
      </w:r>
      <w:r w:rsidR="0045649F" w:rsidRPr="004A3418">
        <w:t>'</w:t>
      </w:r>
      <w:r w:rsidRPr="004A3418">
        <w:t>importance de donner aux filles et aux jeunes femmes les moyens d'avoir accès aux compétences et aux possibilités qui leur permettront d'assumer des fonctions de direction à l'ère numérique. Dans son discours, M. Kishore Babu Yerraballa, Représentant de zone de l</w:t>
      </w:r>
      <w:r w:rsidR="0045649F" w:rsidRPr="004A3418">
        <w:t>'</w:t>
      </w:r>
      <w:r w:rsidRPr="004A3418">
        <w:t>UIT pour l</w:t>
      </w:r>
      <w:r w:rsidR="0045649F" w:rsidRPr="004A3418">
        <w:t>'</w:t>
      </w:r>
      <w:r w:rsidRPr="004A3418">
        <w:t>Asie du Sud-Est et le Pacifique, a encouragé à se former tout au long de la vie en suivant les cours gratuits proposés par l</w:t>
      </w:r>
      <w:r w:rsidR="0045649F" w:rsidRPr="004A3418">
        <w:t>'</w:t>
      </w:r>
      <w:r w:rsidRPr="004A3418">
        <w:t>Académie de l</w:t>
      </w:r>
      <w:r w:rsidR="0045649F" w:rsidRPr="004A3418">
        <w:t>'</w:t>
      </w:r>
      <w:r w:rsidRPr="004A3418">
        <w:t>UIT et a mis en lumière des initiatives telles que l</w:t>
      </w:r>
      <w:r w:rsidR="0045649F" w:rsidRPr="004A3418">
        <w:t>'</w:t>
      </w:r>
      <w:r w:rsidRPr="004A3418">
        <w:t>IA au service du bien social et les outils de protection en ligne des enfants. Il a également reconnu le rôle de chef de file assuré par la Malaisie dans le domaine du numérique et a appelé une collaboration intersectorielle plus forte pour faire en sorte que personne ne soit laissé de côté sur la voie de la transformation numérique.</w:t>
      </w:r>
    </w:p>
    <w:p w14:paraId="2FF7AA08" w14:textId="3276B289" w:rsidR="005E204A" w:rsidRPr="004A3418" w:rsidRDefault="005E204A" w:rsidP="008C260A">
      <w:pPr>
        <w:pStyle w:val="Heading2"/>
      </w:pPr>
      <w:r w:rsidRPr="004A3418">
        <w:lastRenderedPageBreak/>
        <w:t>3.2</w:t>
      </w:r>
      <w:r w:rsidRPr="004A3418">
        <w:tab/>
        <w:t>Pocket-Talk 1</w:t>
      </w:r>
      <w:r w:rsidR="001D09CF" w:rsidRPr="004A3418">
        <w:t xml:space="preserve"> –</w:t>
      </w:r>
      <w:r w:rsidRPr="004A3418">
        <w:t xml:space="preserve"> D'apprenante à dirigeante: autonomiser la prochaine génération de femmes dans le domaine de la technologie</w:t>
      </w:r>
    </w:p>
    <w:p w14:paraId="4B42AF20" w14:textId="764C5784" w:rsidR="005E204A" w:rsidRPr="004A3418" w:rsidRDefault="005E204A" w:rsidP="008C260A">
      <w:pPr>
        <w:jc w:val="both"/>
      </w:pPr>
      <w:r w:rsidRPr="004A3418">
        <w:t>La session a porté sur les mesures d'autonomisation des femmes visant à les faire passer du statut d</w:t>
      </w:r>
      <w:r w:rsidR="0045649F" w:rsidRPr="004A3418">
        <w:t>'</w:t>
      </w:r>
      <w:r w:rsidRPr="004A3418">
        <w:t>apprenant à celui de dirigeant dans le domaine de la technologie en surmontant les obstacles internes, en encourageant le mentorat et en faisant la promotion des systèmes de soutien inclusifs. Les participants ont souligné l</w:t>
      </w:r>
      <w:r w:rsidR="0045649F" w:rsidRPr="004A3418">
        <w:t>'</w:t>
      </w:r>
      <w:r w:rsidRPr="004A3418">
        <w:t>importance, pour les femmes, d'être plus confiantes, d'avoir des modèles à suivre au quotidien et de bénéficier de programmes de mentorat structurés pour être prêtes à assumer des fonctions de direction et à mener une transformation numérique inclusive.</w:t>
      </w:r>
    </w:p>
    <w:p w14:paraId="58453DA2" w14:textId="77777777" w:rsidR="005E204A" w:rsidRPr="004A3418" w:rsidRDefault="005E204A" w:rsidP="008C260A">
      <w:pPr>
        <w:jc w:val="both"/>
      </w:pPr>
      <w:r w:rsidRPr="004A3418">
        <w:t>Principaux résultats:</w:t>
      </w:r>
    </w:p>
    <w:p w14:paraId="735A55FA" w14:textId="304FFA79" w:rsidR="005E204A" w:rsidRPr="004A3418" w:rsidRDefault="005E204A" w:rsidP="008C260A">
      <w:pPr>
        <w:pStyle w:val="enumlev1"/>
      </w:pPr>
      <w:r w:rsidRPr="004A3418">
        <w:t>–</w:t>
      </w:r>
      <w:r w:rsidRPr="004A3418">
        <w:tab/>
      </w:r>
      <w:r w:rsidRPr="004A3418">
        <w:rPr>
          <w:b/>
          <w:bCs/>
        </w:rPr>
        <w:t>Le mentorat comme catalyseur du développement des talents du numérique</w:t>
      </w:r>
      <w:r w:rsidRPr="004A3418">
        <w:t>: les programmes de mentorat structurés permettent aux jeunes femmes d</w:t>
      </w:r>
      <w:r w:rsidR="0045649F" w:rsidRPr="004A3418">
        <w:t>'</w:t>
      </w:r>
      <w:r w:rsidRPr="004A3418">
        <w:t>acquérir une expérience pratique dans les secteurs du numérique et de la technologie, et favorisent ainsi l'émergence d'une main-d</w:t>
      </w:r>
      <w:r w:rsidR="0045649F" w:rsidRPr="004A3418">
        <w:t>'</w:t>
      </w:r>
      <w:r w:rsidRPr="004A3418">
        <w:t>œuvre formée au numérique plus diversifiée et plus qualifiée, laquelle est indispensable pour parvenir à une transformation numérique durable.</w:t>
      </w:r>
    </w:p>
    <w:p w14:paraId="6BA147C3" w14:textId="77777777" w:rsidR="005E204A" w:rsidRPr="004A3418" w:rsidRDefault="005E204A" w:rsidP="008C260A">
      <w:pPr>
        <w:pStyle w:val="enumlev1"/>
      </w:pPr>
      <w:r w:rsidRPr="004A3418">
        <w:t>–</w:t>
      </w:r>
      <w:r w:rsidRPr="004A3418">
        <w:tab/>
      </w:r>
      <w:r w:rsidRPr="004A3418">
        <w:rPr>
          <w:b/>
          <w:bCs/>
        </w:rPr>
        <w:t>Renforcer la confiance pour exploiter l'aptitude à diriger dans les espaces numériques</w:t>
      </w:r>
      <w:r w:rsidRPr="004A3418">
        <w:t>: l'élimination des obstacles internes permettra à davantage de femmes d'accéder à des fonctions de direction dans le domaine du numérique, et favorisera ainsi une innovation et un processus décisionnel intégrant le principe de l'égalité hommes-femmes dans les initiatives de connectivité numérique.</w:t>
      </w:r>
    </w:p>
    <w:p w14:paraId="254AEC11" w14:textId="77777777" w:rsidR="005E204A" w:rsidRPr="004A3418" w:rsidRDefault="005E204A" w:rsidP="008C260A">
      <w:pPr>
        <w:pStyle w:val="enumlev1"/>
      </w:pPr>
      <w:r w:rsidRPr="004A3418">
        <w:t>–</w:t>
      </w:r>
      <w:r w:rsidRPr="004A3418">
        <w:tab/>
      </w:r>
      <w:r w:rsidRPr="004A3418">
        <w:rPr>
          <w:b/>
          <w:bCs/>
        </w:rPr>
        <w:t>Un partenariat actif renforce les écosystèmes numériques inclusifs</w:t>
      </w:r>
      <w:r w:rsidRPr="004A3418">
        <w:t>: la mobilisation de champions masculins pour soutenir les femmes dirigeantes et améliorer leur situation alimente une culture de la collaboration qui renforce la capacité d'une organisation à accélérer des transformations numériques durables.</w:t>
      </w:r>
    </w:p>
    <w:p w14:paraId="464F1521" w14:textId="75A1AB54" w:rsidR="005E204A" w:rsidRPr="004A3418" w:rsidRDefault="005E204A" w:rsidP="008C260A">
      <w:pPr>
        <w:pStyle w:val="enumlev1"/>
      </w:pPr>
      <w:r w:rsidRPr="004A3418">
        <w:t>–</w:t>
      </w:r>
      <w:r w:rsidRPr="004A3418">
        <w:tab/>
      </w:r>
      <w:r w:rsidRPr="004A3418">
        <w:rPr>
          <w:b/>
          <w:bCs/>
        </w:rPr>
        <w:t>L</w:t>
      </w:r>
      <w:r w:rsidR="0045649F" w:rsidRPr="004A3418">
        <w:rPr>
          <w:b/>
          <w:bCs/>
        </w:rPr>
        <w:t>'</w:t>
      </w:r>
      <w:r w:rsidRPr="004A3418">
        <w:rPr>
          <w:b/>
          <w:bCs/>
        </w:rPr>
        <w:t>autonomisation quotidienne est le moteur d</w:t>
      </w:r>
      <w:r w:rsidR="0045649F" w:rsidRPr="004A3418">
        <w:rPr>
          <w:b/>
          <w:bCs/>
        </w:rPr>
        <w:t>'</w:t>
      </w:r>
      <w:r w:rsidRPr="004A3418">
        <w:rPr>
          <w:b/>
          <w:bCs/>
        </w:rPr>
        <w:t>un changement numérique au niveau local</w:t>
      </w:r>
      <w:r w:rsidRPr="004A3418">
        <w:t>: de petits gestes constants d</w:t>
      </w:r>
      <w:r w:rsidR="0045649F" w:rsidRPr="004A3418">
        <w:t>'</w:t>
      </w:r>
      <w:r w:rsidRPr="004A3418">
        <w:t>encouragement et la présence de modèles à suivre au sein d'une communauté contribuent à renforcer durablement la maîtrise des outils numériques et l'aptitude à diriger, garantissant ainsi une participation plus large à l</w:t>
      </w:r>
      <w:r w:rsidR="0045649F" w:rsidRPr="004A3418">
        <w:t>'</w:t>
      </w:r>
      <w:r w:rsidRPr="004A3418">
        <w:t>économie numérique.</w:t>
      </w:r>
    </w:p>
    <w:p w14:paraId="62EA5B5E" w14:textId="0D56150A" w:rsidR="005E204A" w:rsidRPr="004A3418" w:rsidRDefault="005E204A" w:rsidP="008C260A">
      <w:pPr>
        <w:pStyle w:val="Heading2"/>
      </w:pPr>
      <w:r w:rsidRPr="004A3418">
        <w:t>2.3</w:t>
      </w:r>
      <w:r w:rsidRPr="004A3418">
        <w:tab/>
        <w:t>Pocket-Talk 2</w:t>
      </w:r>
      <w:r w:rsidR="001D09CF" w:rsidRPr="004A3418">
        <w:t xml:space="preserve"> –</w:t>
      </w:r>
      <w:r w:rsidRPr="004A3418">
        <w:t xml:space="preserve"> La technologie pour tous: comment la diversité stimule l</w:t>
      </w:r>
      <w:r w:rsidR="0045649F" w:rsidRPr="004A3418">
        <w:t>'</w:t>
      </w:r>
      <w:r w:rsidRPr="004A3418">
        <w:t>innovation – et pourquoi les enfants doivent montrer la voie à suivre</w:t>
      </w:r>
    </w:p>
    <w:p w14:paraId="53C010D2" w14:textId="0A2CC387" w:rsidR="005E204A" w:rsidRPr="004A3418" w:rsidRDefault="005E204A" w:rsidP="008C260A">
      <w:pPr>
        <w:jc w:val="both"/>
      </w:pPr>
      <w:r w:rsidRPr="004A3418">
        <w:t>Les participants à la session ont souligné qu'il était indispensable de tenir compte du point de vue des enfants dans le cadre de l'innovation numérique pour créer des technologies sûres et accessibles et faire respecter les droits des enfants. Ils ont mis en lumière l</w:t>
      </w:r>
      <w:r w:rsidR="0045649F" w:rsidRPr="004A3418">
        <w:t>'</w:t>
      </w:r>
      <w:r w:rsidRPr="004A3418">
        <w:t>importance d</w:t>
      </w:r>
      <w:r w:rsidR="0045649F" w:rsidRPr="004A3418">
        <w:t>'</w:t>
      </w:r>
      <w:r w:rsidRPr="004A3418">
        <w:t>une véritable participation des enfants et encouragé l'adoption d'approches de conception collaborative dans lesquelles s'impliquent activement les enfants, y compris ceux qui ont des besoins particuliers. L'accent a été mis sur le respect des principes de l</w:t>
      </w:r>
      <w:r w:rsidR="0045649F" w:rsidRPr="004A3418">
        <w:t>'</w:t>
      </w:r>
      <w:r w:rsidRPr="004A3418">
        <w:t>UNICEF en matière d</w:t>
      </w:r>
      <w:r w:rsidR="0045649F" w:rsidRPr="004A3418">
        <w:t>'</w:t>
      </w:r>
      <w:r w:rsidRPr="004A3418">
        <w:t>IA axés sur l</w:t>
      </w:r>
      <w:r w:rsidR="0045649F" w:rsidRPr="004A3418">
        <w:t>'</w:t>
      </w:r>
      <w:r w:rsidRPr="004A3418">
        <w:t>enfant, l</w:t>
      </w:r>
      <w:r w:rsidR="0045649F" w:rsidRPr="004A3418">
        <w:t>'</w:t>
      </w:r>
      <w:r w:rsidRPr="004A3418">
        <w:t>adaptation des bonnes pratiques mondiales aux contextes locaux et l</w:t>
      </w:r>
      <w:r w:rsidR="0045649F" w:rsidRPr="004A3418">
        <w:t>'</w:t>
      </w:r>
      <w:r w:rsidRPr="004A3418">
        <w:t>élaboration de politiques intégrant le principe de l'égalité hommes</w:t>
      </w:r>
      <w:r w:rsidR="001D09CF" w:rsidRPr="004A3418">
        <w:noBreakHyphen/>
      </w:r>
      <w:r w:rsidRPr="004A3418">
        <w:t>femmes. Une participation significative des jeunes à l</w:t>
      </w:r>
      <w:r w:rsidR="0045649F" w:rsidRPr="004A3418">
        <w:t>'</w:t>
      </w:r>
      <w:r w:rsidRPr="004A3418">
        <w:t>élaboration des politiques et à la défense de leurs intérêts est considérée comme essentielle pour protéger et autonomiser les enfants à l</w:t>
      </w:r>
      <w:r w:rsidR="0045649F" w:rsidRPr="004A3418">
        <w:t>'</w:t>
      </w:r>
      <w:r w:rsidRPr="004A3418">
        <w:t>ère numérique.</w:t>
      </w:r>
    </w:p>
    <w:p w14:paraId="0A5222CE" w14:textId="77777777" w:rsidR="005E204A" w:rsidRPr="004A3418" w:rsidRDefault="005E204A" w:rsidP="00DB6A5A">
      <w:pPr>
        <w:keepNext/>
      </w:pPr>
      <w:r w:rsidRPr="004A3418">
        <w:lastRenderedPageBreak/>
        <w:t>Principaux résultats:</w:t>
      </w:r>
    </w:p>
    <w:p w14:paraId="0C0DFC80" w14:textId="52A8F956" w:rsidR="005E204A" w:rsidRPr="004A3418" w:rsidRDefault="005E204A" w:rsidP="008C260A">
      <w:pPr>
        <w:pStyle w:val="enumlev1"/>
      </w:pPr>
      <w:r w:rsidRPr="004A3418">
        <w:t>–</w:t>
      </w:r>
      <w:r w:rsidRPr="004A3418">
        <w:tab/>
      </w:r>
      <w:r w:rsidRPr="004A3418">
        <w:rPr>
          <w:b/>
          <w:bCs/>
        </w:rPr>
        <w:t>L</w:t>
      </w:r>
      <w:r w:rsidR="0045649F" w:rsidRPr="004A3418">
        <w:rPr>
          <w:b/>
          <w:bCs/>
        </w:rPr>
        <w:t>'</w:t>
      </w:r>
      <w:r w:rsidRPr="004A3418">
        <w:rPr>
          <w:b/>
          <w:bCs/>
        </w:rPr>
        <w:t>innovation inclusive par la participation des enfants</w:t>
      </w:r>
      <w:r w:rsidRPr="004A3418">
        <w:t>: la participation des enfants à la conception permet de garantir que les technologies numériques sont adaptées à divers besoins, et ainsi d'améliorer l</w:t>
      </w:r>
      <w:r w:rsidR="0045649F" w:rsidRPr="004A3418">
        <w:t>'</w:t>
      </w:r>
      <w:r w:rsidRPr="004A3418">
        <w:t>accessibilité et la sécurité, des facteurs essentiels d'une transformation numérique durable.</w:t>
      </w:r>
    </w:p>
    <w:p w14:paraId="0F9C6ECE" w14:textId="2AEFBE33" w:rsidR="005E204A" w:rsidRPr="004A3418" w:rsidRDefault="005E204A" w:rsidP="008C260A">
      <w:pPr>
        <w:pStyle w:val="enumlev1"/>
      </w:pPr>
      <w:r w:rsidRPr="004A3418">
        <w:t>–</w:t>
      </w:r>
      <w:r w:rsidRPr="004A3418">
        <w:tab/>
      </w:r>
      <w:r w:rsidRPr="004A3418">
        <w:rPr>
          <w:b/>
          <w:bCs/>
        </w:rPr>
        <w:t>Approche de la conception numérique fondée sur les droits de l</w:t>
      </w:r>
      <w:r w:rsidR="0045649F" w:rsidRPr="004A3418">
        <w:rPr>
          <w:b/>
          <w:bCs/>
        </w:rPr>
        <w:t>'</w:t>
      </w:r>
      <w:r w:rsidRPr="004A3418">
        <w:rPr>
          <w:b/>
          <w:bCs/>
        </w:rPr>
        <w:t>enfant</w:t>
      </w:r>
      <w:r w:rsidRPr="004A3418">
        <w:t>: l'intégration de mesures de protection alignées sur les droits de l</w:t>
      </w:r>
      <w:r w:rsidR="0045649F" w:rsidRPr="004A3418">
        <w:t>'</w:t>
      </w:r>
      <w:r w:rsidRPr="004A3418">
        <w:t>enfant (par exemple en matière de vie privée, de sécurité et d'autonomie) permet de créer des environnements numériques dignes de confiance qui soutiennent l</w:t>
      </w:r>
      <w:r w:rsidR="0045649F" w:rsidRPr="004A3418">
        <w:t>'</w:t>
      </w:r>
      <w:r w:rsidRPr="004A3418">
        <w:t>inclusion numérique à long terme.</w:t>
      </w:r>
    </w:p>
    <w:p w14:paraId="7F538011" w14:textId="77777777" w:rsidR="005E204A" w:rsidRPr="004A3418" w:rsidRDefault="005E204A" w:rsidP="008C260A">
      <w:pPr>
        <w:pStyle w:val="enumlev1"/>
      </w:pPr>
      <w:r w:rsidRPr="004A3418">
        <w:t>–</w:t>
      </w:r>
      <w:r w:rsidRPr="004A3418">
        <w:tab/>
      </w:r>
      <w:r w:rsidRPr="004A3418">
        <w:rPr>
          <w:b/>
          <w:bCs/>
        </w:rPr>
        <w:t>Une mobilisation importante avec une véritable participation</w:t>
      </w:r>
      <w:r w:rsidRPr="004A3418">
        <w:t>: une participation réelle des enfants à la prise de décision aidera ces derniers à maîtriser les outils numériques et à devenir autonomes dès le plus jeune âge, et favorise ainsi la croissance durable des écosystèmes numériques.</w:t>
      </w:r>
    </w:p>
    <w:p w14:paraId="416504F6" w14:textId="4648238F" w:rsidR="005E204A" w:rsidRPr="004A3418" w:rsidRDefault="005E204A" w:rsidP="008C260A">
      <w:pPr>
        <w:pStyle w:val="enumlev1"/>
      </w:pPr>
      <w:r w:rsidRPr="004A3418">
        <w:t>–</w:t>
      </w:r>
      <w:r w:rsidRPr="004A3418">
        <w:tab/>
      </w:r>
      <w:r w:rsidRPr="004A3418">
        <w:rPr>
          <w:b/>
          <w:bCs/>
        </w:rPr>
        <w:t>Adoption au niveau local des principes mondiaux en matière d'IA axés sur l</w:t>
      </w:r>
      <w:r w:rsidR="0045649F" w:rsidRPr="004A3418">
        <w:rPr>
          <w:b/>
          <w:bCs/>
        </w:rPr>
        <w:t>'</w:t>
      </w:r>
      <w:r w:rsidRPr="004A3418">
        <w:rPr>
          <w:b/>
          <w:bCs/>
        </w:rPr>
        <w:t>enfant</w:t>
      </w:r>
      <w:r w:rsidRPr="004A3418">
        <w:t>: en appliquant les principes de l</w:t>
      </w:r>
      <w:r w:rsidR="0045649F" w:rsidRPr="004A3418">
        <w:t>'</w:t>
      </w:r>
      <w:r w:rsidRPr="004A3418">
        <w:t>UNICEF et en adaptant les politiques internationales de protection des enfants éprouvées, la Malaisie sera davantage capable de protéger les enfants dans l'environnement des technologies numériques émergentes, et d'assurer ainsi une connectivité numérique durable et équitable.</w:t>
      </w:r>
    </w:p>
    <w:p w14:paraId="5B7C23B6" w14:textId="77777777" w:rsidR="005E204A" w:rsidRPr="004A3418" w:rsidRDefault="005E204A" w:rsidP="008C260A">
      <w:pPr>
        <w:pStyle w:val="Heading1"/>
      </w:pPr>
      <w:r w:rsidRPr="004A3418">
        <w:t>4</w:t>
      </w:r>
      <w:r w:rsidRPr="004A3418">
        <w:tab/>
        <w:t>Réalisations de la Malaisie concernant la connectivité numérique et la transformation numérique durable</w:t>
      </w:r>
    </w:p>
    <w:p w14:paraId="4472EEDC" w14:textId="6D1BAFF0" w:rsidR="005E204A" w:rsidRPr="004A3418" w:rsidRDefault="005E204A" w:rsidP="008C260A">
      <w:pPr>
        <w:keepNext/>
        <w:keepLines/>
        <w:jc w:val="both"/>
      </w:pPr>
      <w:r w:rsidRPr="004A3418">
        <w:t>4.1</w:t>
      </w:r>
      <w:r w:rsidRPr="004A3418">
        <w:tab/>
        <w:t>Au niveau national, les initiatives menées par la Malaisie dans le cadre du Plan</w:t>
      </w:r>
      <w:r w:rsidR="00CE42F3" w:rsidRPr="004A3418">
        <w:t> </w:t>
      </w:r>
      <w:r w:rsidRPr="004A3418">
        <w:t>JENDELA continuent de faire progresser la connectivité en ligne. Au premier trimestre de</w:t>
      </w:r>
      <w:r w:rsidR="00AB2F54" w:rsidRPr="004A3418">
        <w:t> </w:t>
      </w:r>
      <w:r w:rsidRPr="004A3418">
        <w:t>2025, plus de 9,24 millions de bâtiments avaient accès à l'Internet large bande et à la connectivité par fibre, alors que l</w:t>
      </w:r>
      <w:r w:rsidR="0045649F" w:rsidRPr="004A3418">
        <w:t>'</w:t>
      </w:r>
      <w:r w:rsidRPr="004A3418">
        <w:t>objectif initial était de 9 millions d</w:t>
      </w:r>
      <w:r w:rsidR="0045649F" w:rsidRPr="004A3418">
        <w:t>'</w:t>
      </w:r>
      <w:r w:rsidRPr="004A3418">
        <w:t>ici 2025. Le pays affiche maintenant une médiane du débit du large bande mobile de 169,04 Mbit/s et une augmentation de la couverture Internet dans les zones peuplées (98,66%), se dirigeant ainsi progressivement vers une couverture nationale complète.</w:t>
      </w:r>
    </w:p>
    <w:p w14:paraId="08423D6D" w14:textId="5A397B8E" w:rsidR="005E204A" w:rsidRPr="004A3418" w:rsidRDefault="005E204A" w:rsidP="008C260A">
      <w:pPr>
        <w:jc w:val="both"/>
      </w:pPr>
      <w:r w:rsidRPr="004A3418">
        <w:t>4.2</w:t>
      </w:r>
      <w:r w:rsidRPr="004A3418">
        <w:tab/>
        <w:t>La vision numérique plus large de la Malaisie s</w:t>
      </w:r>
      <w:r w:rsidR="0045649F" w:rsidRPr="004A3418">
        <w:t>'</w:t>
      </w:r>
      <w:r w:rsidRPr="004A3418">
        <w:t>étend au-delà des infrastructures. Le succès du déploiement de la 5G a permis de parvenir à une couverture de 82,4% dans les zones peuplées, le taux de pénétration mobile s'élevant quant à lui à 51,56%. Cette avancée contribue à élargir l</w:t>
      </w:r>
      <w:r w:rsidR="0045649F" w:rsidRPr="004A3418">
        <w:t>'</w:t>
      </w:r>
      <w:r w:rsidRPr="004A3418">
        <w:t>accès aux services numériques et offrent davantage de possibilités dans des domaines tels que l</w:t>
      </w:r>
      <w:r w:rsidR="0045649F" w:rsidRPr="004A3418">
        <w:t>'</w:t>
      </w:r>
      <w:r w:rsidRPr="004A3418">
        <w:t>éducation, les soins de santé, l</w:t>
      </w:r>
      <w:r w:rsidR="0045649F" w:rsidRPr="004A3418">
        <w:t>'</w:t>
      </w:r>
      <w:r w:rsidRPr="004A3418">
        <w:t>industrie manufacturière et le développement rural.</w:t>
      </w:r>
    </w:p>
    <w:p w14:paraId="703B275B" w14:textId="77777777" w:rsidR="005E204A" w:rsidRPr="004A3418" w:rsidRDefault="005E204A" w:rsidP="008C260A">
      <w:pPr>
        <w:jc w:val="both"/>
      </w:pPr>
      <w:r w:rsidRPr="004A3418">
        <w:t>4.3</w:t>
      </w:r>
      <w:r w:rsidRPr="004A3418">
        <w:tab/>
        <w:t>Ces initiatives sont appuyées par une forte collaboration entre les secteurs public et privé, qui contribue à garantir le caractère inclusif, équitable et durable de la transformation numérique. La Malaisie s'engage à garantir que chaque citoyen, indépendamment de son origine ou de son lieu de résidence, pourra accéder aux outils et possibilités offerts par le numérique et en tirer profit.</w:t>
      </w:r>
    </w:p>
    <w:p w14:paraId="2861C712" w14:textId="68307055" w:rsidR="005E204A" w:rsidRPr="004A3418" w:rsidRDefault="005E204A" w:rsidP="008C260A">
      <w:pPr>
        <w:jc w:val="both"/>
      </w:pPr>
      <w:r w:rsidRPr="004A3418">
        <w:t>4.4</w:t>
      </w:r>
      <w:r w:rsidRPr="004A3418">
        <w:tab/>
        <w:t>Les réalisations de la Malaisie ont également été reconnues à l'échelle internationale. Lors de l'édition de 2025 du Mobile World Congress de Barcelone, ZTE Malaysia a reçu le prix de l</w:t>
      </w:r>
      <w:r w:rsidR="0045649F" w:rsidRPr="004A3418">
        <w:t>'</w:t>
      </w:r>
      <w:r w:rsidRPr="004A3418">
        <w:t>innovation GSMA Foundry pour sa 5G privée minimaliste pour le divertissement. En outre, la Commission malaisienne des communications et du multimédia (MCMC) a été désignée lauréate des Prix du SMSI en 2023 pour le Plan JENDELA, et championne des Prix</w:t>
      </w:r>
      <w:r w:rsidR="00CE42F3" w:rsidRPr="004A3418">
        <w:t> </w:t>
      </w:r>
      <w:r w:rsidRPr="004A3418">
        <w:t xml:space="preserve">du SMSI en </w:t>
      </w:r>
      <w:r w:rsidRPr="004A3418">
        <w:lastRenderedPageBreak/>
        <w:t>2024 pour avoir sensibilisé au numérique les communautés Orang Asli. En</w:t>
      </w:r>
      <w:r w:rsidR="00CE42F3" w:rsidRPr="004A3418">
        <w:t> </w:t>
      </w:r>
      <w:r w:rsidRPr="004A3418">
        <w:t>2025, 25 initiatives menées par la Malaisie ont été présélectionnées pour les Prix du</w:t>
      </w:r>
      <w:r w:rsidR="00CE42F3" w:rsidRPr="004A3418">
        <w:t> </w:t>
      </w:r>
      <w:r w:rsidRPr="004A3418">
        <w:t>SMSI, un record pour le pays à ce jour. Parmi celles-ci, quatre (4) ont été désignées championnes des Prix du SMSI.</w:t>
      </w:r>
    </w:p>
    <w:p w14:paraId="4A1EBE80" w14:textId="4FE36508" w:rsidR="005E204A" w:rsidRPr="004A3418" w:rsidRDefault="005E204A" w:rsidP="008C260A">
      <w:pPr>
        <w:jc w:val="both"/>
      </w:pPr>
      <w:r w:rsidRPr="004A3418">
        <w:t>4.5</w:t>
      </w:r>
      <w:r w:rsidRPr="004A3418">
        <w:tab/>
        <w:t>L</w:t>
      </w:r>
      <w:r w:rsidR="0045649F" w:rsidRPr="004A3418">
        <w:t>'</w:t>
      </w:r>
      <w:r w:rsidRPr="004A3418">
        <w:t>un de ces projets est le projet NADI, qui permet aux Malaisiens de tous les horizons d</w:t>
      </w:r>
      <w:r w:rsidR="0045649F" w:rsidRPr="004A3418">
        <w:t>'</w:t>
      </w:r>
      <w:r w:rsidRPr="004A3418">
        <w:t>accéder à des programmes de maîtrise des outils numériques et de perfectionnement des compétences. Il contribue à combler le fossé entre la disponibilité et les capacités des infrastructures, et donc à faire en sorte que la connectivité débouche sur une autonomisation significative et durable.</w:t>
      </w:r>
    </w:p>
    <w:p w14:paraId="187F20D9" w14:textId="440B072C" w:rsidR="005E204A" w:rsidRPr="00DB6A5A" w:rsidRDefault="005E204A" w:rsidP="008C260A">
      <w:pPr>
        <w:jc w:val="both"/>
        <w:rPr>
          <w:spacing w:val="-2"/>
        </w:rPr>
      </w:pPr>
      <w:r w:rsidRPr="00DB6A5A">
        <w:rPr>
          <w:spacing w:val="-2"/>
        </w:rPr>
        <w:t>4.6</w:t>
      </w:r>
      <w:r w:rsidRPr="00DB6A5A">
        <w:rPr>
          <w:spacing w:val="-2"/>
        </w:rPr>
        <w:tab/>
        <w:t>Les efforts déployés à l'échelle nationale pour intégrer les femmes dans le secteur des</w:t>
      </w:r>
      <w:r w:rsidR="00CE42F3" w:rsidRPr="00DB6A5A">
        <w:rPr>
          <w:spacing w:val="-2"/>
        </w:rPr>
        <w:t> </w:t>
      </w:r>
      <w:r w:rsidRPr="00DB6A5A">
        <w:rPr>
          <w:spacing w:val="-2"/>
        </w:rPr>
        <w:t>TIC continuent de prendre de l</w:t>
      </w:r>
      <w:r w:rsidR="0045649F" w:rsidRPr="00DB6A5A">
        <w:rPr>
          <w:spacing w:val="-2"/>
        </w:rPr>
        <w:t>'</w:t>
      </w:r>
      <w:r w:rsidRPr="00DB6A5A">
        <w:rPr>
          <w:spacing w:val="-2"/>
        </w:rPr>
        <w:t>ampleur. En 2025, le ministère de l</w:t>
      </w:r>
      <w:r w:rsidR="0045649F" w:rsidRPr="00DB6A5A">
        <w:rPr>
          <w:spacing w:val="-2"/>
        </w:rPr>
        <w:t>'</w:t>
      </w:r>
      <w:r w:rsidRPr="00DB6A5A">
        <w:rPr>
          <w:spacing w:val="-2"/>
        </w:rPr>
        <w:t>éducation a annoncé qu</w:t>
      </w:r>
      <w:r w:rsidR="0045649F" w:rsidRPr="00DB6A5A">
        <w:rPr>
          <w:spacing w:val="-2"/>
        </w:rPr>
        <w:t>'</w:t>
      </w:r>
      <w:r w:rsidRPr="00DB6A5A">
        <w:rPr>
          <w:spacing w:val="-2"/>
        </w:rPr>
        <w:t>à compter de 2026, 70% des élèves en pensionnat suivront des cursus dans les domaines des sciences, de la technologie, de l'ingénierie et des mathématiques (STEM), le but étant de former 60 000 talents qualifiés pour répondre à la demande croissante des entreprises du secteur des technologies de pointe, spécialisées par exemple dans les semi-conducteurs ou l</w:t>
      </w:r>
      <w:r w:rsidR="0045649F" w:rsidRPr="00DB6A5A">
        <w:rPr>
          <w:spacing w:val="-2"/>
        </w:rPr>
        <w:t>'</w:t>
      </w:r>
      <w:r w:rsidRPr="00DB6A5A">
        <w:rPr>
          <w:spacing w:val="-2"/>
        </w:rPr>
        <w:t>électronique. Les femmes constituent maintenant 35% de la main-d</w:t>
      </w:r>
      <w:r w:rsidR="0045649F" w:rsidRPr="00DB6A5A">
        <w:rPr>
          <w:spacing w:val="-2"/>
        </w:rPr>
        <w:t>'</w:t>
      </w:r>
      <w:r w:rsidRPr="00DB6A5A">
        <w:rPr>
          <w:spacing w:val="-2"/>
        </w:rPr>
        <w:t>œuvre du secteur technologique, tandis que leur participation au marché du travail s'élevait à 51,6% en 2023. Ces statistiques sont le reflet de l</w:t>
      </w:r>
      <w:r w:rsidR="0045649F" w:rsidRPr="00DB6A5A">
        <w:rPr>
          <w:spacing w:val="-2"/>
        </w:rPr>
        <w:t>'</w:t>
      </w:r>
      <w:r w:rsidRPr="00DB6A5A">
        <w:rPr>
          <w:spacing w:val="-2"/>
        </w:rPr>
        <w:t>intérêt et des investissements croissants en matière de promotion de l</w:t>
      </w:r>
      <w:r w:rsidR="0045649F" w:rsidRPr="00DB6A5A">
        <w:rPr>
          <w:spacing w:val="-2"/>
        </w:rPr>
        <w:t>'</w:t>
      </w:r>
      <w:r w:rsidRPr="00DB6A5A">
        <w:rPr>
          <w:spacing w:val="-2"/>
        </w:rPr>
        <w:t>égalité hommes-femmes dans les domaines du numérique et de la technologie.</w:t>
      </w:r>
    </w:p>
    <w:p w14:paraId="601BF155" w14:textId="6992FCBA" w:rsidR="005E204A" w:rsidRPr="004A3418" w:rsidRDefault="005E204A" w:rsidP="008C260A">
      <w:pPr>
        <w:jc w:val="both"/>
      </w:pPr>
      <w:r w:rsidRPr="004A3418">
        <w:t>4.7</w:t>
      </w:r>
      <w:r w:rsidRPr="004A3418">
        <w:tab/>
        <w:t>Afin de renforcer l</w:t>
      </w:r>
      <w:r w:rsidR="0045649F" w:rsidRPr="004A3418">
        <w:t>'</w:t>
      </w:r>
      <w:r w:rsidRPr="004A3418">
        <w:t>autonomisation des femmes dans le secteur des TIC, plus de</w:t>
      </w:r>
      <w:r w:rsidR="00AB2F54" w:rsidRPr="004A3418">
        <w:t> </w:t>
      </w:r>
      <w:r w:rsidRPr="004A3418">
        <w:t>4</w:t>
      </w:r>
      <w:r w:rsidR="00AB2F54" w:rsidRPr="004A3418">
        <w:t> </w:t>
      </w:r>
      <w:r w:rsidRPr="004A3418">
        <w:t>000</w:t>
      </w:r>
      <w:r w:rsidR="00AB2F54" w:rsidRPr="004A3418">
        <w:t> </w:t>
      </w:r>
      <w:r w:rsidRPr="004A3418">
        <w:t>entrepreneurs, dont plus de 3 390 femmes, ont été formés dans le cadre du projet NADI. Cette initiative soutient l</w:t>
      </w:r>
      <w:r w:rsidR="0045649F" w:rsidRPr="004A3418">
        <w:t>'</w:t>
      </w:r>
      <w:r w:rsidRPr="004A3418">
        <w:t>entrepreneuriat numérique inclusif, en particulier dans les communautés défavorisées. Pour 2025, l</w:t>
      </w:r>
      <w:r w:rsidR="0045649F" w:rsidRPr="004A3418">
        <w:t>'</w:t>
      </w:r>
      <w:r w:rsidRPr="004A3418">
        <w:t>objectif est d</w:t>
      </w:r>
      <w:r w:rsidR="0045649F" w:rsidRPr="004A3418">
        <w:t>'</w:t>
      </w:r>
      <w:r w:rsidRPr="004A3418">
        <w:t>atteindre 7 000 participants, et de doter ceux-ci des compétences leur permettant de développer leurs activités grâce à des plates-formes de commerce électronique, dans le cadre de l</w:t>
      </w:r>
      <w:r w:rsidR="0045649F" w:rsidRPr="004A3418">
        <w:t>'</w:t>
      </w:r>
      <w:r w:rsidRPr="004A3418">
        <w:t>engagement de la Malaisie en faveur du développement économique local et de l</w:t>
      </w:r>
      <w:r w:rsidR="0045649F" w:rsidRPr="004A3418">
        <w:t>'</w:t>
      </w:r>
      <w:r w:rsidRPr="004A3418">
        <w:t>autonomisation des communautés.</w:t>
      </w:r>
    </w:p>
    <w:p w14:paraId="2B06352E" w14:textId="6419AC67" w:rsidR="005E204A" w:rsidRPr="004A3418" w:rsidRDefault="005E204A" w:rsidP="008C260A">
      <w:pPr>
        <w:jc w:val="both"/>
      </w:pPr>
      <w:r w:rsidRPr="004A3418">
        <w:t>4.8</w:t>
      </w:r>
      <w:r w:rsidRPr="004A3418">
        <w:tab/>
        <w:t>La Malaisie continue également de veiller à ce que l'environnement numérique soit sûr</w:t>
      </w:r>
      <w:r w:rsidR="003C5891" w:rsidRPr="004A3418">
        <w:t> </w:t>
      </w:r>
      <w:r w:rsidRPr="004A3418">
        <w:t>et sécurisé. Elle poursuit ses actions visant à protéger les utilisateurs contre les cybermenaces, à assurer la sécurité des données personnelles et à promouvoir une utilisation responsable de l'Internet. À titre d'exemple, on peut citer la campagne "Kempen</w:t>
      </w:r>
      <w:r w:rsidR="003C5891" w:rsidRPr="004A3418">
        <w:t> </w:t>
      </w:r>
      <w:r w:rsidRPr="004A3418">
        <w:t>Internet Selamat", axée sur la sensibilisation à la sécurité en ligne dans tous les segments de la société, en particulier parmi les groupes vulnérables.</w:t>
      </w:r>
    </w:p>
    <w:p w14:paraId="2832DD62" w14:textId="6F31ADB1" w:rsidR="005E204A" w:rsidRPr="004A3418" w:rsidRDefault="005E204A" w:rsidP="008C260A">
      <w:pPr>
        <w:jc w:val="both"/>
      </w:pPr>
      <w:r w:rsidRPr="004A3418">
        <w:t>4.9</w:t>
      </w:r>
      <w:r w:rsidRPr="004A3418">
        <w:tab/>
        <w:t>La Malaisie reconnaît que la transformation numérique inclusive n</w:t>
      </w:r>
      <w:r w:rsidR="0045649F" w:rsidRPr="004A3418">
        <w:t>'</w:t>
      </w:r>
      <w:r w:rsidRPr="004A3418">
        <w:t>est pas seulement une question d</w:t>
      </w:r>
      <w:r w:rsidR="0045649F" w:rsidRPr="004A3418">
        <w:t>'</w:t>
      </w:r>
      <w:r w:rsidRPr="004A3418">
        <w:t>accès, mais aussi de sécurité, de maîtrise des outils et d</w:t>
      </w:r>
      <w:r w:rsidR="0045649F" w:rsidRPr="004A3418">
        <w:t>'</w:t>
      </w:r>
      <w:r w:rsidRPr="004A3418">
        <w:t>autonomisation. À</w:t>
      </w:r>
      <w:r w:rsidR="00CE42F3" w:rsidRPr="004A3418">
        <w:t> </w:t>
      </w:r>
      <w:r w:rsidRPr="004A3418">
        <w:t>cet égard, le pays compte poursuivre ses efforts pour encourager les jeunes femmes et les communautés défavorisées à se considérer comme des chefs de file dans le domaine des</w:t>
      </w:r>
      <w:r w:rsidR="00CE42F3" w:rsidRPr="004A3418">
        <w:t> </w:t>
      </w:r>
      <w:r w:rsidRPr="004A3418">
        <w:t>TIC, dont les idées et les innovations peuvent façonner l</w:t>
      </w:r>
      <w:r w:rsidR="0045649F" w:rsidRPr="004A3418">
        <w:t>'</w:t>
      </w:r>
      <w:r w:rsidRPr="004A3418">
        <w:t>avenir du monde numérique.</w:t>
      </w:r>
    </w:p>
    <w:p w14:paraId="4263D0DE" w14:textId="77777777" w:rsidR="005E204A" w:rsidRPr="004A3418" w:rsidRDefault="005E204A" w:rsidP="008C260A">
      <w:pPr>
        <w:pStyle w:val="Heading1"/>
      </w:pPr>
      <w:r w:rsidRPr="004A3418">
        <w:t>5</w:t>
      </w:r>
      <w:r w:rsidRPr="004A3418">
        <w:tab/>
        <w:t>Conclusion</w:t>
      </w:r>
    </w:p>
    <w:p w14:paraId="0A50AD71" w14:textId="7B612C26" w:rsidR="005E204A" w:rsidRDefault="005E204A" w:rsidP="008C260A">
      <w:pPr>
        <w:jc w:val="both"/>
      </w:pPr>
      <w:r w:rsidRPr="004A3418">
        <w:t>En célébrant l'édition de 2025 de la Journée mondiale des télécommunications et de la société de l'information, l'édition de 2025 de la Journée des jeunes filles dans le secteur des</w:t>
      </w:r>
      <w:r w:rsidR="00CE42F3" w:rsidRPr="004A3418">
        <w:t> </w:t>
      </w:r>
      <w:r w:rsidRPr="004A3418">
        <w:t>TIC et le 160ème anniversaire de l</w:t>
      </w:r>
      <w:r w:rsidR="0045649F" w:rsidRPr="004A3418">
        <w:t>'</w:t>
      </w:r>
      <w:r w:rsidRPr="004A3418">
        <w:t>UIT, la Malaisie a montré comment un État Membre pouvait aligner avec succès ses initiatives nationales sur les objectifs stratégiques de l</w:t>
      </w:r>
      <w:r w:rsidR="0045649F" w:rsidRPr="004A3418">
        <w:t>'</w:t>
      </w:r>
      <w:r w:rsidRPr="004A3418">
        <w:t>UIT. Les principales réussites du pays, telles que sa couverture 5G de 82,4%, la participation de</w:t>
      </w:r>
      <w:r w:rsidR="00CE42F3" w:rsidRPr="004A3418">
        <w:t> </w:t>
      </w:r>
      <w:r w:rsidRPr="004A3418">
        <w:t>35% des femmes au secteur de la technologie et ses 25 nominations aux Prix du SMSI, mettent en lumière des modèles que d</w:t>
      </w:r>
      <w:r w:rsidR="0045649F" w:rsidRPr="004A3418">
        <w:t>'</w:t>
      </w:r>
      <w:r w:rsidRPr="004A3418">
        <w:t>autres pays peuvent appliquer. L</w:t>
      </w:r>
      <w:r w:rsidR="0045649F" w:rsidRPr="004A3418">
        <w:t>'</w:t>
      </w:r>
      <w:r w:rsidRPr="004A3418">
        <w:t xml:space="preserve">approche intégrée et multi-parties prenantes </w:t>
      </w:r>
      <w:r w:rsidRPr="004A3418">
        <w:lastRenderedPageBreak/>
        <w:t>de la Malaisie illustre l'utilisation efficace des ressources et les retombées importantes sur l'ensemble des initiatives de l</w:t>
      </w:r>
      <w:r w:rsidR="0045649F" w:rsidRPr="004A3418">
        <w:t>'</w:t>
      </w:r>
      <w:r w:rsidRPr="004A3418">
        <w:t>UIT. Cette expérience donne des informations précieuses sur les partenariats public-privé, la transformation numérique inclusive et la coopération internationale. Conformément à son engagement de longue date envers l</w:t>
      </w:r>
      <w:r w:rsidR="0045649F" w:rsidRPr="004A3418">
        <w:t>'</w:t>
      </w:r>
      <w:r w:rsidRPr="004A3418">
        <w:t>UIT depuis 1958, la Malaisie allie le développement d'infrastructures robustes et des programmes inclusifs tels que le projet NADI pour faire en sorte que la connectivité débouche sur l'autonomisation. L</w:t>
      </w:r>
      <w:r w:rsidR="0045649F" w:rsidRPr="004A3418">
        <w:t>'</w:t>
      </w:r>
      <w:r w:rsidRPr="004A3418">
        <w:t>UIT est encouragée à tirer profit de cette situation en soutenant les plates-formes de partage des connaissances et en créant des centres régionaux pour faire progresser le développement numérique à l</w:t>
      </w:r>
      <w:r w:rsidR="0045649F" w:rsidRPr="004A3418">
        <w:t>'</w:t>
      </w:r>
      <w:r w:rsidRPr="004A3418">
        <w:t>échelle mondiale.</w:t>
      </w:r>
    </w:p>
    <w:p w14:paraId="7BDCC07F" w14:textId="77777777" w:rsidR="008C260A" w:rsidRPr="004A3418" w:rsidRDefault="008C260A" w:rsidP="008C260A">
      <w:pPr>
        <w:jc w:val="both"/>
      </w:pPr>
    </w:p>
    <w:p w14:paraId="76C9B9FB" w14:textId="77777777" w:rsidR="00AB2F54" w:rsidRPr="004A3418" w:rsidRDefault="00AB2F54">
      <w:pPr>
        <w:jc w:val="center"/>
      </w:pPr>
      <w:r w:rsidRPr="004A3418">
        <w:t>______________</w:t>
      </w:r>
    </w:p>
    <w:sectPr w:rsidR="00AB2F54" w:rsidRPr="004A3418" w:rsidSect="00D72F49">
      <w:headerReference w:type="even"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D2517" w14:textId="77777777" w:rsidR="00DF251E" w:rsidRDefault="00DF251E">
      <w:r>
        <w:separator/>
      </w:r>
    </w:p>
  </w:endnote>
  <w:endnote w:type="continuationSeparator" w:id="0">
    <w:p w14:paraId="2CC2CF87" w14:textId="77777777" w:rsidR="00DF251E" w:rsidRDefault="00DF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29676" w14:textId="70795100" w:rsidR="00732045" w:rsidRDefault="004A3418">
    <w:pPr>
      <w:pStyle w:val="Footer"/>
    </w:pPr>
    <w:fldSimple w:instr=" FILENAME \p \* MERGEFORMAT ">
      <w:r w:rsidR="0045649F">
        <w:t>P:\FRA\gDoc\SG\C25\2501332F.docx</w:t>
      </w:r>
    </w:fldSimple>
    <w:r w:rsidR="00732045">
      <w:tab/>
    </w:r>
    <w:r w:rsidR="002F1B76">
      <w:fldChar w:fldCharType="begin"/>
    </w:r>
    <w:r w:rsidR="00732045">
      <w:instrText xml:space="preserve"> savedate \@ dd.MM.yy </w:instrText>
    </w:r>
    <w:r w:rsidR="002F1B76">
      <w:fldChar w:fldCharType="separate"/>
    </w:r>
    <w:r w:rsidR="00155F89">
      <w:t>05.06.25</w:t>
    </w:r>
    <w:r w:rsidR="002F1B76">
      <w:fldChar w:fldCharType="end"/>
    </w:r>
    <w:r w:rsidR="00732045">
      <w:tab/>
    </w:r>
    <w:r w:rsidR="002F1B76">
      <w:fldChar w:fldCharType="begin"/>
    </w:r>
    <w:r w:rsidR="00732045">
      <w:instrText xml:space="preserve"> printdate \@ dd.MM.yy </w:instrText>
    </w:r>
    <w:r w:rsidR="002F1B76">
      <w:fldChar w:fldCharType="separate"/>
    </w:r>
    <w:r w:rsidR="0045649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0DEA816" w14:textId="77777777" w:rsidTr="00E31DCE">
      <w:trPr>
        <w:jc w:val="center"/>
      </w:trPr>
      <w:tc>
        <w:tcPr>
          <w:tcW w:w="1803" w:type="dxa"/>
          <w:vAlign w:val="center"/>
        </w:tcPr>
        <w:p w14:paraId="7483892E" w14:textId="501CC7A7" w:rsidR="00A51849" w:rsidRDefault="00EA4E74" w:rsidP="00A51849">
          <w:pPr>
            <w:pStyle w:val="Header"/>
            <w:jc w:val="left"/>
            <w:rPr>
              <w:noProof/>
            </w:rPr>
          </w:pPr>
          <w:r>
            <w:rPr>
              <w:noProof/>
            </w:rPr>
            <w:t>2501332</w:t>
          </w:r>
        </w:p>
      </w:tc>
      <w:tc>
        <w:tcPr>
          <w:tcW w:w="8261" w:type="dxa"/>
        </w:tcPr>
        <w:p w14:paraId="7532972E" w14:textId="13FF3F0D"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EA4E74">
            <w:rPr>
              <w:bCs/>
            </w:rPr>
            <w:t>76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8E32EE1" w14:textId="77777777" w:rsidR="00732045" w:rsidRPr="00A51849" w:rsidRDefault="00732045" w:rsidP="00FC6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7E431C7D" w14:textId="77777777" w:rsidTr="00E31DCE">
      <w:trPr>
        <w:jc w:val="center"/>
      </w:trPr>
      <w:tc>
        <w:tcPr>
          <w:tcW w:w="1803" w:type="dxa"/>
          <w:vAlign w:val="center"/>
        </w:tcPr>
        <w:p w14:paraId="38B3F72C" w14:textId="77777777" w:rsidR="00A51849" w:rsidRPr="00FC6D7D" w:rsidRDefault="00FC6D7D" w:rsidP="00A51849">
          <w:pPr>
            <w:pStyle w:val="Header"/>
            <w:jc w:val="left"/>
            <w:rPr>
              <w:noProof/>
              <w:color w:val="0563C1"/>
            </w:rPr>
          </w:pPr>
          <w:hyperlink r:id="rId1" w:history="1">
            <w:r w:rsidRPr="00FC6D7D">
              <w:rPr>
                <w:rStyle w:val="Hyperlink"/>
              </w:rPr>
              <w:t>council.itu.int/2025</w:t>
            </w:r>
          </w:hyperlink>
        </w:p>
      </w:tc>
      <w:tc>
        <w:tcPr>
          <w:tcW w:w="8261" w:type="dxa"/>
        </w:tcPr>
        <w:p w14:paraId="6B1E2374" w14:textId="62264862" w:rsidR="00A51849" w:rsidRPr="00E06FD5" w:rsidRDefault="00A51849" w:rsidP="00C049D7">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FC6D7D">
            <w:rPr>
              <w:bCs/>
            </w:rPr>
            <w:t>5</w:t>
          </w:r>
          <w:r w:rsidRPr="00623AE3">
            <w:rPr>
              <w:bCs/>
            </w:rPr>
            <w:t>/</w:t>
          </w:r>
          <w:r w:rsidR="0045649F">
            <w:rPr>
              <w:bCs/>
            </w:rPr>
            <w:t>76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FA8D148" w14:textId="77777777" w:rsidR="00732045" w:rsidRPr="00A51849" w:rsidRDefault="00732045" w:rsidP="00FC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272B8" w14:textId="77777777" w:rsidR="00DF251E" w:rsidRDefault="00DF251E">
      <w:r>
        <w:t>____________________</w:t>
      </w:r>
    </w:p>
  </w:footnote>
  <w:footnote w:type="continuationSeparator" w:id="0">
    <w:p w14:paraId="18A02062" w14:textId="77777777" w:rsidR="00DF251E" w:rsidRDefault="00DF2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4A85A"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17B68CE"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4703"/>
    </w:tblGrid>
    <w:tr w:rsidR="00524E8D" w:rsidRPr="00784011" w14:paraId="232C13A2" w14:textId="77777777" w:rsidTr="00D37B53">
      <w:trPr>
        <w:trHeight w:val="1104"/>
        <w:jc w:val="center"/>
      </w:trPr>
      <w:tc>
        <w:tcPr>
          <w:tcW w:w="5317" w:type="dxa"/>
          <w:vAlign w:val="center"/>
        </w:tcPr>
        <w:p w14:paraId="4BCE9495" w14:textId="77777777" w:rsidR="00524E8D" w:rsidRDefault="00524E8D" w:rsidP="00A51849">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53475701" wp14:editId="72E19701">
                <wp:extent cx="3239444" cy="612000"/>
                <wp:effectExtent l="0" t="0" r="0" b="0"/>
                <wp:docPr id="63418348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83481"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1653"/>
                        <a:stretch/>
                      </pic:blipFill>
                      <pic:spPr bwMode="auto">
                        <a:xfrm>
                          <a:off x="0" y="0"/>
                          <a:ext cx="3239444" cy="612000"/>
                        </a:xfrm>
                        <a:prstGeom prst="rect">
                          <a:avLst/>
                        </a:prstGeom>
                        <a:ln>
                          <a:noFill/>
                        </a:ln>
                        <a:extLst>
                          <a:ext uri="{53640926-AAD7-44D8-BBD7-CCE9431645EC}">
                            <a14:shadowObscured xmlns:a14="http://schemas.microsoft.com/office/drawing/2010/main"/>
                          </a:ext>
                        </a:extLst>
                      </pic:spPr>
                    </pic:pic>
                  </a:graphicData>
                </a:graphic>
              </wp:inline>
            </w:drawing>
          </w:r>
        </w:p>
      </w:tc>
      <w:tc>
        <w:tcPr>
          <w:tcW w:w="4703" w:type="dxa"/>
        </w:tcPr>
        <w:p w14:paraId="4F26EBAC" w14:textId="77777777" w:rsidR="00524E8D" w:rsidRDefault="00524E8D" w:rsidP="00A51849">
          <w:pPr>
            <w:pStyle w:val="Header"/>
            <w:jc w:val="right"/>
            <w:rPr>
              <w:rFonts w:ascii="Arial" w:hAnsi="Arial" w:cs="Arial"/>
              <w:b/>
              <w:bCs/>
              <w:color w:val="009CD6"/>
              <w:szCs w:val="18"/>
            </w:rPr>
          </w:pPr>
        </w:p>
      </w:tc>
    </w:tr>
  </w:tbl>
  <w:p w14:paraId="6CF9E1C6"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36AF2CE" wp14:editId="48F1A2F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6EE6B"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1E"/>
    <w:rsid w:val="00070FAE"/>
    <w:rsid w:val="00076A2C"/>
    <w:rsid w:val="000D0D0A"/>
    <w:rsid w:val="00103163"/>
    <w:rsid w:val="00106B19"/>
    <w:rsid w:val="001133EF"/>
    <w:rsid w:val="00115D93"/>
    <w:rsid w:val="001247A8"/>
    <w:rsid w:val="001370B2"/>
    <w:rsid w:val="001378C0"/>
    <w:rsid w:val="00155F89"/>
    <w:rsid w:val="0018694A"/>
    <w:rsid w:val="001A3287"/>
    <w:rsid w:val="001A6508"/>
    <w:rsid w:val="001D09CF"/>
    <w:rsid w:val="001D4C31"/>
    <w:rsid w:val="001E4D21"/>
    <w:rsid w:val="00207CD1"/>
    <w:rsid w:val="00226657"/>
    <w:rsid w:val="002477A2"/>
    <w:rsid w:val="00263A51"/>
    <w:rsid w:val="00267E02"/>
    <w:rsid w:val="002A5D44"/>
    <w:rsid w:val="002C3F32"/>
    <w:rsid w:val="002C4E3D"/>
    <w:rsid w:val="002E0BC4"/>
    <w:rsid w:val="002F1B76"/>
    <w:rsid w:val="0033568E"/>
    <w:rsid w:val="00355FF5"/>
    <w:rsid w:val="00361350"/>
    <w:rsid w:val="003C3FAE"/>
    <w:rsid w:val="003C5891"/>
    <w:rsid w:val="004038CB"/>
    <w:rsid w:val="0040546F"/>
    <w:rsid w:val="004177BD"/>
    <w:rsid w:val="0042404A"/>
    <w:rsid w:val="0044618F"/>
    <w:rsid w:val="0045649F"/>
    <w:rsid w:val="0046769A"/>
    <w:rsid w:val="00475FB3"/>
    <w:rsid w:val="004A3418"/>
    <w:rsid w:val="004C37A9"/>
    <w:rsid w:val="004C599F"/>
    <w:rsid w:val="004D1D50"/>
    <w:rsid w:val="004F259E"/>
    <w:rsid w:val="00511F1D"/>
    <w:rsid w:val="00520F36"/>
    <w:rsid w:val="00524E8D"/>
    <w:rsid w:val="00534E13"/>
    <w:rsid w:val="00540615"/>
    <w:rsid w:val="00540A6D"/>
    <w:rsid w:val="00566679"/>
    <w:rsid w:val="00571EEA"/>
    <w:rsid w:val="00575417"/>
    <w:rsid w:val="005768E1"/>
    <w:rsid w:val="005B1938"/>
    <w:rsid w:val="005C3890"/>
    <w:rsid w:val="005E204A"/>
    <w:rsid w:val="005F7BFE"/>
    <w:rsid w:val="00600017"/>
    <w:rsid w:val="006235CA"/>
    <w:rsid w:val="0062366E"/>
    <w:rsid w:val="006643AB"/>
    <w:rsid w:val="006A11AE"/>
    <w:rsid w:val="006F0A53"/>
    <w:rsid w:val="007210CD"/>
    <w:rsid w:val="00732045"/>
    <w:rsid w:val="0073275D"/>
    <w:rsid w:val="007369DB"/>
    <w:rsid w:val="0077110E"/>
    <w:rsid w:val="007956C2"/>
    <w:rsid w:val="007A187E"/>
    <w:rsid w:val="007C2166"/>
    <w:rsid w:val="007C72C2"/>
    <w:rsid w:val="007D4436"/>
    <w:rsid w:val="007F257A"/>
    <w:rsid w:val="007F3665"/>
    <w:rsid w:val="00800037"/>
    <w:rsid w:val="0082299A"/>
    <w:rsid w:val="0083391C"/>
    <w:rsid w:val="00861D73"/>
    <w:rsid w:val="00871F17"/>
    <w:rsid w:val="00882919"/>
    <w:rsid w:val="00896EF9"/>
    <w:rsid w:val="00897553"/>
    <w:rsid w:val="008A4E87"/>
    <w:rsid w:val="008C260A"/>
    <w:rsid w:val="008D76E6"/>
    <w:rsid w:val="0092392D"/>
    <w:rsid w:val="0093234A"/>
    <w:rsid w:val="00956A78"/>
    <w:rsid w:val="0097363B"/>
    <w:rsid w:val="00973F53"/>
    <w:rsid w:val="009A6BAA"/>
    <w:rsid w:val="009C307F"/>
    <w:rsid w:val="009C353C"/>
    <w:rsid w:val="009F0FB8"/>
    <w:rsid w:val="00A2113E"/>
    <w:rsid w:val="00A23A51"/>
    <w:rsid w:val="00A24607"/>
    <w:rsid w:val="00A25CD3"/>
    <w:rsid w:val="00A51849"/>
    <w:rsid w:val="00A709FE"/>
    <w:rsid w:val="00A73C60"/>
    <w:rsid w:val="00A82767"/>
    <w:rsid w:val="00AA332F"/>
    <w:rsid w:val="00AA7BBB"/>
    <w:rsid w:val="00AB2F54"/>
    <w:rsid w:val="00AB64A8"/>
    <w:rsid w:val="00AC0266"/>
    <w:rsid w:val="00AD24EC"/>
    <w:rsid w:val="00B27B00"/>
    <w:rsid w:val="00B309F9"/>
    <w:rsid w:val="00B32B60"/>
    <w:rsid w:val="00B51005"/>
    <w:rsid w:val="00B61619"/>
    <w:rsid w:val="00B72025"/>
    <w:rsid w:val="00BB4545"/>
    <w:rsid w:val="00BD5873"/>
    <w:rsid w:val="00BF4B60"/>
    <w:rsid w:val="00C049D7"/>
    <w:rsid w:val="00C04BE3"/>
    <w:rsid w:val="00C25D29"/>
    <w:rsid w:val="00C27A7C"/>
    <w:rsid w:val="00C42437"/>
    <w:rsid w:val="00C719D6"/>
    <w:rsid w:val="00CA08ED"/>
    <w:rsid w:val="00CC6EAA"/>
    <w:rsid w:val="00CE42F3"/>
    <w:rsid w:val="00CF183B"/>
    <w:rsid w:val="00D375CD"/>
    <w:rsid w:val="00D37B53"/>
    <w:rsid w:val="00D553A2"/>
    <w:rsid w:val="00D72F49"/>
    <w:rsid w:val="00D774D3"/>
    <w:rsid w:val="00D904E8"/>
    <w:rsid w:val="00DA08C3"/>
    <w:rsid w:val="00DB5A3E"/>
    <w:rsid w:val="00DB6A5A"/>
    <w:rsid w:val="00DC22AA"/>
    <w:rsid w:val="00DD1A99"/>
    <w:rsid w:val="00DF251E"/>
    <w:rsid w:val="00DF4D6A"/>
    <w:rsid w:val="00DF74DD"/>
    <w:rsid w:val="00E25AD0"/>
    <w:rsid w:val="00E4428F"/>
    <w:rsid w:val="00E47427"/>
    <w:rsid w:val="00E93668"/>
    <w:rsid w:val="00E95647"/>
    <w:rsid w:val="00EA4E74"/>
    <w:rsid w:val="00EB6350"/>
    <w:rsid w:val="00F15B57"/>
    <w:rsid w:val="00F35EF4"/>
    <w:rsid w:val="00F37FE5"/>
    <w:rsid w:val="00F427DB"/>
    <w:rsid w:val="00FA5EB1"/>
    <w:rsid w:val="00FA7439"/>
    <w:rsid w:val="00FC4EC0"/>
    <w:rsid w:val="00FC6D7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4D1DD"/>
  <w15:docId w15:val="{45BEB883-BF30-46DB-8C09-EB60C02C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66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8C260A"/>
    <w:pPr>
      <w:keepNext/>
      <w:keepLines/>
      <w:spacing w:before="240"/>
      <w:ind w:left="567" w:hanging="567"/>
      <w:outlineLvl w:val="0"/>
    </w:pPr>
    <w:rPr>
      <w:b/>
      <w:sz w:val="28"/>
    </w:rPr>
  </w:style>
  <w:style w:type="paragraph" w:styleId="Heading2">
    <w:name w:val="heading 2"/>
    <w:basedOn w:val="Heading1"/>
    <w:next w:val="Normal"/>
    <w:qFormat/>
    <w:rsid w:val="008C260A"/>
    <w:pPr>
      <w:spacing w:before="20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8C260A"/>
    <w:pPr>
      <w:spacing w:before="80"/>
      <w:ind w:left="567" w:hanging="567"/>
      <w:jc w:val="both"/>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FC6D7D"/>
    <w:rPr>
      <w:rFonts w:eastAsiaTheme="minorHAnsi" w:cstheme="minorBidi"/>
      <w:color w:val="4F81BD" w:themeColor="accent1"/>
      <w:szCs w:val="22"/>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PlaceholderText">
    <w:name w:val="Placeholder Text"/>
    <w:basedOn w:val="DefaultParagraphFont"/>
    <w:uiPriority w:val="99"/>
    <w:semiHidden/>
    <w:rsid w:val="00FC6D7D"/>
    <w:rPr>
      <w:color w:val="666666"/>
    </w:rPr>
  </w:style>
  <w:style w:type="character" w:styleId="UnresolvedMention">
    <w:name w:val="Unresolved Mention"/>
    <w:basedOn w:val="DefaultParagraphFont"/>
    <w:uiPriority w:val="99"/>
    <w:semiHidden/>
    <w:unhideWhenUsed/>
    <w:rsid w:val="00FC6D7D"/>
    <w:rPr>
      <w:color w:val="605E5C"/>
      <w:shd w:val="clear" w:color="auto" w:fill="E1DFDD"/>
    </w:rPr>
  </w:style>
  <w:style w:type="character" w:styleId="CommentReference">
    <w:name w:val="annotation reference"/>
    <w:basedOn w:val="DefaultParagraphFont"/>
    <w:semiHidden/>
    <w:unhideWhenUsed/>
    <w:rsid w:val="005E204A"/>
    <w:rPr>
      <w:sz w:val="16"/>
      <w:szCs w:val="16"/>
    </w:rPr>
  </w:style>
  <w:style w:type="paragraph" w:styleId="CommentText">
    <w:name w:val="annotation text"/>
    <w:basedOn w:val="Normal"/>
    <w:link w:val="CommentTextChar"/>
    <w:unhideWhenUsed/>
    <w:rsid w:val="005E204A"/>
    <w:rPr>
      <w:sz w:val="20"/>
    </w:rPr>
  </w:style>
  <w:style w:type="character" w:customStyle="1" w:styleId="CommentTextChar">
    <w:name w:val="Comment Text Char"/>
    <w:basedOn w:val="DefaultParagraphFont"/>
    <w:link w:val="CommentText"/>
    <w:rsid w:val="005E204A"/>
    <w:rPr>
      <w:rFonts w:ascii="Calibri" w:hAnsi="Calibri"/>
      <w:lang w:val="fr-FR" w:eastAsia="en-US"/>
    </w:rPr>
  </w:style>
  <w:style w:type="paragraph" w:styleId="CommentSubject">
    <w:name w:val="annotation subject"/>
    <w:basedOn w:val="CommentText"/>
    <w:next w:val="CommentText"/>
    <w:link w:val="CommentSubjectChar"/>
    <w:semiHidden/>
    <w:unhideWhenUsed/>
    <w:rsid w:val="005E204A"/>
    <w:rPr>
      <w:b/>
      <w:bCs/>
    </w:rPr>
  </w:style>
  <w:style w:type="character" w:customStyle="1" w:styleId="CommentSubjectChar">
    <w:name w:val="Comment Subject Char"/>
    <w:basedOn w:val="CommentTextChar"/>
    <w:link w:val="CommentSubject"/>
    <w:semiHidden/>
    <w:rsid w:val="005E204A"/>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cmc.gov.my/en/media/press-releases/malaysia-komited-bina-masa-depan-lebih-inklusif-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SG\PF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PF_Council25.dotx</Template>
  <TotalTime>0</TotalTime>
  <Pages>9</Pages>
  <Words>3841</Words>
  <Characters>21816</Characters>
  <Application>Microsoft Office Word</Application>
  <DocSecurity>0</DocSecurity>
  <Lines>335</Lines>
  <Paragraphs>69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25610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 de l'édition de 2025 de la Journée mondiale des télécommunications et de la société de l'information, de l'édition de 2025 de la Journée internationale des jeunes filles dans le secteur des TIC et des célébrations du 160ème anniversaire de l'Union Internationale des Télécommunications (UIT) en Malaisie – Traduire les objectifs stratégiques de l'UIT en retombées nationales concrètes</dc:title>
  <dc:subject>Conseil 2024 de l'UIT</dc:subject>
  <cp:keywords>C2025, C25, Council-25</cp:keywords>
  <dc:description/>
  <cp:lastPrinted>2000-07-18T08:55:00Z</cp:lastPrinted>
  <dcterms:created xsi:type="dcterms:W3CDTF">2025-06-09T14:59:00Z</dcterms:created>
  <dcterms:modified xsi:type="dcterms:W3CDTF">2025-06-09T14:59:00Z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3b117b70c20e9b2783321a6b7cab6c2f080bb257cb74c6787543e88ec12dc3bd</vt:lpwstr>
  </property>
</Properties>
</file>