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79A6272F"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w:t>
            </w:r>
            <w:r w:rsidRPr="00EC6475">
              <w:rPr>
                <w:b/>
              </w:rPr>
              <w:t xml:space="preserve">item: </w:t>
            </w:r>
            <w:r w:rsidR="0040226E" w:rsidRPr="00EC6475">
              <w:rPr>
                <w:b/>
              </w:rPr>
              <w:t>ADM 1</w:t>
            </w:r>
          </w:p>
        </w:tc>
        <w:tc>
          <w:tcPr>
            <w:tcW w:w="5245" w:type="dxa"/>
          </w:tcPr>
          <w:p w14:paraId="6779937E" w14:textId="138A646B"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EC6475">
              <w:rPr>
                <w:b/>
              </w:rPr>
              <w:t>75</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1BA3CE02" w:rsidR="00AD3606" w:rsidRPr="00C0458D" w:rsidRDefault="00EC6475" w:rsidP="00AD3606">
            <w:pPr>
              <w:tabs>
                <w:tab w:val="left" w:pos="851"/>
              </w:tabs>
              <w:spacing w:before="0"/>
              <w:jc w:val="right"/>
              <w:rPr>
                <w:b/>
              </w:rPr>
            </w:pPr>
            <w:r>
              <w:rPr>
                <w:b/>
              </w:rPr>
              <w:t>28</w:t>
            </w:r>
            <w:r w:rsidR="004A3CE1">
              <w:rPr>
                <w:b/>
              </w:rPr>
              <w:t xml:space="preserve"> May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31223476" w:rsidR="00AD3606" w:rsidRPr="000F7289" w:rsidRDefault="00945CC6" w:rsidP="00945CC6">
            <w:pPr>
              <w:pStyle w:val="Source"/>
              <w:framePr w:hSpace="0" w:wrap="auto" w:vAnchor="margin" w:hAnchor="text" w:xAlign="left" w:yAlign="inline"/>
            </w:pPr>
            <w:bookmarkStart w:id="8" w:name="dsource" w:colFirst="0" w:colLast="0"/>
            <w:bookmarkEnd w:id="7"/>
            <w:r w:rsidRPr="00945CC6">
              <w:t xml:space="preserve">Contribution by </w:t>
            </w:r>
            <w:r w:rsidR="004A3CE1">
              <w:t>Indonesia</w:t>
            </w:r>
            <w:r w:rsidR="00EF21D6">
              <w:t xml:space="preserve"> (</w:t>
            </w:r>
            <w:r w:rsidR="00EF21D6">
              <w:t>Republic of</w:t>
            </w:r>
            <w:r w:rsidR="00EF21D6">
              <w:t>)</w:t>
            </w:r>
          </w:p>
        </w:tc>
      </w:tr>
      <w:tr w:rsidR="00AD3606" w:rsidRPr="00C0458D" w14:paraId="3A759762" w14:textId="77777777" w:rsidTr="00AD3606">
        <w:trPr>
          <w:cantSplit/>
        </w:trPr>
        <w:tc>
          <w:tcPr>
            <w:tcW w:w="9214" w:type="dxa"/>
            <w:gridSpan w:val="2"/>
            <w:tcMar>
              <w:left w:w="0" w:type="dxa"/>
            </w:tcMar>
          </w:tcPr>
          <w:p w14:paraId="2A2DCF47" w14:textId="02652F78" w:rsidR="00AD3606" w:rsidRPr="000F7289" w:rsidRDefault="00AB2934" w:rsidP="000F7289">
            <w:pPr>
              <w:pStyle w:val="Subtitle"/>
              <w:framePr w:hSpace="0" w:wrap="auto" w:xAlign="left" w:yAlign="inline"/>
            </w:pPr>
            <w:bookmarkStart w:id="9" w:name="_Hlk199326126"/>
            <w:bookmarkStart w:id="10" w:name="dtitle1" w:colFirst="0" w:colLast="0"/>
            <w:bookmarkEnd w:id="8"/>
            <w:r>
              <w:t>PROPOSAL FOR THE MAINTENANCE OR ENHANCEMENT OF THE ITU FELLOWSHIP BUDGET FOR THE 2026-2027 BIENNIUM</w:t>
            </w:r>
            <w:bookmarkEnd w:id="9"/>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602F71CA" w:rsidR="00AD3606" w:rsidRPr="00C0458D" w:rsidRDefault="00F16BAB" w:rsidP="00F16BAB">
            <w:pPr>
              <w:spacing w:before="160"/>
              <w:rPr>
                <w:b/>
                <w:bCs/>
                <w:sz w:val="26"/>
                <w:szCs w:val="26"/>
              </w:rPr>
            </w:pPr>
            <w:r w:rsidRPr="00C0458D">
              <w:rPr>
                <w:b/>
                <w:bCs/>
                <w:sz w:val="26"/>
                <w:szCs w:val="26"/>
              </w:rPr>
              <w:t>Purpose</w:t>
            </w:r>
          </w:p>
          <w:p w14:paraId="67D070EA" w14:textId="25BF3ABC" w:rsidR="00AD3606" w:rsidRPr="00C0458D" w:rsidRDefault="000D2B53" w:rsidP="00904D95">
            <w:pPr>
              <w:jc w:val="both"/>
            </w:pPr>
            <w:r>
              <w:t>T</w:t>
            </w:r>
            <w:r w:rsidRPr="000D2B53">
              <w:t>o request the maintenance or enhancement of the ITU fellowship budget for the 2026</w:t>
            </w:r>
            <w:r w:rsidR="00EC6475">
              <w:t>-</w:t>
            </w:r>
            <w:r w:rsidRPr="000D2B53">
              <w:t xml:space="preserve">2027 biennium to ensure </w:t>
            </w:r>
            <w:r w:rsidR="00260569">
              <w:t xml:space="preserve">the </w:t>
            </w:r>
            <w:r w:rsidRPr="000D2B53">
              <w:t xml:space="preserve">continued support for the </w:t>
            </w:r>
            <w:r w:rsidR="00260569">
              <w:t xml:space="preserve">active </w:t>
            </w:r>
            <w:r w:rsidRPr="000D2B53">
              <w:t xml:space="preserve">participation of </w:t>
            </w:r>
            <w:r w:rsidR="005F0557">
              <w:t>d</w:t>
            </w:r>
            <w:r w:rsidR="005F0557" w:rsidRPr="000D2B53">
              <w:t xml:space="preserve">eveloping </w:t>
            </w:r>
            <w:r w:rsidR="005F0557">
              <w:t>c</w:t>
            </w:r>
            <w:r w:rsidR="005F0557" w:rsidRPr="000D2B53">
              <w:t>ountries</w:t>
            </w:r>
            <w:r w:rsidR="005F0557">
              <w:t xml:space="preserve">, </w:t>
            </w:r>
            <w:r w:rsidR="005F0557" w:rsidRPr="00087D69">
              <w:rPr>
                <w:szCs w:val="24"/>
              </w:rPr>
              <w:t xml:space="preserve">least developed countries </w:t>
            </w:r>
            <w:r w:rsidR="001553F2" w:rsidRPr="00087D69">
              <w:rPr>
                <w:szCs w:val="24"/>
              </w:rPr>
              <w:t>(</w:t>
            </w:r>
            <w:proofErr w:type="spellStart"/>
            <w:r w:rsidR="001553F2" w:rsidRPr="00087D69">
              <w:rPr>
                <w:szCs w:val="24"/>
              </w:rPr>
              <w:t>LDCs</w:t>
            </w:r>
            <w:proofErr w:type="spellEnd"/>
            <w:r w:rsidR="001553F2" w:rsidRPr="00087D69">
              <w:rPr>
                <w:szCs w:val="24"/>
              </w:rPr>
              <w:t>)</w:t>
            </w:r>
            <w:r w:rsidR="001553F2">
              <w:rPr>
                <w:szCs w:val="24"/>
              </w:rPr>
              <w:t xml:space="preserve">, </w:t>
            </w:r>
            <w:r w:rsidR="005F0557">
              <w:rPr>
                <w:szCs w:val="24"/>
              </w:rPr>
              <w:t>s</w:t>
            </w:r>
            <w:r w:rsidR="005F0557" w:rsidRPr="00087D69">
              <w:rPr>
                <w:szCs w:val="24"/>
              </w:rPr>
              <w:t xml:space="preserve">mall </w:t>
            </w:r>
            <w:r w:rsidR="005F0557">
              <w:rPr>
                <w:szCs w:val="24"/>
              </w:rPr>
              <w:t>i</w:t>
            </w:r>
            <w:r w:rsidR="005F0557" w:rsidRPr="00087D69">
              <w:rPr>
                <w:szCs w:val="24"/>
              </w:rPr>
              <w:t xml:space="preserve">sland </w:t>
            </w:r>
            <w:r w:rsidR="005F0557">
              <w:rPr>
                <w:szCs w:val="24"/>
              </w:rPr>
              <w:t>d</w:t>
            </w:r>
            <w:r w:rsidR="005F0557" w:rsidRPr="00087D69">
              <w:rPr>
                <w:szCs w:val="24"/>
              </w:rPr>
              <w:t xml:space="preserve">eveloping </w:t>
            </w:r>
            <w:r w:rsidR="001553F2" w:rsidRPr="00087D69">
              <w:rPr>
                <w:szCs w:val="24"/>
              </w:rPr>
              <w:t>States (SIDS)</w:t>
            </w:r>
            <w:r w:rsidR="001553F2">
              <w:rPr>
                <w:szCs w:val="24"/>
              </w:rPr>
              <w:t xml:space="preserve">, and </w:t>
            </w:r>
            <w:r w:rsidR="005F0557">
              <w:rPr>
                <w:szCs w:val="24"/>
              </w:rPr>
              <w:t>l</w:t>
            </w:r>
            <w:r w:rsidR="005F0557" w:rsidRPr="00087D69">
              <w:rPr>
                <w:szCs w:val="24"/>
              </w:rPr>
              <w:t xml:space="preserve">andlocked </w:t>
            </w:r>
            <w:r w:rsidR="005F0557">
              <w:rPr>
                <w:szCs w:val="24"/>
              </w:rPr>
              <w:t>d</w:t>
            </w:r>
            <w:r w:rsidR="005F0557" w:rsidRPr="00087D69">
              <w:rPr>
                <w:szCs w:val="24"/>
              </w:rPr>
              <w:t xml:space="preserve">eveloping </w:t>
            </w:r>
            <w:r w:rsidR="005F0557">
              <w:rPr>
                <w:szCs w:val="24"/>
              </w:rPr>
              <w:t>c</w:t>
            </w:r>
            <w:r w:rsidR="005F0557" w:rsidRPr="00087D69">
              <w:rPr>
                <w:szCs w:val="24"/>
              </w:rPr>
              <w:t xml:space="preserve">ountries </w:t>
            </w:r>
            <w:r w:rsidR="001553F2" w:rsidRPr="00087D69">
              <w:rPr>
                <w:szCs w:val="24"/>
              </w:rPr>
              <w:t>(</w:t>
            </w:r>
            <w:proofErr w:type="spellStart"/>
            <w:r w:rsidR="001553F2" w:rsidRPr="00087D69">
              <w:rPr>
                <w:szCs w:val="24"/>
              </w:rPr>
              <w:t>LLDCs</w:t>
            </w:r>
            <w:proofErr w:type="spellEnd"/>
            <w:r w:rsidR="001553F2" w:rsidRPr="00087D69">
              <w:rPr>
                <w:szCs w:val="24"/>
              </w:rPr>
              <w:t xml:space="preserve">) </w:t>
            </w:r>
            <w:r w:rsidRPr="000D2B53">
              <w:t>in ITU activities.</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731F0870" w14:textId="4B46F4FD" w:rsidR="00453079" w:rsidRPr="00453079" w:rsidRDefault="00022A8A" w:rsidP="00904D95">
            <w:pPr>
              <w:spacing w:before="160"/>
              <w:jc w:val="both"/>
              <w:rPr>
                <w:szCs w:val="24"/>
              </w:rPr>
            </w:pPr>
            <w:r>
              <w:rPr>
                <w:szCs w:val="24"/>
              </w:rPr>
              <w:t xml:space="preserve">The Council invites to </w:t>
            </w:r>
            <w:r w:rsidRPr="00EC6475">
              <w:rPr>
                <w:b/>
                <w:bCs/>
                <w:szCs w:val="24"/>
              </w:rPr>
              <w:t>consider</w:t>
            </w:r>
            <w:r w:rsidRPr="00022A8A">
              <w:rPr>
                <w:szCs w:val="24"/>
              </w:rPr>
              <w:t xml:space="preserve"> the strategic importance of the fellowship programme in ensuring equitable participation of </w:t>
            </w:r>
            <w:r w:rsidR="005F0557">
              <w:rPr>
                <w:szCs w:val="24"/>
              </w:rPr>
              <w:t>d</w:t>
            </w:r>
            <w:r w:rsidR="005F0557" w:rsidRPr="00022A8A">
              <w:rPr>
                <w:szCs w:val="24"/>
              </w:rPr>
              <w:t xml:space="preserve">eveloping </w:t>
            </w:r>
            <w:r w:rsidR="005F0557">
              <w:rPr>
                <w:szCs w:val="24"/>
              </w:rPr>
              <w:t>c</w:t>
            </w:r>
            <w:r w:rsidR="005F0557" w:rsidRPr="00022A8A">
              <w:rPr>
                <w:szCs w:val="24"/>
              </w:rPr>
              <w:t>ountries</w:t>
            </w:r>
            <w:r w:rsidR="005F0557">
              <w:rPr>
                <w:szCs w:val="24"/>
              </w:rPr>
              <w:t xml:space="preserve">, </w:t>
            </w:r>
            <w:r w:rsidR="005F0557" w:rsidRPr="00087D69">
              <w:rPr>
                <w:szCs w:val="24"/>
              </w:rPr>
              <w:t xml:space="preserve">least developed countries </w:t>
            </w:r>
            <w:r w:rsidR="00087D69" w:rsidRPr="00087D69">
              <w:rPr>
                <w:szCs w:val="24"/>
              </w:rPr>
              <w:t>(</w:t>
            </w:r>
            <w:proofErr w:type="spellStart"/>
            <w:r w:rsidR="00087D69" w:rsidRPr="00087D69">
              <w:rPr>
                <w:szCs w:val="24"/>
              </w:rPr>
              <w:t>LDCs</w:t>
            </w:r>
            <w:proofErr w:type="spellEnd"/>
            <w:r w:rsidR="00087D69" w:rsidRPr="00087D69">
              <w:rPr>
                <w:szCs w:val="24"/>
              </w:rPr>
              <w:t>)</w:t>
            </w:r>
            <w:r w:rsidR="00087D69">
              <w:rPr>
                <w:szCs w:val="24"/>
              </w:rPr>
              <w:t xml:space="preserve">, </w:t>
            </w:r>
            <w:r w:rsidR="005F0557">
              <w:rPr>
                <w:szCs w:val="24"/>
              </w:rPr>
              <w:t>s</w:t>
            </w:r>
            <w:r w:rsidR="005F0557" w:rsidRPr="00087D69">
              <w:rPr>
                <w:szCs w:val="24"/>
              </w:rPr>
              <w:t xml:space="preserve">mall </w:t>
            </w:r>
            <w:r w:rsidR="005F0557">
              <w:rPr>
                <w:szCs w:val="24"/>
              </w:rPr>
              <w:t>i</w:t>
            </w:r>
            <w:r w:rsidR="005F0557" w:rsidRPr="00087D69">
              <w:rPr>
                <w:szCs w:val="24"/>
              </w:rPr>
              <w:t xml:space="preserve">sland </w:t>
            </w:r>
            <w:r w:rsidR="005F0557">
              <w:rPr>
                <w:szCs w:val="24"/>
              </w:rPr>
              <w:t>d</w:t>
            </w:r>
            <w:r w:rsidR="005F0557" w:rsidRPr="00087D69">
              <w:rPr>
                <w:szCs w:val="24"/>
              </w:rPr>
              <w:t xml:space="preserve">eveloping </w:t>
            </w:r>
            <w:r w:rsidR="00087D69" w:rsidRPr="00087D69">
              <w:rPr>
                <w:szCs w:val="24"/>
              </w:rPr>
              <w:t>States (SIDS)</w:t>
            </w:r>
            <w:r w:rsidR="00087D69">
              <w:rPr>
                <w:szCs w:val="24"/>
              </w:rPr>
              <w:t xml:space="preserve">, and </w:t>
            </w:r>
            <w:r w:rsidR="005F0557">
              <w:rPr>
                <w:szCs w:val="24"/>
              </w:rPr>
              <w:t>l</w:t>
            </w:r>
            <w:r w:rsidR="005F0557" w:rsidRPr="00087D69">
              <w:rPr>
                <w:szCs w:val="24"/>
              </w:rPr>
              <w:t xml:space="preserve">andlocked </w:t>
            </w:r>
            <w:r w:rsidR="005F0557">
              <w:rPr>
                <w:szCs w:val="24"/>
              </w:rPr>
              <w:t>d</w:t>
            </w:r>
            <w:r w:rsidR="005F0557" w:rsidRPr="00087D69">
              <w:rPr>
                <w:szCs w:val="24"/>
              </w:rPr>
              <w:t xml:space="preserve">eveloping </w:t>
            </w:r>
            <w:r w:rsidR="005F0557">
              <w:rPr>
                <w:szCs w:val="24"/>
              </w:rPr>
              <w:t>c</w:t>
            </w:r>
            <w:r w:rsidR="005F0557" w:rsidRPr="00087D69">
              <w:rPr>
                <w:szCs w:val="24"/>
              </w:rPr>
              <w:t xml:space="preserve">ountries </w:t>
            </w:r>
            <w:r w:rsidR="00087D69" w:rsidRPr="00087D69">
              <w:rPr>
                <w:szCs w:val="24"/>
              </w:rPr>
              <w:t>(</w:t>
            </w:r>
            <w:proofErr w:type="spellStart"/>
            <w:r w:rsidR="00087D69" w:rsidRPr="00087D69">
              <w:rPr>
                <w:szCs w:val="24"/>
              </w:rPr>
              <w:t>LLDCs</w:t>
            </w:r>
            <w:proofErr w:type="spellEnd"/>
            <w:r w:rsidR="00087D69" w:rsidRPr="00087D69">
              <w:rPr>
                <w:szCs w:val="24"/>
              </w:rPr>
              <w:t xml:space="preserve">) </w:t>
            </w:r>
            <w:r w:rsidRPr="00022A8A">
              <w:rPr>
                <w:szCs w:val="24"/>
              </w:rPr>
              <w:t>in ITU activities.</w:t>
            </w:r>
          </w:p>
          <w:p w14:paraId="08939791" w14:textId="77777777" w:rsidR="00C0458D" w:rsidRDefault="00C0458D">
            <w:r>
              <w:t>_______________</w:t>
            </w:r>
          </w:p>
          <w:p w14:paraId="212A584A" w14:textId="61454405" w:rsidR="00AD3606" w:rsidRPr="00C0458D" w:rsidRDefault="00AD3606" w:rsidP="00F16BAB">
            <w:pPr>
              <w:spacing w:before="160"/>
              <w:rPr>
                <w:b/>
                <w:bCs/>
                <w:sz w:val="26"/>
                <w:szCs w:val="26"/>
              </w:rPr>
            </w:pPr>
            <w:r w:rsidRPr="00C0458D">
              <w:rPr>
                <w:b/>
                <w:bCs/>
                <w:sz w:val="26"/>
                <w:szCs w:val="26"/>
              </w:rPr>
              <w:t>References</w:t>
            </w:r>
          </w:p>
          <w:p w14:paraId="7089D4B7" w14:textId="5A31D204" w:rsidR="00AD3606" w:rsidRPr="00AB2934" w:rsidRDefault="00E2488F" w:rsidP="00F16BAB">
            <w:pPr>
              <w:spacing w:after="160"/>
              <w:rPr>
                <w:i/>
                <w:iCs/>
                <w:sz w:val="22"/>
                <w:szCs w:val="22"/>
              </w:rPr>
            </w:pPr>
            <w:r w:rsidRPr="00AB2934">
              <w:rPr>
                <w:i/>
                <w:iCs/>
                <w:sz w:val="22"/>
                <w:szCs w:val="22"/>
              </w:rPr>
              <w:t xml:space="preserve">Document </w:t>
            </w:r>
            <w:hyperlink r:id="rId11" w:history="1">
              <w:r w:rsidRPr="00AB2934">
                <w:rPr>
                  <w:rStyle w:val="Hyperlink"/>
                  <w:i/>
                  <w:iCs/>
                  <w:sz w:val="22"/>
                  <w:szCs w:val="22"/>
                </w:rPr>
                <w:t>C25/47</w:t>
              </w:r>
            </w:hyperlink>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52958905" w14:textId="1166524A" w:rsidR="0090147A" w:rsidRPr="00C0458D" w:rsidRDefault="0090147A" w:rsidP="004A3CE1">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1"/>
    <w:p w14:paraId="13C56757" w14:textId="2D6C920C" w:rsidR="000D2B53" w:rsidRPr="00AB2934" w:rsidRDefault="008511E9" w:rsidP="00AB2934">
      <w:pPr>
        <w:pStyle w:val="Heading1"/>
      </w:pPr>
      <w:r w:rsidRPr="00AB2934">
        <w:lastRenderedPageBreak/>
        <w:t>1</w:t>
      </w:r>
      <w:r w:rsidR="00AB2934">
        <w:tab/>
      </w:r>
      <w:r w:rsidRPr="00AB2934">
        <w:t xml:space="preserve">Background and </w:t>
      </w:r>
      <w:r w:rsidR="00AB2934" w:rsidRPr="00AB2934">
        <w:t>rationale</w:t>
      </w:r>
    </w:p>
    <w:p w14:paraId="171A3C64" w14:textId="493411D7" w:rsidR="000D2B53" w:rsidRPr="000D2B53" w:rsidRDefault="00087D69" w:rsidP="00AB2934">
      <w:pPr>
        <w:jc w:val="both"/>
        <w:rPr>
          <w:lang w:val="en-ID"/>
        </w:rPr>
      </w:pPr>
      <w:r w:rsidRPr="00087D69">
        <w:t>One of the longstanding objectives of the International Telecommunication Union (ITU) is to ensure that all Member States</w:t>
      </w:r>
      <w:r w:rsidR="00AB2934">
        <w:t xml:space="preserve"> </w:t>
      </w:r>
      <w:r w:rsidRPr="00087D69">
        <w:t xml:space="preserve">—particularly </w:t>
      </w:r>
      <w:r w:rsidR="00BD665E">
        <w:t>d</w:t>
      </w:r>
      <w:r w:rsidR="00BD665E" w:rsidRPr="00087D69">
        <w:t xml:space="preserve">eveloping </w:t>
      </w:r>
      <w:r w:rsidR="00BD665E">
        <w:t>c</w:t>
      </w:r>
      <w:r w:rsidR="00BD665E" w:rsidRPr="00087D69">
        <w:t>ountries</w:t>
      </w:r>
      <w:r>
        <w:t xml:space="preserve">, </w:t>
      </w:r>
      <w:proofErr w:type="spellStart"/>
      <w:r>
        <w:t>LDCs</w:t>
      </w:r>
      <w:proofErr w:type="spellEnd"/>
      <w:r>
        <w:t xml:space="preserve">, SIDS, </w:t>
      </w:r>
      <w:proofErr w:type="spellStart"/>
      <w:r>
        <w:t>LLDCs</w:t>
      </w:r>
      <w:proofErr w:type="spellEnd"/>
      <w:r w:rsidRPr="00087D69">
        <w:t>—</w:t>
      </w:r>
      <w:r w:rsidR="00AB2934">
        <w:t xml:space="preserve"> </w:t>
      </w:r>
      <w:r w:rsidRPr="00087D69">
        <w:t xml:space="preserve">can effectively engage in and benefit from the Union’s activities. The fellowship programme plays a critical role in achieving this objective by supporting participation </w:t>
      </w:r>
      <w:r w:rsidR="00260569">
        <w:t xml:space="preserve">of those countries </w:t>
      </w:r>
      <w:r w:rsidRPr="00087D69">
        <w:t>in technical meetings, study group activities, workshops, capacity-building programmes, and regional or global development initiatives organized by the Union, primarily under ITU-D and other relevant sectors.</w:t>
      </w:r>
    </w:p>
    <w:p w14:paraId="1BC8D141" w14:textId="0BC3A5CF" w:rsidR="00087D69" w:rsidRPr="00087D69" w:rsidRDefault="00087D69" w:rsidP="00AB2934">
      <w:pPr>
        <w:jc w:val="both"/>
        <w:rPr>
          <w:lang w:val="en-ID"/>
        </w:rPr>
      </w:pPr>
      <w:r w:rsidRPr="00087D69">
        <w:rPr>
          <w:lang w:val="en-ID"/>
        </w:rPr>
        <w:t>According to the draft budget for the 2026</w:t>
      </w:r>
      <w:r w:rsidR="00A468BA">
        <w:rPr>
          <w:lang w:val="en-ID"/>
        </w:rPr>
        <w:t>-</w:t>
      </w:r>
      <w:r w:rsidRPr="00087D69">
        <w:rPr>
          <w:lang w:val="en-ID"/>
        </w:rPr>
        <w:t xml:space="preserve">2027 biennium (Document </w:t>
      </w:r>
      <w:hyperlink r:id="rId12" w:history="1">
        <w:r w:rsidRPr="0024720B">
          <w:rPr>
            <w:rStyle w:val="Hyperlink"/>
          </w:rPr>
          <w:t>C25/47</w:t>
        </w:r>
      </w:hyperlink>
      <w:r w:rsidRPr="00087D69">
        <w:rPr>
          <w:lang w:val="en-ID"/>
        </w:rPr>
        <w:t xml:space="preserve">), the allocation for fellowships is proposed to be reduced to </w:t>
      </w:r>
      <w:r w:rsidRPr="00087D69">
        <w:rPr>
          <w:b/>
          <w:bCs/>
          <w:lang w:val="en-ID"/>
        </w:rPr>
        <w:t>KCHF</w:t>
      </w:r>
      <w:r w:rsidR="00EC6475">
        <w:rPr>
          <w:b/>
          <w:bCs/>
          <w:lang w:val="en-ID"/>
        </w:rPr>
        <w:t> </w:t>
      </w:r>
      <w:r w:rsidRPr="00087D69">
        <w:rPr>
          <w:b/>
          <w:bCs/>
          <w:lang w:val="en-ID"/>
        </w:rPr>
        <w:t>1</w:t>
      </w:r>
      <w:r w:rsidR="00AB2934">
        <w:rPr>
          <w:b/>
          <w:bCs/>
          <w:lang w:val="en-ID"/>
        </w:rPr>
        <w:t> </w:t>
      </w:r>
      <w:r w:rsidRPr="00087D69">
        <w:rPr>
          <w:b/>
          <w:bCs/>
          <w:lang w:val="en-ID"/>
        </w:rPr>
        <w:t>818</w:t>
      </w:r>
      <w:r w:rsidRPr="00087D69">
        <w:rPr>
          <w:lang w:val="en-ID"/>
        </w:rPr>
        <w:t xml:space="preserve">, down from </w:t>
      </w:r>
      <w:r w:rsidRPr="00087D69">
        <w:rPr>
          <w:b/>
          <w:bCs/>
          <w:lang w:val="en-ID"/>
        </w:rPr>
        <w:t>KCHF</w:t>
      </w:r>
      <w:r w:rsidR="00EC6475">
        <w:rPr>
          <w:b/>
          <w:bCs/>
          <w:lang w:val="en-ID"/>
        </w:rPr>
        <w:t> </w:t>
      </w:r>
      <w:r w:rsidRPr="00087D69">
        <w:rPr>
          <w:b/>
          <w:bCs/>
          <w:lang w:val="en-ID"/>
        </w:rPr>
        <w:t>2</w:t>
      </w:r>
      <w:r w:rsidR="00AB2934">
        <w:rPr>
          <w:b/>
          <w:bCs/>
          <w:lang w:val="en-ID"/>
        </w:rPr>
        <w:t> </w:t>
      </w:r>
      <w:r w:rsidRPr="00087D69">
        <w:rPr>
          <w:b/>
          <w:bCs/>
          <w:lang w:val="en-ID"/>
        </w:rPr>
        <w:t>361</w:t>
      </w:r>
      <w:r w:rsidRPr="00087D69">
        <w:rPr>
          <w:lang w:val="en-ID"/>
        </w:rPr>
        <w:t xml:space="preserve"> in the 2024</w:t>
      </w:r>
      <w:r w:rsidR="00AB2934">
        <w:rPr>
          <w:lang w:val="en-ID"/>
        </w:rPr>
        <w:noBreakHyphen/>
      </w:r>
      <w:r w:rsidRPr="00087D69">
        <w:rPr>
          <w:lang w:val="en-ID"/>
        </w:rPr>
        <w:t>2025 biennium. While this decrease reflects broader budgetary adjustments, it may significantly impact the ability of developing countries to participate in key knowledge-sharing platforms and technical capacity-building activities of the Union.</w:t>
      </w:r>
    </w:p>
    <w:p w14:paraId="121D2D3D" w14:textId="2D3F484B" w:rsidR="000D2B53" w:rsidRPr="008E7E25" w:rsidRDefault="00087D69" w:rsidP="00AB2934">
      <w:pPr>
        <w:jc w:val="both"/>
      </w:pPr>
      <w:r w:rsidRPr="00087D69">
        <w:rPr>
          <w:lang w:val="en-ID"/>
        </w:rPr>
        <w:t xml:space="preserve">Fellowships are primarily allocated to support participation in recurring technical engagements that contribute directly to building national expertise and aligning domestic frameworks with international best practices. In the current context of accelerated digital transformation and widening disparities in technological readiness, the fellowship </w:t>
      </w:r>
      <w:r w:rsidR="00260569">
        <w:rPr>
          <w:lang w:val="en-ID"/>
        </w:rPr>
        <w:t>support</w:t>
      </w:r>
      <w:r w:rsidR="00260569" w:rsidRPr="00087D69">
        <w:rPr>
          <w:lang w:val="en-ID"/>
        </w:rPr>
        <w:t xml:space="preserve"> </w:t>
      </w:r>
      <w:r w:rsidRPr="00087D69">
        <w:rPr>
          <w:lang w:val="en-ID"/>
        </w:rPr>
        <w:t>remains an essential tool for bridging capacity gaps and promoting equitable development.</w:t>
      </w:r>
    </w:p>
    <w:p w14:paraId="1CCB5F42" w14:textId="19306129" w:rsidR="00087D69" w:rsidRPr="000D2B53" w:rsidRDefault="00087D69" w:rsidP="00AB2934">
      <w:pPr>
        <w:jc w:val="both"/>
        <w:rPr>
          <w:lang w:val="en-ID"/>
        </w:rPr>
      </w:pPr>
      <w:r w:rsidRPr="00087D69">
        <w:t xml:space="preserve">Indonesia respectfully </w:t>
      </w:r>
      <w:r w:rsidR="00791BC5" w:rsidRPr="00C644E2">
        <w:t>urges</w:t>
      </w:r>
      <w:r w:rsidRPr="00087D69">
        <w:t xml:space="preserve"> that the fellowship budget for the 2026</w:t>
      </w:r>
      <w:r w:rsidR="00A468BA">
        <w:t>-</w:t>
      </w:r>
      <w:r w:rsidRPr="00087D69">
        <w:t>2027 biennium be maintained at least at the 2024</w:t>
      </w:r>
      <w:r w:rsidR="00A468BA">
        <w:t>-</w:t>
      </w:r>
      <w:r w:rsidRPr="00087D69">
        <w:t xml:space="preserve">2025 level, or </w:t>
      </w:r>
      <w:r w:rsidR="00EF21D6">
        <w:t>increased</w:t>
      </w:r>
      <w:r w:rsidRPr="00C644E2">
        <w:t xml:space="preserve"> where feasible</w:t>
      </w:r>
      <w:r w:rsidRPr="00087D69">
        <w:t>, to reflect the growing demand for inclusive access to technical and development-oriented activities.</w:t>
      </w:r>
    </w:p>
    <w:p w14:paraId="18880AFF" w14:textId="2460F4C9" w:rsidR="008E7E25" w:rsidRPr="000D2B53" w:rsidRDefault="008E7E25" w:rsidP="00AB2934">
      <w:pPr>
        <w:jc w:val="both"/>
        <w:rPr>
          <w:lang w:val="en-ID"/>
        </w:rPr>
      </w:pPr>
      <w:r w:rsidRPr="008E7E25">
        <w:t xml:space="preserve">This proposal does not call for an increase in the overall budget ceiling. </w:t>
      </w:r>
      <w:r>
        <w:t xml:space="preserve">It </w:t>
      </w:r>
      <w:r w:rsidRPr="008E7E25">
        <w:t>advocates for a strategic realignment of existing allocations to safeguard fellowship funding. Potential areas for internal cost optimization include</w:t>
      </w:r>
      <w:r w:rsidR="00EF21D6">
        <w:t>,</w:t>
      </w:r>
      <w:r w:rsidR="000A4CFD">
        <w:t xml:space="preserve"> but not limited to</w:t>
      </w:r>
      <w:r w:rsidRPr="008E7E25">
        <w:t>:</w:t>
      </w:r>
    </w:p>
    <w:p w14:paraId="22020B91" w14:textId="2F8F4D78" w:rsidR="00E2488F" w:rsidRPr="00AB2934" w:rsidRDefault="00A468BA" w:rsidP="00AB2934">
      <w:pPr>
        <w:pStyle w:val="enumlev1"/>
        <w:jc w:val="both"/>
        <w:rPr>
          <w:lang w:val="en-ID"/>
        </w:rPr>
      </w:pPr>
      <w:r w:rsidRPr="00A468BA">
        <w:rPr>
          <w:lang w:val="en-ID"/>
        </w:rPr>
        <w:t>–</w:t>
      </w:r>
      <w:r w:rsidRPr="00A468BA">
        <w:rPr>
          <w:lang w:val="en-ID"/>
        </w:rPr>
        <w:tab/>
      </w:r>
      <w:r w:rsidR="00E2488F" w:rsidRPr="00AB2934">
        <w:rPr>
          <w:b/>
          <w:bCs/>
          <w:lang w:val="en-ID"/>
        </w:rPr>
        <w:t>Official travel</w:t>
      </w:r>
      <w:r w:rsidR="00E2488F" w:rsidRPr="00AB2934">
        <w:rPr>
          <w:lang w:val="en-ID"/>
        </w:rPr>
        <w:t>: Non-essential travel can be minimized through greater use of virtual meetings.</w:t>
      </w:r>
      <w:r w:rsidR="008E7E25" w:rsidRPr="00AB2934">
        <w:rPr>
          <w:lang w:val="en-ID"/>
        </w:rPr>
        <w:t xml:space="preserve"> </w:t>
      </w:r>
    </w:p>
    <w:p w14:paraId="43827D69" w14:textId="63C0FF03" w:rsidR="00E2488F" w:rsidRPr="00AB2934" w:rsidRDefault="00A468BA" w:rsidP="00AB2934">
      <w:pPr>
        <w:pStyle w:val="enumlev1"/>
        <w:jc w:val="both"/>
        <w:rPr>
          <w:rFonts w:cstheme="minorHAnsi"/>
          <w:szCs w:val="24"/>
          <w:lang w:val="en-ID"/>
        </w:rPr>
      </w:pPr>
      <w:r w:rsidRPr="00A468BA">
        <w:rPr>
          <w:lang w:val="en-ID"/>
        </w:rPr>
        <w:t>–</w:t>
      </w:r>
      <w:r w:rsidRPr="00A468BA">
        <w:rPr>
          <w:lang w:val="en-ID"/>
        </w:rPr>
        <w:tab/>
      </w:r>
      <w:r w:rsidR="00E2488F" w:rsidRPr="00AB2934">
        <w:rPr>
          <w:rFonts w:cstheme="minorHAnsi"/>
          <w:b/>
          <w:bCs/>
          <w:szCs w:val="24"/>
          <w:lang w:val="en-ID"/>
        </w:rPr>
        <w:t>Procurement</w:t>
      </w:r>
      <w:r w:rsidR="00E2488F" w:rsidRPr="00AB2934">
        <w:rPr>
          <w:rFonts w:cstheme="minorHAnsi"/>
          <w:szCs w:val="24"/>
          <w:lang w:val="en-ID"/>
        </w:rPr>
        <w:t>: Prioritization of essential materials and deferment of non-critical items can yield savings.</w:t>
      </w:r>
      <w:r w:rsidR="008E7E25" w:rsidRPr="00AB2934">
        <w:rPr>
          <w:rFonts w:cstheme="minorHAnsi"/>
          <w:szCs w:val="24"/>
          <w:lang w:val="en-ID"/>
        </w:rPr>
        <w:t xml:space="preserve"> </w:t>
      </w:r>
    </w:p>
    <w:p w14:paraId="001206C8" w14:textId="06BB63B6" w:rsidR="00E2488F" w:rsidRPr="00AB2934" w:rsidRDefault="00A468BA" w:rsidP="00AB2934">
      <w:pPr>
        <w:pStyle w:val="enumlev1"/>
        <w:jc w:val="both"/>
        <w:rPr>
          <w:rFonts w:cstheme="minorHAnsi"/>
          <w:szCs w:val="24"/>
          <w:lang w:val="en-ID"/>
        </w:rPr>
      </w:pPr>
      <w:r w:rsidRPr="00A468BA">
        <w:rPr>
          <w:lang w:val="en-ID"/>
        </w:rPr>
        <w:t>–</w:t>
      </w:r>
      <w:r w:rsidRPr="00A468BA">
        <w:rPr>
          <w:lang w:val="en-ID"/>
        </w:rPr>
        <w:tab/>
      </w:r>
      <w:r w:rsidR="00E2488F" w:rsidRPr="00AB2934">
        <w:rPr>
          <w:rFonts w:cstheme="minorHAnsi"/>
          <w:b/>
          <w:bCs/>
          <w:szCs w:val="24"/>
          <w:lang w:val="en-ID"/>
        </w:rPr>
        <w:t>IT investments</w:t>
      </w:r>
      <w:r w:rsidR="00E2488F" w:rsidRPr="00AB2934">
        <w:rPr>
          <w:rFonts w:cstheme="minorHAnsi"/>
          <w:szCs w:val="24"/>
          <w:lang w:val="en-ID"/>
        </w:rPr>
        <w:t xml:space="preserve">: </w:t>
      </w:r>
      <w:r w:rsidR="008E7E25" w:rsidRPr="00AB2934">
        <w:rPr>
          <w:rFonts w:cstheme="minorHAnsi"/>
          <w:szCs w:val="24"/>
        </w:rPr>
        <w:t>Postponing non-urgent digital infrastructure projects could help preserve resources without disrupting core operations.</w:t>
      </w:r>
    </w:p>
    <w:p w14:paraId="7AE0D8E8" w14:textId="26266AC9" w:rsidR="008511E9" w:rsidRPr="00AB2934" w:rsidRDefault="00E01D5B" w:rsidP="00AB2934">
      <w:pPr>
        <w:pStyle w:val="Heading1"/>
      </w:pPr>
      <w:r w:rsidRPr="00AB2934">
        <w:t>2</w:t>
      </w:r>
      <w:r w:rsidR="00AB2934">
        <w:tab/>
      </w:r>
      <w:r w:rsidR="008511E9" w:rsidRPr="00AB2934">
        <w:t xml:space="preserve">Strategic </w:t>
      </w:r>
      <w:r w:rsidR="00AB2934" w:rsidRPr="00AB2934">
        <w:t>importance and expected benefits</w:t>
      </w:r>
    </w:p>
    <w:p w14:paraId="5879AB7A" w14:textId="77777777" w:rsidR="000D2B53" w:rsidRPr="000D2B53" w:rsidRDefault="000D2B53" w:rsidP="00A468BA">
      <w:pPr>
        <w:jc w:val="both"/>
        <w:rPr>
          <w:lang w:val="en-ID"/>
        </w:rPr>
      </w:pPr>
      <w:r w:rsidRPr="000D2B53">
        <w:rPr>
          <w:lang w:val="en-ID"/>
        </w:rPr>
        <w:t>Maintaining an adequate fellowship budget ensures that:</w:t>
      </w:r>
    </w:p>
    <w:p w14:paraId="4EB459F6" w14:textId="7130DB16" w:rsidR="000D2B53" w:rsidRPr="000D2B53" w:rsidRDefault="00A468BA" w:rsidP="00AB2934">
      <w:pPr>
        <w:pStyle w:val="enumlev1"/>
        <w:jc w:val="both"/>
        <w:rPr>
          <w:lang w:val="en-ID"/>
        </w:rPr>
      </w:pPr>
      <w:r w:rsidRPr="00A468BA">
        <w:rPr>
          <w:lang w:val="en-ID"/>
        </w:rPr>
        <w:t>–</w:t>
      </w:r>
      <w:r w:rsidRPr="00A468BA">
        <w:rPr>
          <w:lang w:val="en-ID"/>
        </w:rPr>
        <w:tab/>
      </w:r>
      <w:r w:rsidR="000D2B53" w:rsidRPr="000D2B53">
        <w:rPr>
          <w:b/>
          <w:bCs/>
          <w:lang w:val="en-ID"/>
        </w:rPr>
        <w:t>Technical training and knowledge-sharing</w:t>
      </w:r>
      <w:r w:rsidR="000D2B53" w:rsidRPr="000D2B53">
        <w:rPr>
          <w:lang w:val="en-ID"/>
        </w:rPr>
        <w:t xml:space="preserve"> reach more </w:t>
      </w:r>
      <w:r w:rsidR="000D2B53" w:rsidRPr="00AB2934">
        <w:rPr>
          <w:rFonts w:cstheme="minorHAnsi"/>
          <w:szCs w:val="24"/>
        </w:rPr>
        <w:t>countries</w:t>
      </w:r>
      <w:r w:rsidR="000D2B53" w:rsidRPr="000D2B53">
        <w:rPr>
          <w:lang w:val="en-ID"/>
        </w:rPr>
        <w:t>, particularly those with limited domestic funding for international participation.</w:t>
      </w:r>
    </w:p>
    <w:p w14:paraId="77EC08C2" w14:textId="636E7A71" w:rsidR="000D2B53" w:rsidRPr="000D2B53" w:rsidRDefault="00A468BA" w:rsidP="00AB2934">
      <w:pPr>
        <w:pStyle w:val="enumlev1"/>
        <w:jc w:val="both"/>
        <w:rPr>
          <w:lang w:val="en-ID"/>
        </w:rPr>
      </w:pPr>
      <w:r w:rsidRPr="00A468BA">
        <w:rPr>
          <w:lang w:val="en-ID"/>
        </w:rPr>
        <w:t>–</w:t>
      </w:r>
      <w:r w:rsidRPr="00A468BA">
        <w:rPr>
          <w:lang w:val="en-ID"/>
        </w:rPr>
        <w:tab/>
      </w:r>
      <w:r w:rsidR="000D2B53" w:rsidRPr="000D2B53">
        <w:rPr>
          <w:b/>
          <w:bCs/>
          <w:lang w:val="en-ID"/>
        </w:rPr>
        <w:t>National and regional ICT priorities</w:t>
      </w:r>
      <w:r w:rsidR="000D2B53" w:rsidRPr="000D2B53">
        <w:rPr>
          <w:lang w:val="en-ID"/>
        </w:rPr>
        <w:t xml:space="preserve"> are better represented in ITU’s technical standards and development work.</w:t>
      </w:r>
    </w:p>
    <w:p w14:paraId="3518E4E0" w14:textId="53591F92" w:rsidR="000D2B53" w:rsidRPr="000D2B53" w:rsidRDefault="00A468BA" w:rsidP="00AB2934">
      <w:pPr>
        <w:pStyle w:val="enumlev1"/>
        <w:jc w:val="both"/>
        <w:rPr>
          <w:lang w:val="en-ID"/>
        </w:rPr>
      </w:pPr>
      <w:r w:rsidRPr="00A468BA">
        <w:rPr>
          <w:lang w:val="en-ID"/>
        </w:rPr>
        <w:t>–</w:t>
      </w:r>
      <w:r w:rsidRPr="00A468BA">
        <w:rPr>
          <w:lang w:val="en-ID"/>
        </w:rPr>
        <w:tab/>
      </w:r>
      <w:r w:rsidR="000D2B53" w:rsidRPr="000D2B53">
        <w:rPr>
          <w:b/>
          <w:bCs/>
          <w:lang w:val="en-ID"/>
        </w:rPr>
        <w:t xml:space="preserve">Developing countries </w:t>
      </w:r>
      <w:r w:rsidR="00771E25" w:rsidRPr="00C644E2">
        <w:rPr>
          <w:b/>
          <w:bCs/>
          <w:lang w:val="en-ID"/>
        </w:rPr>
        <w:t xml:space="preserve">are </w:t>
      </w:r>
      <w:r w:rsidR="000D2B53" w:rsidRPr="00C644E2">
        <w:rPr>
          <w:b/>
          <w:bCs/>
          <w:lang w:val="en-ID"/>
        </w:rPr>
        <w:t>build</w:t>
      </w:r>
      <w:r w:rsidR="00771E25" w:rsidRPr="00C644E2">
        <w:rPr>
          <w:b/>
          <w:bCs/>
          <w:lang w:val="en-ID"/>
        </w:rPr>
        <w:t>ing</w:t>
      </w:r>
      <w:r w:rsidR="000D2B53" w:rsidRPr="000D2B53">
        <w:rPr>
          <w:b/>
          <w:bCs/>
          <w:lang w:val="en-ID"/>
        </w:rPr>
        <w:t xml:space="preserve"> local capacity</w:t>
      </w:r>
      <w:r w:rsidR="000D2B53" w:rsidRPr="000D2B53">
        <w:rPr>
          <w:lang w:val="en-ID"/>
        </w:rPr>
        <w:t xml:space="preserve">, thus accelerating progress toward the Sustainable Development Goals (SDGs), especially SDG 9 </w:t>
      </w:r>
      <w:r w:rsidR="000D2B53" w:rsidRPr="00AB2934">
        <w:rPr>
          <w:rFonts w:cstheme="minorHAnsi"/>
          <w:szCs w:val="24"/>
        </w:rPr>
        <w:t>on</w:t>
      </w:r>
      <w:r w:rsidR="000D2B53" w:rsidRPr="000D2B53">
        <w:rPr>
          <w:lang w:val="en-ID"/>
        </w:rPr>
        <w:t xml:space="preserve"> industry, innovation, and infrastructure.</w:t>
      </w:r>
    </w:p>
    <w:p w14:paraId="17113C85" w14:textId="60CDFAD9" w:rsidR="000D2B53" w:rsidRPr="000D2B53" w:rsidRDefault="00A468BA" w:rsidP="00E63313">
      <w:pPr>
        <w:pStyle w:val="enumlev1"/>
        <w:jc w:val="both"/>
        <w:rPr>
          <w:lang w:val="en-ID"/>
        </w:rPr>
      </w:pPr>
      <w:r w:rsidRPr="00A468BA">
        <w:rPr>
          <w:lang w:val="en-ID"/>
        </w:rPr>
        <w:t>–</w:t>
      </w:r>
      <w:r w:rsidR="00AB2934" w:rsidRPr="000D2B53">
        <w:rPr>
          <w:rFonts w:ascii="Symbol" w:hAnsi="Symbol"/>
          <w:sz w:val="20"/>
          <w:lang w:val="en-ID"/>
        </w:rPr>
        <w:tab/>
      </w:r>
      <w:r w:rsidR="000D2B53" w:rsidRPr="000D2B53">
        <w:rPr>
          <w:b/>
          <w:bCs/>
          <w:lang w:val="en-ID"/>
        </w:rPr>
        <w:t>Equity and balance</w:t>
      </w:r>
      <w:r w:rsidR="000D2B53" w:rsidRPr="000D2B53">
        <w:rPr>
          <w:lang w:val="en-ID"/>
        </w:rPr>
        <w:t xml:space="preserve"> are preserved in global digital </w:t>
      </w:r>
      <w:r w:rsidR="000D2B53" w:rsidRPr="00E63313">
        <w:rPr>
          <w:rFonts w:cstheme="minorHAnsi"/>
          <w:szCs w:val="24"/>
        </w:rPr>
        <w:t>policy</w:t>
      </w:r>
      <w:r w:rsidR="000D2B53" w:rsidRPr="000D2B53">
        <w:rPr>
          <w:lang w:val="en-ID"/>
        </w:rPr>
        <w:t xml:space="preserve"> development, ensuring that no country is left behind in the digital age.</w:t>
      </w:r>
    </w:p>
    <w:p w14:paraId="0B4B7750" w14:textId="77777777" w:rsidR="000D2B53" w:rsidRPr="000D2B53" w:rsidRDefault="000D2B53" w:rsidP="00A468BA">
      <w:pPr>
        <w:jc w:val="both"/>
        <w:rPr>
          <w:lang w:val="en-ID"/>
        </w:rPr>
      </w:pPr>
      <w:r w:rsidRPr="000D2B53">
        <w:rPr>
          <w:lang w:val="en-ID"/>
        </w:rPr>
        <w:lastRenderedPageBreak/>
        <w:t>Furthermore, demand for fellowship support is likely to increase as digital transformation intensifies and the need for harmonized technical engagement grows. Ensuring sustained investment in this area would enhance the overall effectiveness of ITU’s work and reinforce its global mandate.</w:t>
      </w:r>
    </w:p>
    <w:p w14:paraId="64C540EF" w14:textId="082EF559" w:rsidR="008511E9" w:rsidRDefault="00E01D5B" w:rsidP="00A468BA">
      <w:pPr>
        <w:pStyle w:val="Heading1"/>
      </w:pPr>
      <w:r>
        <w:t>3</w:t>
      </w:r>
      <w:r w:rsidR="00A468BA">
        <w:tab/>
      </w:r>
      <w:r>
        <w:t>Proposal</w:t>
      </w:r>
    </w:p>
    <w:p w14:paraId="3F4E4D7F" w14:textId="1D7DB6B2" w:rsidR="000D2B53" w:rsidRPr="000D2B53" w:rsidRDefault="000D2B53" w:rsidP="00A468BA">
      <w:pPr>
        <w:jc w:val="both"/>
        <w:rPr>
          <w:lang w:val="en-ID"/>
        </w:rPr>
      </w:pPr>
      <w:r w:rsidRPr="000D2B53">
        <w:rPr>
          <w:lang w:val="en-ID"/>
        </w:rPr>
        <w:t>Indonesia respectfully urges the ITU Council to:</w:t>
      </w:r>
    </w:p>
    <w:p w14:paraId="39FFE6F7" w14:textId="58C364FA" w:rsidR="000D2B53" w:rsidRPr="000D2B53" w:rsidRDefault="00A468BA" w:rsidP="00A468BA">
      <w:pPr>
        <w:pStyle w:val="enumlev1"/>
        <w:jc w:val="both"/>
        <w:rPr>
          <w:lang w:val="en-ID"/>
        </w:rPr>
      </w:pPr>
      <w:r w:rsidRPr="00A468BA">
        <w:rPr>
          <w:lang w:val="en-ID"/>
        </w:rPr>
        <w:t>–</w:t>
      </w:r>
      <w:r w:rsidRPr="00A468BA">
        <w:rPr>
          <w:lang w:val="en-ID"/>
        </w:rPr>
        <w:tab/>
      </w:r>
      <w:r w:rsidR="001553F2">
        <w:rPr>
          <w:lang w:val="en-ID"/>
        </w:rPr>
        <w:t xml:space="preserve">Acknowledge </w:t>
      </w:r>
      <w:r w:rsidR="000D2B53" w:rsidRPr="000D2B53">
        <w:rPr>
          <w:lang w:val="en-ID"/>
        </w:rPr>
        <w:t>the strategic importance of fellowship support as a means to foster meaningful participation of developing countries</w:t>
      </w:r>
      <w:r w:rsidR="00E01D5B">
        <w:rPr>
          <w:lang w:val="en-ID"/>
        </w:rPr>
        <w:t>,</w:t>
      </w:r>
      <w:r w:rsidR="00E01D5B" w:rsidRPr="00E01D5B">
        <w:t xml:space="preserve"> </w:t>
      </w:r>
      <w:r w:rsidR="00E01D5B">
        <w:t>LDCs, SIDS, LLDCs</w:t>
      </w:r>
      <w:r w:rsidR="000D2B53" w:rsidRPr="000D2B53">
        <w:rPr>
          <w:lang w:val="en-ID"/>
        </w:rPr>
        <w:t xml:space="preserve"> in ITU’s technical and developmental agenda</w:t>
      </w:r>
      <w:r w:rsidR="00BD5614">
        <w:rPr>
          <w:lang w:val="en-ID"/>
        </w:rPr>
        <w:t>.</w:t>
      </w:r>
    </w:p>
    <w:p w14:paraId="294C65CD" w14:textId="478867B4" w:rsidR="000D2B53" w:rsidRPr="000D2B53" w:rsidRDefault="00A468BA" w:rsidP="00A468BA">
      <w:pPr>
        <w:pStyle w:val="enumlev1"/>
        <w:jc w:val="both"/>
        <w:rPr>
          <w:lang w:val="en-ID"/>
        </w:rPr>
      </w:pPr>
      <w:r w:rsidRPr="00A468BA">
        <w:rPr>
          <w:lang w:val="en-ID"/>
        </w:rPr>
        <w:t>–</w:t>
      </w:r>
      <w:r w:rsidRPr="00A468BA">
        <w:rPr>
          <w:lang w:val="en-ID"/>
        </w:rPr>
        <w:tab/>
      </w:r>
      <w:r w:rsidR="000D2B53" w:rsidRPr="000D2B53">
        <w:rPr>
          <w:lang w:val="en-ID"/>
        </w:rPr>
        <w:t>Maintain or enhance the fellowship budget to a minimum of KCHF</w:t>
      </w:r>
      <w:r w:rsidR="0053418C">
        <w:rPr>
          <w:lang w:val="en-ID"/>
        </w:rPr>
        <w:t> </w:t>
      </w:r>
      <w:r w:rsidR="000D2B53" w:rsidRPr="000D2B53">
        <w:rPr>
          <w:lang w:val="en-ID"/>
        </w:rPr>
        <w:t>2</w:t>
      </w:r>
      <w:r>
        <w:rPr>
          <w:lang w:val="en-ID"/>
        </w:rPr>
        <w:t> </w:t>
      </w:r>
      <w:r w:rsidR="000D2B53" w:rsidRPr="000D2B53">
        <w:rPr>
          <w:lang w:val="en-ID"/>
        </w:rPr>
        <w:t>361 for the 2026</w:t>
      </w:r>
      <w:r>
        <w:rPr>
          <w:lang w:val="en-ID"/>
        </w:rPr>
        <w:noBreakHyphen/>
      </w:r>
      <w:r w:rsidR="000D2B53" w:rsidRPr="000D2B53">
        <w:rPr>
          <w:lang w:val="en-ID"/>
        </w:rPr>
        <w:t>2027 biennium</w:t>
      </w:r>
      <w:r w:rsidR="00E01D5B">
        <w:rPr>
          <w:lang w:val="en-ID"/>
        </w:rPr>
        <w:t>, as it is applied in the 2024</w:t>
      </w:r>
      <w:r>
        <w:rPr>
          <w:lang w:val="en-ID"/>
        </w:rPr>
        <w:t>-</w:t>
      </w:r>
      <w:r w:rsidR="00E01D5B">
        <w:rPr>
          <w:lang w:val="en-ID"/>
        </w:rPr>
        <w:t>2025 biennium budget</w:t>
      </w:r>
      <w:r w:rsidR="00BD5614">
        <w:rPr>
          <w:lang w:val="en-ID"/>
        </w:rPr>
        <w:t>.</w:t>
      </w:r>
    </w:p>
    <w:p w14:paraId="72EA3BAB" w14:textId="150DC590" w:rsidR="000D2B53" w:rsidRDefault="00A468BA" w:rsidP="00A468BA">
      <w:pPr>
        <w:pStyle w:val="enumlev1"/>
        <w:jc w:val="both"/>
        <w:rPr>
          <w:lang w:val="en-ID"/>
        </w:rPr>
      </w:pPr>
      <w:r w:rsidRPr="00A468BA">
        <w:rPr>
          <w:lang w:val="en-ID"/>
        </w:rPr>
        <w:t>–</w:t>
      </w:r>
      <w:r w:rsidRPr="00A468BA">
        <w:rPr>
          <w:lang w:val="en-ID"/>
        </w:rPr>
        <w:tab/>
      </w:r>
      <w:r w:rsidR="000D2B53" w:rsidRPr="000D2B53">
        <w:rPr>
          <w:lang w:val="en-ID"/>
        </w:rPr>
        <w:t>Adopt internal budget adjustments that safeguard the Union’s commitment to equitable access to capacity-building and technical knowledge exchange.</w:t>
      </w:r>
    </w:p>
    <w:p w14:paraId="1EFFF2EE" w14:textId="77777777" w:rsidR="000D2B53" w:rsidRDefault="000D2B53" w:rsidP="00A468BA">
      <w:pPr>
        <w:jc w:val="both"/>
        <w:rPr>
          <w:lang w:val="en-ID"/>
        </w:rPr>
      </w:pPr>
      <w:r w:rsidRPr="000D2B53">
        <w:rPr>
          <w:lang w:val="en-ID"/>
        </w:rPr>
        <w:t>Such a step would reaffirm ITU’s role in promoting digital inclusion and ensuring that all Member States are equipped to contribute to and benefit from the global ICT ecosystem.</w:t>
      </w:r>
    </w:p>
    <w:p w14:paraId="6EC2BA6E" w14:textId="77777777" w:rsidR="00A468BA" w:rsidRPr="000D2B53" w:rsidRDefault="00A468BA" w:rsidP="00A468BA">
      <w:pPr>
        <w:jc w:val="both"/>
        <w:rPr>
          <w:lang w:val="en-ID"/>
        </w:rPr>
      </w:pPr>
    </w:p>
    <w:p w14:paraId="35C6D0A5" w14:textId="77777777" w:rsidR="007A3FCD" w:rsidRPr="00C0458D" w:rsidRDefault="007A3FCD" w:rsidP="007A3FCD">
      <w:pPr>
        <w:jc w:val="center"/>
      </w:pPr>
      <w:r>
        <w:t>______________</w:t>
      </w:r>
    </w:p>
    <w:sectPr w:rsidR="007A3FCD" w:rsidRPr="00C0458D"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A6E0C" w14:textId="77777777" w:rsidR="008E2FA6" w:rsidRDefault="008E2FA6">
      <w:r>
        <w:separator/>
      </w:r>
    </w:p>
  </w:endnote>
  <w:endnote w:type="continuationSeparator" w:id="0">
    <w:p w14:paraId="3A90F6B1" w14:textId="77777777" w:rsidR="008E2FA6" w:rsidRDefault="008E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50C113D7" w:rsidR="00EE49E8" w:rsidRPr="00E06FD5" w:rsidRDefault="00EE49E8" w:rsidP="0053418C">
          <w:pPr>
            <w:pStyle w:val="Header"/>
            <w:tabs>
              <w:tab w:val="left" w:pos="673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EC6475">
            <w:rPr>
              <w:bCs/>
            </w:rPr>
            <w:t>75</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6BFB939E" w:rsidR="00EE49E8" w:rsidRPr="00E06FD5" w:rsidRDefault="00EE49E8" w:rsidP="0053418C">
          <w:pPr>
            <w:pStyle w:val="Header"/>
            <w:tabs>
              <w:tab w:val="left" w:pos="6734"/>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EC6475">
            <w:rPr>
              <w:bCs/>
            </w:rPr>
            <w:t>75</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CEF7D" w14:textId="77777777" w:rsidR="008E2FA6" w:rsidRDefault="008E2FA6">
      <w:r>
        <w:t>____________________</w:t>
      </w:r>
    </w:p>
  </w:footnote>
  <w:footnote w:type="continuationSeparator" w:id="0">
    <w:p w14:paraId="6686D27D" w14:textId="77777777" w:rsidR="008E2FA6" w:rsidRDefault="008E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C91CFC">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5DDEC" id="Rectangle 5" o:spid="_x0000_s1026"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37126"/>
    <w:multiLevelType w:val="multilevel"/>
    <w:tmpl w:val="FB881B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5C2617C"/>
    <w:multiLevelType w:val="multilevel"/>
    <w:tmpl w:val="4094BB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A8A2662"/>
    <w:multiLevelType w:val="hybridMultilevel"/>
    <w:tmpl w:val="5A34E9A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F654DB2"/>
    <w:multiLevelType w:val="hybridMultilevel"/>
    <w:tmpl w:val="8570AEF8"/>
    <w:lvl w:ilvl="0" w:tplc="CAEE98E8">
      <w:start w:val="1"/>
      <w:numFmt w:val="bullet"/>
      <w:lvlText w:val=""/>
      <w:lvlJc w:val="left"/>
      <w:pPr>
        <w:ind w:left="360" w:hanging="360"/>
      </w:pPr>
      <w:rPr>
        <w:rFonts w:ascii="Symbol" w:hAnsi="Symbol" w:hint="default"/>
        <w:lang w:val="en-U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A0242D8"/>
    <w:multiLevelType w:val="hybridMultilevel"/>
    <w:tmpl w:val="B6E4CAE4"/>
    <w:lvl w:ilvl="0" w:tplc="A76E98F6">
      <w:start w:val="8"/>
      <w:numFmt w:val="bullet"/>
      <w:lvlText w:val="-"/>
      <w:lvlJc w:val="left"/>
      <w:pPr>
        <w:ind w:left="360" w:hanging="360"/>
      </w:pPr>
      <w:rPr>
        <w:rFonts w:ascii="Cambria" w:eastAsiaTheme="minorEastAsia" w:hAnsi="Cambria" w:cstheme="minorBidi"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num w:numId="1" w16cid:durableId="495417810">
    <w:abstractNumId w:val="0"/>
  </w:num>
  <w:num w:numId="2" w16cid:durableId="156308398">
    <w:abstractNumId w:val="5"/>
  </w:num>
  <w:num w:numId="3" w16cid:durableId="633758388">
    <w:abstractNumId w:val="4"/>
  </w:num>
  <w:num w:numId="4" w16cid:durableId="2106533959">
    <w:abstractNumId w:val="3"/>
  </w:num>
  <w:num w:numId="5" w16cid:durableId="159851177">
    <w:abstractNumId w:val="2"/>
  </w:num>
  <w:num w:numId="6" w16cid:durableId="673650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22A8A"/>
    <w:rsid w:val="00026B01"/>
    <w:rsid w:val="0006007D"/>
    <w:rsid w:val="00063016"/>
    <w:rsid w:val="00066795"/>
    <w:rsid w:val="000745AB"/>
    <w:rsid w:val="00076AF6"/>
    <w:rsid w:val="00085CF2"/>
    <w:rsid w:val="00087D69"/>
    <w:rsid w:val="000A4CFD"/>
    <w:rsid w:val="000B1705"/>
    <w:rsid w:val="000B1FF7"/>
    <w:rsid w:val="000D180B"/>
    <w:rsid w:val="000D2B53"/>
    <w:rsid w:val="000D75B2"/>
    <w:rsid w:val="000F5DDB"/>
    <w:rsid w:val="000F7289"/>
    <w:rsid w:val="001121F5"/>
    <w:rsid w:val="00112ECA"/>
    <w:rsid w:val="00120134"/>
    <w:rsid w:val="001400DC"/>
    <w:rsid w:val="00140CE1"/>
    <w:rsid w:val="001553F2"/>
    <w:rsid w:val="0017539C"/>
    <w:rsid w:val="00175AC2"/>
    <w:rsid w:val="0017609F"/>
    <w:rsid w:val="00181E04"/>
    <w:rsid w:val="001A3154"/>
    <w:rsid w:val="001A7D1D"/>
    <w:rsid w:val="001B51DD"/>
    <w:rsid w:val="001C628E"/>
    <w:rsid w:val="001E0F7B"/>
    <w:rsid w:val="001F5569"/>
    <w:rsid w:val="00207417"/>
    <w:rsid w:val="002119FD"/>
    <w:rsid w:val="002130E0"/>
    <w:rsid w:val="0021375C"/>
    <w:rsid w:val="00220A95"/>
    <w:rsid w:val="00221F46"/>
    <w:rsid w:val="002456F0"/>
    <w:rsid w:val="0024720B"/>
    <w:rsid w:val="00260569"/>
    <w:rsid w:val="00264425"/>
    <w:rsid w:val="00265875"/>
    <w:rsid w:val="0027303B"/>
    <w:rsid w:val="0028109B"/>
    <w:rsid w:val="002A2188"/>
    <w:rsid w:val="002B1F58"/>
    <w:rsid w:val="002C1C7A"/>
    <w:rsid w:val="002C54E2"/>
    <w:rsid w:val="002F2FA6"/>
    <w:rsid w:val="0030160F"/>
    <w:rsid w:val="00316FA7"/>
    <w:rsid w:val="00320223"/>
    <w:rsid w:val="00322D0D"/>
    <w:rsid w:val="003560A5"/>
    <w:rsid w:val="00361465"/>
    <w:rsid w:val="003871EB"/>
    <w:rsid w:val="003877F5"/>
    <w:rsid w:val="003936D3"/>
    <w:rsid w:val="003942D4"/>
    <w:rsid w:val="003958A8"/>
    <w:rsid w:val="003B29C2"/>
    <w:rsid w:val="003C2533"/>
    <w:rsid w:val="003D5A7F"/>
    <w:rsid w:val="003E5EE2"/>
    <w:rsid w:val="0040226E"/>
    <w:rsid w:val="0040435A"/>
    <w:rsid w:val="00404389"/>
    <w:rsid w:val="00414DAC"/>
    <w:rsid w:val="00416A24"/>
    <w:rsid w:val="00427BFF"/>
    <w:rsid w:val="00431D9E"/>
    <w:rsid w:val="00433CE8"/>
    <w:rsid w:val="00434A5C"/>
    <w:rsid w:val="00453079"/>
    <w:rsid w:val="004544D9"/>
    <w:rsid w:val="00472BAD"/>
    <w:rsid w:val="00474C1F"/>
    <w:rsid w:val="0047509B"/>
    <w:rsid w:val="004811F8"/>
    <w:rsid w:val="00484009"/>
    <w:rsid w:val="00490E72"/>
    <w:rsid w:val="00491157"/>
    <w:rsid w:val="00491BA9"/>
    <w:rsid w:val="004921C8"/>
    <w:rsid w:val="00495B0B"/>
    <w:rsid w:val="004A1B8B"/>
    <w:rsid w:val="004A209B"/>
    <w:rsid w:val="004A3CE1"/>
    <w:rsid w:val="004A45F1"/>
    <w:rsid w:val="004B25A1"/>
    <w:rsid w:val="004B6E16"/>
    <w:rsid w:val="004D1851"/>
    <w:rsid w:val="004D599D"/>
    <w:rsid w:val="004E2EA5"/>
    <w:rsid w:val="004E3AEB"/>
    <w:rsid w:val="0050223C"/>
    <w:rsid w:val="00503E36"/>
    <w:rsid w:val="005243FF"/>
    <w:rsid w:val="0053418C"/>
    <w:rsid w:val="005412F1"/>
    <w:rsid w:val="005428ED"/>
    <w:rsid w:val="0054646F"/>
    <w:rsid w:val="00564FBC"/>
    <w:rsid w:val="005800BC"/>
    <w:rsid w:val="00582442"/>
    <w:rsid w:val="005A01F2"/>
    <w:rsid w:val="005E6AF3"/>
    <w:rsid w:val="005F0557"/>
    <w:rsid w:val="005F3269"/>
    <w:rsid w:val="00623AE3"/>
    <w:rsid w:val="00630C4D"/>
    <w:rsid w:val="00637BF2"/>
    <w:rsid w:val="00644EC6"/>
    <w:rsid w:val="0064737F"/>
    <w:rsid w:val="006535F1"/>
    <w:rsid w:val="0065557D"/>
    <w:rsid w:val="00660D50"/>
    <w:rsid w:val="00662984"/>
    <w:rsid w:val="006716BB"/>
    <w:rsid w:val="0067652C"/>
    <w:rsid w:val="006B1859"/>
    <w:rsid w:val="006B6680"/>
    <w:rsid w:val="006B6DCC"/>
    <w:rsid w:val="006B77F1"/>
    <w:rsid w:val="006C5ECF"/>
    <w:rsid w:val="006D3632"/>
    <w:rsid w:val="006E2E10"/>
    <w:rsid w:val="00702DEF"/>
    <w:rsid w:val="00706861"/>
    <w:rsid w:val="00722551"/>
    <w:rsid w:val="007249F0"/>
    <w:rsid w:val="00742BF4"/>
    <w:rsid w:val="0075051B"/>
    <w:rsid w:val="00755162"/>
    <w:rsid w:val="0077110E"/>
    <w:rsid w:val="00771E25"/>
    <w:rsid w:val="007774A3"/>
    <w:rsid w:val="0078221A"/>
    <w:rsid w:val="00791BC5"/>
    <w:rsid w:val="00793188"/>
    <w:rsid w:val="00794D34"/>
    <w:rsid w:val="007A3FCD"/>
    <w:rsid w:val="007B19CF"/>
    <w:rsid w:val="007C0490"/>
    <w:rsid w:val="007D01AF"/>
    <w:rsid w:val="007D48BA"/>
    <w:rsid w:val="00813E5E"/>
    <w:rsid w:val="00815127"/>
    <w:rsid w:val="0083581B"/>
    <w:rsid w:val="008511E9"/>
    <w:rsid w:val="00852865"/>
    <w:rsid w:val="00863874"/>
    <w:rsid w:val="00864AFF"/>
    <w:rsid w:val="00865925"/>
    <w:rsid w:val="00875779"/>
    <w:rsid w:val="00883440"/>
    <w:rsid w:val="00891F62"/>
    <w:rsid w:val="008B4A6A"/>
    <w:rsid w:val="008B538A"/>
    <w:rsid w:val="008C7E27"/>
    <w:rsid w:val="008D6D9E"/>
    <w:rsid w:val="008E2FA6"/>
    <w:rsid w:val="008E7E25"/>
    <w:rsid w:val="008F7448"/>
    <w:rsid w:val="0090147A"/>
    <w:rsid w:val="00904D95"/>
    <w:rsid w:val="009173EF"/>
    <w:rsid w:val="00932906"/>
    <w:rsid w:val="00945CC6"/>
    <w:rsid w:val="00961B0B"/>
    <w:rsid w:val="00962D33"/>
    <w:rsid w:val="00974614"/>
    <w:rsid w:val="009B1CA9"/>
    <w:rsid w:val="009B38C3"/>
    <w:rsid w:val="009B512D"/>
    <w:rsid w:val="009E17BD"/>
    <w:rsid w:val="009E485A"/>
    <w:rsid w:val="00A027B1"/>
    <w:rsid w:val="00A04CEC"/>
    <w:rsid w:val="00A27F92"/>
    <w:rsid w:val="00A32257"/>
    <w:rsid w:val="00A36D20"/>
    <w:rsid w:val="00A468BA"/>
    <w:rsid w:val="00A514A4"/>
    <w:rsid w:val="00A55622"/>
    <w:rsid w:val="00A82DD6"/>
    <w:rsid w:val="00A83502"/>
    <w:rsid w:val="00A86915"/>
    <w:rsid w:val="00A94BAB"/>
    <w:rsid w:val="00A954B0"/>
    <w:rsid w:val="00AB2934"/>
    <w:rsid w:val="00AC0E7D"/>
    <w:rsid w:val="00AD15B3"/>
    <w:rsid w:val="00AD3606"/>
    <w:rsid w:val="00AD4A3D"/>
    <w:rsid w:val="00AD677D"/>
    <w:rsid w:val="00AE0BAB"/>
    <w:rsid w:val="00AF6E49"/>
    <w:rsid w:val="00B04A67"/>
    <w:rsid w:val="00B0583C"/>
    <w:rsid w:val="00B40A81"/>
    <w:rsid w:val="00B44910"/>
    <w:rsid w:val="00B518E3"/>
    <w:rsid w:val="00B54EDC"/>
    <w:rsid w:val="00B72267"/>
    <w:rsid w:val="00B76EB6"/>
    <w:rsid w:val="00B7737B"/>
    <w:rsid w:val="00B824C8"/>
    <w:rsid w:val="00B84B9D"/>
    <w:rsid w:val="00B9131F"/>
    <w:rsid w:val="00B93675"/>
    <w:rsid w:val="00BB0646"/>
    <w:rsid w:val="00BC251A"/>
    <w:rsid w:val="00BD032B"/>
    <w:rsid w:val="00BD5614"/>
    <w:rsid w:val="00BD665E"/>
    <w:rsid w:val="00BD771F"/>
    <w:rsid w:val="00BE01C6"/>
    <w:rsid w:val="00BE2640"/>
    <w:rsid w:val="00BF1FDE"/>
    <w:rsid w:val="00C01189"/>
    <w:rsid w:val="00C0458D"/>
    <w:rsid w:val="00C37243"/>
    <w:rsid w:val="00C374DE"/>
    <w:rsid w:val="00C47AD4"/>
    <w:rsid w:val="00C52D81"/>
    <w:rsid w:val="00C55198"/>
    <w:rsid w:val="00C644E2"/>
    <w:rsid w:val="00C6520B"/>
    <w:rsid w:val="00C72C76"/>
    <w:rsid w:val="00C75A9F"/>
    <w:rsid w:val="00CA6393"/>
    <w:rsid w:val="00CA7995"/>
    <w:rsid w:val="00CB18FF"/>
    <w:rsid w:val="00CB46BB"/>
    <w:rsid w:val="00CC0F5A"/>
    <w:rsid w:val="00CC46C0"/>
    <w:rsid w:val="00CD0C08"/>
    <w:rsid w:val="00CE03FB"/>
    <w:rsid w:val="00CE433C"/>
    <w:rsid w:val="00CF0161"/>
    <w:rsid w:val="00CF0254"/>
    <w:rsid w:val="00CF17EE"/>
    <w:rsid w:val="00CF33F3"/>
    <w:rsid w:val="00CF4A2B"/>
    <w:rsid w:val="00D024CA"/>
    <w:rsid w:val="00D06183"/>
    <w:rsid w:val="00D22C42"/>
    <w:rsid w:val="00D4205D"/>
    <w:rsid w:val="00D6284C"/>
    <w:rsid w:val="00D65041"/>
    <w:rsid w:val="00D71A4A"/>
    <w:rsid w:val="00D77353"/>
    <w:rsid w:val="00DB1936"/>
    <w:rsid w:val="00DB384B"/>
    <w:rsid w:val="00DD11ED"/>
    <w:rsid w:val="00DF0189"/>
    <w:rsid w:val="00DF26C9"/>
    <w:rsid w:val="00E01D5B"/>
    <w:rsid w:val="00E06FD5"/>
    <w:rsid w:val="00E10E80"/>
    <w:rsid w:val="00E124F0"/>
    <w:rsid w:val="00E227F3"/>
    <w:rsid w:val="00E2488F"/>
    <w:rsid w:val="00E34FF6"/>
    <w:rsid w:val="00E545C6"/>
    <w:rsid w:val="00E60F04"/>
    <w:rsid w:val="00E63313"/>
    <w:rsid w:val="00E65B24"/>
    <w:rsid w:val="00E72534"/>
    <w:rsid w:val="00E854E4"/>
    <w:rsid w:val="00E86DBF"/>
    <w:rsid w:val="00E87A71"/>
    <w:rsid w:val="00E969AF"/>
    <w:rsid w:val="00EB0D6F"/>
    <w:rsid w:val="00EB2232"/>
    <w:rsid w:val="00EB61AD"/>
    <w:rsid w:val="00EC3FB8"/>
    <w:rsid w:val="00EC5337"/>
    <w:rsid w:val="00EC6475"/>
    <w:rsid w:val="00EE49E8"/>
    <w:rsid w:val="00EF21D6"/>
    <w:rsid w:val="00F16BAB"/>
    <w:rsid w:val="00F2150A"/>
    <w:rsid w:val="00F231D8"/>
    <w:rsid w:val="00F352EC"/>
    <w:rsid w:val="00F41209"/>
    <w:rsid w:val="00F44C00"/>
    <w:rsid w:val="00F45D2C"/>
    <w:rsid w:val="00F46C5F"/>
    <w:rsid w:val="00F632C0"/>
    <w:rsid w:val="00F641E1"/>
    <w:rsid w:val="00F6689B"/>
    <w:rsid w:val="00F94A63"/>
    <w:rsid w:val="00FA1C28"/>
    <w:rsid w:val="00FB1279"/>
    <w:rsid w:val="00FB5D88"/>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5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4A3CE1"/>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rPr>
  </w:style>
  <w:style w:type="character" w:styleId="CommentReference">
    <w:name w:val="annotation reference"/>
    <w:basedOn w:val="DefaultParagraphFont"/>
    <w:semiHidden/>
    <w:unhideWhenUsed/>
    <w:rsid w:val="007774A3"/>
    <w:rPr>
      <w:sz w:val="16"/>
      <w:szCs w:val="16"/>
    </w:rPr>
  </w:style>
  <w:style w:type="paragraph" w:styleId="CommentText">
    <w:name w:val="annotation text"/>
    <w:basedOn w:val="Normal"/>
    <w:link w:val="CommentTextChar"/>
    <w:unhideWhenUsed/>
    <w:rsid w:val="007774A3"/>
    <w:rPr>
      <w:sz w:val="20"/>
    </w:rPr>
  </w:style>
  <w:style w:type="character" w:customStyle="1" w:styleId="CommentTextChar">
    <w:name w:val="Comment Text Char"/>
    <w:basedOn w:val="DefaultParagraphFont"/>
    <w:link w:val="CommentText"/>
    <w:rsid w:val="007774A3"/>
    <w:rPr>
      <w:rFonts w:ascii="Calibri" w:hAnsi="Calibri"/>
      <w:lang w:val="en-GB" w:eastAsia="en-US"/>
    </w:rPr>
  </w:style>
  <w:style w:type="paragraph" w:styleId="CommentSubject">
    <w:name w:val="annotation subject"/>
    <w:basedOn w:val="CommentText"/>
    <w:next w:val="CommentText"/>
    <w:link w:val="CommentSubjectChar"/>
    <w:semiHidden/>
    <w:unhideWhenUsed/>
    <w:rsid w:val="007774A3"/>
    <w:rPr>
      <w:b/>
      <w:bCs/>
    </w:rPr>
  </w:style>
  <w:style w:type="character" w:customStyle="1" w:styleId="CommentSubjectChar">
    <w:name w:val="Comment Subject Char"/>
    <w:basedOn w:val="CommentTextChar"/>
    <w:link w:val="CommentSubject"/>
    <w:semiHidden/>
    <w:rsid w:val="007774A3"/>
    <w:rPr>
      <w:rFonts w:ascii="Calibri" w:hAnsi="Calibri"/>
      <w:b/>
      <w:bCs/>
      <w:lang w:val="en-GB" w:eastAsia="en-US"/>
    </w:rPr>
  </w:style>
  <w:style w:type="paragraph" w:styleId="Revision">
    <w:name w:val="Revision"/>
    <w:hidden/>
    <w:uiPriority w:val="99"/>
    <w:semiHidden/>
    <w:rsid w:val="00EC3FB8"/>
    <w:rPr>
      <w:rFonts w:ascii="Calibri" w:hAnsi="Calibri"/>
      <w:sz w:val="24"/>
      <w:lang w:val="en-GB" w:eastAsia="en-US"/>
    </w:rPr>
  </w:style>
  <w:style w:type="paragraph" w:styleId="BalloonText">
    <w:name w:val="Balloon Text"/>
    <w:basedOn w:val="Normal"/>
    <w:link w:val="BalloonTextChar"/>
    <w:semiHidden/>
    <w:unhideWhenUsed/>
    <w:rsid w:val="00791BC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91BC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4058">
      <w:bodyDiv w:val="1"/>
      <w:marLeft w:val="0"/>
      <w:marRight w:val="0"/>
      <w:marTop w:val="0"/>
      <w:marBottom w:val="0"/>
      <w:divBdr>
        <w:top w:val="none" w:sz="0" w:space="0" w:color="auto"/>
        <w:left w:val="none" w:sz="0" w:space="0" w:color="auto"/>
        <w:bottom w:val="none" w:sz="0" w:space="0" w:color="auto"/>
        <w:right w:val="none" w:sz="0" w:space="0" w:color="auto"/>
      </w:divBdr>
    </w:div>
    <w:div w:id="318774777">
      <w:bodyDiv w:val="1"/>
      <w:marLeft w:val="0"/>
      <w:marRight w:val="0"/>
      <w:marTop w:val="0"/>
      <w:marBottom w:val="0"/>
      <w:divBdr>
        <w:top w:val="none" w:sz="0" w:space="0" w:color="auto"/>
        <w:left w:val="none" w:sz="0" w:space="0" w:color="auto"/>
        <w:bottom w:val="none" w:sz="0" w:space="0" w:color="auto"/>
        <w:right w:val="none" w:sz="0" w:space="0" w:color="auto"/>
      </w:divBdr>
    </w:div>
    <w:div w:id="484591833">
      <w:bodyDiv w:val="1"/>
      <w:marLeft w:val="0"/>
      <w:marRight w:val="0"/>
      <w:marTop w:val="0"/>
      <w:marBottom w:val="0"/>
      <w:divBdr>
        <w:top w:val="none" w:sz="0" w:space="0" w:color="auto"/>
        <w:left w:val="none" w:sz="0" w:space="0" w:color="auto"/>
        <w:bottom w:val="none" w:sz="0" w:space="0" w:color="auto"/>
        <w:right w:val="none" w:sz="0" w:space="0" w:color="auto"/>
      </w:divBdr>
    </w:div>
    <w:div w:id="632254487">
      <w:bodyDiv w:val="1"/>
      <w:marLeft w:val="0"/>
      <w:marRight w:val="0"/>
      <w:marTop w:val="0"/>
      <w:marBottom w:val="0"/>
      <w:divBdr>
        <w:top w:val="none" w:sz="0" w:space="0" w:color="auto"/>
        <w:left w:val="none" w:sz="0" w:space="0" w:color="auto"/>
        <w:bottom w:val="none" w:sz="0" w:space="0" w:color="auto"/>
        <w:right w:val="none" w:sz="0" w:space="0" w:color="auto"/>
      </w:divBdr>
    </w:div>
    <w:div w:id="708839496">
      <w:bodyDiv w:val="1"/>
      <w:marLeft w:val="0"/>
      <w:marRight w:val="0"/>
      <w:marTop w:val="0"/>
      <w:marBottom w:val="0"/>
      <w:divBdr>
        <w:top w:val="none" w:sz="0" w:space="0" w:color="auto"/>
        <w:left w:val="none" w:sz="0" w:space="0" w:color="auto"/>
        <w:bottom w:val="none" w:sz="0" w:space="0" w:color="auto"/>
        <w:right w:val="none" w:sz="0" w:space="0" w:color="auto"/>
      </w:divBdr>
    </w:div>
    <w:div w:id="755439131">
      <w:bodyDiv w:val="1"/>
      <w:marLeft w:val="0"/>
      <w:marRight w:val="0"/>
      <w:marTop w:val="0"/>
      <w:marBottom w:val="0"/>
      <w:divBdr>
        <w:top w:val="none" w:sz="0" w:space="0" w:color="auto"/>
        <w:left w:val="none" w:sz="0" w:space="0" w:color="auto"/>
        <w:bottom w:val="none" w:sz="0" w:space="0" w:color="auto"/>
        <w:right w:val="none" w:sz="0" w:space="0" w:color="auto"/>
      </w:divBdr>
    </w:div>
    <w:div w:id="833689408">
      <w:bodyDiv w:val="1"/>
      <w:marLeft w:val="0"/>
      <w:marRight w:val="0"/>
      <w:marTop w:val="0"/>
      <w:marBottom w:val="0"/>
      <w:divBdr>
        <w:top w:val="none" w:sz="0" w:space="0" w:color="auto"/>
        <w:left w:val="none" w:sz="0" w:space="0" w:color="auto"/>
        <w:bottom w:val="none" w:sz="0" w:space="0" w:color="auto"/>
        <w:right w:val="none" w:sz="0" w:space="0" w:color="auto"/>
      </w:divBdr>
    </w:div>
    <w:div w:id="882669835">
      <w:bodyDiv w:val="1"/>
      <w:marLeft w:val="0"/>
      <w:marRight w:val="0"/>
      <w:marTop w:val="0"/>
      <w:marBottom w:val="0"/>
      <w:divBdr>
        <w:top w:val="none" w:sz="0" w:space="0" w:color="auto"/>
        <w:left w:val="none" w:sz="0" w:space="0" w:color="auto"/>
        <w:bottom w:val="none" w:sz="0" w:space="0" w:color="auto"/>
        <w:right w:val="none" w:sz="0" w:space="0" w:color="auto"/>
      </w:divBdr>
    </w:div>
    <w:div w:id="1187909152">
      <w:bodyDiv w:val="1"/>
      <w:marLeft w:val="0"/>
      <w:marRight w:val="0"/>
      <w:marTop w:val="0"/>
      <w:marBottom w:val="0"/>
      <w:divBdr>
        <w:top w:val="none" w:sz="0" w:space="0" w:color="auto"/>
        <w:left w:val="none" w:sz="0" w:space="0" w:color="auto"/>
        <w:bottom w:val="none" w:sz="0" w:space="0" w:color="auto"/>
        <w:right w:val="none" w:sz="0" w:space="0" w:color="auto"/>
      </w:divBdr>
    </w:div>
    <w:div w:id="1336688328">
      <w:bodyDiv w:val="1"/>
      <w:marLeft w:val="0"/>
      <w:marRight w:val="0"/>
      <w:marTop w:val="0"/>
      <w:marBottom w:val="0"/>
      <w:divBdr>
        <w:top w:val="none" w:sz="0" w:space="0" w:color="auto"/>
        <w:left w:val="none" w:sz="0" w:space="0" w:color="auto"/>
        <w:bottom w:val="none" w:sz="0" w:space="0" w:color="auto"/>
        <w:right w:val="none" w:sz="0" w:space="0" w:color="auto"/>
      </w:divBdr>
    </w:div>
    <w:div w:id="1346520456">
      <w:bodyDiv w:val="1"/>
      <w:marLeft w:val="0"/>
      <w:marRight w:val="0"/>
      <w:marTop w:val="0"/>
      <w:marBottom w:val="0"/>
      <w:divBdr>
        <w:top w:val="none" w:sz="0" w:space="0" w:color="auto"/>
        <w:left w:val="none" w:sz="0" w:space="0" w:color="auto"/>
        <w:bottom w:val="none" w:sz="0" w:space="0" w:color="auto"/>
        <w:right w:val="none" w:sz="0" w:space="0" w:color="auto"/>
      </w:divBdr>
    </w:div>
    <w:div w:id="1528905947">
      <w:bodyDiv w:val="1"/>
      <w:marLeft w:val="0"/>
      <w:marRight w:val="0"/>
      <w:marTop w:val="0"/>
      <w:marBottom w:val="0"/>
      <w:divBdr>
        <w:top w:val="none" w:sz="0" w:space="0" w:color="auto"/>
        <w:left w:val="none" w:sz="0" w:space="0" w:color="auto"/>
        <w:bottom w:val="none" w:sz="0" w:space="0" w:color="auto"/>
        <w:right w:val="none" w:sz="0" w:space="0" w:color="auto"/>
      </w:divBdr>
    </w:div>
    <w:div w:id="20047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5-CL-C-0047/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meetingdoc.asp?lang=en&amp;parent=S25-CL-C-004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ée un document." ma:contentTypeScope="" ma:versionID="2e52f6ffd210d87739a45a0cc65a5768">
  <xsd:schema xmlns:xsd="http://www.w3.org/2001/XMLSchema" xmlns:xs="http://www.w3.org/2001/XMLSchema" xmlns:p="http://schemas.microsoft.com/office/2006/metadata/properties" xmlns:ns2="a1cf676c-2816-4389-ad5d-0f2e7c7e67c4" targetNamespace="http://schemas.microsoft.com/office/2006/metadata/properties" ma:root="true" ma:fieldsID="1fb38d5d9ac8153fa1eba42866d7f2a0"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6F7E1-13C8-44EC-8185-9B206D04B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932084-FE7D-46D7-9291-FCD5EADF9D98}">
  <ds:schemaRefs>
    <ds:schemaRef ds:uri="http://schemas.microsoft.com/sharepoint/v3/contenttype/forms"/>
  </ds:schemaRefs>
</ds:datastoreItem>
</file>

<file path=customXml/itemProps3.xml><?xml version="1.0" encoding="utf-8"?>
<ds:datastoreItem xmlns:ds="http://schemas.openxmlformats.org/officeDocument/2006/customXml" ds:itemID="{7CA53EAC-E390-43AF-B944-C61A9D8C346E}">
  <ds:schemaRefs>
    <ds:schemaRef ds:uri="http://schemas.openxmlformats.org/officeDocument/2006/bibliography"/>
  </ds:schemaRefs>
</ds:datastoreItem>
</file>

<file path=customXml/itemProps4.xml><?xml version="1.0" encoding="utf-8"?>
<ds:datastoreItem xmlns:ds="http://schemas.openxmlformats.org/officeDocument/2006/customXml" ds:itemID="{D23C1CEF-C58B-477D-9005-5F5AA058B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670</Words>
  <Characters>4425</Characters>
  <Application>Microsoft Office Word</Application>
  <DocSecurity>0</DocSecurity>
  <Lines>88</Lines>
  <Paragraphs>42</Paragraphs>
  <ScaleCrop>false</ScaleCrop>
  <HeadingPairs>
    <vt:vector size="2" baseType="variant">
      <vt:variant>
        <vt:lpstr>Title</vt:lpstr>
      </vt:variant>
      <vt:variant>
        <vt:i4>1</vt:i4>
      </vt:variant>
    </vt:vector>
  </HeadingPairs>
  <TitlesOfParts>
    <vt:vector size="1" baseType="lpstr">
      <vt:lpstr>Proposal for the Maintenance or Enhancement of the ITU Fellowship Budget for the 2026–2027 Biennium</vt:lpstr>
    </vt:vector>
  </TitlesOfParts>
  <Manager>General Secretariat</Manager>
  <Company>International Telecommunication Union (ITU)</Company>
  <LinksUpToDate>false</LinksUpToDate>
  <CharactersWithSpaces>5053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the Maintenance or Enhancement of the ITU Fellowship Budget for the 2026–2027 Biennium</dc:title>
  <dc:subject>Council 2025</dc:subject>
  <cp:keywords>C25; C2025; Council 2025; ITU160</cp:keywords>
  <dc:description/>
  <cp:lastPrinted>2000-07-18T13:30:00Z</cp:lastPrinted>
  <dcterms:created xsi:type="dcterms:W3CDTF">2025-05-28T12:26:00Z</dcterms:created>
  <dcterms:modified xsi:type="dcterms:W3CDTF">2025-05-28T12:33:00Z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