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CE4871" w14:paraId="41C9B0EA" w14:textId="77777777" w:rsidTr="00C538FC">
        <w:trPr>
          <w:cantSplit/>
          <w:trHeight w:val="23"/>
        </w:trPr>
        <w:tc>
          <w:tcPr>
            <w:tcW w:w="3969" w:type="dxa"/>
            <w:vMerge w:val="restart"/>
            <w:tcMar>
              <w:left w:w="0" w:type="dxa"/>
            </w:tcMar>
          </w:tcPr>
          <w:p w14:paraId="5BB75375" w14:textId="269999B7" w:rsidR="00FE57F6" w:rsidRPr="00CE4871" w:rsidRDefault="00496968" w:rsidP="00C538FC">
            <w:pPr>
              <w:tabs>
                <w:tab w:val="left" w:pos="851"/>
              </w:tabs>
              <w:spacing w:before="0" w:line="240" w:lineRule="atLeast"/>
              <w:rPr>
                <w:b/>
              </w:rPr>
            </w:pPr>
            <w:bookmarkStart w:id="0" w:name="_Hlk133421839"/>
            <w:r w:rsidRPr="00CE4871">
              <w:rPr>
                <w:b/>
              </w:rPr>
              <w:t>Punto del o</w:t>
            </w:r>
            <w:r w:rsidR="00BB6FD8" w:rsidRPr="00CE4871">
              <w:rPr>
                <w:b/>
              </w:rPr>
              <w:t>rden del día</w:t>
            </w:r>
            <w:r w:rsidR="00FE57F6" w:rsidRPr="00CE4871">
              <w:rPr>
                <w:b/>
              </w:rPr>
              <w:t xml:space="preserve">: </w:t>
            </w:r>
            <w:r w:rsidRPr="00CE4871">
              <w:rPr>
                <w:b/>
              </w:rPr>
              <w:t>PL 2</w:t>
            </w:r>
          </w:p>
        </w:tc>
        <w:tc>
          <w:tcPr>
            <w:tcW w:w="5245" w:type="dxa"/>
          </w:tcPr>
          <w:p w14:paraId="230995EF" w14:textId="4D2F143A" w:rsidR="00FE57F6" w:rsidRPr="00CE4871" w:rsidRDefault="00FE57F6" w:rsidP="00C538FC">
            <w:pPr>
              <w:tabs>
                <w:tab w:val="left" w:pos="851"/>
              </w:tabs>
              <w:spacing w:before="0" w:line="240" w:lineRule="atLeast"/>
              <w:jc w:val="right"/>
              <w:rPr>
                <w:b/>
              </w:rPr>
            </w:pPr>
            <w:r w:rsidRPr="00CE4871">
              <w:rPr>
                <w:b/>
              </w:rPr>
              <w:t>Document</w:t>
            </w:r>
            <w:r w:rsidR="00F24B71" w:rsidRPr="00CE4871">
              <w:rPr>
                <w:b/>
              </w:rPr>
              <w:t>o</w:t>
            </w:r>
            <w:r w:rsidRPr="00CE4871">
              <w:rPr>
                <w:b/>
              </w:rPr>
              <w:t xml:space="preserve"> C2</w:t>
            </w:r>
            <w:r w:rsidR="00BB6FD8" w:rsidRPr="00CE4871">
              <w:rPr>
                <w:b/>
              </w:rPr>
              <w:t>5</w:t>
            </w:r>
            <w:r w:rsidRPr="00CE4871">
              <w:rPr>
                <w:b/>
              </w:rPr>
              <w:t>/</w:t>
            </w:r>
            <w:r w:rsidR="00496968" w:rsidRPr="00CE4871">
              <w:rPr>
                <w:b/>
              </w:rPr>
              <w:t>72</w:t>
            </w:r>
            <w:r w:rsidRPr="00CE4871">
              <w:rPr>
                <w:b/>
              </w:rPr>
              <w:t>-</w:t>
            </w:r>
            <w:r w:rsidR="00F24B71" w:rsidRPr="00CE4871">
              <w:rPr>
                <w:b/>
              </w:rPr>
              <w:t>S</w:t>
            </w:r>
          </w:p>
        </w:tc>
      </w:tr>
      <w:tr w:rsidR="00FE57F6" w:rsidRPr="00CE4871" w14:paraId="01ED2D89" w14:textId="77777777" w:rsidTr="00C538FC">
        <w:trPr>
          <w:cantSplit/>
        </w:trPr>
        <w:tc>
          <w:tcPr>
            <w:tcW w:w="3969" w:type="dxa"/>
            <w:vMerge/>
          </w:tcPr>
          <w:p w14:paraId="7194D899" w14:textId="77777777" w:rsidR="00FE57F6" w:rsidRPr="00CE4871" w:rsidRDefault="00FE57F6" w:rsidP="00C538FC">
            <w:pPr>
              <w:tabs>
                <w:tab w:val="left" w:pos="851"/>
              </w:tabs>
              <w:spacing w:line="240" w:lineRule="atLeast"/>
              <w:rPr>
                <w:b/>
              </w:rPr>
            </w:pPr>
          </w:p>
        </w:tc>
        <w:tc>
          <w:tcPr>
            <w:tcW w:w="5245" w:type="dxa"/>
          </w:tcPr>
          <w:p w14:paraId="76464C61" w14:textId="76BA8B0C" w:rsidR="00FE57F6" w:rsidRPr="00CE4871" w:rsidRDefault="00496968" w:rsidP="00C538FC">
            <w:pPr>
              <w:tabs>
                <w:tab w:val="left" w:pos="851"/>
              </w:tabs>
              <w:spacing w:before="0"/>
              <w:jc w:val="right"/>
              <w:rPr>
                <w:b/>
              </w:rPr>
            </w:pPr>
            <w:r w:rsidRPr="00CE4871">
              <w:rPr>
                <w:b/>
              </w:rPr>
              <w:t>19 de mayo de 2025</w:t>
            </w:r>
          </w:p>
        </w:tc>
      </w:tr>
      <w:tr w:rsidR="00FE57F6" w:rsidRPr="00CE4871" w14:paraId="1FAA9599" w14:textId="77777777" w:rsidTr="00C538FC">
        <w:trPr>
          <w:cantSplit/>
          <w:trHeight w:val="23"/>
        </w:trPr>
        <w:tc>
          <w:tcPr>
            <w:tcW w:w="3969" w:type="dxa"/>
            <w:vMerge/>
          </w:tcPr>
          <w:p w14:paraId="02F8A3D6" w14:textId="77777777" w:rsidR="00FE57F6" w:rsidRPr="00CE4871" w:rsidRDefault="00FE57F6" w:rsidP="00C538FC">
            <w:pPr>
              <w:tabs>
                <w:tab w:val="left" w:pos="851"/>
              </w:tabs>
              <w:spacing w:line="240" w:lineRule="atLeast"/>
              <w:rPr>
                <w:b/>
              </w:rPr>
            </w:pPr>
          </w:p>
        </w:tc>
        <w:tc>
          <w:tcPr>
            <w:tcW w:w="5245" w:type="dxa"/>
          </w:tcPr>
          <w:p w14:paraId="17B1EBAA" w14:textId="77777777" w:rsidR="00FE57F6" w:rsidRPr="00CE4871" w:rsidRDefault="00F24B71" w:rsidP="00C538FC">
            <w:pPr>
              <w:tabs>
                <w:tab w:val="left" w:pos="851"/>
              </w:tabs>
              <w:spacing w:before="0" w:line="240" w:lineRule="atLeast"/>
              <w:jc w:val="right"/>
              <w:rPr>
                <w:b/>
                <w:bCs/>
              </w:rPr>
            </w:pPr>
            <w:r w:rsidRPr="00CE4871">
              <w:rPr>
                <w:rFonts w:cstheme="minorHAnsi"/>
                <w:b/>
                <w:bCs/>
              </w:rPr>
              <w:t>Original: inglés</w:t>
            </w:r>
          </w:p>
        </w:tc>
      </w:tr>
      <w:tr w:rsidR="00FE57F6" w:rsidRPr="00CE4871" w14:paraId="5276EBD4" w14:textId="77777777" w:rsidTr="00C538FC">
        <w:trPr>
          <w:cantSplit/>
          <w:trHeight w:val="23"/>
        </w:trPr>
        <w:tc>
          <w:tcPr>
            <w:tcW w:w="3969" w:type="dxa"/>
          </w:tcPr>
          <w:p w14:paraId="6E39CD50" w14:textId="77777777" w:rsidR="00FE57F6" w:rsidRPr="00CE4871" w:rsidRDefault="00FE57F6" w:rsidP="00C538FC">
            <w:pPr>
              <w:tabs>
                <w:tab w:val="left" w:pos="851"/>
              </w:tabs>
              <w:spacing w:line="240" w:lineRule="atLeast"/>
              <w:rPr>
                <w:b/>
              </w:rPr>
            </w:pPr>
          </w:p>
        </w:tc>
        <w:tc>
          <w:tcPr>
            <w:tcW w:w="5245" w:type="dxa"/>
          </w:tcPr>
          <w:p w14:paraId="3A866FAC" w14:textId="77777777" w:rsidR="00FE57F6" w:rsidRPr="00CE4871" w:rsidRDefault="00FE57F6" w:rsidP="00C538FC">
            <w:pPr>
              <w:tabs>
                <w:tab w:val="left" w:pos="851"/>
              </w:tabs>
              <w:spacing w:before="0" w:line="240" w:lineRule="atLeast"/>
              <w:jc w:val="right"/>
              <w:rPr>
                <w:b/>
              </w:rPr>
            </w:pPr>
          </w:p>
        </w:tc>
      </w:tr>
      <w:tr w:rsidR="00FE57F6" w:rsidRPr="00CE4871" w14:paraId="7D4982F9" w14:textId="77777777" w:rsidTr="00C538FC">
        <w:trPr>
          <w:cantSplit/>
        </w:trPr>
        <w:tc>
          <w:tcPr>
            <w:tcW w:w="9214" w:type="dxa"/>
            <w:gridSpan w:val="2"/>
            <w:tcMar>
              <w:left w:w="0" w:type="dxa"/>
            </w:tcMar>
          </w:tcPr>
          <w:p w14:paraId="374215C2" w14:textId="77777777" w:rsidR="00FE57F6" w:rsidRPr="00CE4871" w:rsidRDefault="00157AC4" w:rsidP="00C538FC">
            <w:pPr>
              <w:pStyle w:val="Source"/>
              <w:jc w:val="left"/>
              <w:rPr>
                <w:sz w:val="34"/>
                <w:szCs w:val="34"/>
              </w:rPr>
            </w:pPr>
            <w:r w:rsidRPr="00CE4871">
              <w:rPr>
                <w:rFonts w:cstheme="minorHAnsi"/>
                <w:sz w:val="34"/>
                <w:szCs w:val="34"/>
              </w:rPr>
              <w:t>Informe de la Secretaria General</w:t>
            </w:r>
          </w:p>
        </w:tc>
      </w:tr>
      <w:tr w:rsidR="00FE57F6" w:rsidRPr="00CE4871" w14:paraId="14633990" w14:textId="77777777" w:rsidTr="00C538FC">
        <w:trPr>
          <w:cantSplit/>
        </w:trPr>
        <w:tc>
          <w:tcPr>
            <w:tcW w:w="9214" w:type="dxa"/>
            <w:gridSpan w:val="2"/>
            <w:tcMar>
              <w:left w:w="0" w:type="dxa"/>
            </w:tcMar>
          </w:tcPr>
          <w:p w14:paraId="08327FF3" w14:textId="32244A34" w:rsidR="00FE57F6" w:rsidRPr="00CE4871" w:rsidRDefault="00BE4324" w:rsidP="00F92BED">
            <w:pPr>
              <w:pStyle w:val="Subtitle"/>
              <w:framePr w:hSpace="0" w:wrap="auto" w:vAnchor="margin" w:hAnchor="text" w:xAlign="left" w:yAlign="inline"/>
            </w:pPr>
            <w:bookmarkStart w:id="1" w:name="_Hlk164670350"/>
            <w:r w:rsidRPr="00CE4871">
              <w:t>ACTIVIDADES EN PRO DE LA RECONSTRUCCIÓN DE INFRAESTRUCTURAS EN LOS PAÍSES CORRESPONDIENTES</w:t>
            </w:r>
            <w:bookmarkEnd w:id="1"/>
          </w:p>
        </w:tc>
      </w:tr>
      <w:tr w:rsidR="00FE57F6" w:rsidRPr="00CE4871" w14:paraId="5F618925" w14:textId="77777777" w:rsidTr="00427A80">
        <w:trPr>
          <w:cantSplit/>
          <w:trHeight w:val="7446"/>
        </w:trPr>
        <w:tc>
          <w:tcPr>
            <w:tcW w:w="9214" w:type="dxa"/>
            <w:gridSpan w:val="2"/>
            <w:tcBorders>
              <w:top w:val="single" w:sz="4" w:space="0" w:color="auto"/>
              <w:bottom w:val="single" w:sz="4" w:space="0" w:color="auto"/>
            </w:tcBorders>
            <w:tcMar>
              <w:left w:w="0" w:type="dxa"/>
            </w:tcMar>
          </w:tcPr>
          <w:p w14:paraId="3DA40A33" w14:textId="77777777" w:rsidR="00FE57F6" w:rsidRPr="00CE4871" w:rsidRDefault="00F24B71" w:rsidP="00C538FC">
            <w:pPr>
              <w:spacing w:before="160"/>
              <w:rPr>
                <w:b/>
                <w:bCs/>
                <w:sz w:val="26"/>
                <w:szCs w:val="26"/>
              </w:rPr>
            </w:pPr>
            <w:r w:rsidRPr="00CE4871">
              <w:rPr>
                <w:b/>
                <w:bCs/>
                <w:sz w:val="26"/>
                <w:szCs w:val="26"/>
              </w:rPr>
              <w:t>Finalidad</w:t>
            </w:r>
          </w:p>
          <w:p w14:paraId="59282BE7" w14:textId="43233B0A" w:rsidR="00FE57F6" w:rsidRPr="00CE4871" w:rsidRDefault="00496968" w:rsidP="00CA58CC">
            <w:pPr>
              <w:jc w:val="both"/>
            </w:pPr>
            <w:r w:rsidRPr="00CE4871">
              <w:t>Este Informe responde a la petición formulada por los Estados Miembros durante la reunión de 2024 del Consejo de recibir un informe completo sobre las actividades que lleva a cabo la</w:t>
            </w:r>
            <w:r w:rsidR="00427A80" w:rsidRPr="00CE4871">
              <w:t> </w:t>
            </w:r>
            <w:r w:rsidRPr="00CE4871">
              <w:t>UIT para asistir a los Estados Miembros en la reconstrucción de sus infraestructuras de TIC. En este Informe se recuerda el mandato de la UIT, se presentan los productos y servicios que ofrece y se da cuenta de las actividades llevadas a cabo recientemente por la UIT en los países correspondientes.</w:t>
            </w:r>
          </w:p>
          <w:p w14:paraId="752933E7" w14:textId="77777777" w:rsidR="00FE57F6" w:rsidRPr="00CE4871" w:rsidRDefault="00F24B71" w:rsidP="00C538FC">
            <w:pPr>
              <w:spacing w:before="160"/>
              <w:rPr>
                <w:b/>
                <w:bCs/>
                <w:sz w:val="26"/>
                <w:szCs w:val="26"/>
              </w:rPr>
            </w:pPr>
            <w:r w:rsidRPr="00CE4871">
              <w:rPr>
                <w:b/>
                <w:bCs/>
                <w:sz w:val="26"/>
                <w:szCs w:val="26"/>
              </w:rPr>
              <w:t xml:space="preserve">Acción solicitada </w:t>
            </w:r>
            <w:r w:rsidR="00677A97" w:rsidRPr="00CE4871">
              <w:rPr>
                <w:b/>
                <w:bCs/>
                <w:sz w:val="26"/>
                <w:szCs w:val="26"/>
              </w:rPr>
              <w:t>al</w:t>
            </w:r>
            <w:r w:rsidRPr="00CE4871">
              <w:rPr>
                <w:b/>
                <w:bCs/>
                <w:sz w:val="26"/>
                <w:szCs w:val="26"/>
              </w:rPr>
              <w:t xml:space="preserve"> Consejo</w:t>
            </w:r>
          </w:p>
          <w:p w14:paraId="48B90FD7" w14:textId="63008991" w:rsidR="00F92BED" w:rsidRPr="00CE4871" w:rsidRDefault="00496968" w:rsidP="00F92BED">
            <w:pPr>
              <w:spacing w:before="160"/>
              <w:rPr>
                <w:szCs w:val="24"/>
              </w:rPr>
            </w:pPr>
            <w:r w:rsidRPr="00CE4871">
              <w:rPr>
                <w:szCs w:val="24"/>
              </w:rPr>
              <w:t xml:space="preserve">Se invita al Consejo a </w:t>
            </w:r>
            <w:r w:rsidRPr="00CE4871">
              <w:rPr>
                <w:b/>
                <w:bCs/>
                <w:szCs w:val="24"/>
              </w:rPr>
              <w:t xml:space="preserve">tomar nota </w:t>
            </w:r>
            <w:r w:rsidRPr="00CE4871">
              <w:rPr>
                <w:szCs w:val="24"/>
              </w:rPr>
              <w:t xml:space="preserve">de este Informe y a </w:t>
            </w:r>
            <w:r w:rsidRPr="00CE4871">
              <w:rPr>
                <w:b/>
                <w:bCs/>
                <w:szCs w:val="24"/>
              </w:rPr>
              <w:t>formular las orientaciones que estime convenientes</w:t>
            </w:r>
            <w:r w:rsidRPr="00CE4871">
              <w:rPr>
                <w:szCs w:val="24"/>
              </w:rPr>
              <w:t>.</w:t>
            </w:r>
          </w:p>
          <w:p w14:paraId="7EA18CBC" w14:textId="77777777" w:rsidR="00F92BED" w:rsidRPr="00CE4871" w:rsidRDefault="00F92BED" w:rsidP="00F92BED">
            <w:pPr>
              <w:spacing w:before="160"/>
              <w:rPr>
                <w:b/>
                <w:bCs/>
                <w:sz w:val="26"/>
                <w:szCs w:val="26"/>
              </w:rPr>
            </w:pPr>
            <w:r w:rsidRPr="00CE4871">
              <w:rPr>
                <w:b/>
                <w:bCs/>
                <w:sz w:val="26"/>
                <w:szCs w:val="26"/>
              </w:rPr>
              <w:t>Vínculo(s) pertinente(s) con el Plan Estratégico</w:t>
            </w:r>
          </w:p>
          <w:p w14:paraId="16A0FC24" w14:textId="1108FA7C" w:rsidR="00F92BED" w:rsidRPr="00CE4871" w:rsidRDefault="00496968" w:rsidP="00F92BED">
            <w:r w:rsidRPr="00CE4871">
              <w:t>Prestación de asistencia técnica.</w:t>
            </w:r>
          </w:p>
          <w:p w14:paraId="38F59DA9" w14:textId="77777777" w:rsidR="00F92BED" w:rsidRPr="00CE4871" w:rsidRDefault="00F92BED" w:rsidP="00F92BED">
            <w:pPr>
              <w:spacing w:before="160"/>
              <w:rPr>
                <w:b/>
                <w:bCs/>
                <w:sz w:val="26"/>
                <w:szCs w:val="26"/>
              </w:rPr>
            </w:pPr>
            <w:r w:rsidRPr="00CE4871">
              <w:rPr>
                <w:b/>
                <w:bCs/>
                <w:sz w:val="26"/>
                <w:szCs w:val="26"/>
              </w:rPr>
              <w:t>Repercusiones financieras</w:t>
            </w:r>
          </w:p>
          <w:p w14:paraId="408B9C5F" w14:textId="77777777" w:rsidR="00496968" w:rsidRPr="00496968" w:rsidRDefault="00496968" w:rsidP="00496968">
            <w:r w:rsidRPr="00496968">
              <w:t>Con cargo al presupuesto asignado para 2024-2025.</w:t>
            </w:r>
          </w:p>
          <w:p w14:paraId="53D3886D" w14:textId="77777777" w:rsidR="00FE57F6" w:rsidRPr="00CE4871" w:rsidRDefault="00FE57F6" w:rsidP="00C538FC">
            <w:pPr>
              <w:spacing w:before="160"/>
              <w:rPr>
                <w:caps/>
                <w:sz w:val="22"/>
              </w:rPr>
            </w:pPr>
            <w:r w:rsidRPr="00CE4871">
              <w:rPr>
                <w:sz w:val="22"/>
              </w:rPr>
              <w:t>__________________</w:t>
            </w:r>
          </w:p>
          <w:p w14:paraId="75258FB7" w14:textId="77777777" w:rsidR="00FE57F6" w:rsidRPr="00CE4871" w:rsidRDefault="00F24B71" w:rsidP="00C538FC">
            <w:pPr>
              <w:spacing w:before="160"/>
              <w:rPr>
                <w:b/>
                <w:bCs/>
                <w:sz w:val="26"/>
                <w:szCs w:val="26"/>
              </w:rPr>
            </w:pPr>
            <w:r w:rsidRPr="00CE4871">
              <w:rPr>
                <w:b/>
                <w:bCs/>
                <w:sz w:val="26"/>
                <w:szCs w:val="26"/>
              </w:rPr>
              <w:t>Referencia</w:t>
            </w:r>
            <w:r w:rsidR="00F92BED" w:rsidRPr="00CE4871">
              <w:rPr>
                <w:b/>
                <w:bCs/>
                <w:sz w:val="26"/>
                <w:szCs w:val="26"/>
              </w:rPr>
              <w:t>s</w:t>
            </w:r>
            <w:r w:rsidR="00D375E0" w:rsidRPr="00CE4871">
              <w:rPr>
                <w:sz w:val="26"/>
                <w:szCs w:val="26"/>
              </w:rPr>
              <w:t xml:space="preserve"> </w:t>
            </w:r>
          </w:p>
          <w:p w14:paraId="3D0762AE" w14:textId="0B5B98D2" w:rsidR="00FE57F6" w:rsidRPr="00BC0F55" w:rsidRDefault="00496968" w:rsidP="00496968">
            <w:pPr>
              <w:rPr>
                <w:sz w:val="22"/>
                <w:szCs w:val="22"/>
              </w:rPr>
            </w:pPr>
            <w:r w:rsidRPr="00BC0F55">
              <w:rPr>
                <w:sz w:val="22"/>
                <w:szCs w:val="22"/>
              </w:rPr>
              <w:t xml:space="preserve">Resoluciones </w:t>
            </w:r>
            <w:hyperlink r:id="rId7" w:history="1">
              <w:r w:rsidR="00427A80" w:rsidRPr="00BC0F55">
                <w:rPr>
                  <w:rStyle w:val="Hyperlink"/>
                  <w:i/>
                  <w:iCs/>
                  <w:sz w:val="22"/>
                  <w:szCs w:val="22"/>
                </w:rPr>
                <w:t>125 (Rev. Bucarest, 2022)</w:t>
              </w:r>
            </w:hyperlink>
            <w:r w:rsidRPr="00BC0F55">
              <w:rPr>
                <w:sz w:val="22"/>
                <w:szCs w:val="22"/>
              </w:rPr>
              <w:t xml:space="preserve"> y </w:t>
            </w:r>
            <w:hyperlink r:id="rId8" w:history="1">
              <w:r w:rsidR="00427A80" w:rsidRPr="00BC0F55">
                <w:rPr>
                  <w:rStyle w:val="Hyperlink"/>
                  <w:i/>
                  <w:iCs/>
                  <w:sz w:val="22"/>
                  <w:szCs w:val="22"/>
                </w:rPr>
                <w:t>193 (Rev. Bucarest, 2022)</w:t>
              </w:r>
            </w:hyperlink>
            <w:r w:rsidRPr="00BC0F55">
              <w:rPr>
                <w:sz w:val="22"/>
                <w:szCs w:val="22"/>
              </w:rPr>
              <w:t xml:space="preserve"> de la Conferencia de Plenipotenciarios (PP); Resoluciones </w:t>
            </w:r>
            <w:hyperlink r:id="rId9" w:history="1">
              <w:r w:rsidR="00427A80" w:rsidRPr="00BC0F55">
                <w:rPr>
                  <w:rStyle w:val="Hyperlink"/>
                  <w:i/>
                  <w:iCs/>
                  <w:sz w:val="22"/>
                  <w:szCs w:val="22"/>
                </w:rPr>
                <w:t>18 (Rev. Kigali, 2022)</w:t>
              </w:r>
            </w:hyperlink>
            <w:r w:rsidRPr="00BC0F55">
              <w:rPr>
                <w:sz w:val="22"/>
                <w:szCs w:val="22"/>
              </w:rPr>
              <w:t xml:space="preserve"> y </w:t>
            </w:r>
            <w:hyperlink r:id="rId10" w:history="1">
              <w:r w:rsidR="00427A80" w:rsidRPr="00BC0F55">
                <w:rPr>
                  <w:rStyle w:val="Hyperlink"/>
                  <w:i/>
                  <w:iCs/>
                  <w:sz w:val="22"/>
                  <w:szCs w:val="22"/>
                </w:rPr>
                <w:t>25 (Rev. Kigali, 2022)</w:t>
              </w:r>
            </w:hyperlink>
            <w:r w:rsidRPr="00BC0F55">
              <w:rPr>
                <w:sz w:val="22"/>
                <w:szCs w:val="22"/>
              </w:rPr>
              <w:t xml:space="preserve"> de la Conferencia Mundial de Desarrollo de las Telecomunicaciones;</w:t>
            </w:r>
            <w:r w:rsidR="00427A80" w:rsidRPr="00BC0F55">
              <w:rPr>
                <w:sz w:val="22"/>
                <w:szCs w:val="22"/>
              </w:rPr>
              <w:t xml:space="preserve"> </w:t>
            </w:r>
            <w:hyperlink r:id="rId11" w:history="1">
              <w:r w:rsidR="00427A80" w:rsidRPr="00BC0F55">
                <w:rPr>
                  <w:rStyle w:val="Hyperlink"/>
                  <w:i/>
                  <w:iCs/>
                  <w:sz w:val="22"/>
                  <w:szCs w:val="22"/>
                </w:rPr>
                <w:t>Resolución 1408 (C22, modificada C23)</w:t>
              </w:r>
            </w:hyperlink>
            <w:r w:rsidRPr="00BC0F55">
              <w:rPr>
                <w:sz w:val="22"/>
                <w:szCs w:val="22"/>
              </w:rPr>
              <w:t xml:space="preserve"> del Consejo</w:t>
            </w:r>
          </w:p>
        </w:tc>
      </w:tr>
      <w:bookmarkEnd w:id="0"/>
    </w:tbl>
    <w:p w14:paraId="4D82C405" w14:textId="77777777" w:rsidR="001559F5" w:rsidRPr="00CE4871" w:rsidRDefault="001559F5">
      <w:pPr>
        <w:tabs>
          <w:tab w:val="clear" w:pos="567"/>
          <w:tab w:val="clear" w:pos="1134"/>
          <w:tab w:val="clear" w:pos="1701"/>
          <w:tab w:val="clear" w:pos="2268"/>
          <w:tab w:val="clear" w:pos="2835"/>
        </w:tabs>
        <w:overflowPunct/>
        <w:autoSpaceDE/>
        <w:autoSpaceDN/>
        <w:adjustRightInd/>
        <w:spacing w:before="0"/>
        <w:textAlignment w:val="auto"/>
      </w:pPr>
      <w:r w:rsidRPr="00CE4871">
        <w:br w:type="page"/>
      </w:r>
    </w:p>
    <w:p w14:paraId="1F205F51" w14:textId="0D42A9A5" w:rsidR="00C77E8A" w:rsidRPr="00CE4871" w:rsidRDefault="00C77E8A" w:rsidP="00C77E8A">
      <w:pPr>
        <w:pStyle w:val="Heading1"/>
        <w:rPr>
          <w:lang w:eastAsia="zh-CN"/>
        </w:rPr>
      </w:pPr>
      <w:bookmarkStart w:id="2" w:name="_Toc309942973"/>
      <w:r w:rsidRPr="00CE4871">
        <w:rPr>
          <w:lang w:eastAsia="zh-CN"/>
        </w:rPr>
        <w:lastRenderedPageBreak/>
        <w:t>1</w:t>
      </w:r>
      <w:r w:rsidRPr="00CE4871">
        <w:tab/>
      </w:r>
      <w:bookmarkEnd w:id="2"/>
      <w:r w:rsidRPr="00CE4871">
        <w:rPr>
          <w:lang w:eastAsia="zh-CN"/>
        </w:rPr>
        <w:t>Antecedentes</w:t>
      </w:r>
    </w:p>
    <w:p w14:paraId="37F557E1" w14:textId="5A6CF0EA" w:rsidR="00C77E8A" w:rsidRPr="00CE4871" w:rsidRDefault="00C77E8A" w:rsidP="00BC0F55">
      <w:pPr>
        <w:jc w:val="both"/>
        <w:rPr>
          <w:rFonts w:asciiTheme="minorHAnsi" w:hAnsiTheme="minorHAnsi" w:cstheme="minorHAnsi"/>
          <w:szCs w:val="24"/>
        </w:rPr>
      </w:pPr>
      <w:r w:rsidRPr="00CE4871">
        <w:t>Este Informe responde a la petición formulada por los Estados Miembros durante la reunión de 2024 del Consejo de recibir un informe completo sobre las actividades que lleva a cabo la</w:t>
      </w:r>
      <w:r w:rsidR="00CE4871" w:rsidRPr="00CE4871">
        <w:t> </w:t>
      </w:r>
      <w:r w:rsidRPr="00CE4871">
        <w:t>UIT para asistir a los Estados Miembros en la reconstrucción de sus infraestructuras de</w:t>
      </w:r>
      <w:r w:rsidR="00CE4871" w:rsidRPr="00CE4871">
        <w:t> </w:t>
      </w:r>
      <w:r w:rsidRPr="00CE4871">
        <w:t>TIC</w:t>
      </w:r>
      <w:r w:rsidRPr="00CE4871">
        <w:rPr>
          <w:rFonts w:asciiTheme="minorHAnsi" w:hAnsiTheme="minorHAnsi" w:cstheme="minorHAnsi"/>
          <w:szCs w:val="24"/>
        </w:rPr>
        <w:t>.</w:t>
      </w:r>
    </w:p>
    <w:p w14:paraId="5A392815" w14:textId="75DF4582" w:rsidR="00C77E8A" w:rsidRPr="00CE4871" w:rsidRDefault="00C77E8A" w:rsidP="00BC0F55">
      <w:pPr>
        <w:jc w:val="both"/>
      </w:pPr>
      <w:r w:rsidRPr="00CE4871">
        <w:t>A continuación se enumeran las Resoluciones de Conferencias de la UIT y del Consejo en las que se encarga a la Unión que preste asistencia técnica a una serie de países:</w:t>
      </w:r>
    </w:p>
    <w:p w14:paraId="5DC38332" w14:textId="09E95C80" w:rsidR="00C77E8A" w:rsidRPr="00CE4871" w:rsidRDefault="004279F6" w:rsidP="00BC0F55">
      <w:pPr>
        <w:pStyle w:val="enumlev1"/>
        <w:jc w:val="both"/>
        <w:rPr>
          <w:rFonts w:eastAsiaTheme="minorEastAsia"/>
          <w:lang w:eastAsia="zh-CN"/>
        </w:rPr>
      </w:pPr>
      <w:r w:rsidRPr="00CE4871">
        <w:rPr>
          <w:rFonts w:eastAsiaTheme="minorEastAsia"/>
          <w:lang w:eastAsia="zh-CN"/>
        </w:rPr>
        <w:t>–</w:t>
      </w:r>
      <w:r w:rsidRPr="00CE4871">
        <w:rPr>
          <w:rFonts w:eastAsiaTheme="minorEastAsia"/>
          <w:lang w:eastAsia="zh-CN"/>
        </w:rPr>
        <w:tab/>
      </w:r>
      <w:r w:rsidR="00C77E8A" w:rsidRPr="00CE4871">
        <w:rPr>
          <w:rFonts w:eastAsiaTheme="minorEastAsia"/>
          <w:lang w:eastAsia="zh-CN"/>
        </w:rPr>
        <w:t>Resolución 125 (Rev. Bucarest, 2022) de la PP – Asistencia y apoyo a Palestina para el desarrollo de infraestructuras y la capacitación en el sector de las telecomunicaciones y las tecnologías de la información;</w:t>
      </w:r>
    </w:p>
    <w:p w14:paraId="308CFFA3" w14:textId="657D8B0F" w:rsidR="00C77E8A" w:rsidRPr="00CE4871" w:rsidRDefault="004279F6" w:rsidP="00BC0F55">
      <w:pPr>
        <w:pStyle w:val="enumlev1"/>
        <w:jc w:val="both"/>
        <w:rPr>
          <w:rFonts w:eastAsiaTheme="minorEastAsia" w:cstheme="minorHAnsi"/>
          <w:szCs w:val="24"/>
          <w:lang w:eastAsia="zh-CN"/>
        </w:rPr>
      </w:pPr>
      <w:r w:rsidRPr="00CE4871">
        <w:rPr>
          <w:rFonts w:eastAsiaTheme="minorEastAsia"/>
          <w:lang w:eastAsia="zh-CN"/>
        </w:rPr>
        <w:t>–</w:t>
      </w:r>
      <w:r w:rsidRPr="00CE4871">
        <w:rPr>
          <w:rFonts w:eastAsiaTheme="minorEastAsia"/>
          <w:lang w:eastAsia="zh-CN"/>
        </w:rPr>
        <w:tab/>
      </w:r>
      <w:r w:rsidR="00C77E8A" w:rsidRPr="00CE4871">
        <w:rPr>
          <w:rFonts w:eastAsiaTheme="minorEastAsia" w:cstheme="minorHAnsi"/>
          <w:szCs w:val="24"/>
          <w:lang w:eastAsia="zh-CN"/>
        </w:rPr>
        <w:t>Resolución 193 (Rev. Bucarest, 2022) de la PP – Apoyo y asistencia a Iraq para proseguir la reconstrucción y el desarrollo de su sector de las telecomunicaciones/tecnologías de la información y la comunicación;</w:t>
      </w:r>
    </w:p>
    <w:p w14:paraId="2C37EE54" w14:textId="1C4CBC42" w:rsidR="00C77E8A" w:rsidRPr="00CE4871" w:rsidRDefault="004279F6" w:rsidP="00BC0F55">
      <w:pPr>
        <w:pStyle w:val="enumlev1"/>
        <w:jc w:val="both"/>
        <w:rPr>
          <w:rFonts w:eastAsiaTheme="minorEastAsia" w:cstheme="minorHAnsi"/>
          <w:szCs w:val="24"/>
          <w:lang w:eastAsia="zh-CN"/>
        </w:rPr>
      </w:pPr>
      <w:r w:rsidRPr="00CE4871">
        <w:rPr>
          <w:rFonts w:eastAsiaTheme="minorEastAsia"/>
          <w:lang w:eastAsia="zh-CN"/>
        </w:rPr>
        <w:t>–</w:t>
      </w:r>
      <w:r w:rsidRPr="00CE4871">
        <w:rPr>
          <w:rFonts w:eastAsiaTheme="minorEastAsia"/>
          <w:lang w:eastAsia="zh-CN"/>
        </w:rPr>
        <w:tab/>
      </w:r>
      <w:r w:rsidR="00C77E8A" w:rsidRPr="00CE4871">
        <w:rPr>
          <w:rFonts w:eastAsiaTheme="minorEastAsia" w:cstheme="minorHAnsi"/>
          <w:szCs w:val="24"/>
          <w:lang w:eastAsia="zh-CN"/>
        </w:rPr>
        <w:t xml:space="preserve">Resolución 1408 </w:t>
      </w:r>
      <w:r w:rsidR="00C77E8A" w:rsidRPr="00CE4871">
        <w:rPr>
          <w:i/>
          <w:iCs/>
          <w:szCs w:val="24"/>
        </w:rPr>
        <w:t>(C22, modificada C23)</w:t>
      </w:r>
      <w:r w:rsidR="00C77E8A" w:rsidRPr="00CE4871">
        <w:rPr>
          <w:szCs w:val="24"/>
        </w:rPr>
        <w:t xml:space="preserve"> del Consejo</w:t>
      </w:r>
      <w:r w:rsidR="00C77E8A" w:rsidRPr="00CE4871">
        <w:rPr>
          <w:i/>
          <w:iCs/>
          <w:szCs w:val="24"/>
        </w:rPr>
        <w:t xml:space="preserve"> –</w:t>
      </w:r>
      <w:r w:rsidR="00C77E8A" w:rsidRPr="00CE4871">
        <w:rPr>
          <w:rFonts w:eastAsiaTheme="minorEastAsia" w:cstheme="minorHAnsi"/>
          <w:szCs w:val="24"/>
          <w:lang w:eastAsia="zh-CN"/>
        </w:rPr>
        <w:t xml:space="preserve"> Asistencia y apoyo a Ucrania para la reconstrucción de su sector de telecomunicaciones;</w:t>
      </w:r>
    </w:p>
    <w:p w14:paraId="78BEC562" w14:textId="46DEE27A" w:rsidR="00C77E8A" w:rsidRPr="00CE4871" w:rsidRDefault="004279F6" w:rsidP="00BC0F55">
      <w:pPr>
        <w:pStyle w:val="enumlev1"/>
        <w:jc w:val="both"/>
        <w:rPr>
          <w:rFonts w:eastAsiaTheme="minorEastAsia"/>
          <w:szCs w:val="24"/>
          <w:lang w:eastAsia="zh-CN"/>
        </w:rPr>
      </w:pPr>
      <w:r w:rsidRPr="00CE4871">
        <w:rPr>
          <w:rFonts w:eastAsiaTheme="minorEastAsia"/>
          <w:lang w:eastAsia="zh-CN"/>
        </w:rPr>
        <w:t>–</w:t>
      </w:r>
      <w:r w:rsidRPr="00CE4871">
        <w:rPr>
          <w:rFonts w:eastAsiaTheme="minorEastAsia"/>
          <w:lang w:eastAsia="zh-CN"/>
        </w:rPr>
        <w:tab/>
      </w:r>
      <w:r w:rsidR="00C77E8A" w:rsidRPr="00CE4871">
        <w:rPr>
          <w:rFonts w:eastAsiaTheme="minorEastAsia"/>
          <w:szCs w:val="24"/>
          <w:lang w:eastAsia="zh-CN"/>
        </w:rPr>
        <w:t>Resolución 1424 (2024) del Consejo – Asistencia y ayuda a Palestina para la reconstrucción de su sector de telecomunicaciones.</w:t>
      </w:r>
    </w:p>
    <w:p w14:paraId="49A73BA2" w14:textId="6FA34C7E" w:rsidR="00C77E8A" w:rsidRPr="00CE4871" w:rsidRDefault="004279F6" w:rsidP="00BC0F55">
      <w:pPr>
        <w:pStyle w:val="enumlev1"/>
        <w:jc w:val="both"/>
        <w:rPr>
          <w:rFonts w:eastAsiaTheme="minorEastAsia" w:cstheme="minorHAnsi"/>
          <w:szCs w:val="24"/>
          <w:lang w:eastAsia="zh-CN"/>
        </w:rPr>
      </w:pPr>
      <w:r w:rsidRPr="00CE4871">
        <w:rPr>
          <w:rFonts w:eastAsiaTheme="minorEastAsia"/>
          <w:lang w:eastAsia="zh-CN"/>
        </w:rPr>
        <w:t>–</w:t>
      </w:r>
      <w:r w:rsidRPr="00CE4871">
        <w:rPr>
          <w:rFonts w:eastAsiaTheme="minorEastAsia"/>
          <w:lang w:eastAsia="zh-CN"/>
        </w:rPr>
        <w:tab/>
      </w:r>
      <w:r w:rsidR="00C77E8A" w:rsidRPr="00CE4871">
        <w:rPr>
          <w:rFonts w:eastAsiaTheme="minorEastAsia" w:cstheme="minorHAnsi"/>
          <w:szCs w:val="24"/>
          <w:lang w:eastAsia="zh-CN"/>
        </w:rPr>
        <w:t>Resolución 18 (Rev. Kigali, 2022) de la CMDT – Asistencia técnica especial a Palestina;</w:t>
      </w:r>
    </w:p>
    <w:p w14:paraId="2FA79995" w14:textId="4A3234B3" w:rsidR="00C77E8A" w:rsidRPr="00CE4871" w:rsidRDefault="004279F6" w:rsidP="00BC0F55">
      <w:pPr>
        <w:pStyle w:val="enumlev1"/>
        <w:jc w:val="both"/>
        <w:rPr>
          <w:rFonts w:eastAsiaTheme="minorEastAsia"/>
          <w:lang w:eastAsia="zh-CN"/>
        </w:rPr>
      </w:pPr>
      <w:r w:rsidRPr="00CE4871">
        <w:rPr>
          <w:rFonts w:eastAsiaTheme="minorEastAsia"/>
          <w:lang w:eastAsia="zh-CN"/>
        </w:rPr>
        <w:t>–</w:t>
      </w:r>
      <w:r w:rsidRPr="00CE4871">
        <w:rPr>
          <w:rFonts w:eastAsiaTheme="minorEastAsia"/>
          <w:lang w:eastAsia="zh-CN"/>
        </w:rPr>
        <w:tab/>
      </w:r>
      <w:r w:rsidR="00C77E8A" w:rsidRPr="00CE4871">
        <w:rPr>
          <w:rFonts w:eastAsiaTheme="minorEastAsia"/>
          <w:lang w:eastAsia="zh-CN"/>
        </w:rPr>
        <w:t>Resolución 25 (Rev. Kigali, 2022) de la CMDT – Asistencia a países con necesidades especiales: Afganistán, Burundi, República Democrática del Congo, República Centroafricana, Eritrea, Etiopía, Guinea, Guinea-Bissau, Haití, Liberia, Rwanda, Sierra Leona, Somalia, Sudán del Sur y Timor Leste</w:t>
      </w:r>
      <w:r w:rsidRPr="00CE4871">
        <w:rPr>
          <w:rFonts w:eastAsiaTheme="minorEastAsia"/>
          <w:lang w:eastAsia="zh-CN"/>
        </w:rPr>
        <w:t>.</w:t>
      </w:r>
    </w:p>
    <w:p w14:paraId="4BBBB9E7" w14:textId="0864519E" w:rsidR="00C77E8A" w:rsidRPr="00CE4871" w:rsidRDefault="00C77E8A" w:rsidP="004279F6">
      <w:pPr>
        <w:pStyle w:val="Heading1"/>
        <w:rPr>
          <w:lang w:eastAsia="zh-CN"/>
        </w:rPr>
      </w:pPr>
      <w:r w:rsidRPr="00CE4871">
        <w:rPr>
          <w:lang w:eastAsia="zh-CN"/>
        </w:rPr>
        <w:t>2</w:t>
      </w:r>
      <w:r w:rsidRPr="00CE4871">
        <w:rPr>
          <w:lang w:eastAsia="zh-CN"/>
        </w:rPr>
        <w:tab/>
        <w:t>Información actualizada sobre las actividades realizadas</w:t>
      </w:r>
    </w:p>
    <w:p w14:paraId="7BD7A569" w14:textId="221AC869" w:rsidR="00C77E8A" w:rsidRPr="00CE4871" w:rsidRDefault="00C77E8A" w:rsidP="00BC0F55">
      <w:pPr>
        <w:jc w:val="both"/>
      </w:pPr>
      <w:r w:rsidRPr="00CE4871">
        <w:t xml:space="preserve">Todos los países interesados son beneficiarios de los productos y servicios de la UIT, en particular los diseñados y ofrecidos en el marco de la </w:t>
      </w:r>
      <w:hyperlink r:id="rId12" w:history="1">
        <w:r w:rsidRPr="00CE4871">
          <w:rPr>
            <w:rStyle w:val="Hyperlink"/>
          </w:rPr>
          <w:t>Prioridad 1 del UIT-D: Conectividad asequible</w:t>
        </w:r>
      </w:hyperlink>
      <w:r w:rsidRPr="00CE4871">
        <w:t xml:space="preserve"> y la </w:t>
      </w:r>
      <w:hyperlink r:id="rId13" w:history="1">
        <w:r w:rsidRPr="00CE4871">
          <w:rPr>
            <w:rStyle w:val="Hyperlink"/>
          </w:rPr>
          <w:t>Prioridad 3 del UIT-D: Entorno político y reglamentario propicio</w:t>
        </w:r>
      </w:hyperlink>
      <w:r w:rsidRPr="00CE4871">
        <w:t>.</w:t>
      </w:r>
    </w:p>
    <w:p w14:paraId="1AF1ACD3" w14:textId="709DD9EB" w:rsidR="00C77E8A" w:rsidRPr="00CE4871" w:rsidRDefault="00C77E8A" w:rsidP="00BC0F55">
      <w:pPr>
        <w:jc w:val="both"/>
      </w:pPr>
      <w:r w:rsidRPr="00CE4871">
        <w:t>El catálogo de productos y servicios incluye, entre otras cosas, la cartografía y análisis de infraestructuras, estudios de evaluación, publicaciones, talleres, directrices y prácticas idóneas en materia de infraestructuras de telecomunicaciones/TIC, incluida la banda ancha fija e inalámbrica, la conexión de zonas rurales y remotas, la conformidad y la interoperabilidad, la gestión del espectro, la transición a la radiodifusión digital, la gestión eficiente y efectiva y la utilización adecuada de los recursos de telecomunicaciones dentro del ámbito de competencias de la UIT.</w:t>
      </w:r>
    </w:p>
    <w:p w14:paraId="447FE1E9" w14:textId="72BE0501" w:rsidR="00C77E8A" w:rsidRPr="00CE4871" w:rsidRDefault="00C77E8A" w:rsidP="00BC0F55">
      <w:pPr>
        <w:jc w:val="both"/>
        <w:rPr>
          <w:rFonts w:eastAsiaTheme="minorEastAsia"/>
        </w:rPr>
      </w:pPr>
      <w:r w:rsidRPr="00CE4871">
        <w:t>Esto conlleva asimismo la preparación de planes nacionales de telecomunicaciones de emergencia, la capacitación para la utilización de las TIC en la gestión de catástrofes y el diseño de ejercicios de simulación, la implementación de sistemas de alerta temprana contra peligros múltiples, incluido el Protocolo de Alerta Común, la restauración de la conectividad en países que han sufrido catástrofes, el establecimiento de mapas de conectividad en caso de catástrofe y la capacitación nacional en materia de gestión y reducción del riesgo de catástrofe</w:t>
      </w:r>
      <w:r w:rsidRPr="00CE4871">
        <w:rPr>
          <w:rFonts w:eastAsiaTheme="minorEastAsia"/>
        </w:rPr>
        <w:t>.</w:t>
      </w:r>
    </w:p>
    <w:p w14:paraId="790A7784" w14:textId="77777777" w:rsidR="00C77E8A" w:rsidRPr="00CE4871" w:rsidRDefault="00C77E8A" w:rsidP="00BC0F55">
      <w:pPr>
        <w:keepNext/>
        <w:keepLines/>
        <w:jc w:val="both"/>
        <w:rPr>
          <w:rFonts w:asciiTheme="minorHAnsi" w:hAnsiTheme="minorHAnsi" w:cstheme="minorBidi"/>
        </w:rPr>
      </w:pPr>
      <w:r w:rsidRPr="00CE4871">
        <w:rPr>
          <w:rFonts w:eastAsiaTheme="minorEastAsia" w:cstheme="minorBidi"/>
        </w:rPr>
        <w:lastRenderedPageBreak/>
        <w:t xml:space="preserve">Para ello la UIT ofrece plataformas y herramientas para definir marcos políticos, jurídicos y reglamentarios efectivos que ayuden a los reguladores y responsables políticos a obrar en pro de una conectividad universal y efectiva. Entre esos productos se cuentan la plataforma de reglamentación digital, la reglamentación colaborativa, </w:t>
      </w:r>
      <w:hyperlink r:id="rId14" w:history="1">
        <w:r w:rsidRPr="00CE4871">
          <w:rPr>
            <w:rStyle w:val="Hyperlink"/>
            <w:rFonts w:eastAsiaTheme="minorEastAsia" w:cstheme="minorBidi"/>
          </w:rPr>
          <w:t>el Marco de referencia G5</w:t>
        </w:r>
      </w:hyperlink>
      <w:r w:rsidRPr="00CE4871">
        <w:rPr>
          <w:rFonts w:eastAsiaTheme="minorEastAsia" w:cstheme="minorBidi"/>
        </w:rPr>
        <w:t>, el Simposio Mundial para Organismos Reguladores, las Directrices de prácticas idóneas, los estudios sobre los efectos económicos y el ICT Policy Impact Lab.</w:t>
      </w:r>
    </w:p>
    <w:p w14:paraId="2197F4EC" w14:textId="04519A26" w:rsidR="00C77E8A" w:rsidRPr="00CE4871" w:rsidRDefault="00C77E8A" w:rsidP="00BC0F55">
      <w:pPr>
        <w:jc w:val="both"/>
        <w:rPr>
          <w:rFonts w:cstheme="minorHAnsi"/>
        </w:rPr>
      </w:pPr>
      <w:r w:rsidRPr="00CE4871">
        <w:rPr>
          <w:rFonts w:asciiTheme="minorHAnsi" w:hAnsiTheme="minorHAnsi" w:cstheme="minorHAnsi"/>
          <w:szCs w:val="24"/>
        </w:rPr>
        <w:t xml:space="preserve">Puede encontrarse información detallada sobre todas las actividades relativas al desarrollo infraestructural en el terreno llevadas a cabo entre mayo de 2024 y abril de 2025 en el </w:t>
      </w:r>
      <w:r w:rsidR="00CE4871" w:rsidRPr="00CE4871">
        <w:rPr>
          <w:rFonts w:asciiTheme="minorHAnsi" w:hAnsiTheme="minorHAnsi" w:cstheme="minorHAnsi"/>
          <w:szCs w:val="24"/>
        </w:rPr>
        <w:t xml:space="preserve">Documento </w:t>
      </w:r>
      <w:hyperlink r:id="rId15" w:history="1">
        <w:r w:rsidR="00CE4871">
          <w:rPr>
            <w:rStyle w:val="Hyperlink"/>
          </w:rPr>
          <w:t>TDAG-25/2</w:t>
        </w:r>
      </w:hyperlink>
      <w:r w:rsidRPr="00CE4871">
        <w:rPr>
          <w:rFonts w:cstheme="minorHAnsi"/>
        </w:rPr>
        <w:t>. La información sobre las actividades realizadas entre junio de 2023 y abril de 2024 se recoge en el</w:t>
      </w:r>
      <w:r w:rsidR="00CE4871">
        <w:rPr>
          <w:rFonts w:cstheme="minorHAnsi"/>
        </w:rPr>
        <w:t xml:space="preserve"> </w:t>
      </w:r>
      <w:r w:rsidR="00CE4871" w:rsidRPr="00CE4871">
        <w:rPr>
          <w:rFonts w:cstheme="minorHAnsi"/>
        </w:rPr>
        <w:t>Documento</w:t>
      </w:r>
      <w:r w:rsidRPr="00CE4871">
        <w:rPr>
          <w:rFonts w:cstheme="minorHAnsi"/>
        </w:rPr>
        <w:t xml:space="preserve"> </w:t>
      </w:r>
      <w:hyperlink r:id="rId16" w:history="1">
        <w:r w:rsidR="00CE4871">
          <w:rPr>
            <w:rStyle w:val="Hyperlink"/>
          </w:rPr>
          <w:t>TDAG-24/2</w:t>
        </w:r>
      </w:hyperlink>
      <w:r w:rsidRPr="00CE4871">
        <w:rPr>
          <w:rFonts w:cstheme="minorHAnsi"/>
        </w:rPr>
        <w:t>.</w:t>
      </w:r>
    </w:p>
    <w:p w14:paraId="5D9BBFD9" w14:textId="2808CB9F" w:rsidR="00C77E8A" w:rsidRPr="00CE4871" w:rsidRDefault="00C77E8A" w:rsidP="00BC0F55">
      <w:pPr>
        <w:jc w:val="both"/>
      </w:pPr>
      <w:r w:rsidRPr="00CE4871">
        <w:t xml:space="preserve">La Secretaría ha presentado informes detallados sobre las actividades realizadas en respuesta a la Resolución 1408 del Consejo de la UIT, relativa a Ucrania, y la Resolución 1424 del Consejo de la UIT, relativa a Palestina, en los documentos </w:t>
      </w:r>
      <w:hyperlink r:id="rId17" w:history="1">
        <w:r w:rsidRPr="00CE4871">
          <w:rPr>
            <w:rStyle w:val="Hyperlink"/>
            <w:rFonts w:asciiTheme="minorHAnsi" w:hAnsiTheme="minorHAnsi" w:cstheme="minorHAnsi"/>
            <w:szCs w:val="24"/>
          </w:rPr>
          <w:t>C25/68</w:t>
        </w:r>
      </w:hyperlink>
      <w:r w:rsidRPr="00CE4871">
        <w:t xml:space="preserve"> y </w:t>
      </w:r>
      <w:hyperlink r:id="rId18" w:history="1">
        <w:r w:rsidRPr="00CE4871">
          <w:rPr>
            <w:rStyle w:val="Hyperlink"/>
            <w:rFonts w:asciiTheme="minorHAnsi" w:hAnsiTheme="minorHAnsi" w:cstheme="minorHAnsi"/>
            <w:szCs w:val="24"/>
          </w:rPr>
          <w:t>C25/71</w:t>
        </w:r>
      </w:hyperlink>
      <w:r w:rsidRPr="00CE4871">
        <w:t>, respectivamente.</w:t>
      </w:r>
    </w:p>
    <w:p w14:paraId="3B1BD7ED" w14:textId="5E5361B8" w:rsidR="00C77E8A" w:rsidRPr="00CE4871" w:rsidRDefault="00C77E8A" w:rsidP="004279F6">
      <w:pPr>
        <w:pStyle w:val="Heading1"/>
        <w:rPr>
          <w:lang w:eastAsia="zh-CN"/>
        </w:rPr>
      </w:pPr>
      <w:r w:rsidRPr="00CE4871">
        <w:rPr>
          <w:lang w:eastAsia="zh-CN"/>
        </w:rPr>
        <w:t>3</w:t>
      </w:r>
      <w:r w:rsidRPr="00CE4871">
        <w:rPr>
          <w:lang w:eastAsia="zh-CN"/>
        </w:rPr>
        <w:tab/>
        <w:t>Conclusiones</w:t>
      </w:r>
    </w:p>
    <w:p w14:paraId="36376EBF" w14:textId="747853CC" w:rsidR="00C77E8A" w:rsidRPr="00CE4871" w:rsidRDefault="00C77E8A" w:rsidP="00BC0F55">
      <w:pPr>
        <w:jc w:val="both"/>
      </w:pPr>
      <w:r w:rsidRPr="00CE4871">
        <w:t>La UIT sigue afianzando su oferta de productos y servicios destinados a ayudar a los Estados Miembros en el desarrollo, la reconstrucción y/o la rehabilitación de sus infraestructuras de TIC. Muchos países se benefician ya de las ofertas y la asistencia directa prestadas por la UIT de conformidad con las Resoluciones antes mencionadas.</w:t>
      </w:r>
    </w:p>
    <w:p w14:paraId="07A07274" w14:textId="3FD8A9AF" w:rsidR="00C77E8A" w:rsidRPr="00CE4871" w:rsidRDefault="00C77E8A" w:rsidP="00BC0F55">
      <w:pPr>
        <w:jc w:val="both"/>
      </w:pPr>
      <w:r w:rsidRPr="00CE4871">
        <w:t>Se anima a todos los Estados Miembros interesados en recibir una mayor ayuda para la reconstrucción y/o rehabilitación de sus infraestructuras de TIC a utilizar los productos y servicios de la UIT pertinentes, así como a recurrir a la UIT en caso de necesitar asistencia técnica.</w:t>
      </w:r>
    </w:p>
    <w:p w14:paraId="3153702F" w14:textId="75F2703E" w:rsidR="00C77E8A" w:rsidRDefault="00C77E8A" w:rsidP="00BC0F55">
      <w:pPr>
        <w:jc w:val="both"/>
      </w:pPr>
      <w:r w:rsidRPr="00CE4871">
        <w:t>Dado que la reconstrucción y rehabilitación de infraestructuras de TIC exige la dedicación de importantes recursos financieros, se invita a todos los interesados a prestar su apoyo a fin de garantizar el carácter integral de la asistencia prestada por la UIT.</w:t>
      </w:r>
    </w:p>
    <w:p w14:paraId="01C09FF0" w14:textId="77777777" w:rsidR="00BC0F55" w:rsidRPr="00CE4871" w:rsidRDefault="00BC0F55" w:rsidP="00BC0F55">
      <w:pPr>
        <w:jc w:val="both"/>
      </w:pPr>
    </w:p>
    <w:p w14:paraId="69364417" w14:textId="77777777" w:rsidR="004279F6" w:rsidRPr="00CE4871" w:rsidRDefault="004279F6">
      <w:pPr>
        <w:jc w:val="center"/>
      </w:pPr>
      <w:r w:rsidRPr="00CE4871">
        <w:t>______________</w:t>
      </w:r>
    </w:p>
    <w:sectPr w:rsidR="004279F6" w:rsidRPr="00CE4871" w:rsidSect="00C538FC">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E641D" w14:textId="77777777" w:rsidR="00496968" w:rsidRDefault="00496968">
      <w:r>
        <w:separator/>
      </w:r>
    </w:p>
  </w:endnote>
  <w:endnote w:type="continuationSeparator" w:id="0">
    <w:p w14:paraId="6A01E5A6" w14:textId="77777777" w:rsidR="00496968" w:rsidRDefault="0049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AD12980" w14:textId="77777777" w:rsidTr="00E31DCE">
      <w:trPr>
        <w:jc w:val="center"/>
      </w:trPr>
      <w:tc>
        <w:tcPr>
          <w:tcW w:w="1803" w:type="dxa"/>
          <w:vAlign w:val="center"/>
        </w:tcPr>
        <w:p w14:paraId="2124C638" w14:textId="16B75C41" w:rsidR="004279F6" w:rsidRDefault="002946E2" w:rsidP="003273A4">
          <w:pPr>
            <w:pStyle w:val="Header"/>
            <w:jc w:val="left"/>
            <w:rPr>
              <w:noProof/>
            </w:rPr>
          </w:pPr>
          <w:r>
            <w:rPr>
              <w:noProof/>
            </w:rPr>
            <w:t xml:space="preserve">gDoc </w:t>
          </w:r>
          <w:r w:rsidR="004279F6">
            <w:rPr>
              <w:noProof/>
            </w:rPr>
            <w:t>2501255</w:t>
          </w:r>
        </w:p>
      </w:tc>
      <w:tc>
        <w:tcPr>
          <w:tcW w:w="8261" w:type="dxa"/>
        </w:tcPr>
        <w:p w14:paraId="1AD50FF0" w14:textId="4BF15B66"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4279F6">
            <w:rPr>
              <w:bCs/>
            </w:rPr>
            <w:t>72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531FFFF"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031C289" w14:textId="77777777" w:rsidTr="00E31DCE">
      <w:trPr>
        <w:jc w:val="center"/>
      </w:trPr>
      <w:tc>
        <w:tcPr>
          <w:tcW w:w="1803" w:type="dxa"/>
          <w:vAlign w:val="center"/>
        </w:tcPr>
        <w:p w14:paraId="0C05B066"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514CF3CC" w14:textId="7CB35B53"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4279F6">
            <w:rPr>
              <w:bCs/>
            </w:rPr>
            <w:t>72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000CB0C"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42E52" w14:textId="77777777" w:rsidR="00496968" w:rsidRDefault="00496968">
      <w:r>
        <w:t>____________________</w:t>
      </w:r>
    </w:p>
  </w:footnote>
  <w:footnote w:type="continuationSeparator" w:id="0">
    <w:p w14:paraId="11465B57" w14:textId="77777777" w:rsidR="00496968" w:rsidRDefault="00496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25668E9B" w14:textId="77777777" w:rsidTr="00666D09">
      <w:trPr>
        <w:trHeight w:val="1104"/>
        <w:jc w:val="center"/>
      </w:trPr>
      <w:tc>
        <w:tcPr>
          <w:tcW w:w="5998" w:type="dxa"/>
          <w:vAlign w:val="center"/>
        </w:tcPr>
        <w:p w14:paraId="0FA71FF6"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A7628D6" wp14:editId="02097083">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1981D8CA" w14:textId="77777777" w:rsidR="00666D09" w:rsidRDefault="00666D09" w:rsidP="001559F5">
          <w:pPr>
            <w:pStyle w:val="Header"/>
            <w:jc w:val="right"/>
            <w:rPr>
              <w:rFonts w:ascii="Arial" w:hAnsi="Arial" w:cs="Arial"/>
              <w:b/>
              <w:bCs/>
              <w:color w:val="009CD6"/>
              <w:szCs w:val="18"/>
            </w:rPr>
          </w:pPr>
        </w:p>
      </w:tc>
    </w:tr>
  </w:tbl>
  <w:p w14:paraId="6A79A640"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F2E121A" wp14:editId="6579585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A1C9E"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52EF6"/>
    <w:multiLevelType w:val="hybridMultilevel"/>
    <w:tmpl w:val="A2B0ECB0"/>
    <w:lvl w:ilvl="0" w:tplc="E3DAA1B2">
      <w:start w:val="1"/>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6175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68"/>
    <w:rsid w:val="000007D1"/>
    <w:rsid w:val="0006007D"/>
    <w:rsid w:val="0007392F"/>
    <w:rsid w:val="00093EEB"/>
    <w:rsid w:val="000B0D00"/>
    <w:rsid w:val="000B7C15"/>
    <w:rsid w:val="000C748E"/>
    <w:rsid w:val="000D1D0F"/>
    <w:rsid w:val="000E3F07"/>
    <w:rsid w:val="000F5290"/>
    <w:rsid w:val="0010165C"/>
    <w:rsid w:val="00146BFB"/>
    <w:rsid w:val="001559F5"/>
    <w:rsid w:val="00157AC4"/>
    <w:rsid w:val="0016169C"/>
    <w:rsid w:val="001B6E2B"/>
    <w:rsid w:val="001F14A2"/>
    <w:rsid w:val="002801AA"/>
    <w:rsid w:val="002946E2"/>
    <w:rsid w:val="002C3F32"/>
    <w:rsid w:val="002C4676"/>
    <w:rsid w:val="002C70B0"/>
    <w:rsid w:val="002F3CC4"/>
    <w:rsid w:val="003032E2"/>
    <w:rsid w:val="0031300A"/>
    <w:rsid w:val="003273A4"/>
    <w:rsid w:val="0034796E"/>
    <w:rsid w:val="004279F6"/>
    <w:rsid w:val="00427A80"/>
    <w:rsid w:val="00473962"/>
    <w:rsid w:val="00496968"/>
    <w:rsid w:val="004B5D49"/>
    <w:rsid w:val="004D3A3C"/>
    <w:rsid w:val="00513630"/>
    <w:rsid w:val="00560125"/>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955DA"/>
    <w:rsid w:val="007E5DD3"/>
    <w:rsid w:val="007F350B"/>
    <w:rsid w:val="00820BE4"/>
    <w:rsid w:val="008451E8"/>
    <w:rsid w:val="00896EF9"/>
    <w:rsid w:val="008F1713"/>
    <w:rsid w:val="008F6ABC"/>
    <w:rsid w:val="00913B9C"/>
    <w:rsid w:val="00927F93"/>
    <w:rsid w:val="00956E77"/>
    <w:rsid w:val="009A338E"/>
    <w:rsid w:val="009F4811"/>
    <w:rsid w:val="00A94438"/>
    <w:rsid w:val="00AA390C"/>
    <w:rsid w:val="00B0200A"/>
    <w:rsid w:val="00B060DF"/>
    <w:rsid w:val="00B574DB"/>
    <w:rsid w:val="00B826C2"/>
    <w:rsid w:val="00B8298E"/>
    <w:rsid w:val="00BB6FD8"/>
    <w:rsid w:val="00BC0F55"/>
    <w:rsid w:val="00BD0723"/>
    <w:rsid w:val="00BD2518"/>
    <w:rsid w:val="00BE4324"/>
    <w:rsid w:val="00BF1D1C"/>
    <w:rsid w:val="00C20C59"/>
    <w:rsid w:val="00C2727F"/>
    <w:rsid w:val="00C538FC"/>
    <w:rsid w:val="00C55B1F"/>
    <w:rsid w:val="00C77E8A"/>
    <w:rsid w:val="00CA0DCD"/>
    <w:rsid w:val="00CA58CC"/>
    <w:rsid w:val="00CE4871"/>
    <w:rsid w:val="00CF1A67"/>
    <w:rsid w:val="00D2750E"/>
    <w:rsid w:val="00D375E0"/>
    <w:rsid w:val="00D50A36"/>
    <w:rsid w:val="00D62446"/>
    <w:rsid w:val="00D73AF6"/>
    <w:rsid w:val="00DA4EA2"/>
    <w:rsid w:val="00DB5A1E"/>
    <w:rsid w:val="00DC3D3E"/>
    <w:rsid w:val="00DE2C90"/>
    <w:rsid w:val="00DE3B24"/>
    <w:rsid w:val="00E06947"/>
    <w:rsid w:val="00E11319"/>
    <w:rsid w:val="00E21444"/>
    <w:rsid w:val="00E34072"/>
    <w:rsid w:val="00E3592D"/>
    <w:rsid w:val="00E50D76"/>
    <w:rsid w:val="00E8018B"/>
    <w:rsid w:val="00E92DE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C9883"/>
  <w15:docId w15:val="{7B8DBF53-CD22-43BB-92F8-6C459912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BC0F55"/>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3-S.pdf" TargetMode="External"/><Relationship Id="rId13" Type="http://schemas.openxmlformats.org/officeDocument/2006/relationships/hyperlink" Target="https://www.itu.int/itu-d/sites/priorities/enabling-policy-and-regulatory-environment/" TargetMode="External"/><Relationship Id="rId18" Type="http://schemas.openxmlformats.org/officeDocument/2006/relationships/hyperlink" Target="https://www.itu.int/md/S25-CL-C-0071/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itu.int/en/council/Documents/basic-texts-2023/RES-125-S.pdf" TargetMode="External"/><Relationship Id="rId12" Type="http://schemas.openxmlformats.org/officeDocument/2006/relationships/hyperlink" Target="https://www.itu.int/itu-d/sites/priorities/affordable-connectivity/" TargetMode="External"/><Relationship Id="rId17" Type="http://schemas.openxmlformats.org/officeDocument/2006/relationships/hyperlink" Target="https://www.itu.int/md/S25-CL-C-0068/es" TargetMode="External"/><Relationship Id="rId2" Type="http://schemas.openxmlformats.org/officeDocument/2006/relationships/styles" Target="styles.xml"/><Relationship Id="rId16" Type="http://schemas.openxmlformats.org/officeDocument/2006/relationships/hyperlink" Target="https://www.itu.int/md/D22-TDAG31-C-0002/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L-C-0122/es" TargetMode="External"/><Relationship Id="rId5" Type="http://schemas.openxmlformats.org/officeDocument/2006/relationships/footnotes" Target="footnotes.xml"/><Relationship Id="rId15" Type="http://schemas.openxmlformats.org/officeDocument/2006/relationships/hyperlink" Target="https://www.itu.int/md/D22-TDAG32-C-0002/es" TargetMode="External"/><Relationship Id="rId23" Type="http://schemas.openxmlformats.org/officeDocument/2006/relationships/theme" Target="theme/theme1.xml"/><Relationship Id="rId10" Type="http://schemas.openxmlformats.org/officeDocument/2006/relationships/hyperlink" Target="https://www.itu.int/pub/D-RES-D.25-202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pub/D-RES-D.18-2022" TargetMode="External"/><Relationship Id="rId14" Type="http://schemas.openxmlformats.org/officeDocument/2006/relationships/hyperlink" Target="https://app.gen5.digital/benchmark/abou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2</TotalTime>
  <Pages>3</Pages>
  <Words>959</Words>
  <Characters>6207</Characters>
  <Application>Microsoft Office Word</Application>
  <DocSecurity>0</DocSecurity>
  <Lines>112</Lines>
  <Paragraphs>50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Actividades en pro de la reconstrucción de infraestructuras en los países correspondientes</vt:lpstr>
    </vt:vector>
  </TitlesOfParts>
  <Manager>Secretaría General - Pool</Manager>
  <Company>International Telecommunication Union</Company>
  <LinksUpToDate>false</LinksUpToDate>
  <CharactersWithSpaces>7116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en pro de la reconstrucción de infraestructuras en los países correspondientes</dc:title>
  <dc:subject>Consejo 2025 de la UIT</dc:subject>
  <cp:keywords>C2025, C25, Council-25</cp:keywords>
  <dc:description/>
  <cp:lastPrinted>2006-03-24T09:51:00Z</cp:lastPrinted>
  <dcterms:created xsi:type="dcterms:W3CDTF">2025-06-09T15:41:00Z</dcterms:created>
  <dcterms:modified xsi:type="dcterms:W3CDTF">2025-06-09T15:44:00Z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