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1E8DAAF4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E98C6EE" w14:textId="15DF1AE6" w:rsidR="00796BD3" w:rsidRPr="00C56D18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C56D18">
              <w:rPr>
                <w:b/>
                <w:lang w:val="ru-RU"/>
              </w:rPr>
              <w:t xml:space="preserve"> </w:t>
            </w:r>
            <w:r w:rsidR="00C56D18">
              <w:rPr>
                <w:b/>
                <w:lang w:val="en-US"/>
              </w:rPr>
              <w:t>PL 2</w:t>
            </w:r>
          </w:p>
        </w:tc>
        <w:tc>
          <w:tcPr>
            <w:tcW w:w="5245" w:type="dxa"/>
          </w:tcPr>
          <w:p w14:paraId="46149464" w14:textId="3F78FDDB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</w:t>
            </w:r>
            <w:r w:rsidR="00C56D18">
              <w:rPr>
                <w:b/>
              </w:rPr>
              <w:t>72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79A03DD" w14:textId="77777777" w:rsidTr="00DA770A">
        <w:trPr>
          <w:cantSplit/>
        </w:trPr>
        <w:tc>
          <w:tcPr>
            <w:tcW w:w="3969" w:type="dxa"/>
            <w:vMerge/>
          </w:tcPr>
          <w:p w14:paraId="3BE41853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885FF25" w14:textId="6AC40246" w:rsidR="00796BD3" w:rsidRPr="00C56D18" w:rsidRDefault="00C56D18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en-US"/>
              </w:rPr>
            </w:pPr>
            <w:r>
              <w:rPr>
                <w:b/>
                <w:lang w:val="ru-RU"/>
              </w:rPr>
              <w:t>19 мая 2025 года</w:t>
            </w:r>
          </w:p>
        </w:tc>
      </w:tr>
      <w:tr w:rsidR="00796BD3" w:rsidRPr="00813E5E" w14:paraId="4369290B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A92EB75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15FCDDB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60380E2A" w14:textId="77777777" w:rsidTr="00DA770A">
        <w:trPr>
          <w:cantSplit/>
          <w:trHeight w:val="23"/>
        </w:trPr>
        <w:tc>
          <w:tcPr>
            <w:tcW w:w="3969" w:type="dxa"/>
          </w:tcPr>
          <w:p w14:paraId="345866B6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E69142E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2885C3A3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8438D9" w14:textId="77777777" w:rsidR="00796BD3" w:rsidRPr="00672F8A" w:rsidRDefault="0033025A" w:rsidP="00DA770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5C73DC" w14:paraId="0A978502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EAEFFC9" w14:textId="198704E4" w:rsidR="00796BD3" w:rsidRPr="0070123E" w:rsidRDefault="00C56D18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4670350"/>
            <w:bookmarkStart w:id="7" w:name="dtitle1" w:colFirst="0" w:colLast="0"/>
            <w:bookmarkEnd w:id="5"/>
            <w:r w:rsidRPr="0070123E">
              <w:rPr>
                <w:color w:val="000000"/>
                <w:sz w:val="32"/>
                <w:szCs w:val="32"/>
                <w:lang w:val="ru-RU"/>
              </w:rPr>
              <w:t>Деятельность в поддержку восстановления инфраструктуры в заинтересованных странах</w:t>
            </w:r>
            <w:bookmarkEnd w:id="6"/>
          </w:p>
        </w:tc>
      </w:tr>
      <w:tr w:rsidR="00796BD3" w:rsidRPr="007D2BF1" w14:paraId="77EE90AF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D66009" w14:textId="77777777" w:rsidR="00796BD3" w:rsidRPr="005C73DC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482F2FF5" w14:textId="766A6E74" w:rsidR="00796BD3" w:rsidRPr="00D631AA" w:rsidRDefault="00C56D18" w:rsidP="00C56D18">
            <w:pPr>
              <w:rPr>
                <w:lang w:val="ru-RU"/>
              </w:rPr>
            </w:pPr>
            <w:r>
              <w:rPr>
                <w:lang w:val="ru-RU"/>
              </w:rPr>
              <w:t>Настоящий отчет был подготовлен по итогам сессии Совета МСЭ 2024 года, на которой Государства-Члены запросили всесторонний обзор деятельности МСЭ, проводимой для поддержки Государств-Членов в восстановлении инфраструктуры ИКТ. В настоящем отчете представлена базовая информация о мандате МСЭ, приводится перечень продуктов и услуг, а также освещается деятельность МСЭ, реализуемая в последнее время в заинтересованных странах.</w:t>
            </w:r>
          </w:p>
          <w:p w14:paraId="554F990D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9AF79C3" w14:textId="30538EF8" w:rsidR="00796BD3" w:rsidRPr="00D631AA" w:rsidRDefault="00C56D18" w:rsidP="00C56D18">
            <w:pPr>
              <w:rPr>
                <w:lang w:val="ru-RU"/>
              </w:rPr>
            </w:pPr>
            <w:r>
              <w:rPr>
                <w:lang w:val="ru-RU"/>
              </w:rPr>
              <w:t xml:space="preserve">Совету предлагается </w:t>
            </w:r>
            <w:r w:rsidRPr="00C56D18">
              <w:rPr>
                <w:b/>
                <w:bCs/>
                <w:lang w:val="ru-RU"/>
              </w:rPr>
              <w:t>принять к сведению</w:t>
            </w:r>
            <w:r>
              <w:rPr>
                <w:lang w:val="ru-RU"/>
              </w:rPr>
              <w:t xml:space="preserve"> настоящий отчет и </w:t>
            </w:r>
            <w:r w:rsidRPr="00C56D18">
              <w:rPr>
                <w:b/>
                <w:bCs/>
                <w:lang w:val="ru-RU"/>
              </w:rPr>
              <w:t>предоставить</w:t>
            </w:r>
            <w:r w:rsidRPr="001D1321">
              <w:rPr>
                <w:lang w:val="ru-RU"/>
              </w:rPr>
              <w:t xml:space="preserve"> </w:t>
            </w:r>
            <w:r w:rsidRPr="00C56D18">
              <w:rPr>
                <w:b/>
                <w:bCs/>
                <w:lang w:val="ru-RU"/>
              </w:rPr>
              <w:t>руководящие указания</w:t>
            </w:r>
            <w:r w:rsidRPr="001D1321">
              <w:rPr>
                <w:lang w:val="ru-RU"/>
              </w:rPr>
              <w:t>.</w:t>
            </w:r>
          </w:p>
          <w:p w14:paraId="0BDF1937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08D711A0" w14:textId="21C132F7" w:rsidR="00796BD3" w:rsidRPr="00D631AA" w:rsidRDefault="00C56D18" w:rsidP="00C56D18">
            <w:pPr>
              <w:rPr>
                <w:lang w:val="ru-RU"/>
              </w:rPr>
            </w:pPr>
            <w:r>
              <w:rPr>
                <w:lang w:val="ru-RU"/>
              </w:rPr>
              <w:t>Предоставление технической помощи.</w:t>
            </w:r>
          </w:p>
          <w:p w14:paraId="3DCBD4E8" w14:textId="77777777" w:rsidR="00796BD3" w:rsidRPr="005C73DC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4FB3A172" w14:textId="073860C0" w:rsidR="00345D2A" w:rsidRPr="0014229E" w:rsidRDefault="00C56D18" w:rsidP="00C56D18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>В рамках выделенного бюджета на 2024−2025 годы.</w:t>
            </w:r>
          </w:p>
          <w:p w14:paraId="39457219" w14:textId="77777777" w:rsidR="00796BD3" w:rsidRPr="00C56D18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C56D18">
              <w:rPr>
                <w:sz w:val="20"/>
                <w:szCs w:val="18"/>
                <w:lang w:val="ru-RU"/>
              </w:rPr>
              <w:t>__________________</w:t>
            </w:r>
          </w:p>
          <w:p w14:paraId="38370133" w14:textId="77777777" w:rsidR="00796BD3" w:rsidRPr="00C56D18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C56D18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135CC62" w14:textId="0055E007" w:rsidR="00796BD3" w:rsidRPr="00C56D18" w:rsidRDefault="00C56D18" w:rsidP="00DA770A">
            <w:pPr>
              <w:spacing w:after="160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 xml:space="preserve">Резолюции </w:t>
            </w:r>
            <w:hyperlink r:id="rId7" w:history="1">
              <w:r w:rsidRPr="006914D6">
                <w:rPr>
                  <w:rStyle w:val="Hyperlink"/>
                  <w:i/>
                  <w:iCs/>
                  <w:szCs w:val="22"/>
                  <w:lang w:val="ru-RU"/>
                </w:rPr>
                <w:t>125</w:t>
              </w:r>
            </w:hyperlink>
            <w:r w:rsidRPr="0070123E">
              <w:rPr>
                <w:rStyle w:val="Hyperlink"/>
                <w:i/>
                <w:iCs/>
                <w:szCs w:val="22"/>
                <w:u w:val="none"/>
                <w:lang w:val="ru-RU"/>
              </w:rPr>
              <w:t xml:space="preserve"> </w:t>
            </w:r>
            <w:r>
              <w:rPr>
                <w:i/>
                <w:iCs/>
                <w:color w:val="000000"/>
                <w:lang w:val="ru-RU"/>
              </w:rPr>
              <w:t xml:space="preserve">(Пересм. Бухарест, 2022 г.) и </w:t>
            </w:r>
            <w:hyperlink r:id="rId8" w:history="1">
              <w:r w:rsidRPr="006914D6">
                <w:rPr>
                  <w:rStyle w:val="Hyperlink"/>
                  <w:i/>
                  <w:iCs/>
                  <w:szCs w:val="22"/>
                  <w:lang w:val="ru-RU"/>
                </w:rPr>
                <w:t>193</w:t>
              </w:r>
            </w:hyperlink>
            <w:r w:rsidRPr="0070123E">
              <w:rPr>
                <w:rStyle w:val="Hyperlink"/>
                <w:i/>
                <w:iCs/>
                <w:szCs w:val="22"/>
                <w:u w:val="none"/>
                <w:lang w:val="ru-RU"/>
              </w:rPr>
              <w:t xml:space="preserve"> </w:t>
            </w:r>
            <w:r>
              <w:rPr>
                <w:i/>
                <w:iCs/>
                <w:color w:val="000000"/>
                <w:lang w:val="ru-RU"/>
              </w:rPr>
              <w:t>(Пересм. Бухарест, 2022 г.) Полномочной конференции;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i/>
                <w:iCs/>
                <w:color w:val="000000"/>
                <w:lang w:val="ru-RU"/>
              </w:rPr>
              <w:t xml:space="preserve">Резолюции </w:t>
            </w:r>
            <w:hyperlink r:id="rId9" w:history="1">
              <w:r w:rsidRPr="00C56D18">
                <w:rPr>
                  <w:rStyle w:val="Hyperlink"/>
                  <w:i/>
                  <w:iCs/>
                  <w:szCs w:val="22"/>
                  <w:lang w:val="ru-RU"/>
                </w:rPr>
                <w:t>18</w:t>
              </w:r>
            </w:hyperlink>
            <w:r w:rsidRPr="0070123E">
              <w:rPr>
                <w:rStyle w:val="Hyperlink"/>
                <w:i/>
                <w:iCs/>
                <w:szCs w:val="22"/>
                <w:u w:val="none"/>
                <w:lang w:val="ru-RU"/>
              </w:rPr>
              <w:t xml:space="preserve"> </w:t>
            </w:r>
            <w:r>
              <w:rPr>
                <w:i/>
                <w:iCs/>
                <w:color w:val="000000"/>
                <w:lang w:val="ru-RU"/>
              </w:rPr>
              <w:t xml:space="preserve">(Пересм. Кигали, 2022 г.) и </w:t>
            </w:r>
            <w:hyperlink r:id="rId10" w:history="1">
              <w:r w:rsidRPr="00C56D18">
                <w:rPr>
                  <w:rStyle w:val="Hyperlink"/>
                  <w:i/>
                  <w:iCs/>
                  <w:szCs w:val="22"/>
                  <w:lang w:val="ru-RU"/>
                </w:rPr>
                <w:t>25</w:t>
              </w:r>
            </w:hyperlink>
            <w:r w:rsidRPr="007D2BF1">
              <w:rPr>
                <w:color w:val="000000"/>
                <w:lang w:val="ru-RU"/>
              </w:rPr>
              <w:t xml:space="preserve"> </w:t>
            </w:r>
            <w:r>
              <w:rPr>
                <w:i/>
                <w:iCs/>
                <w:color w:val="000000"/>
                <w:lang w:val="ru-RU"/>
              </w:rPr>
              <w:t>(Пересм. Кигали, 2022 г.) Всемирной конференции по развитию электросвязи;</w:t>
            </w:r>
            <w:r>
              <w:rPr>
                <w:color w:val="000000"/>
                <w:lang w:val="ru-RU"/>
              </w:rPr>
              <w:t xml:space="preserve"> </w:t>
            </w:r>
            <w:r w:rsidRPr="00C56D18">
              <w:rPr>
                <w:i/>
                <w:iCs/>
                <w:color w:val="000000"/>
                <w:lang w:val="ru-RU"/>
              </w:rPr>
              <w:t xml:space="preserve">Решение </w:t>
            </w:r>
            <w:hyperlink r:id="rId11" w:history="1">
              <w:r w:rsidRPr="00C56D18">
                <w:rPr>
                  <w:rStyle w:val="Hyperlink"/>
                  <w:i/>
                  <w:iCs/>
                  <w:szCs w:val="22"/>
                  <w:lang w:val="ru-RU"/>
                </w:rPr>
                <w:t>1408</w:t>
              </w:r>
            </w:hyperlink>
            <w:r w:rsidRPr="00C56D18">
              <w:rPr>
                <w:i/>
                <w:iCs/>
                <w:color w:val="000000"/>
                <w:lang w:val="ru-RU"/>
              </w:rPr>
              <w:t xml:space="preserve"> (C22, последнее изменение C23) Совета</w:t>
            </w:r>
          </w:p>
        </w:tc>
      </w:tr>
      <w:bookmarkEnd w:id="2"/>
      <w:bookmarkEnd w:id="7"/>
    </w:tbl>
    <w:p w14:paraId="02774BF6" w14:textId="77777777" w:rsidR="00165D06" w:rsidRPr="00C56D18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56D18">
        <w:rPr>
          <w:lang w:val="ru-RU"/>
        </w:rPr>
        <w:br w:type="page"/>
      </w:r>
    </w:p>
    <w:p w14:paraId="65D2F472" w14:textId="7BCF01AF" w:rsidR="00C56D18" w:rsidRPr="00170091" w:rsidRDefault="00C56D18" w:rsidP="00C56D18">
      <w:pPr>
        <w:pStyle w:val="Heading1"/>
        <w:rPr>
          <w:lang w:val="ru-RU"/>
        </w:rPr>
      </w:pPr>
      <w:bookmarkStart w:id="8" w:name="_Toc309942973"/>
      <w:r>
        <w:rPr>
          <w:lang w:val="ru-RU"/>
        </w:rPr>
        <w:lastRenderedPageBreak/>
        <w:t>1</w:t>
      </w:r>
      <w:r>
        <w:rPr>
          <w:lang w:val="ru-RU"/>
        </w:rPr>
        <w:tab/>
        <w:t>Базовая информация</w:t>
      </w:r>
      <w:bookmarkEnd w:id="8"/>
    </w:p>
    <w:p w14:paraId="68F89E31" w14:textId="77777777" w:rsidR="00C56D18" w:rsidRPr="00170091" w:rsidRDefault="00C56D18" w:rsidP="007D2BF1">
      <w:pPr>
        <w:jc w:val="both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>Настоящий отчет был подготовлен по итогам сессии Совета МСЭ 2024 года, на которой Государства-Члены запросили всесторонний обзор деятельности МСЭ, проводимой для поддержки Государств-Членов в восстановлении инфраструктуры ИКТ.</w:t>
      </w:r>
    </w:p>
    <w:p w14:paraId="24D9A368" w14:textId="2360DB35" w:rsidR="00C56D18" w:rsidRPr="00170091" w:rsidRDefault="00C56D18" w:rsidP="007D2BF1">
      <w:pPr>
        <w:jc w:val="both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>Ниже представлены итоговые документы конференций и Совета МСЭ, в соответствии с которыми Союзу было предложено оказать техническую помощь ряду заинтересованных стран:</w:t>
      </w:r>
    </w:p>
    <w:p w14:paraId="4C5E8BF2" w14:textId="615CDE48" w:rsidR="00C56D18" w:rsidRPr="00170091" w:rsidRDefault="00C56D18" w:rsidP="007D2BF1">
      <w:pPr>
        <w:pStyle w:val="enumlev1"/>
        <w:jc w:val="both"/>
        <w:rPr>
          <w:rFonts w:asciiTheme="minorHAnsi" w:eastAsiaTheme="minorEastAsia" w:hAnsiTheme="minorHAnsi" w:cstheme="minorBidi"/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  <w:t>Резолюция 125 (Пересм. Бухарест, 2022 г.) ПК – Помощь и поддержка Палестине в развитии инфраструктуры и создании потенциала в секторе электросвязи и информационных технологий;</w:t>
      </w:r>
    </w:p>
    <w:p w14:paraId="622BA179" w14:textId="1D2F7ABF" w:rsidR="00C56D18" w:rsidRPr="007E3F9A" w:rsidRDefault="00C56D18" w:rsidP="007D2BF1">
      <w:pPr>
        <w:pStyle w:val="enumlev1"/>
        <w:jc w:val="both"/>
        <w:rPr>
          <w:rFonts w:asciiTheme="minorHAnsi" w:eastAsiaTheme="minorEastAsia" w:hAnsiTheme="minorHAnsi" w:cstheme="minorHAnsi"/>
          <w:szCs w:val="24"/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  <w:t>Резолюция 193 (Пересм. Бухарест, 2022 г.) ПК – Поддержка и помощь Ираку в дальнейшем восстановлении и развитии его сектора электросвязи/информационно-коммуникационных технологий;</w:t>
      </w:r>
    </w:p>
    <w:p w14:paraId="3EDE81A3" w14:textId="4184A457" w:rsidR="00C56D18" w:rsidRPr="007E3F9A" w:rsidRDefault="00C56D18" w:rsidP="007D2BF1">
      <w:pPr>
        <w:pStyle w:val="enumlev1"/>
        <w:jc w:val="both"/>
        <w:rPr>
          <w:rFonts w:asciiTheme="minorHAnsi" w:eastAsiaTheme="minorEastAsia" w:hAnsiTheme="minorHAnsi" w:cstheme="minorHAnsi"/>
          <w:szCs w:val="24"/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  <w:t>Решение 1408 Совета (C22, последнее изменение C23) − Помощь и поддержка Украине в восстановлении ее отрасли электросвязи;</w:t>
      </w:r>
    </w:p>
    <w:p w14:paraId="79202C85" w14:textId="18A164DD" w:rsidR="00C56D18" w:rsidRPr="00170091" w:rsidRDefault="00C56D18" w:rsidP="007D2BF1">
      <w:pPr>
        <w:pStyle w:val="enumlev1"/>
        <w:jc w:val="both"/>
        <w:rPr>
          <w:rFonts w:asciiTheme="minorHAnsi" w:eastAsiaTheme="minorEastAsia" w:hAnsiTheme="minorHAnsi" w:cstheme="minorBidi"/>
          <w:szCs w:val="24"/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  <w:t>Резолюция 1424 Совета МСЭ (2024 г.) – Оказание помощи и поддержки Палестине в восстановлении ее сектора электросвязи;</w:t>
      </w:r>
    </w:p>
    <w:p w14:paraId="6258D024" w14:textId="02A7422A" w:rsidR="00C56D18" w:rsidRPr="00170091" w:rsidRDefault="00C56D18" w:rsidP="007D2BF1">
      <w:pPr>
        <w:pStyle w:val="enumlev1"/>
        <w:jc w:val="both"/>
        <w:rPr>
          <w:rFonts w:asciiTheme="minorHAnsi" w:eastAsiaTheme="minorEastAsia" w:hAnsiTheme="minorHAnsi" w:cstheme="minorHAnsi"/>
          <w:szCs w:val="24"/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  <w:t>Резолюция 18 (Пересм. Кигали, 2022 г.) ВКРЭ – Специальная техническая помощь Палестине;</w:t>
      </w:r>
    </w:p>
    <w:p w14:paraId="0435EF97" w14:textId="65A1EA7F" w:rsidR="00C56D18" w:rsidRPr="00170091" w:rsidRDefault="00C56D18" w:rsidP="007D2BF1">
      <w:pPr>
        <w:pStyle w:val="enumlev1"/>
        <w:jc w:val="both"/>
        <w:rPr>
          <w:rFonts w:asciiTheme="minorHAnsi" w:eastAsiaTheme="minorEastAsia" w:hAnsiTheme="minorHAnsi" w:cstheme="minorBidi"/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  <w:t>Резолюция 25 (Пересм. Кигали, 2022 г.) ВКРЭ – Оказание помощи странам, находящимся в особо трудном положении: Афганистану, Бурунди, Центральноафриканской Республике, Эритрее, Эфиопии, Гвинее, Гвинее-Бисау, Гаити, Либерии, Демократической Республике Конго, Руанде, Сьерра-Леоне, Сомали, Южному Судану и Тимору-Лешти.</w:t>
      </w:r>
    </w:p>
    <w:p w14:paraId="243526A9" w14:textId="562FD951" w:rsidR="00C56D18" w:rsidRPr="00170091" w:rsidRDefault="00C56D18" w:rsidP="00C56D18">
      <w:pPr>
        <w:pStyle w:val="Heading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Обновленная информация о принятых мерах</w:t>
      </w:r>
    </w:p>
    <w:p w14:paraId="2618DAB7" w14:textId="684FC429" w:rsidR="00C56D18" w:rsidRPr="00170091" w:rsidRDefault="00C56D18" w:rsidP="007D2BF1">
      <w:pPr>
        <w:jc w:val="both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 xml:space="preserve">Все заинтересованные страны являются бенефициарами продуктов и услуг МСЭ, в частности, разрабатываемых и предлагаемых в рамках </w:t>
      </w:r>
      <w:hyperlink r:id="rId12" w:history="1">
        <w:r w:rsidRPr="006914D6">
          <w:rPr>
            <w:rStyle w:val="Hyperlink"/>
            <w:lang w:val="ru-RU"/>
          </w:rPr>
          <w:t>приоритета 1 МСЭ-D "Возможность установления приемлемых в ценовом отношении соединений"</w:t>
        </w:r>
      </w:hyperlink>
      <w:r>
        <w:rPr>
          <w:lang w:val="ru-RU"/>
        </w:rPr>
        <w:t xml:space="preserve"> и </w:t>
      </w:r>
      <w:hyperlink r:id="rId13" w:history="1">
        <w:r w:rsidRPr="006914D6">
          <w:rPr>
            <w:rStyle w:val="Hyperlink"/>
            <w:lang w:val="ru-RU"/>
          </w:rPr>
          <w:t>приоритета 3 МСЭ-D "Содействие благоприятной политической и регуляторной среде"</w:t>
        </w:r>
      </w:hyperlink>
      <w:r>
        <w:rPr>
          <w:lang w:val="ru-RU"/>
        </w:rPr>
        <w:t xml:space="preserve">. </w:t>
      </w:r>
    </w:p>
    <w:p w14:paraId="228B7699" w14:textId="77777777" w:rsidR="00C56D18" w:rsidRPr="00170091" w:rsidRDefault="00C56D18" w:rsidP="007D2BF1">
      <w:pPr>
        <w:jc w:val="both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 xml:space="preserve">Каталог продуктов и услуг включает, среди прочего, картирование и анализ инфраструктуры, исследования по оценке, публикации, семинары-практикумы, руководящие указания и примеры передового опыта в области инфраструктуры электросвязи/ИКТ, включая беспроводную и фиксированную широкополосную связь, подключение сельских и отдаленных районов, соответствие и функциональную совместимость, управление использованием спектра, переход к цифровому радиовещанию, эффективное и действенное управление ресурсами электросвязи и их надлежащее использование в рамках мандата МСЭ. </w:t>
      </w:r>
    </w:p>
    <w:p w14:paraId="5B51966F" w14:textId="77777777" w:rsidR="00C56D18" w:rsidRPr="00170091" w:rsidRDefault="00C56D18" w:rsidP="007D2BF1">
      <w:pPr>
        <w:jc w:val="both"/>
        <w:rPr>
          <w:rFonts w:eastAsiaTheme="minorEastAsia" w:cstheme="minorHAnsi"/>
          <w:szCs w:val="24"/>
          <w:lang w:val="ru-RU"/>
        </w:rPr>
      </w:pPr>
      <w:r>
        <w:rPr>
          <w:lang w:val="ru-RU"/>
        </w:rPr>
        <w:t xml:space="preserve">Сюда также относятся разработка национальных планов электросвязи в чрезвычайных ситуациях, создание потенциала для использования ИКТ в целях управления операциями в случае бедствий и разработка программы имитационных учений, внедрение систем раннего предупреждения о различных видах бедствий, в том числе протокола общего оповещения, восстановление соединений в странах, пострадавших от бедствий, составление карт возможностей установления соединений при бедствиях и создание национального человеческого потенциала в области снижения риска бедствий и управления операциями в случае бедствий. </w:t>
      </w:r>
    </w:p>
    <w:p w14:paraId="64050BC5" w14:textId="77777777" w:rsidR="00C56D18" w:rsidRPr="007E3F9A" w:rsidRDefault="00C56D18" w:rsidP="007D2BF1">
      <w:pPr>
        <w:jc w:val="both"/>
        <w:rPr>
          <w:rFonts w:asciiTheme="minorHAnsi" w:hAnsiTheme="minorHAnsi" w:cstheme="minorBidi"/>
          <w:lang w:val="ru-RU"/>
        </w:rPr>
      </w:pPr>
      <w:r>
        <w:rPr>
          <w:lang w:val="ru-RU"/>
        </w:rPr>
        <w:t xml:space="preserve">В связи с этим МСЭ предоставляет платформы и инструменты для выработки эффективной политики, правовой и регуляторной базы для поддержки регуляторных и директивных органов </w:t>
      </w:r>
      <w:r>
        <w:rPr>
          <w:lang w:val="ru-RU"/>
        </w:rPr>
        <w:lastRenderedPageBreak/>
        <w:t xml:space="preserve">в деле содействия развитию универсальной и реальной возможности установления соединений. Эти продукты включают платформу цифрового регулирования, совместное регулирование, </w:t>
      </w:r>
      <w:hyperlink r:id="rId14" w:history="1">
        <w:r w:rsidRPr="006914D6">
          <w:rPr>
            <w:rStyle w:val="Hyperlink"/>
            <w:lang w:val="ru-RU"/>
          </w:rPr>
          <w:t>Опорный показатель G5</w:t>
        </w:r>
      </w:hyperlink>
      <w:r>
        <w:rPr>
          <w:lang w:val="ru-RU"/>
        </w:rPr>
        <w:t>, Глобальный симпозиум для регуляторных органов, Руководящие указания на основе примеров передового опыта, исследования экономического воздействия, Лаборатория моделирования воздействия политики на ИКТ.</w:t>
      </w:r>
    </w:p>
    <w:p w14:paraId="30A1708A" w14:textId="77777777" w:rsidR="00C56D18" w:rsidRPr="00170091" w:rsidRDefault="00C56D18" w:rsidP="007D2BF1">
      <w:pPr>
        <w:jc w:val="both"/>
        <w:rPr>
          <w:rFonts w:cstheme="minorHAnsi"/>
          <w:lang w:val="ru-RU"/>
        </w:rPr>
      </w:pPr>
      <w:r>
        <w:rPr>
          <w:lang w:val="ru-RU"/>
        </w:rPr>
        <w:t xml:space="preserve">Подробные отчеты обо всех мерах, связанных с развитием инфраструктуры на местах, доступны в </w:t>
      </w:r>
      <w:hyperlink r:id="rId15" w:history="1">
        <w:r w:rsidRPr="007D2BF1">
          <w:rPr>
            <w:lang w:val="ru-RU"/>
          </w:rPr>
          <w:t xml:space="preserve">Документе </w:t>
        </w:r>
        <w:r w:rsidRPr="006914D6">
          <w:rPr>
            <w:rStyle w:val="Hyperlink"/>
            <w:lang w:val="ru-RU"/>
          </w:rPr>
          <w:t>TDAG-25/2</w:t>
        </w:r>
      </w:hyperlink>
      <w:r>
        <w:rPr>
          <w:lang w:val="ru-RU"/>
        </w:rPr>
        <w:t xml:space="preserve"> и охватывают период с мая 2024 года по апрель 2025 года. Информация о мерах, принятых в течение периода с июня 2023 года по апрель 2024 года, содержится в </w:t>
      </w:r>
      <w:hyperlink r:id="rId16" w:history="1">
        <w:r w:rsidRPr="007D2BF1">
          <w:rPr>
            <w:lang w:val="ru-RU"/>
          </w:rPr>
          <w:t xml:space="preserve">Документе </w:t>
        </w:r>
        <w:r w:rsidRPr="006914D6">
          <w:rPr>
            <w:rStyle w:val="Hyperlink"/>
            <w:lang w:val="ru-RU"/>
          </w:rPr>
          <w:t>TDAG-24/2</w:t>
        </w:r>
      </w:hyperlink>
      <w:r>
        <w:rPr>
          <w:lang w:val="ru-RU"/>
        </w:rPr>
        <w:t>.</w:t>
      </w:r>
    </w:p>
    <w:p w14:paraId="3C672E28" w14:textId="77777777" w:rsidR="00C56D18" w:rsidRPr="00170091" w:rsidRDefault="00C56D18" w:rsidP="007D2BF1">
      <w:pPr>
        <w:jc w:val="both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 xml:space="preserve">Подробные отчеты о мерах, принятых во исполнение Резолюции 1408 Совета МСЭ по Украине и Резолюции 1424 Совета МСЭ по Палестине, представлены в Документе </w:t>
      </w:r>
      <w:hyperlink r:id="rId17" w:history="1">
        <w:r w:rsidRPr="000D1F6E">
          <w:rPr>
            <w:rStyle w:val="Hyperlink"/>
            <w:rFonts w:asciiTheme="minorHAnsi" w:hAnsiTheme="minorHAnsi" w:cstheme="minorHAnsi"/>
            <w:szCs w:val="24"/>
          </w:rPr>
          <w:t>C</w:t>
        </w:r>
        <w:r w:rsidRPr="006914D6">
          <w:rPr>
            <w:rStyle w:val="Hyperlink"/>
            <w:rFonts w:asciiTheme="minorHAnsi" w:hAnsiTheme="minorHAnsi" w:cstheme="minorHAnsi"/>
            <w:szCs w:val="24"/>
            <w:lang w:val="ru-RU"/>
          </w:rPr>
          <w:t>25/68</w:t>
        </w:r>
      </w:hyperlink>
      <w:r>
        <w:rPr>
          <w:lang w:val="ru-RU"/>
        </w:rPr>
        <w:t xml:space="preserve"> и Документе </w:t>
      </w:r>
      <w:hyperlink r:id="rId18" w:history="1">
        <w:r w:rsidRPr="000D1F6E">
          <w:rPr>
            <w:rStyle w:val="Hyperlink"/>
            <w:rFonts w:asciiTheme="minorHAnsi" w:hAnsiTheme="minorHAnsi" w:cstheme="minorHAnsi"/>
            <w:szCs w:val="24"/>
          </w:rPr>
          <w:t>C</w:t>
        </w:r>
        <w:r w:rsidRPr="006914D6">
          <w:rPr>
            <w:rStyle w:val="Hyperlink"/>
            <w:rFonts w:asciiTheme="minorHAnsi" w:hAnsiTheme="minorHAnsi" w:cstheme="minorHAnsi"/>
            <w:szCs w:val="24"/>
            <w:lang w:val="ru-RU"/>
          </w:rPr>
          <w:t>25/71</w:t>
        </w:r>
      </w:hyperlink>
      <w:r>
        <w:rPr>
          <w:lang w:val="ru-RU"/>
        </w:rPr>
        <w:t xml:space="preserve"> Секретариата, соответственно.</w:t>
      </w:r>
    </w:p>
    <w:p w14:paraId="5D628E12" w14:textId="7CBE5E8C" w:rsidR="00C56D18" w:rsidRPr="00170091" w:rsidRDefault="00C56D18" w:rsidP="007D2BF1">
      <w:pPr>
        <w:pStyle w:val="Heading1"/>
        <w:jc w:val="both"/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>Выводы</w:t>
      </w:r>
    </w:p>
    <w:p w14:paraId="28F124B4" w14:textId="77777777" w:rsidR="00C56D18" w:rsidRPr="00170091" w:rsidRDefault="00C56D18" w:rsidP="007D2BF1">
      <w:pPr>
        <w:jc w:val="both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 xml:space="preserve">МСЭ продолжает расширять предложение продуктов и услуг, имеющих значение для усилий Государств-Членов, направленных на развитие, восстановление и/или реконструкцию инфраструктуры ИКТ. Многие страны пользуются предложением и прямой помощью со стороны МСЭ в соответствии с перечисленными выше Резолюциями. </w:t>
      </w:r>
    </w:p>
    <w:p w14:paraId="4619D0E7" w14:textId="77777777" w:rsidR="00C56D18" w:rsidRPr="00170091" w:rsidRDefault="00C56D18" w:rsidP="007D2BF1">
      <w:pPr>
        <w:jc w:val="both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 xml:space="preserve">Всем Государствам-Членам, заинтересованным в усилении поддержки восстановления и/или реконструкции инфраструктуры ИКТ, предлагается использовать соответствующие продукты и услуги МСЭ, а также обращаться в МСЭ для получения технической помощи в случае необходимости. </w:t>
      </w:r>
    </w:p>
    <w:p w14:paraId="676FFAA4" w14:textId="77777777" w:rsidR="00C56D18" w:rsidRPr="00170091" w:rsidRDefault="00C56D18" w:rsidP="007D2BF1">
      <w:pPr>
        <w:jc w:val="both"/>
        <w:rPr>
          <w:rFonts w:asciiTheme="minorHAnsi" w:hAnsiTheme="minorHAnsi" w:cstheme="minorBidi"/>
          <w:lang w:val="ru-RU"/>
        </w:rPr>
      </w:pPr>
      <w:r>
        <w:rPr>
          <w:lang w:val="ru-RU"/>
        </w:rPr>
        <w:t xml:space="preserve">Поскольку реконструкция и восстановление инфраструктуры ИКТ требует выделения значительных финансовых ресурсов, всем заинтересованным сторонам предлагается оказывать поддержку для обеспечения более комплексного характера помощи МСЭ. </w:t>
      </w:r>
    </w:p>
    <w:p w14:paraId="773E1CBD" w14:textId="77777777" w:rsidR="00796BD3" w:rsidRPr="00796BD3" w:rsidRDefault="00C462C5" w:rsidP="00C56D18">
      <w:pPr>
        <w:spacing w:before="720"/>
        <w:jc w:val="center"/>
      </w:pPr>
      <w:r>
        <w:t>______________</w:t>
      </w:r>
    </w:p>
    <w:sectPr w:rsidR="00796BD3" w:rsidRPr="00796BD3" w:rsidSect="00796BD3">
      <w:footerReference w:type="default" r:id="rId19"/>
      <w:headerReference w:type="first" r:id="rId20"/>
      <w:footerReference w:type="first" r:id="rId2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AC258" w14:textId="77777777" w:rsidR="00C56D18" w:rsidRDefault="00C56D18">
      <w:r>
        <w:separator/>
      </w:r>
    </w:p>
  </w:endnote>
  <w:endnote w:type="continuationSeparator" w:id="0">
    <w:p w14:paraId="48A316DA" w14:textId="77777777" w:rsidR="00C56D18" w:rsidRDefault="00C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A22C1A3" w14:textId="77777777" w:rsidTr="00E31DCE">
      <w:trPr>
        <w:jc w:val="center"/>
      </w:trPr>
      <w:tc>
        <w:tcPr>
          <w:tcW w:w="1803" w:type="dxa"/>
          <w:vAlign w:val="center"/>
        </w:tcPr>
        <w:p w14:paraId="1530C573" w14:textId="47B11B1D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B139AB5" w14:textId="1E79F4CD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C56D18">
            <w:rPr>
              <w:bCs/>
              <w:lang w:val="ru-RU"/>
            </w:rPr>
            <w:t>72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26B404F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637E4E8" w14:textId="77777777" w:rsidTr="00E31DCE">
      <w:trPr>
        <w:jc w:val="center"/>
      </w:trPr>
      <w:tc>
        <w:tcPr>
          <w:tcW w:w="1803" w:type="dxa"/>
          <w:vAlign w:val="center"/>
        </w:tcPr>
        <w:p w14:paraId="00172D09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1427641A" w14:textId="3E20EAD5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C56D18">
            <w:rPr>
              <w:bCs/>
              <w:lang w:val="ru-RU"/>
            </w:rPr>
            <w:t>72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5566E6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2C250" w14:textId="77777777" w:rsidR="00C56D18" w:rsidRDefault="00C56D18">
      <w:r>
        <w:t>____________________</w:t>
      </w:r>
    </w:p>
  </w:footnote>
  <w:footnote w:type="continuationSeparator" w:id="0">
    <w:p w14:paraId="3A98E885" w14:textId="77777777" w:rsidR="00C56D18" w:rsidRDefault="00C5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2C97BF02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8432418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018295E" wp14:editId="79F7E372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72CC8F06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48783DF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D86A0" wp14:editId="0E82657F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A22423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552EF6"/>
    <w:multiLevelType w:val="hybridMultilevel"/>
    <w:tmpl w:val="A2B0ECB0"/>
    <w:lvl w:ilvl="0" w:tplc="E3DAA1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2012830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18"/>
    <w:rsid w:val="00005BE0"/>
    <w:rsid w:val="0002183E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C3F32"/>
    <w:rsid w:val="002D2F57"/>
    <w:rsid w:val="002D48C5"/>
    <w:rsid w:val="0033025A"/>
    <w:rsid w:val="00345D2A"/>
    <w:rsid w:val="003B74FB"/>
    <w:rsid w:val="003F099E"/>
    <w:rsid w:val="003F235E"/>
    <w:rsid w:val="00401FD7"/>
    <w:rsid w:val="004023E0"/>
    <w:rsid w:val="00403DD8"/>
    <w:rsid w:val="00403FAD"/>
    <w:rsid w:val="00442515"/>
    <w:rsid w:val="0045686C"/>
    <w:rsid w:val="004918C4"/>
    <w:rsid w:val="00497703"/>
    <w:rsid w:val="004A0374"/>
    <w:rsid w:val="004A45B5"/>
    <w:rsid w:val="004D0129"/>
    <w:rsid w:val="00515795"/>
    <w:rsid w:val="005A64D5"/>
    <w:rsid w:val="005B3DEC"/>
    <w:rsid w:val="005C73DC"/>
    <w:rsid w:val="00601994"/>
    <w:rsid w:val="00660449"/>
    <w:rsid w:val="00672F8A"/>
    <w:rsid w:val="006B7ACF"/>
    <w:rsid w:val="006E2D42"/>
    <w:rsid w:val="0070123E"/>
    <w:rsid w:val="00703676"/>
    <w:rsid w:val="00707304"/>
    <w:rsid w:val="00732269"/>
    <w:rsid w:val="00762555"/>
    <w:rsid w:val="00770887"/>
    <w:rsid w:val="0077110E"/>
    <w:rsid w:val="00785ABD"/>
    <w:rsid w:val="00796BD3"/>
    <w:rsid w:val="007A2DD4"/>
    <w:rsid w:val="007D2BF1"/>
    <w:rsid w:val="007D38B5"/>
    <w:rsid w:val="007E7EA0"/>
    <w:rsid w:val="00807255"/>
    <w:rsid w:val="0081023E"/>
    <w:rsid w:val="008173AA"/>
    <w:rsid w:val="00840A14"/>
    <w:rsid w:val="00896EF9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462C5"/>
    <w:rsid w:val="00C56D18"/>
    <w:rsid w:val="00CD2009"/>
    <w:rsid w:val="00CE14CC"/>
    <w:rsid w:val="00CF629C"/>
    <w:rsid w:val="00D631AA"/>
    <w:rsid w:val="00D80A5F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F33E65"/>
    <w:rsid w:val="00F348D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E03C45B"/>
  <w15:docId w15:val="{2250ED98-1BDC-4F07-B9DD-4F5CB49F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7D2BF1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93-R.pdf" TargetMode="External"/><Relationship Id="rId13" Type="http://schemas.openxmlformats.org/officeDocument/2006/relationships/hyperlink" Target="https://www.itu.int/itu-d/sites/priorities/ru/enabling-policy-and-regulatory-environment/" TargetMode="External"/><Relationship Id="rId18" Type="http://schemas.openxmlformats.org/officeDocument/2006/relationships/hyperlink" Target="https://www.itu.int/md/S25-CL-C-0071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en/council/Documents/basic-texts-2023/RES-125-R.pdf" TargetMode="External"/><Relationship Id="rId12" Type="http://schemas.openxmlformats.org/officeDocument/2006/relationships/hyperlink" Target="https://www.itu.int/itu-d/sites/priorities/ru/affordable-connectivity/" TargetMode="External"/><Relationship Id="rId17" Type="http://schemas.openxmlformats.org/officeDocument/2006/relationships/hyperlink" Target="https://www.itu.int/md/S25-CL-C-0068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D22-TDAG31-C-0002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C-0122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D22-TDAG32-C-0002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dms_pub/itu-d/opb/res/D-RES-D.25-2022-PDF-R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/itu-d/opb/res/D-RES-D.18-2022-PDF-R.pdf" TargetMode="External"/><Relationship Id="rId14" Type="http://schemas.openxmlformats.org/officeDocument/2006/relationships/hyperlink" Target="https://app.gen5.digital/benchmark/abou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0</TotalTime>
  <Pages>3</Pages>
  <Words>736</Words>
  <Characters>6179</Characters>
  <Application>Microsoft Office Word</Application>
  <DocSecurity>0</DocSecurity>
  <Lines>121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Activities supporting the reconstruction of infrastructure in concerned countries</vt:lpstr>
    </vt:vector>
  </TitlesOfParts>
  <Manager>General Secretariat - Pool</Manager>
  <Company>International Telecommunication Union (ITU)</Company>
  <LinksUpToDate>false</LinksUpToDate>
  <CharactersWithSpaces>6866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Activities supporting the reconstruction of infrastructure in concerned countries</dc:title>
  <dc:subject>ITU Council 2025</dc:subject>
  <cp:keywords>C2025, C25, Council-25</cp:keywords>
  <dc:description/>
  <cp:lastPrinted>2006-03-28T16:12:00Z</cp:lastPrinted>
  <dcterms:created xsi:type="dcterms:W3CDTF">2025-06-09T15:39:00Z</dcterms:created>
  <dcterms:modified xsi:type="dcterms:W3CDTF">2025-06-09T15:39:00Z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