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033E9" w14:paraId="007D4860" w14:textId="77777777" w:rsidTr="00D72F49">
        <w:trPr>
          <w:cantSplit/>
          <w:trHeight w:val="23"/>
        </w:trPr>
        <w:tc>
          <w:tcPr>
            <w:tcW w:w="3969" w:type="dxa"/>
            <w:vMerge w:val="restart"/>
            <w:tcMar>
              <w:left w:w="0" w:type="dxa"/>
            </w:tcMar>
          </w:tcPr>
          <w:p w14:paraId="3EC6599E" w14:textId="5A348E12" w:rsidR="00D72F49" w:rsidRPr="00F033E9" w:rsidRDefault="00D72F49" w:rsidP="00D72F49">
            <w:pPr>
              <w:tabs>
                <w:tab w:val="left" w:pos="851"/>
              </w:tabs>
              <w:spacing w:before="0" w:line="240" w:lineRule="atLeast"/>
              <w:rPr>
                <w:b/>
              </w:rPr>
            </w:pPr>
            <w:r w:rsidRPr="00F033E9">
              <w:rPr>
                <w:b/>
              </w:rPr>
              <w:t>Point de l'ordre du jour:</w:t>
            </w:r>
            <w:r w:rsidR="00A626FD" w:rsidRPr="00F033E9">
              <w:rPr>
                <w:b/>
              </w:rPr>
              <w:t xml:space="preserve"> PL 2</w:t>
            </w:r>
          </w:p>
        </w:tc>
        <w:tc>
          <w:tcPr>
            <w:tcW w:w="5245" w:type="dxa"/>
          </w:tcPr>
          <w:p w14:paraId="5A68C5E8" w14:textId="6B38A5AA" w:rsidR="00D72F49" w:rsidRPr="00F033E9" w:rsidRDefault="00D72F49" w:rsidP="00D72F49">
            <w:pPr>
              <w:tabs>
                <w:tab w:val="left" w:pos="851"/>
              </w:tabs>
              <w:spacing w:before="0" w:line="240" w:lineRule="atLeast"/>
              <w:jc w:val="right"/>
              <w:rPr>
                <w:b/>
              </w:rPr>
            </w:pPr>
            <w:r w:rsidRPr="00F033E9">
              <w:rPr>
                <w:b/>
              </w:rPr>
              <w:t>Document C2</w:t>
            </w:r>
            <w:r w:rsidR="00FC6D7D" w:rsidRPr="00F033E9">
              <w:rPr>
                <w:b/>
              </w:rPr>
              <w:t>5</w:t>
            </w:r>
            <w:r w:rsidRPr="00F033E9">
              <w:rPr>
                <w:b/>
              </w:rPr>
              <w:t>/</w:t>
            </w:r>
            <w:r w:rsidR="00A626FD" w:rsidRPr="00F033E9">
              <w:rPr>
                <w:b/>
              </w:rPr>
              <w:t>72</w:t>
            </w:r>
            <w:r w:rsidRPr="00F033E9">
              <w:rPr>
                <w:b/>
              </w:rPr>
              <w:t>-F</w:t>
            </w:r>
          </w:p>
        </w:tc>
      </w:tr>
      <w:tr w:rsidR="00D72F49" w:rsidRPr="00F033E9" w14:paraId="4771FF00" w14:textId="77777777" w:rsidTr="00D72F49">
        <w:trPr>
          <w:cantSplit/>
        </w:trPr>
        <w:tc>
          <w:tcPr>
            <w:tcW w:w="3969" w:type="dxa"/>
            <w:vMerge/>
          </w:tcPr>
          <w:p w14:paraId="614E3E59" w14:textId="77777777" w:rsidR="00D72F49" w:rsidRPr="00F033E9" w:rsidRDefault="00D72F49" w:rsidP="00D72F49">
            <w:pPr>
              <w:tabs>
                <w:tab w:val="left" w:pos="851"/>
              </w:tabs>
              <w:spacing w:line="240" w:lineRule="atLeast"/>
              <w:rPr>
                <w:b/>
              </w:rPr>
            </w:pPr>
          </w:p>
        </w:tc>
        <w:tc>
          <w:tcPr>
            <w:tcW w:w="5245" w:type="dxa"/>
          </w:tcPr>
          <w:p w14:paraId="11BAD45F" w14:textId="63446B3A" w:rsidR="00D72F49" w:rsidRPr="00F033E9" w:rsidRDefault="00A626FD" w:rsidP="00D72F49">
            <w:pPr>
              <w:tabs>
                <w:tab w:val="left" w:pos="851"/>
              </w:tabs>
              <w:spacing w:before="0"/>
              <w:jc w:val="right"/>
              <w:rPr>
                <w:b/>
              </w:rPr>
            </w:pPr>
            <w:r w:rsidRPr="00F033E9">
              <w:rPr>
                <w:b/>
              </w:rPr>
              <w:t>19 mai 2025</w:t>
            </w:r>
          </w:p>
        </w:tc>
      </w:tr>
      <w:tr w:rsidR="00D72F49" w:rsidRPr="00F033E9" w14:paraId="1C5DB55A" w14:textId="77777777" w:rsidTr="00D72F49">
        <w:trPr>
          <w:cantSplit/>
          <w:trHeight w:val="23"/>
        </w:trPr>
        <w:tc>
          <w:tcPr>
            <w:tcW w:w="3969" w:type="dxa"/>
            <w:vMerge/>
          </w:tcPr>
          <w:p w14:paraId="7B508F91" w14:textId="77777777" w:rsidR="00D72F49" w:rsidRPr="00F033E9" w:rsidRDefault="00D72F49" w:rsidP="00D72F49">
            <w:pPr>
              <w:tabs>
                <w:tab w:val="left" w:pos="851"/>
              </w:tabs>
              <w:spacing w:line="240" w:lineRule="atLeast"/>
              <w:rPr>
                <w:b/>
              </w:rPr>
            </w:pPr>
          </w:p>
        </w:tc>
        <w:tc>
          <w:tcPr>
            <w:tcW w:w="5245" w:type="dxa"/>
          </w:tcPr>
          <w:p w14:paraId="5CA0B572" w14:textId="77777777" w:rsidR="00D72F49" w:rsidRPr="00F033E9" w:rsidRDefault="00D72F49" w:rsidP="00D72F49">
            <w:pPr>
              <w:tabs>
                <w:tab w:val="left" w:pos="851"/>
              </w:tabs>
              <w:spacing w:before="0" w:line="240" w:lineRule="atLeast"/>
              <w:jc w:val="right"/>
              <w:rPr>
                <w:b/>
              </w:rPr>
            </w:pPr>
            <w:r w:rsidRPr="00F033E9">
              <w:rPr>
                <w:b/>
              </w:rPr>
              <w:t>Original: anglais</w:t>
            </w:r>
          </w:p>
        </w:tc>
      </w:tr>
      <w:tr w:rsidR="00D72F49" w:rsidRPr="00F033E9" w14:paraId="478CC2A8" w14:textId="77777777" w:rsidTr="00D72F49">
        <w:trPr>
          <w:cantSplit/>
          <w:trHeight w:val="23"/>
        </w:trPr>
        <w:tc>
          <w:tcPr>
            <w:tcW w:w="3969" w:type="dxa"/>
          </w:tcPr>
          <w:p w14:paraId="5202F67D" w14:textId="77777777" w:rsidR="00D72F49" w:rsidRPr="00F033E9" w:rsidRDefault="00D72F49" w:rsidP="00D72F49">
            <w:pPr>
              <w:tabs>
                <w:tab w:val="left" w:pos="851"/>
              </w:tabs>
              <w:spacing w:line="240" w:lineRule="atLeast"/>
              <w:rPr>
                <w:b/>
              </w:rPr>
            </w:pPr>
          </w:p>
        </w:tc>
        <w:tc>
          <w:tcPr>
            <w:tcW w:w="5245" w:type="dxa"/>
          </w:tcPr>
          <w:p w14:paraId="56B70D79" w14:textId="77777777" w:rsidR="00D72F49" w:rsidRPr="00F033E9" w:rsidRDefault="00D72F49" w:rsidP="00D72F49">
            <w:pPr>
              <w:tabs>
                <w:tab w:val="left" w:pos="851"/>
              </w:tabs>
              <w:spacing w:before="0" w:line="240" w:lineRule="atLeast"/>
              <w:jc w:val="right"/>
              <w:rPr>
                <w:b/>
              </w:rPr>
            </w:pPr>
          </w:p>
        </w:tc>
      </w:tr>
      <w:tr w:rsidR="00D72F49" w:rsidRPr="00F033E9" w14:paraId="75DFA2D1" w14:textId="77777777" w:rsidTr="00D72F49">
        <w:trPr>
          <w:cantSplit/>
        </w:trPr>
        <w:tc>
          <w:tcPr>
            <w:tcW w:w="9214" w:type="dxa"/>
            <w:gridSpan w:val="2"/>
            <w:tcMar>
              <w:left w:w="0" w:type="dxa"/>
            </w:tcMar>
          </w:tcPr>
          <w:p w14:paraId="7E148FDA" w14:textId="77777777" w:rsidR="00D72F49" w:rsidRPr="00F033E9" w:rsidRDefault="00D72F49" w:rsidP="00D72F49">
            <w:pPr>
              <w:pStyle w:val="Source"/>
              <w:jc w:val="left"/>
              <w:rPr>
                <w:sz w:val="34"/>
                <w:szCs w:val="34"/>
              </w:rPr>
            </w:pPr>
            <w:r w:rsidRPr="00F033E9">
              <w:rPr>
                <w:rFonts w:cstheme="minorHAnsi"/>
                <w:color w:val="000000"/>
                <w:sz w:val="34"/>
                <w:szCs w:val="34"/>
              </w:rPr>
              <w:t xml:space="preserve">Rapport </w:t>
            </w:r>
            <w:r w:rsidR="00E95647" w:rsidRPr="00F033E9">
              <w:rPr>
                <w:rFonts w:cstheme="minorHAnsi"/>
                <w:color w:val="000000"/>
                <w:sz w:val="34"/>
                <w:szCs w:val="34"/>
              </w:rPr>
              <w:t xml:space="preserve">de la </w:t>
            </w:r>
            <w:r w:rsidRPr="00F033E9">
              <w:rPr>
                <w:rFonts w:cstheme="minorHAnsi"/>
                <w:color w:val="000000"/>
                <w:sz w:val="34"/>
                <w:szCs w:val="34"/>
              </w:rPr>
              <w:t>Secrétaire général</w:t>
            </w:r>
            <w:r w:rsidR="00E95647" w:rsidRPr="00F033E9">
              <w:rPr>
                <w:rFonts w:cstheme="minorHAnsi"/>
                <w:color w:val="000000"/>
                <w:sz w:val="34"/>
                <w:szCs w:val="34"/>
              </w:rPr>
              <w:t>e</w:t>
            </w:r>
          </w:p>
        </w:tc>
      </w:tr>
      <w:tr w:rsidR="00D72F49" w:rsidRPr="00F033E9" w14:paraId="10B36054" w14:textId="77777777" w:rsidTr="00D72F49">
        <w:trPr>
          <w:cantSplit/>
        </w:trPr>
        <w:tc>
          <w:tcPr>
            <w:tcW w:w="9214" w:type="dxa"/>
            <w:gridSpan w:val="2"/>
            <w:tcMar>
              <w:left w:w="0" w:type="dxa"/>
            </w:tcMar>
          </w:tcPr>
          <w:p w14:paraId="1F761940" w14:textId="1E8EB33C" w:rsidR="00D72F49" w:rsidRPr="00F033E9" w:rsidRDefault="00676E41" w:rsidP="00D72F49">
            <w:pPr>
              <w:pStyle w:val="Subtitle"/>
              <w:framePr w:hSpace="0" w:wrap="auto" w:hAnchor="text" w:xAlign="left" w:yAlign="inline"/>
              <w:rPr>
                <w:sz w:val="32"/>
                <w:szCs w:val="32"/>
                <w:lang w:val="fr-FR"/>
              </w:rPr>
            </w:pPr>
            <w:r w:rsidRPr="00F033E9">
              <w:rPr>
                <w:rFonts w:cstheme="minorHAnsi"/>
                <w:sz w:val="32"/>
                <w:szCs w:val="32"/>
                <w:lang w:val="fr-FR"/>
              </w:rPr>
              <w:t>ACTIVITÉS D'APPUI À LA RECONSTRUCTION DES INFRASTRUCTURES DANS LES PAYS CONCERNÉS</w:t>
            </w:r>
          </w:p>
        </w:tc>
      </w:tr>
      <w:tr w:rsidR="00D72F49" w:rsidRPr="00F033E9" w14:paraId="1CFEB117" w14:textId="77777777" w:rsidTr="00676E41">
        <w:trPr>
          <w:cantSplit/>
          <w:trHeight w:val="6600"/>
        </w:trPr>
        <w:tc>
          <w:tcPr>
            <w:tcW w:w="9214" w:type="dxa"/>
            <w:gridSpan w:val="2"/>
            <w:tcBorders>
              <w:top w:val="single" w:sz="4" w:space="0" w:color="auto"/>
              <w:bottom w:val="single" w:sz="4" w:space="0" w:color="auto"/>
            </w:tcBorders>
            <w:tcMar>
              <w:left w:w="0" w:type="dxa"/>
            </w:tcMar>
          </w:tcPr>
          <w:p w14:paraId="4C833335" w14:textId="77777777" w:rsidR="00D72F49" w:rsidRPr="00F033E9" w:rsidRDefault="00F37FE5" w:rsidP="00D72F49">
            <w:pPr>
              <w:spacing w:before="160"/>
              <w:rPr>
                <w:b/>
                <w:bCs/>
                <w:sz w:val="26"/>
                <w:szCs w:val="26"/>
              </w:rPr>
            </w:pPr>
            <w:r w:rsidRPr="00F033E9">
              <w:rPr>
                <w:b/>
                <w:bCs/>
                <w:sz w:val="26"/>
                <w:szCs w:val="26"/>
              </w:rPr>
              <w:t>Objet</w:t>
            </w:r>
          </w:p>
          <w:p w14:paraId="6EB87B44" w14:textId="54324247" w:rsidR="0077179B" w:rsidRPr="00F033E9" w:rsidRDefault="0077179B" w:rsidP="00676E41">
            <w:pPr>
              <w:jc w:val="both"/>
            </w:pPr>
            <w:r w:rsidRPr="00F033E9">
              <w:t xml:space="preserve">Le présent rapport a été élaboré </w:t>
            </w:r>
            <w:r w:rsidR="00D65D0C" w:rsidRPr="00F033E9">
              <w:t xml:space="preserve">en réponse à une demande formulée par les États Membres lors de la session de 2024 du Conseil de l'UIT, afin que soit élaboré un aperçu complet des activités menées par l'UIT pour </w:t>
            </w:r>
            <w:r w:rsidR="006E6245" w:rsidRPr="00F033E9">
              <w:t>leur apporter un appui concernant la</w:t>
            </w:r>
            <w:r w:rsidR="00D65D0C" w:rsidRPr="00F033E9">
              <w:t xml:space="preserve"> reconstruction des infrastructures TIC. </w:t>
            </w:r>
            <w:r w:rsidR="0001289D" w:rsidRPr="00F033E9">
              <w:t>Il fournit des informations d'ordre général sur le mandat de l'UIT, décrit les produits et les services et met en évidence les activités menées récemment par l'UIT dans les pays concernés.</w:t>
            </w:r>
          </w:p>
          <w:p w14:paraId="0527EBDC" w14:textId="77777777" w:rsidR="00D72F49" w:rsidRPr="00F033E9" w:rsidRDefault="00D72F49" w:rsidP="00D72F49">
            <w:pPr>
              <w:spacing w:before="160"/>
              <w:rPr>
                <w:b/>
                <w:bCs/>
                <w:sz w:val="26"/>
                <w:szCs w:val="26"/>
              </w:rPr>
            </w:pPr>
            <w:r w:rsidRPr="00F033E9">
              <w:rPr>
                <w:b/>
                <w:bCs/>
                <w:sz w:val="26"/>
                <w:szCs w:val="26"/>
              </w:rPr>
              <w:t>Suite à donner par le Conseil</w:t>
            </w:r>
          </w:p>
          <w:p w14:paraId="67900680" w14:textId="67AB625A" w:rsidR="00D72F49" w:rsidRPr="00F033E9" w:rsidRDefault="005F3E09" w:rsidP="00D72F49">
            <w:r w:rsidRPr="00F033E9">
              <w:t xml:space="preserve">Le Conseil est invité </w:t>
            </w:r>
            <w:r w:rsidRPr="00F033E9">
              <w:rPr>
                <w:b/>
                <w:bCs/>
              </w:rPr>
              <w:t>à prendre note</w:t>
            </w:r>
            <w:r w:rsidRPr="00F033E9">
              <w:t xml:space="preserve"> du présent rapport et à </w:t>
            </w:r>
            <w:r w:rsidR="00BC593C" w:rsidRPr="00F033E9">
              <w:rPr>
                <w:b/>
                <w:bCs/>
              </w:rPr>
              <w:t>fournir des orientations</w:t>
            </w:r>
            <w:r w:rsidRPr="00F033E9">
              <w:t>.</w:t>
            </w:r>
          </w:p>
          <w:p w14:paraId="1B564374" w14:textId="4B75973C" w:rsidR="00D72F49" w:rsidRPr="00F033E9" w:rsidRDefault="00D72F49" w:rsidP="00D72F49">
            <w:pPr>
              <w:spacing w:before="160"/>
              <w:rPr>
                <w:b/>
                <w:bCs/>
                <w:sz w:val="26"/>
                <w:szCs w:val="26"/>
              </w:rPr>
            </w:pPr>
            <w:r w:rsidRPr="00F033E9">
              <w:rPr>
                <w:b/>
                <w:bCs/>
                <w:sz w:val="26"/>
                <w:szCs w:val="26"/>
              </w:rPr>
              <w:t xml:space="preserve">Lien pertinent avec le </w:t>
            </w:r>
            <w:r w:rsidR="00F37FE5" w:rsidRPr="00F033E9">
              <w:rPr>
                <w:b/>
                <w:bCs/>
                <w:sz w:val="26"/>
                <w:szCs w:val="26"/>
              </w:rPr>
              <w:t>p</w:t>
            </w:r>
            <w:r w:rsidRPr="00F033E9">
              <w:rPr>
                <w:b/>
                <w:bCs/>
                <w:sz w:val="26"/>
                <w:szCs w:val="26"/>
              </w:rPr>
              <w:t>lan stratégique</w:t>
            </w:r>
          </w:p>
          <w:p w14:paraId="576682A5" w14:textId="44E48887" w:rsidR="00D72F49" w:rsidRPr="00F033E9" w:rsidRDefault="005F3E09" w:rsidP="00D72F49">
            <w:r w:rsidRPr="00F033E9">
              <w:t>Fourniture d'une assistance technique.</w:t>
            </w:r>
          </w:p>
          <w:p w14:paraId="12AED50D" w14:textId="77777777" w:rsidR="00E95647" w:rsidRPr="00F033E9" w:rsidRDefault="00D72F49" w:rsidP="00D72F49">
            <w:pPr>
              <w:spacing w:before="160"/>
              <w:rPr>
                <w:b/>
                <w:bCs/>
                <w:sz w:val="26"/>
                <w:szCs w:val="26"/>
              </w:rPr>
            </w:pPr>
            <w:r w:rsidRPr="00F033E9">
              <w:rPr>
                <w:b/>
                <w:bCs/>
                <w:sz w:val="26"/>
                <w:szCs w:val="26"/>
              </w:rPr>
              <w:t>Incidences financières</w:t>
            </w:r>
          </w:p>
          <w:p w14:paraId="583016C8" w14:textId="2B54809A" w:rsidR="00D72F49" w:rsidRPr="00F033E9" w:rsidRDefault="005F3E09" w:rsidP="00882919">
            <w:pPr>
              <w:rPr>
                <w:szCs w:val="24"/>
              </w:rPr>
            </w:pPr>
            <w:r w:rsidRPr="00F033E9">
              <w:rPr>
                <w:szCs w:val="24"/>
              </w:rPr>
              <w:t>Les coûts sont couverts par le budget alloué pour la période 2024-2025.</w:t>
            </w:r>
          </w:p>
          <w:p w14:paraId="47E6E64D" w14:textId="77777777" w:rsidR="00D72F49" w:rsidRPr="00F033E9" w:rsidRDefault="00D72F49" w:rsidP="00D72F49">
            <w:pPr>
              <w:spacing w:before="160"/>
              <w:rPr>
                <w:caps/>
                <w:sz w:val="22"/>
              </w:rPr>
            </w:pPr>
            <w:r w:rsidRPr="00F033E9">
              <w:rPr>
                <w:sz w:val="22"/>
              </w:rPr>
              <w:t>__________________</w:t>
            </w:r>
          </w:p>
          <w:p w14:paraId="001DE42E" w14:textId="77777777" w:rsidR="00D72F49" w:rsidRPr="00F033E9" w:rsidRDefault="00D72F49" w:rsidP="00D72F49">
            <w:pPr>
              <w:spacing w:before="160"/>
              <w:rPr>
                <w:b/>
                <w:bCs/>
                <w:sz w:val="26"/>
                <w:szCs w:val="26"/>
              </w:rPr>
            </w:pPr>
            <w:r w:rsidRPr="00F033E9">
              <w:rPr>
                <w:b/>
                <w:bCs/>
                <w:sz w:val="26"/>
                <w:szCs w:val="26"/>
              </w:rPr>
              <w:t>Références</w:t>
            </w:r>
          </w:p>
          <w:p w14:paraId="15C761C6" w14:textId="3C8F59F9" w:rsidR="00D72F49" w:rsidRPr="00676E41" w:rsidRDefault="005F3E09" w:rsidP="00D72F49">
            <w:pPr>
              <w:spacing w:after="160"/>
              <w:rPr>
                <w:i/>
                <w:iCs/>
                <w:sz w:val="22"/>
                <w:szCs w:val="22"/>
              </w:rPr>
            </w:pPr>
            <w:r w:rsidRPr="00676E41">
              <w:rPr>
                <w:i/>
                <w:iCs/>
                <w:sz w:val="22"/>
                <w:szCs w:val="22"/>
              </w:rPr>
              <w:t xml:space="preserve">Résolutions </w:t>
            </w:r>
            <w:hyperlink r:id="rId8" w:history="1">
              <w:r w:rsidRPr="00676E41">
                <w:rPr>
                  <w:rStyle w:val="Hyperlink"/>
                  <w:i/>
                  <w:iCs/>
                  <w:sz w:val="22"/>
                </w:rPr>
                <w:t>125</w:t>
              </w:r>
            </w:hyperlink>
            <w:r w:rsidRPr="00676E41">
              <w:rPr>
                <w:i/>
                <w:iCs/>
                <w:sz w:val="22"/>
                <w:szCs w:val="22"/>
              </w:rPr>
              <w:t xml:space="preserve"> (Rév. Bucarest, 2022) et </w:t>
            </w:r>
            <w:hyperlink r:id="rId9" w:history="1">
              <w:r w:rsidRPr="00676E41">
                <w:rPr>
                  <w:rStyle w:val="Hyperlink"/>
                  <w:i/>
                  <w:iCs/>
                  <w:sz w:val="22"/>
                </w:rPr>
                <w:t>193</w:t>
              </w:r>
            </w:hyperlink>
            <w:r w:rsidRPr="00676E41">
              <w:rPr>
                <w:i/>
                <w:iCs/>
                <w:sz w:val="22"/>
                <w:szCs w:val="22"/>
              </w:rPr>
              <w:t xml:space="preserve"> (Rév. Bucarest, 2022) de la Conférence de plénipotentiaires (PP); Résolutions </w:t>
            </w:r>
            <w:hyperlink r:id="rId10" w:history="1">
              <w:r w:rsidRPr="00676E41">
                <w:rPr>
                  <w:rStyle w:val="Hyperlink"/>
                  <w:i/>
                  <w:iCs/>
                  <w:sz w:val="22"/>
                </w:rPr>
                <w:t>18</w:t>
              </w:r>
            </w:hyperlink>
            <w:r w:rsidRPr="00676E41">
              <w:rPr>
                <w:i/>
                <w:iCs/>
                <w:sz w:val="22"/>
                <w:szCs w:val="22"/>
              </w:rPr>
              <w:t xml:space="preserve"> (Rév. Kigali, 2022) et </w:t>
            </w:r>
            <w:hyperlink r:id="rId11" w:history="1">
              <w:r w:rsidRPr="00676E41">
                <w:rPr>
                  <w:rStyle w:val="Hyperlink"/>
                  <w:i/>
                  <w:iCs/>
                  <w:sz w:val="22"/>
                </w:rPr>
                <w:t>25</w:t>
              </w:r>
            </w:hyperlink>
            <w:r w:rsidRPr="00676E41">
              <w:rPr>
                <w:i/>
                <w:iCs/>
                <w:sz w:val="22"/>
                <w:szCs w:val="22"/>
              </w:rPr>
              <w:t xml:space="preserve"> (Rév. Kigali, 2022) de la Conférence mondiale de développement des télécommunications; Résolution </w:t>
            </w:r>
            <w:hyperlink r:id="rId12" w:history="1">
              <w:r w:rsidRPr="00676E41">
                <w:rPr>
                  <w:rStyle w:val="Hyperlink"/>
                  <w:i/>
                  <w:iCs/>
                  <w:sz w:val="22"/>
                </w:rPr>
                <w:t>1408</w:t>
              </w:r>
            </w:hyperlink>
            <w:r w:rsidRPr="00676E41">
              <w:rPr>
                <w:i/>
                <w:iCs/>
                <w:sz w:val="22"/>
                <w:szCs w:val="22"/>
              </w:rPr>
              <w:t xml:space="preserve"> </w:t>
            </w:r>
            <w:r w:rsidR="00530C4A" w:rsidRPr="00676E41">
              <w:rPr>
                <w:i/>
                <w:iCs/>
                <w:sz w:val="22"/>
                <w:szCs w:val="22"/>
              </w:rPr>
              <w:t xml:space="preserve">du Conseil </w:t>
            </w:r>
            <w:r w:rsidRPr="00676E41">
              <w:rPr>
                <w:i/>
                <w:iCs/>
                <w:sz w:val="22"/>
                <w:szCs w:val="22"/>
              </w:rPr>
              <w:t>(C22, dernière modification C23)</w:t>
            </w:r>
          </w:p>
        </w:tc>
      </w:tr>
    </w:tbl>
    <w:p w14:paraId="71DC7E20" w14:textId="77777777" w:rsidR="00A51849" w:rsidRPr="00F033E9" w:rsidRDefault="00A51849"/>
    <w:p w14:paraId="32DF7B93" w14:textId="77777777" w:rsidR="00A51849" w:rsidRPr="00F033E9" w:rsidRDefault="00A51849">
      <w:pPr>
        <w:tabs>
          <w:tab w:val="clear" w:pos="567"/>
          <w:tab w:val="clear" w:pos="1134"/>
          <w:tab w:val="clear" w:pos="1701"/>
          <w:tab w:val="clear" w:pos="2268"/>
          <w:tab w:val="clear" w:pos="2835"/>
        </w:tabs>
        <w:overflowPunct/>
        <w:autoSpaceDE/>
        <w:autoSpaceDN/>
        <w:adjustRightInd/>
        <w:spacing w:before="0"/>
        <w:textAlignment w:val="auto"/>
      </w:pPr>
      <w:r w:rsidRPr="00F033E9">
        <w:br w:type="page"/>
      </w:r>
    </w:p>
    <w:p w14:paraId="7F0BE29E" w14:textId="251F7ECD" w:rsidR="00D637D1" w:rsidRPr="00F033E9" w:rsidRDefault="00D637D1" w:rsidP="00F12803">
      <w:pPr>
        <w:pStyle w:val="Heading1"/>
        <w:rPr>
          <w:lang w:eastAsia="zh-CN"/>
        </w:rPr>
      </w:pPr>
      <w:bookmarkStart w:id="0" w:name="_Toc309942973"/>
      <w:r w:rsidRPr="00F033E9">
        <w:rPr>
          <w:lang w:eastAsia="zh-CN"/>
        </w:rPr>
        <w:lastRenderedPageBreak/>
        <w:t>1</w:t>
      </w:r>
      <w:r w:rsidRPr="00F033E9">
        <w:tab/>
      </w:r>
      <w:bookmarkEnd w:id="0"/>
      <w:r w:rsidRPr="00F033E9">
        <w:rPr>
          <w:lang w:eastAsia="zh-CN"/>
        </w:rPr>
        <w:t>Considérations générales</w:t>
      </w:r>
    </w:p>
    <w:p w14:paraId="480157DF" w14:textId="7CC7CC95" w:rsidR="00B433F1" w:rsidRPr="00F033E9" w:rsidRDefault="006E6245" w:rsidP="00676E41">
      <w:pPr>
        <w:jc w:val="both"/>
        <w:rPr>
          <w:rFonts w:asciiTheme="minorHAnsi" w:hAnsiTheme="minorHAnsi" w:cstheme="minorHAnsi"/>
          <w:szCs w:val="24"/>
        </w:rPr>
      </w:pPr>
      <w:r w:rsidRPr="00F033E9">
        <w:t>Le présent rapport a été élaboré en réponse à une demande formulée par les États Membres lors de la session de 2024 du Conseil de l'UIT, afin que soit élaboré un aperçu complet des activités menées par l'UIT pour leur apporter un appui concernant la reconstruction des infrastructures TIC.</w:t>
      </w:r>
    </w:p>
    <w:p w14:paraId="2A941FDA" w14:textId="3A11927C" w:rsidR="00B433F1" w:rsidRPr="00F033E9" w:rsidRDefault="00B433F1" w:rsidP="00676E41">
      <w:pPr>
        <w:jc w:val="both"/>
      </w:pPr>
      <w:r w:rsidRPr="00F033E9">
        <w:t xml:space="preserve">Voici les </w:t>
      </w:r>
      <w:r w:rsidR="00D354AE" w:rsidRPr="00F033E9">
        <w:t>Résolutions</w:t>
      </w:r>
      <w:r w:rsidRPr="00F033E9">
        <w:t xml:space="preserve"> des Conférences et du Conseil de l'UIT </w:t>
      </w:r>
      <w:r w:rsidR="00F036A1" w:rsidRPr="00F033E9">
        <w:t>dans</w:t>
      </w:r>
      <w:r w:rsidRPr="00F033E9">
        <w:t xml:space="preserve"> lesquel</w:t>
      </w:r>
      <w:r w:rsidR="00BE4E33" w:rsidRPr="00F033E9">
        <w:t>le</w:t>
      </w:r>
      <w:r w:rsidRPr="00F033E9">
        <w:t xml:space="preserve">s </w:t>
      </w:r>
      <w:r w:rsidR="00F036A1" w:rsidRPr="00F033E9">
        <w:t xml:space="preserve">il est demandé à </w:t>
      </w:r>
      <w:r w:rsidRPr="00F033E9">
        <w:t>l'Union de fournir une assistance technique à plusieurs pays concernés:</w:t>
      </w:r>
    </w:p>
    <w:p w14:paraId="5F5BAB2C" w14:textId="512C3B24" w:rsidR="00D637D1" w:rsidRPr="00F033E9" w:rsidRDefault="00F12803" w:rsidP="00676E41">
      <w:pPr>
        <w:pStyle w:val="enumlev1"/>
        <w:jc w:val="both"/>
        <w:rPr>
          <w:rFonts w:eastAsiaTheme="minorEastAsia"/>
          <w:lang w:eastAsia="zh-CN"/>
        </w:rPr>
      </w:pPr>
      <w:r w:rsidRPr="00F033E9">
        <w:rPr>
          <w:rFonts w:eastAsiaTheme="minorEastAsia"/>
          <w:lang w:eastAsia="zh-CN"/>
        </w:rPr>
        <w:t>–</w:t>
      </w:r>
      <w:r w:rsidRPr="00F033E9">
        <w:rPr>
          <w:rFonts w:eastAsiaTheme="minorEastAsia"/>
          <w:lang w:eastAsia="zh-CN"/>
        </w:rPr>
        <w:tab/>
      </w:r>
      <w:r w:rsidR="00B433F1" w:rsidRPr="00F033E9">
        <w:rPr>
          <w:rFonts w:eastAsiaTheme="minorEastAsia"/>
          <w:lang w:eastAsia="zh-CN"/>
        </w:rPr>
        <w:t>Résolution</w:t>
      </w:r>
      <w:r w:rsidR="00D637D1" w:rsidRPr="00F033E9">
        <w:rPr>
          <w:rFonts w:eastAsiaTheme="minorEastAsia"/>
          <w:lang w:eastAsia="zh-CN"/>
        </w:rPr>
        <w:t xml:space="preserve"> 125 (</w:t>
      </w:r>
      <w:r w:rsidR="00B433F1" w:rsidRPr="00F033E9">
        <w:rPr>
          <w:rFonts w:eastAsiaTheme="minorEastAsia"/>
          <w:lang w:eastAsia="zh-CN"/>
        </w:rPr>
        <w:t>Rév. Bucarest</w:t>
      </w:r>
      <w:r w:rsidR="00D637D1" w:rsidRPr="00F033E9">
        <w:rPr>
          <w:rFonts w:eastAsiaTheme="minorEastAsia"/>
          <w:lang w:eastAsia="zh-CN"/>
        </w:rPr>
        <w:t>, 2022)</w:t>
      </w:r>
      <w:r w:rsidR="00B433F1" w:rsidRPr="00F033E9">
        <w:rPr>
          <w:rFonts w:eastAsiaTheme="minorEastAsia"/>
          <w:lang w:eastAsia="zh-CN"/>
        </w:rPr>
        <w:t xml:space="preserve"> de la PP</w:t>
      </w:r>
      <w:r w:rsidR="00D637D1" w:rsidRPr="00F033E9">
        <w:rPr>
          <w:rFonts w:eastAsiaTheme="minorEastAsia"/>
          <w:lang w:eastAsia="zh-CN"/>
        </w:rPr>
        <w:t xml:space="preserve"> – </w:t>
      </w:r>
      <w:r w:rsidR="0028124D" w:rsidRPr="00F033E9">
        <w:rPr>
          <w:rFonts w:eastAsiaTheme="minorEastAsia"/>
          <w:lang w:eastAsia="zh-CN"/>
        </w:rPr>
        <w:t>Assistance et appui à la Palestine pour le développement des infrastructures et le renforcement des capacités dans le secteur des télécommunications et des technologies de l'information</w:t>
      </w:r>
      <w:r w:rsidR="00DA7FE2" w:rsidRPr="00F033E9">
        <w:rPr>
          <w:rFonts w:eastAsiaTheme="minorEastAsia"/>
          <w:lang w:eastAsia="zh-CN"/>
        </w:rPr>
        <w:t>.</w:t>
      </w:r>
    </w:p>
    <w:p w14:paraId="5AC2AE58" w14:textId="0D7C0B7D" w:rsidR="00D637D1" w:rsidRPr="00F033E9" w:rsidRDefault="00F12803" w:rsidP="00676E41">
      <w:pPr>
        <w:pStyle w:val="enumlev1"/>
        <w:jc w:val="both"/>
        <w:rPr>
          <w:rFonts w:eastAsiaTheme="minorEastAsia" w:cstheme="minorHAnsi"/>
          <w:szCs w:val="24"/>
          <w:lang w:eastAsia="zh-CN"/>
        </w:rPr>
      </w:pPr>
      <w:r w:rsidRPr="00F033E9">
        <w:rPr>
          <w:rFonts w:eastAsiaTheme="minorEastAsia"/>
          <w:lang w:eastAsia="zh-CN"/>
        </w:rPr>
        <w:t>–</w:t>
      </w:r>
      <w:r w:rsidRPr="00F033E9">
        <w:rPr>
          <w:rFonts w:eastAsiaTheme="minorEastAsia"/>
          <w:lang w:eastAsia="zh-CN"/>
        </w:rPr>
        <w:tab/>
      </w:r>
      <w:r w:rsidR="0028124D" w:rsidRPr="00F033E9">
        <w:rPr>
          <w:rFonts w:eastAsiaTheme="minorEastAsia" w:cstheme="minorHAnsi"/>
          <w:szCs w:val="24"/>
          <w:lang w:eastAsia="zh-CN"/>
        </w:rPr>
        <w:t>Résolution</w:t>
      </w:r>
      <w:r w:rsidR="00D637D1" w:rsidRPr="00F033E9">
        <w:rPr>
          <w:rFonts w:eastAsiaTheme="minorEastAsia" w:cstheme="minorHAnsi"/>
          <w:szCs w:val="24"/>
          <w:lang w:eastAsia="zh-CN"/>
        </w:rPr>
        <w:t xml:space="preserve"> 193 (</w:t>
      </w:r>
      <w:r w:rsidR="0028124D" w:rsidRPr="00F033E9">
        <w:rPr>
          <w:rFonts w:eastAsiaTheme="minorEastAsia"/>
          <w:lang w:eastAsia="zh-CN"/>
        </w:rPr>
        <w:t>Rév. Bucarest</w:t>
      </w:r>
      <w:r w:rsidR="00D637D1" w:rsidRPr="00F033E9">
        <w:rPr>
          <w:rFonts w:eastAsiaTheme="minorEastAsia" w:cstheme="minorHAnsi"/>
          <w:szCs w:val="24"/>
          <w:lang w:eastAsia="zh-CN"/>
        </w:rPr>
        <w:t>, 2022)</w:t>
      </w:r>
      <w:r w:rsidR="0028124D" w:rsidRPr="00F033E9">
        <w:rPr>
          <w:rFonts w:eastAsiaTheme="minorEastAsia" w:cstheme="minorHAnsi"/>
          <w:szCs w:val="24"/>
          <w:lang w:eastAsia="zh-CN"/>
        </w:rPr>
        <w:t xml:space="preserve"> de la PP</w:t>
      </w:r>
      <w:r w:rsidR="00D637D1" w:rsidRPr="00F033E9">
        <w:rPr>
          <w:rFonts w:eastAsiaTheme="minorEastAsia" w:cstheme="minorHAnsi"/>
          <w:szCs w:val="24"/>
          <w:lang w:eastAsia="zh-CN"/>
        </w:rPr>
        <w:t xml:space="preserve"> – </w:t>
      </w:r>
      <w:r w:rsidR="00D43698" w:rsidRPr="00F033E9">
        <w:rPr>
          <w:rFonts w:eastAsiaTheme="minorEastAsia" w:cstheme="minorHAnsi"/>
          <w:szCs w:val="24"/>
          <w:lang w:eastAsia="zh-CN"/>
        </w:rPr>
        <w:t>Appui et assistance à l'Iraq pour la poursuite de la reconstruction et du développement de son secteur des télécommunications/technologies de l'information et de la communication</w:t>
      </w:r>
      <w:r w:rsidR="00DA7FE2" w:rsidRPr="00F033E9">
        <w:rPr>
          <w:rFonts w:eastAsiaTheme="minorEastAsia" w:cstheme="minorHAnsi"/>
          <w:szCs w:val="24"/>
          <w:lang w:eastAsia="zh-CN"/>
        </w:rPr>
        <w:t>.</w:t>
      </w:r>
    </w:p>
    <w:p w14:paraId="79A74D5E" w14:textId="7E775A62" w:rsidR="00D637D1" w:rsidRPr="00F033E9" w:rsidRDefault="00F12803" w:rsidP="00676E41">
      <w:pPr>
        <w:pStyle w:val="enumlev1"/>
        <w:jc w:val="both"/>
        <w:rPr>
          <w:rFonts w:eastAsiaTheme="minorEastAsia" w:cstheme="minorHAnsi"/>
          <w:szCs w:val="24"/>
          <w:lang w:eastAsia="zh-CN"/>
        </w:rPr>
      </w:pPr>
      <w:r w:rsidRPr="00F033E9">
        <w:rPr>
          <w:rFonts w:eastAsiaTheme="minorEastAsia"/>
          <w:lang w:eastAsia="zh-CN"/>
        </w:rPr>
        <w:t>–</w:t>
      </w:r>
      <w:r w:rsidRPr="00F033E9">
        <w:rPr>
          <w:rFonts w:eastAsiaTheme="minorEastAsia"/>
          <w:lang w:eastAsia="zh-CN"/>
        </w:rPr>
        <w:tab/>
      </w:r>
      <w:r w:rsidR="00D43698" w:rsidRPr="00F033E9">
        <w:rPr>
          <w:rFonts w:eastAsiaTheme="minorEastAsia" w:cstheme="minorHAnsi"/>
          <w:szCs w:val="24"/>
          <w:lang w:eastAsia="zh-CN"/>
        </w:rPr>
        <w:t>Résolution</w:t>
      </w:r>
      <w:r w:rsidR="00D637D1" w:rsidRPr="00F033E9">
        <w:rPr>
          <w:rFonts w:eastAsiaTheme="minorEastAsia" w:cstheme="minorHAnsi"/>
          <w:szCs w:val="24"/>
          <w:lang w:eastAsia="zh-CN"/>
        </w:rPr>
        <w:t xml:space="preserve"> 1408 </w:t>
      </w:r>
      <w:r w:rsidR="00530C4A" w:rsidRPr="00F033E9">
        <w:rPr>
          <w:rFonts w:eastAsiaTheme="minorEastAsia" w:cstheme="minorHAnsi"/>
          <w:szCs w:val="24"/>
          <w:lang w:eastAsia="zh-CN"/>
        </w:rPr>
        <w:t xml:space="preserve">du Conseil </w:t>
      </w:r>
      <w:r w:rsidR="00D637D1" w:rsidRPr="00F033E9">
        <w:rPr>
          <w:i/>
          <w:iCs/>
          <w:szCs w:val="24"/>
        </w:rPr>
        <w:t xml:space="preserve">(C22, </w:t>
      </w:r>
      <w:r w:rsidR="00D43698" w:rsidRPr="00F033E9">
        <w:rPr>
          <w:i/>
          <w:iCs/>
          <w:szCs w:val="24"/>
        </w:rPr>
        <w:t>dernière modification</w:t>
      </w:r>
      <w:r w:rsidR="00D637D1" w:rsidRPr="00F033E9">
        <w:rPr>
          <w:i/>
          <w:iCs/>
          <w:szCs w:val="24"/>
        </w:rPr>
        <w:t xml:space="preserve"> C23)</w:t>
      </w:r>
      <w:r w:rsidR="00530C4A" w:rsidRPr="00F033E9">
        <w:rPr>
          <w:szCs w:val="24"/>
        </w:rPr>
        <w:t xml:space="preserve"> </w:t>
      </w:r>
      <w:r w:rsidR="00D637D1" w:rsidRPr="00F033E9">
        <w:rPr>
          <w:i/>
          <w:iCs/>
          <w:szCs w:val="24"/>
        </w:rPr>
        <w:t>–</w:t>
      </w:r>
      <w:r w:rsidR="00D637D1" w:rsidRPr="00F033E9">
        <w:rPr>
          <w:rFonts w:eastAsiaTheme="minorEastAsia" w:cstheme="minorHAnsi"/>
          <w:szCs w:val="24"/>
          <w:lang w:eastAsia="zh-CN"/>
        </w:rPr>
        <w:t xml:space="preserve"> </w:t>
      </w:r>
      <w:r w:rsidR="001D5502" w:rsidRPr="00F033E9">
        <w:rPr>
          <w:rFonts w:eastAsiaTheme="minorEastAsia" w:cstheme="minorHAnsi"/>
          <w:szCs w:val="24"/>
          <w:lang w:eastAsia="zh-CN"/>
        </w:rPr>
        <w:t>Assistance et appui à l'Ukraine pour la reconstruction de son secteur des télécommunications</w:t>
      </w:r>
      <w:r w:rsidR="00DA7FE2" w:rsidRPr="00F033E9">
        <w:rPr>
          <w:rFonts w:eastAsiaTheme="minorEastAsia" w:cstheme="minorHAnsi"/>
          <w:szCs w:val="24"/>
          <w:lang w:eastAsia="zh-CN"/>
        </w:rPr>
        <w:t>.</w:t>
      </w:r>
    </w:p>
    <w:p w14:paraId="22500277" w14:textId="7415941A" w:rsidR="00D637D1" w:rsidRPr="00F033E9" w:rsidRDefault="00F12803" w:rsidP="00676E41">
      <w:pPr>
        <w:pStyle w:val="enumlev1"/>
        <w:jc w:val="both"/>
        <w:rPr>
          <w:rFonts w:eastAsiaTheme="minorEastAsia"/>
          <w:szCs w:val="24"/>
          <w:lang w:eastAsia="zh-CN"/>
        </w:rPr>
      </w:pPr>
      <w:r w:rsidRPr="00F033E9">
        <w:rPr>
          <w:rFonts w:eastAsiaTheme="minorEastAsia"/>
          <w:lang w:eastAsia="zh-CN"/>
        </w:rPr>
        <w:t>–</w:t>
      </w:r>
      <w:r w:rsidRPr="00F033E9">
        <w:rPr>
          <w:rFonts w:eastAsiaTheme="minorEastAsia"/>
          <w:lang w:eastAsia="zh-CN"/>
        </w:rPr>
        <w:tab/>
      </w:r>
      <w:r w:rsidR="001D5502" w:rsidRPr="00F033E9">
        <w:rPr>
          <w:rFonts w:eastAsiaTheme="minorEastAsia"/>
          <w:szCs w:val="24"/>
          <w:lang w:eastAsia="zh-CN"/>
        </w:rPr>
        <w:t>Résolution</w:t>
      </w:r>
      <w:r w:rsidR="00D637D1" w:rsidRPr="00F033E9">
        <w:rPr>
          <w:rFonts w:eastAsiaTheme="minorEastAsia"/>
          <w:szCs w:val="24"/>
          <w:lang w:eastAsia="zh-CN"/>
        </w:rPr>
        <w:t xml:space="preserve"> 1424 (2024)</w:t>
      </w:r>
      <w:r w:rsidR="001D5502" w:rsidRPr="00F033E9">
        <w:rPr>
          <w:rFonts w:eastAsiaTheme="minorEastAsia"/>
          <w:szCs w:val="24"/>
          <w:lang w:eastAsia="zh-CN"/>
        </w:rPr>
        <w:t xml:space="preserve"> du Conseil de l'UIT</w:t>
      </w:r>
      <w:r w:rsidR="00D637D1" w:rsidRPr="00F033E9">
        <w:rPr>
          <w:rFonts w:eastAsiaTheme="minorEastAsia"/>
          <w:szCs w:val="24"/>
          <w:lang w:eastAsia="zh-CN"/>
        </w:rPr>
        <w:t xml:space="preserve"> </w:t>
      </w:r>
      <w:r w:rsidR="00DA7FE2" w:rsidRPr="00F033E9">
        <w:rPr>
          <w:i/>
          <w:iCs/>
          <w:szCs w:val="24"/>
        </w:rPr>
        <w:t>–</w:t>
      </w:r>
      <w:r w:rsidR="00D637D1" w:rsidRPr="00F033E9">
        <w:rPr>
          <w:rFonts w:eastAsiaTheme="minorEastAsia"/>
          <w:szCs w:val="24"/>
          <w:lang w:eastAsia="zh-CN"/>
        </w:rPr>
        <w:t xml:space="preserve"> </w:t>
      </w:r>
      <w:r w:rsidR="002F134D" w:rsidRPr="00F033E9">
        <w:rPr>
          <w:rFonts w:eastAsiaTheme="minorEastAsia"/>
          <w:szCs w:val="24"/>
          <w:lang w:eastAsia="zh-CN"/>
        </w:rPr>
        <w:t>Assistance et appui à la Palestine pour la reconstruction de son secteur des télécommunications</w:t>
      </w:r>
      <w:r w:rsidR="00DA7FE2" w:rsidRPr="00F033E9">
        <w:rPr>
          <w:rFonts w:eastAsiaTheme="minorEastAsia"/>
          <w:szCs w:val="24"/>
          <w:lang w:eastAsia="zh-CN"/>
        </w:rPr>
        <w:t>.</w:t>
      </w:r>
    </w:p>
    <w:p w14:paraId="727B57AF" w14:textId="380D6164" w:rsidR="00D637D1" w:rsidRPr="00F033E9" w:rsidRDefault="00F12803" w:rsidP="00676E41">
      <w:pPr>
        <w:pStyle w:val="enumlev1"/>
        <w:jc w:val="both"/>
        <w:rPr>
          <w:rFonts w:eastAsiaTheme="minorEastAsia" w:cstheme="minorHAnsi"/>
          <w:szCs w:val="24"/>
          <w:lang w:eastAsia="zh-CN"/>
        </w:rPr>
      </w:pPr>
      <w:r w:rsidRPr="00F033E9">
        <w:rPr>
          <w:rFonts w:eastAsiaTheme="minorEastAsia"/>
          <w:lang w:eastAsia="zh-CN"/>
        </w:rPr>
        <w:t>–</w:t>
      </w:r>
      <w:r w:rsidRPr="00F033E9">
        <w:rPr>
          <w:rFonts w:eastAsiaTheme="minorEastAsia"/>
          <w:lang w:eastAsia="zh-CN"/>
        </w:rPr>
        <w:tab/>
      </w:r>
      <w:r w:rsidR="002F134D" w:rsidRPr="00F033E9">
        <w:rPr>
          <w:rFonts w:eastAsiaTheme="minorEastAsia" w:cstheme="minorHAnsi"/>
          <w:szCs w:val="24"/>
          <w:lang w:eastAsia="zh-CN"/>
        </w:rPr>
        <w:t>Résolution</w:t>
      </w:r>
      <w:r w:rsidR="00D637D1" w:rsidRPr="00F033E9">
        <w:rPr>
          <w:rFonts w:eastAsiaTheme="minorEastAsia" w:cstheme="minorHAnsi"/>
          <w:szCs w:val="24"/>
          <w:lang w:eastAsia="zh-CN"/>
        </w:rPr>
        <w:t xml:space="preserve"> 18 (</w:t>
      </w:r>
      <w:r w:rsidR="002F134D" w:rsidRPr="00F033E9">
        <w:rPr>
          <w:rFonts w:eastAsiaTheme="minorEastAsia" w:cstheme="minorHAnsi"/>
          <w:szCs w:val="24"/>
          <w:lang w:eastAsia="zh-CN"/>
        </w:rPr>
        <w:t>Rév</w:t>
      </w:r>
      <w:r w:rsidR="00D637D1" w:rsidRPr="00F033E9">
        <w:rPr>
          <w:rFonts w:eastAsiaTheme="minorEastAsia" w:cstheme="minorHAnsi"/>
          <w:szCs w:val="24"/>
          <w:lang w:eastAsia="zh-CN"/>
        </w:rPr>
        <w:t>. Kigali, 2022)</w:t>
      </w:r>
      <w:r w:rsidR="002F134D" w:rsidRPr="00F033E9">
        <w:rPr>
          <w:rFonts w:eastAsiaTheme="minorEastAsia" w:cstheme="minorHAnsi"/>
          <w:szCs w:val="24"/>
          <w:lang w:eastAsia="zh-CN"/>
        </w:rPr>
        <w:t xml:space="preserve"> de la CMDT</w:t>
      </w:r>
      <w:r w:rsidR="00D637D1" w:rsidRPr="00F033E9">
        <w:rPr>
          <w:rFonts w:eastAsiaTheme="minorEastAsia" w:cstheme="minorHAnsi"/>
          <w:szCs w:val="24"/>
          <w:lang w:eastAsia="zh-CN"/>
        </w:rPr>
        <w:t xml:space="preserve"> – </w:t>
      </w:r>
      <w:r w:rsidR="002F134D" w:rsidRPr="00F033E9">
        <w:rPr>
          <w:rFonts w:eastAsiaTheme="minorEastAsia" w:cstheme="minorHAnsi"/>
          <w:szCs w:val="24"/>
          <w:lang w:eastAsia="zh-CN"/>
        </w:rPr>
        <w:t>Assistance technique spéciale à la Palestine</w:t>
      </w:r>
      <w:r w:rsidR="00DA7FE2" w:rsidRPr="00F033E9">
        <w:rPr>
          <w:rFonts w:eastAsiaTheme="minorEastAsia" w:cstheme="minorHAnsi"/>
          <w:szCs w:val="24"/>
          <w:lang w:eastAsia="zh-CN"/>
        </w:rPr>
        <w:t>.</w:t>
      </w:r>
    </w:p>
    <w:p w14:paraId="00DFC738" w14:textId="41E9BC0C" w:rsidR="00D637D1" w:rsidRPr="00F033E9" w:rsidRDefault="00F12803" w:rsidP="00676E41">
      <w:pPr>
        <w:pStyle w:val="enumlev1"/>
        <w:jc w:val="both"/>
        <w:rPr>
          <w:rFonts w:eastAsiaTheme="minorEastAsia"/>
          <w:lang w:eastAsia="zh-CN"/>
        </w:rPr>
      </w:pPr>
      <w:r w:rsidRPr="00F033E9">
        <w:rPr>
          <w:rFonts w:eastAsiaTheme="minorEastAsia"/>
          <w:lang w:eastAsia="zh-CN"/>
        </w:rPr>
        <w:t>–</w:t>
      </w:r>
      <w:r w:rsidRPr="00F033E9">
        <w:rPr>
          <w:rFonts w:eastAsiaTheme="minorEastAsia"/>
          <w:lang w:eastAsia="zh-CN"/>
        </w:rPr>
        <w:tab/>
      </w:r>
      <w:r w:rsidR="004B1EC2" w:rsidRPr="00F033E9">
        <w:rPr>
          <w:rFonts w:eastAsiaTheme="minorEastAsia"/>
          <w:lang w:eastAsia="zh-CN"/>
        </w:rPr>
        <w:t>Résolution</w:t>
      </w:r>
      <w:r w:rsidR="00D637D1" w:rsidRPr="00F033E9">
        <w:rPr>
          <w:rFonts w:eastAsiaTheme="minorEastAsia"/>
          <w:lang w:eastAsia="zh-CN"/>
        </w:rPr>
        <w:t xml:space="preserve"> 25 (R</w:t>
      </w:r>
      <w:r w:rsidR="004B1EC2" w:rsidRPr="00F033E9">
        <w:rPr>
          <w:rFonts w:eastAsiaTheme="minorEastAsia"/>
          <w:lang w:eastAsia="zh-CN"/>
        </w:rPr>
        <w:t>é</w:t>
      </w:r>
      <w:r w:rsidR="00D637D1" w:rsidRPr="00F033E9">
        <w:rPr>
          <w:rFonts w:eastAsiaTheme="minorEastAsia"/>
          <w:lang w:eastAsia="zh-CN"/>
        </w:rPr>
        <w:t xml:space="preserve">v. Kigali, 2022) </w:t>
      </w:r>
      <w:r w:rsidR="004B1EC2" w:rsidRPr="00F033E9">
        <w:rPr>
          <w:rFonts w:eastAsiaTheme="minorEastAsia"/>
          <w:lang w:eastAsia="zh-CN"/>
        </w:rPr>
        <w:t xml:space="preserve">de la CMDT </w:t>
      </w:r>
      <w:r w:rsidR="00D637D1" w:rsidRPr="00F033E9">
        <w:rPr>
          <w:rFonts w:eastAsiaTheme="minorEastAsia"/>
          <w:lang w:eastAsia="zh-CN"/>
        </w:rPr>
        <w:t xml:space="preserve">– </w:t>
      </w:r>
      <w:r w:rsidR="00584EBE" w:rsidRPr="00F033E9">
        <w:rPr>
          <w:rFonts w:eastAsiaTheme="minorEastAsia"/>
          <w:lang w:eastAsia="zh-CN"/>
        </w:rPr>
        <w:t>Assistance aux pays ayant des besoins spéciaux: Afghanistan, Burundi, Érythrée, Éthiopie, Guinée, Guinée-Bissau, Haïti, Libéria, République Centrafricaine, République démocratique du Congo, Rwanda, Sierra Leone, Somalie, Soudan du Sud et Timor-Leste.</w:t>
      </w:r>
    </w:p>
    <w:p w14:paraId="23EA5F86" w14:textId="3EDFE469" w:rsidR="00D637D1" w:rsidRPr="00F033E9" w:rsidRDefault="00D637D1" w:rsidP="00F12803">
      <w:pPr>
        <w:pStyle w:val="Heading1"/>
        <w:rPr>
          <w:lang w:eastAsia="zh-CN"/>
        </w:rPr>
      </w:pPr>
      <w:r w:rsidRPr="00F033E9">
        <w:rPr>
          <w:lang w:eastAsia="zh-CN"/>
        </w:rPr>
        <w:t>2</w:t>
      </w:r>
      <w:r w:rsidRPr="00F033E9">
        <w:rPr>
          <w:lang w:eastAsia="zh-CN"/>
        </w:rPr>
        <w:tab/>
      </w:r>
      <w:r w:rsidR="004342A1" w:rsidRPr="00F033E9">
        <w:rPr>
          <w:lang w:eastAsia="zh-CN"/>
        </w:rPr>
        <w:t xml:space="preserve">Informations actualisées sur les </w:t>
      </w:r>
      <w:r w:rsidR="001B4CDB" w:rsidRPr="00F033E9">
        <w:rPr>
          <w:lang w:eastAsia="zh-CN"/>
        </w:rPr>
        <w:t>activités menées</w:t>
      </w:r>
    </w:p>
    <w:p w14:paraId="53ECEC0B" w14:textId="0DBCC571" w:rsidR="00784208" w:rsidRPr="00F033E9" w:rsidRDefault="00784208" w:rsidP="00676E41">
      <w:pPr>
        <w:jc w:val="both"/>
      </w:pPr>
      <w:r w:rsidRPr="00F033E9">
        <w:t xml:space="preserve">Tous les pays concernés </w:t>
      </w:r>
      <w:r w:rsidR="002D0444" w:rsidRPr="00F033E9">
        <w:t xml:space="preserve">bénéficient des produits et services de l'UIT, </w:t>
      </w:r>
      <w:r w:rsidR="00964248" w:rsidRPr="00F033E9">
        <w:t>en particulier</w:t>
      </w:r>
      <w:r w:rsidR="002D0444" w:rsidRPr="00F033E9">
        <w:t xml:space="preserve"> de ceux qui sont élaborés et fournis au titre </w:t>
      </w:r>
      <w:r w:rsidR="007B4EFF" w:rsidRPr="00F033E9">
        <w:t xml:space="preserve">de la </w:t>
      </w:r>
      <w:hyperlink r:id="rId13" w:history="1">
        <w:r w:rsidR="007B4EFF" w:rsidRPr="00F033E9">
          <w:rPr>
            <w:rStyle w:val="Hyperlink"/>
            <w:rFonts w:asciiTheme="minorHAnsi" w:eastAsia="Times New Roman" w:hAnsiTheme="minorHAnsi" w:cstheme="minorHAnsi"/>
            <w:szCs w:val="24"/>
          </w:rPr>
          <w:t>Priorité</w:t>
        </w:r>
        <w:r w:rsidR="00BC3363" w:rsidRPr="00F033E9">
          <w:rPr>
            <w:rStyle w:val="Hyperlink"/>
            <w:rFonts w:asciiTheme="minorHAnsi" w:eastAsia="Times New Roman" w:hAnsiTheme="minorHAnsi" w:cstheme="minorHAnsi"/>
            <w:szCs w:val="24"/>
          </w:rPr>
          <w:t xml:space="preserve"> 1</w:t>
        </w:r>
        <w:r w:rsidR="002D0444" w:rsidRPr="00F033E9">
          <w:rPr>
            <w:rStyle w:val="Hyperlink"/>
            <w:rFonts w:asciiTheme="minorHAnsi" w:eastAsia="Times New Roman" w:hAnsiTheme="minorHAnsi" w:cstheme="minorHAnsi"/>
            <w:szCs w:val="24"/>
          </w:rPr>
          <w:t xml:space="preserve"> </w:t>
        </w:r>
        <w:r w:rsidR="00BC3363" w:rsidRPr="00F033E9">
          <w:rPr>
            <w:rStyle w:val="Hyperlink"/>
            <w:rFonts w:asciiTheme="minorHAnsi" w:eastAsia="Times New Roman" w:hAnsiTheme="minorHAnsi" w:cstheme="minorHAnsi"/>
            <w:szCs w:val="24"/>
          </w:rPr>
          <w:t>(</w:t>
        </w:r>
        <w:r w:rsidR="002D0444" w:rsidRPr="00F033E9">
          <w:rPr>
            <w:rStyle w:val="Hyperlink"/>
            <w:rFonts w:asciiTheme="minorHAnsi" w:eastAsia="Times New Roman" w:hAnsiTheme="minorHAnsi" w:cstheme="minorHAnsi"/>
            <w:szCs w:val="24"/>
          </w:rPr>
          <w:t>Connectivité financièrement abordable</w:t>
        </w:r>
        <w:r w:rsidR="00BC3363" w:rsidRPr="00F033E9">
          <w:rPr>
            <w:rStyle w:val="Hyperlink"/>
            <w:rFonts w:asciiTheme="minorHAnsi" w:eastAsia="Times New Roman" w:hAnsiTheme="minorHAnsi" w:cstheme="minorHAnsi"/>
            <w:szCs w:val="24"/>
          </w:rPr>
          <w:t>)</w:t>
        </w:r>
      </w:hyperlink>
      <w:r w:rsidR="002D0444" w:rsidRPr="00F033E9">
        <w:t xml:space="preserve"> et</w:t>
      </w:r>
      <w:r w:rsidR="007B4EFF" w:rsidRPr="00F033E9">
        <w:t xml:space="preserve"> de la </w:t>
      </w:r>
      <w:hyperlink r:id="rId14" w:history="1">
        <w:r w:rsidR="007B4EFF" w:rsidRPr="00F033E9">
          <w:rPr>
            <w:rStyle w:val="Hyperlink"/>
            <w:rFonts w:asciiTheme="minorHAnsi" w:eastAsia="Times New Roman" w:hAnsiTheme="minorHAnsi" w:cstheme="minorHAnsi"/>
            <w:szCs w:val="24"/>
          </w:rPr>
          <w:t>Priorité</w:t>
        </w:r>
        <w:r w:rsidR="002D0444" w:rsidRPr="00F033E9">
          <w:rPr>
            <w:rStyle w:val="Hyperlink"/>
            <w:rFonts w:asciiTheme="minorHAnsi" w:eastAsia="Times New Roman" w:hAnsiTheme="minorHAnsi" w:cstheme="minorHAnsi"/>
            <w:szCs w:val="24"/>
          </w:rPr>
          <w:t xml:space="preserve"> 3</w:t>
        </w:r>
        <w:r w:rsidR="00BC3363" w:rsidRPr="00F033E9">
          <w:rPr>
            <w:rStyle w:val="Hyperlink"/>
            <w:rFonts w:asciiTheme="minorHAnsi" w:eastAsia="Times New Roman" w:hAnsiTheme="minorHAnsi" w:cstheme="minorHAnsi"/>
            <w:szCs w:val="24"/>
          </w:rPr>
          <w:t> (Environnement politique et réglementaire propice)</w:t>
        </w:r>
      </w:hyperlink>
      <w:r w:rsidR="00BC3363" w:rsidRPr="00F033E9">
        <w:t xml:space="preserve"> de l'UIT-D.</w:t>
      </w:r>
    </w:p>
    <w:p w14:paraId="527FBE4E" w14:textId="3A21050A" w:rsidR="00F32D41" w:rsidRPr="00F033E9" w:rsidRDefault="00F32D41" w:rsidP="00676E41">
      <w:pPr>
        <w:jc w:val="both"/>
      </w:pPr>
      <w:r w:rsidRPr="00F033E9">
        <w:t>Le catalogue des produits et services comprend, entre autres, la cartographie et l</w:t>
      </w:r>
      <w:r w:rsidR="00F12803" w:rsidRPr="00F033E9">
        <w:t>'</w:t>
      </w:r>
      <w:r w:rsidRPr="00F033E9">
        <w:t>analyse des infrastructures, les études d</w:t>
      </w:r>
      <w:r w:rsidR="00F12803" w:rsidRPr="00F033E9">
        <w:t>'</w:t>
      </w:r>
      <w:r w:rsidRPr="00F033E9">
        <w:t>évaluation, les publications, les ateliers, les lignes directrices et les bonnes pratiques relatives aux infrastructures de télécommunication/TIC, y compris pour le large bande hertzien et fixe, la connexion des zones rurales et reculées, la conformité et l</w:t>
      </w:r>
      <w:r w:rsidR="00F12803" w:rsidRPr="00F033E9">
        <w:t>'</w:t>
      </w:r>
      <w:r w:rsidRPr="00F033E9">
        <w:t>interopérabilité, la gestion du spectre, le passage à la radiodiffusion numérique, la gestion efficace et efficiente et l</w:t>
      </w:r>
      <w:r w:rsidR="00F12803" w:rsidRPr="00F033E9">
        <w:t>'</w:t>
      </w:r>
      <w:r w:rsidRPr="00F033E9">
        <w:t>utilisation adéquate des ressources de télécommunication dans le cadre du mandat de l</w:t>
      </w:r>
      <w:r w:rsidR="00F12803" w:rsidRPr="00F033E9">
        <w:t>'</w:t>
      </w:r>
      <w:r w:rsidRPr="00F033E9">
        <w:t>UIT.</w:t>
      </w:r>
    </w:p>
    <w:p w14:paraId="09B492BA" w14:textId="41CBC353" w:rsidR="00F32D41" w:rsidRPr="00F033E9" w:rsidRDefault="00F32D41" w:rsidP="00676E41">
      <w:pPr>
        <w:jc w:val="both"/>
        <w:rPr>
          <w:rFonts w:eastAsiaTheme="minorEastAsia"/>
        </w:rPr>
      </w:pPr>
      <w:r w:rsidRPr="00F033E9">
        <w:t>Il comprend également l</w:t>
      </w:r>
      <w:r w:rsidR="00F12803" w:rsidRPr="00F033E9">
        <w:t>'</w:t>
      </w:r>
      <w:r w:rsidRPr="00F033E9">
        <w:t>élaboration de</w:t>
      </w:r>
      <w:r w:rsidR="00D2314D" w:rsidRPr="00F033E9">
        <w:t>s</w:t>
      </w:r>
      <w:r w:rsidRPr="00F033E9">
        <w:t xml:space="preserve"> plans nationaux </w:t>
      </w:r>
      <w:r w:rsidR="00D2314D" w:rsidRPr="00F033E9">
        <w:t>pour les télécommunications</w:t>
      </w:r>
      <w:r w:rsidRPr="00F033E9">
        <w:t xml:space="preserve"> d</w:t>
      </w:r>
      <w:r w:rsidR="00F12803" w:rsidRPr="00F033E9">
        <w:t>'</w:t>
      </w:r>
      <w:r w:rsidRPr="00F033E9">
        <w:t xml:space="preserve">urgence, le renforcement des capacités </w:t>
      </w:r>
      <w:r w:rsidR="00ED7F3A" w:rsidRPr="00F033E9">
        <w:t>en matière d'</w:t>
      </w:r>
      <w:r w:rsidRPr="00F033E9">
        <w:t>utilisation des TIC pour la gestion des catastrophes et la mise au point d</w:t>
      </w:r>
      <w:r w:rsidR="00F12803" w:rsidRPr="00F033E9">
        <w:t>'</w:t>
      </w:r>
      <w:r w:rsidRPr="00F033E9">
        <w:t xml:space="preserve">exercices de simulation, la </w:t>
      </w:r>
      <w:r w:rsidR="00F21961" w:rsidRPr="00F033E9">
        <w:t>mise en œuvre de systèmes d'alerte avancée multirisques</w:t>
      </w:r>
      <w:r w:rsidRPr="00F033E9">
        <w:t>, y compris le protocole d</w:t>
      </w:r>
      <w:r w:rsidR="00F12803" w:rsidRPr="00F033E9">
        <w:t>'</w:t>
      </w:r>
      <w:r w:rsidRPr="00F033E9">
        <w:t>alerte commun, le rétablissement de la connectivité dans les pays touchés par des catastrophes, la fourniture de cartes de connectivité en cas de catastrophe et le renforcement des capacités humaines nationales en matière d</w:t>
      </w:r>
      <w:r w:rsidR="00D82A96" w:rsidRPr="00F033E9">
        <w:t xml:space="preserve">'atténuation </w:t>
      </w:r>
      <w:r w:rsidRPr="00F033E9">
        <w:t>et de gestion des risques de catastrophe.</w:t>
      </w:r>
    </w:p>
    <w:p w14:paraId="6F6D9B9F" w14:textId="7C39B7FB" w:rsidR="00F32D41" w:rsidRPr="00F033E9" w:rsidRDefault="005C1401" w:rsidP="00676E41">
      <w:pPr>
        <w:jc w:val="both"/>
        <w:rPr>
          <w:rFonts w:cstheme="minorBidi"/>
        </w:rPr>
      </w:pPr>
      <w:r w:rsidRPr="00F033E9">
        <w:lastRenderedPageBreak/>
        <w:t>À ce titre</w:t>
      </w:r>
      <w:r w:rsidR="00F32D41" w:rsidRPr="00F033E9">
        <w:t>, l</w:t>
      </w:r>
      <w:r w:rsidR="00F12803" w:rsidRPr="00F033E9">
        <w:t>'</w:t>
      </w:r>
      <w:r w:rsidR="00F32D41" w:rsidRPr="00F033E9">
        <w:t xml:space="preserve">UIT fournit des plates-formes et des outils pour </w:t>
      </w:r>
      <w:r w:rsidRPr="00F033E9">
        <w:t xml:space="preserve">favoriser </w:t>
      </w:r>
      <w:r w:rsidR="00F32D41" w:rsidRPr="00F033E9">
        <w:t>des cadres politiques, juridiques et réglementaires efficaces afin d</w:t>
      </w:r>
      <w:r w:rsidR="00F12803" w:rsidRPr="00F033E9">
        <w:t>'</w:t>
      </w:r>
      <w:r w:rsidR="00F32D41" w:rsidRPr="00F033E9">
        <w:t xml:space="preserve">aider les régulateurs et les décideurs à favoriser le développement universel et </w:t>
      </w:r>
      <w:r w:rsidRPr="00F033E9">
        <w:t>efficace</w:t>
      </w:r>
      <w:r w:rsidR="00F32D41" w:rsidRPr="00F033E9">
        <w:t xml:space="preserve"> de la connectivité. Les produits comprennent: </w:t>
      </w:r>
      <w:r w:rsidR="00DE3398" w:rsidRPr="00F033E9">
        <w:t xml:space="preserve">la </w:t>
      </w:r>
      <w:r w:rsidR="00DA7FE2" w:rsidRPr="00F033E9">
        <w:t>p</w:t>
      </w:r>
      <w:r w:rsidR="00F32D41" w:rsidRPr="00F033E9">
        <w:t>late</w:t>
      </w:r>
      <w:r w:rsidR="00DE3398" w:rsidRPr="00F033E9">
        <w:t>-</w:t>
      </w:r>
      <w:r w:rsidR="00F32D41" w:rsidRPr="00F033E9">
        <w:t xml:space="preserve">forme de réglementation numérique, </w:t>
      </w:r>
      <w:r w:rsidR="00DE3398" w:rsidRPr="00F033E9">
        <w:t>la r</w:t>
      </w:r>
      <w:r w:rsidR="00F32D41" w:rsidRPr="00F033E9">
        <w:t xml:space="preserve">églementation collaborative, </w:t>
      </w:r>
      <w:r w:rsidR="00DB0EC0" w:rsidRPr="00F033E9">
        <w:t xml:space="preserve">les </w:t>
      </w:r>
      <w:hyperlink r:id="rId15" w:history="1">
        <w:r w:rsidR="00DB0EC0" w:rsidRPr="00F033E9">
          <w:rPr>
            <w:rStyle w:val="Hyperlink"/>
            <w:rFonts w:eastAsia="Times New Roman" w:cs="Times New Roman"/>
            <w:szCs w:val="20"/>
          </w:rPr>
          <w:t>critères de référence pour la réglementation de cinquième génération</w:t>
        </w:r>
      </w:hyperlink>
      <w:r w:rsidR="00F32D41" w:rsidRPr="00F033E9">
        <w:t xml:space="preserve">, </w:t>
      </w:r>
      <w:r w:rsidR="00DB0EC0" w:rsidRPr="00F033E9">
        <w:t>le Colloque mondial des régulateurs</w:t>
      </w:r>
      <w:r w:rsidR="00F32D41" w:rsidRPr="00F033E9">
        <w:t xml:space="preserve">, </w:t>
      </w:r>
      <w:r w:rsidR="00DB0EC0" w:rsidRPr="00F033E9">
        <w:t>les l</w:t>
      </w:r>
      <w:r w:rsidR="00F32D41" w:rsidRPr="00F033E9">
        <w:t xml:space="preserve">ignes directrices </w:t>
      </w:r>
      <w:r w:rsidR="00F114AF" w:rsidRPr="00F033E9">
        <w:t>relatives aux</w:t>
      </w:r>
      <w:r w:rsidR="00F32D41" w:rsidRPr="00F033E9">
        <w:t xml:space="preserve"> meilleures pratiques, </w:t>
      </w:r>
      <w:r w:rsidR="00F114AF" w:rsidRPr="00F033E9">
        <w:t>les études sur les incidences économiques</w:t>
      </w:r>
      <w:r w:rsidR="00F32D41" w:rsidRPr="00F033E9">
        <w:t xml:space="preserve">, </w:t>
      </w:r>
      <w:r w:rsidR="00801BCB" w:rsidRPr="00F033E9">
        <w:t>le laboratoire ICT Policy Impact Lab</w:t>
      </w:r>
      <w:r w:rsidR="00F32D41" w:rsidRPr="00F033E9">
        <w:t>.</w:t>
      </w:r>
    </w:p>
    <w:p w14:paraId="5AF8097D" w14:textId="2B895E8C" w:rsidR="00F32D41" w:rsidRPr="00F033E9" w:rsidRDefault="00F528F2" w:rsidP="00676E41">
      <w:pPr>
        <w:jc w:val="both"/>
      </w:pPr>
      <w:r w:rsidRPr="00F033E9">
        <w:t xml:space="preserve">Le </w:t>
      </w:r>
      <w:hyperlink r:id="rId16" w:history="1">
        <w:r w:rsidRPr="00F033E9">
          <w:rPr>
            <w:rStyle w:val="Hyperlink"/>
            <w:rFonts w:eastAsia="Times New Roman" w:cs="Times New Roman"/>
            <w:szCs w:val="20"/>
          </w:rPr>
          <w:t>Document TDAG-25/2</w:t>
        </w:r>
      </w:hyperlink>
      <w:r w:rsidRPr="00F033E9">
        <w:t xml:space="preserve"> contient un rapport détaillé</w:t>
      </w:r>
      <w:r w:rsidR="00F32D41" w:rsidRPr="00F033E9">
        <w:t xml:space="preserve"> </w:t>
      </w:r>
      <w:r w:rsidRPr="00F033E9">
        <w:t>sur</w:t>
      </w:r>
      <w:r w:rsidR="00F32D41" w:rsidRPr="00F033E9">
        <w:t xml:space="preserve"> toutes les </w:t>
      </w:r>
      <w:r w:rsidR="005434AE" w:rsidRPr="00F033E9">
        <w:t>activités</w:t>
      </w:r>
      <w:r w:rsidR="00F32D41" w:rsidRPr="00F033E9">
        <w:t xml:space="preserve"> </w:t>
      </w:r>
      <w:r w:rsidRPr="00F033E9">
        <w:t>de</w:t>
      </w:r>
      <w:r w:rsidR="00F32D41" w:rsidRPr="00F033E9">
        <w:t xml:space="preserve"> développement des infrastructures</w:t>
      </w:r>
      <w:r w:rsidRPr="00F033E9">
        <w:t xml:space="preserve"> </w:t>
      </w:r>
      <w:r w:rsidR="009D136F" w:rsidRPr="00F033E9">
        <w:t xml:space="preserve">qui ont été </w:t>
      </w:r>
      <w:r w:rsidRPr="00F033E9">
        <w:t>menées</w:t>
      </w:r>
      <w:r w:rsidR="00F32D41" w:rsidRPr="00F033E9">
        <w:t xml:space="preserve"> sur le terrain </w:t>
      </w:r>
      <w:r w:rsidRPr="00F033E9">
        <w:t>entre</w:t>
      </w:r>
      <w:r w:rsidR="00F32D41" w:rsidRPr="00F033E9">
        <w:t xml:space="preserve"> mai 2024 </w:t>
      </w:r>
      <w:r w:rsidRPr="00F033E9">
        <w:t>et</w:t>
      </w:r>
      <w:r w:rsidR="00F32D41" w:rsidRPr="00F033E9">
        <w:t xml:space="preserve"> avril</w:t>
      </w:r>
      <w:r w:rsidR="00043CFB" w:rsidRPr="00F033E9">
        <w:t> </w:t>
      </w:r>
      <w:r w:rsidR="00F32D41" w:rsidRPr="00F033E9">
        <w:t xml:space="preserve">2025. </w:t>
      </w:r>
      <w:r w:rsidR="001755D9" w:rsidRPr="00F033E9">
        <w:t>Les activités menées entre juin 2023 et avril 2024 sont décrites</w:t>
      </w:r>
      <w:r w:rsidR="00F32D41" w:rsidRPr="00F033E9">
        <w:t xml:space="preserve"> dans le </w:t>
      </w:r>
      <w:hyperlink r:id="rId17" w:history="1">
        <w:r w:rsidR="00F32D41" w:rsidRPr="00F033E9">
          <w:rPr>
            <w:rStyle w:val="Hyperlink"/>
            <w:rFonts w:eastAsia="Times New Roman" w:cs="Times New Roman"/>
            <w:szCs w:val="20"/>
          </w:rPr>
          <w:t>Document</w:t>
        </w:r>
        <w:r w:rsidR="00DA7FE2" w:rsidRPr="00F033E9">
          <w:rPr>
            <w:rStyle w:val="Hyperlink"/>
            <w:rFonts w:eastAsia="Times New Roman" w:cs="Times New Roman"/>
            <w:szCs w:val="20"/>
          </w:rPr>
          <w:t> </w:t>
        </w:r>
        <w:r w:rsidR="00F32D41" w:rsidRPr="00F033E9">
          <w:rPr>
            <w:rStyle w:val="Hyperlink"/>
            <w:rFonts w:eastAsia="Times New Roman" w:cs="Times New Roman"/>
            <w:szCs w:val="20"/>
          </w:rPr>
          <w:t>TDAG-24/2</w:t>
        </w:r>
      </w:hyperlink>
      <w:r w:rsidR="00F32D41" w:rsidRPr="00F033E9">
        <w:t>.</w:t>
      </w:r>
    </w:p>
    <w:p w14:paraId="7890DB72" w14:textId="7469DBE0" w:rsidR="00F32D41" w:rsidRPr="00F033E9" w:rsidRDefault="00F32D41" w:rsidP="00676E41">
      <w:pPr>
        <w:jc w:val="both"/>
      </w:pPr>
      <w:r w:rsidRPr="00F033E9">
        <w:t xml:space="preserve">Des rapports détaillés sur les </w:t>
      </w:r>
      <w:r w:rsidR="00246388" w:rsidRPr="00F033E9">
        <w:t>activités menées</w:t>
      </w:r>
      <w:r w:rsidRPr="00F033E9">
        <w:t xml:space="preserve"> en application </w:t>
      </w:r>
      <w:r w:rsidR="00246388" w:rsidRPr="00F033E9">
        <w:t>de la Résolution 1408 du Conseil</w:t>
      </w:r>
      <w:r w:rsidR="00BC593C" w:rsidRPr="00F033E9">
        <w:t xml:space="preserve"> </w:t>
      </w:r>
      <w:r w:rsidR="00246388" w:rsidRPr="00F033E9">
        <w:t>sur l'Ukraine et de la Résolution 1424</w:t>
      </w:r>
      <w:r w:rsidR="00BC593C" w:rsidRPr="00F033E9">
        <w:t xml:space="preserve"> du Conseil</w:t>
      </w:r>
      <w:r w:rsidR="00246388" w:rsidRPr="00F033E9">
        <w:t xml:space="preserve"> sur la Palestine</w:t>
      </w:r>
      <w:r w:rsidRPr="00F033E9">
        <w:t xml:space="preserve"> </w:t>
      </w:r>
      <w:r w:rsidR="00246388" w:rsidRPr="00F033E9">
        <w:t>sont disponibles dans les D</w:t>
      </w:r>
      <w:r w:rsidRPr="00F033E9">
        <w:t xml:space="preserve">ocuments </w:t>
      </w:r>
      <w:hyperlink r:id="rId18" w:history="1">
        <w:r w:rsidRPr="00F033E9">
          <w:rPr>
            <w:rStyle w:val="Hyperlink"/>
            <w:rFonts w:eastAsia="Times New Roman" w:cs="Times New Roman"/>
            <w:szCs w:val="20"/>
          </w:rPr>
          <w:t>C25/68</w:t>
        </w:r>
      </w:hyperlink>
      <w:r w:rsidRPr="00F033E9">
        <w:t xml:space="preserve"> et </w:t>
      </w:r>
      <w:hyperlink r:id="rId19" w:history="1">
        <w:r w:rsidRPr="00F033E9">
          <w:rPr>
            <w:rStyle w:val="Hyperlink"/>
            <w:rFonts w:eastAsia="Times New Roman" w:cs="Times New Roman"/>
            <w:szCs w:val="20"/>
          </w:rPr>
          <w:t>C25/71</w:t>
        </w:r>
      </w:hyperlink>
      <w:r w:rsidRPr="00F033E9">
        <w:t xml:space="preserve"> du secrétariat, respectivement.</w:t>
      </w:r>
    </w:p>
    <w:p w14:paraId="683F98DA" w14:textId="2E4A77FF" w:rsidR="00F32D41" w:rsidRPr="00F033E9" w:rsidRDefault="00F32D41" w:rsidP="00F12803">
      <w:pPr>
        <w:pStyle w:val="Heading1"/>
      </w:pPr>
      <w:r w:rsidRPr="00F033E9">
        <w:t>3</w:t>
      </w:r>
      <w:r w:rsidRPr="00F033E9">
        <w:tab/>
        <w:t>Conclusions</w:t>
      </w:r>
    </w:p>
    <w:p w14:paraId="6AD7C786" w14:textId="03548896" w:rsidR="00F32D41" w:rsidRPr="00F033E9" w:rsidRDefault="00F32D41" w:rsidP="00676E41">
      <w:pPr>
        <w:jc w:val="both"/>
        <w:rPr>
          <w:rFonts w:asciiTheme="minorHAnsi" w:hAnsiTheme="minorHAnsi" w:cstheme="minorHAnsi"/>
          <w:szCs w:val="24"/>
        </w:rPr>
      </w:pPr>
      <w:r w:rsidRPr="00F033E9">
        <w:t>L</w:t>
      </w:r>
      <w:r w:rsidR="00F12803" w:rsidRPr="00F033E9">
        <w:t>'</w:t>
      </w:r>
      <w:r w:rsidRPr="00F033E9">
        <w:t xml:space="preserve">UIT a continué </w:t>
      </w:r>
      <w:r w:rsidR="00D91C5D" w:rsidRPr="00F033E9">
        <w:t>d'étoffer</w:t>
      </w:r>
      <w:r w:rsidRPr="00F033E9">
        <w:t xml:space="preserve"> son offre de produits et de services </w:t>
      </w:r>
      <w:r w:rsidR="00D91C5D" w:rsidRPr="00F033E9">
        <w:t>en rapport avec</w:t>
      </w:r>
      <w:r w:rsidRPr="00F033E9">
        <w:t xml:space="preserve"> </w:t>
      </w:r>
      <w:r w:rsidR="00BC593C" w:rsidRPr="00F033E9">
        <w:t>l'action menée</w:t>
      </w:r>
      <w:r w:rsidRPr="00F033E9">
        <w:t xml:space="preserve"> par les États Membres pour </w:t>
      </w:r>
      <w:r w:rsidR="00D91C5D" w:rsidRPr="00F033E9">
        <w:t>développer</w:t>
      </w:r>
      <w:r w:rsidRPr="00F033E9">
        <w:t xml:space="preserve">, </w:t>
      </w:r>
      <w:r w:rsidR="00D91C5D" w:rsidRPr="00F033E9">
        <w:t>reconstruire</w:t>
      </w:r>
      <w:r w:rsidRPr="00F033E9">
        <w:t xml:space="preserve"> et/ou </w:t>
      </w:r>
      <w:r w:rsidR="00D91C5D" w:rsidRPr="00F033E9">
        <w:t>remettre en état les infrastructures</w:t>
      </w:r>
      <w:r w:rsidRPr="00F033E9">
        <w:t xml:space="preserve"> TIC. De nombreux pays ont bénéficié </w:t>
      </w:r>
      <w:r w:rsidR="00A1419C" w:rsidRPr="00F033E9">
        <w:t>des produits, des services</w:t>
      </w:r>
      <w:r w:rsidRPr="00F033E9">
        <w:t xml:space="preserve"> et de l</w:t>
      </w:r>
      <w:r w:rsidR="00F12803" w:rsidRPr="00F033E9">
        <w:t>'</w:t>
      </w:r>
      <w:r w:rsidRPr="00F033E9">
        <w:t xml:space="preserve">assistance directe </w:t>
      </w:r>
      <w:r w:rsidR="00A1419C" w:rsidRPr="00F033E9">
        <w:t>offerts par</w:t>
      </w:r>
      <w:r w:rsidRPr="00F033E9">
        <w:t xml:space="preserve"> l</w:t>
      </w:r>
      <w:r w:rsidR="00F12803" w:rsidRPr="00F033E9">
        <w:t>'</w:t>
      </w:r>
      <w:r w:rsidRPr="00F033E9">
        <w:t xml:space="preserve">UIT, conformément aux </w:t>
      </w:r>
      <w:r w:rsidR="00A1419C" w:rsidRPr="00F033E9">
        <w:t>R</w:t>
      </w:r>
      <w:r w:rsidRPr="00F033E9">
        <w:t>ésolutions énumérées ci-dessus.</w:t>
      </w:r>
    </w:p>
    <w:p w14:paraId="730E41D5" w14:textId="53F1C97E" w:rsidR="00F32D41" w:rsidRPr="00F033E9" w:rsidRDefault="00F32D41" w:rsidP="00676E41">
      <w:pPr>
        <w:jc w:val="both"/>
        <w:rPr>
          <w:rFonts w:asciiTheme="minorHAnsi" w:hAnsiTheme="minorHAnsi" w:cstheme="minorHAnsi"/>
          <w:szCs w:val="24"/>
        </w:rPr>
      </w:pPr>
      <w:r w:rsidRPr="00F033E9">
        <w:t xml:space="preserve">Tous les </w:t>
      </w:r>
      <w:r w:rsidR="00B3505D" w:rsidRPr="00F033E9">
        <w:t>États</w:t>
      </w:r>
      <w:r w:rsidRPr="00F033E9">
        <w:t xml:space="preserve"> Membres qui souhaitent </w:t>
      </w:r>
      <w:r w:rsidR="00B3505D" w:rsidRPr="00F033E9">
        <w:t>bénéficier d'un appui plus important pour</w:t>
      </w:r>
      <w:r w:rsidRPr="00F033E9">
        <w:t xml:space="preserve"> la reconstruction et/ou à la remise en état de leurs infrastructures TIC sont </w:t>
      </w:r>
      <w:r w:rsidR="00B3505D" w:rsidRPr="00F033E9">
        <w:t>priés d'</w:t>
      </w:r>
      <w:r w:rsidRPr="00F033E9">
        <w:t>utiliser les produits et services pertinents de l</w:t>
      </w:r>
      <w:r w:rsidR="00F12803" w:rsidRPr="00F033E9">
        <w:t>'</w:t>
      </w:r>
      <w:r w:rsidRPr="00F033E9">
        <w:t xml:space="preserve">UIT et </w:t>
      </w:r>
      <w:r w:rsidR="00A113A2" w:rsidRPr="00F033E9">
        <w:t>de</w:t>
      </w:r>
      <w:r w:rsidRPr="00F033E9">
        <w:t xml:space="preserve"> </w:t>
      </w:r>
      <w:r w:rsidR="00A113A2" w:rsidRPr="00F033E9">
        <w:t>prendre contact avec</w:t>
      </w:r>
      <w:r w:rsidRPr="00F033E9">
        <w:t xml:space="preserve"> l</w:t>
      </w:r>
      <w:r w:rsidR="00F12803" w:rsidRPr="00F033E9">
        <w:t>'</w:t>
      </w:r>
      <w:r w:rsidRPr="00F033E9">
        <w:t>UIT s</w:t>
      </w:r>
      <w:r w:rsidR="00F12803" w:rsidRPr="00F033E9">
        <w:t>'</w:t>
      </w:r>
      <w:r w:rsidRPr="00F033E9">
        <w:t>ils ont besoin d</w:t>
      </w:r>
      <w:r w:rsidR="00F12803" w:rsidRPr="00F033E9">
        <w:t>'</w:t>
      </w:r>
      <w:r w:rsidRPr="00F033E9">
        <w:t>une assistance technique.</w:t>
      </w:r>
    </w:p>
    <w:p w14:paraId="42948A3F" w14:textId="332A70A3" w:rsidR="006A11AE" w:rsidRDefault="00F32D41" w:rsidP="00676E41">
      <w:pPr>
        <w:jc w:val="both"/>
      </w:pPr>
      <w:r w:rsidRPr="00F033E9">
        <w:t xml:space="preserve">Étant donné que la reconstruction et la remise en état </w:t>
      </w:r>
      <w:r w:rsidR="00055E5C" w:rsidRPr="00F033E9">
        <w:t>des infrastructures</w:t>
      </w:r>
      <w:r w:rsidRPr="00F033E9">
        <w:t xml:space="preserve"> TIC nécessitent l</w:t>
      </w:r>
      <w:r w:rsidR="00F12803" w:rsidRPr="00F033E9">
        <w:t>'</w:t>
      </w:r>
      <w:r w:rsidRPr="00F033E9">
        <w:t>affectation d</w:t>
      </w:r>
      <w:r w:rsidR="00F12803" w:rsidRPr="00F033E9">
        <w:t>'</w:t>
      </w:r>
      <w:r w:rsidRPr="00F033E9">
        <w:t>importantes ressources financières, toutes les parties prenantes sont invitées à apporter leur soutien pour que l</w:t>
      </w:r>
      <w:r w:rsidR="00F12803" w:rsidRPr="00F033E9">
        <w:t>'</w:t>
      </w:r>
      <w:r w:rsidRPr="00F033E9">
        <w:t>assistance de l</w:t>
      </w:r>
      <w:r w:rsidR="00F12803" w:rsidRPr="00F033E9">
        <w:t>'</w:t>
      </w:r>
      <w:r w:rsidRPr="00F033E9">
        <w:t>UIT soit plus globale.</w:t>
      </w:r>
    </w:p>
    <w:p w14:paraId="30C245D3" w14:textId="77777777" w:rsidR="00676E41" w:rsidRPr="00F033E9" w:rsidRDefault="00676E41" w:rsidP="00676E41">
      <w:pPr>
        <w:jc w:val="both"/>
      </w:pPr>
    </w:p>
    <w:p w14:paraId="29387C4D" w14:textId="77777777" w:rsidR="00897553" w:rsidRPr="00F033E9" w:rsidRDefault="006A11AE" w:rsidP="006A11AE">
      <w:pPr>
        <w:jc w:val="center"/>
      </w:pPr>
      <w:r w:rsidRPr="00F033E9">
        <w:t>______________</w:t>
      </w:r>
    </w:p>
    <w:sectPr w:rsidR="00897553" w:rsidRPr="00F033E9" w:rsidSect="00D72F49">
      <w:headerReference w:type="even" r:id="rId20"/>
      <w:footerReference w:type="even" r:id="rId21"/>
      <w:footerReference w:type="default" r:id="rId22"/>
      <w:headerReference w:type="first" r:id="rId23"/>
      <w:footerReference w:type="first" r:id="rId2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04BCB" w14:textId="77777777" w:rsidR="00A928A2" w:rsidRDefault="00A928A2">
      <w:r>
        <w:separator/>
      </w:r>
    </w:p>
  </w:endnote>
  <w:endnote w:type="continuationSeparator" w:id="0">
    <w:p w14:paraId="2FA7C0AF" w14:textId="77777777" w:rsidR="00A928A2" w:rsidRDefault="00A9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DA6D" w14:textId="7AB850B5" w:rsidR="00732045" w:rsidRDefault="00A928A2">
    <w:pPr>
      <w:pStyle w:val="Footer"/>
    </w:pPr>
    <w:fldSimple w:instr=" FILENAME \p \* MERGEFORMAT ">
      <w:r>
        <w:t>Document2</w:t>
      </w:r>
    </w:fldSimple>
    <w:r w:rsidR="00732045">
      <w:tab/>
    </w:r>
    <w:r w:rsidR="002F1B76">
      <w:fldChar w:fldCharType="begin"/>
    </w:r>
    <w:r w:rsidR="00732045">
      <w:instrText xml:space="preserve"> savedate \@ dd.MM.yy </w:instrText>
    </w:r>
    <w:r w:rsidR="002F1B76">
      <w:fldChar w:fldCharType="separate"/>
    </w:r>
    <w:r w:rsidR="007C05FD">
      <w:t>09.06.25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32CA946" w14:textId="77777777" w:rsidTr="00E31DCE">
      <w:trPr>
        <w:jc w:val="center"/>
      </w:trPr>
      <w:tc>
        <w:tcPr>
          <w:tcW w:w="1803" w:type="dxa"/>
          <w:vAlign w:val="center"/>
        </w:tcPr>
        <w:p w14:paraId="63E6D338" w14:textId="6D2956F7" w:rsidR="00A51849" w:rsidRDefault="00F12803" w:rsidP="00A51849">
          <w:pPr>
            <w:pStyle w:val="Header"/>
            <w:jc w:val="left"/>
            <w:rPr>
              <w:noProof/>
            </w:rPr>
          </w:pPr>
          <w:r>
            <w:rPr>
              <w:noProof/>
            </w:rPr>
            <w:t>2501255</w:t>
          </w:r>
        </w:p>
      </w:tc>
      <w:tc>
        <w:tcPr>
          <w:tcW w:w="8261" w:type="dxa"/>
        </w:tcPr>
        <w:p w14:paraId="2941FA50" w14:textId="1FD0254C"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AD0ECE">
            <w:rPr>
              <w:bCs/>
            </w:rPr>
            <w:t>72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366D6F1"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70939E" w14:textId="77777777" w:rsidTr="00E31DCE">
      <w:trPr>
        <w:jc w:val="center"/>
      </w:trPr>
      <w:tc>
        <w:tcPr>
          <w:tcW w:w="1803" w:type="dxa"/>
          <w:vAlign w:val="center"/>
        </w:tcPr>
        <w:p w14:paraId="26C362B1"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30ADF3D9" w14:textId="085C554C"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F12803">
            <w:rPr>
              <w:bCs/>
            </w:rPr>
            <w:t>72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5DBC853"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3B5CC" w14:textId="77777777" w:rsidR="00A928A2" w:rsidRDefault="00A928A2">
      <w:r>
        <w:t>____________________</w:t>
      </w:r>
    </w:p>
  </w:footnote>
  <w:footnote w:type="continuationSeparator" w:id="0">
    <w:p w14:paraId="434451D1" w14:textId="77777777" w:rsidR="00A928A2" w:rsidRDefault="00A9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C1B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D3D89A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57BF4564" w14:textId="77777777" w:rsidTr="00D37B53">
      <w:trPr>
        <w:trHeight w:val="1104"/>
        <w:jc w:val="center"/>
      </w:trPr>
      <w:tc>
        <w:tcPr>
          <w:tcW w:w="5317" w:type="dxa"/>
          <w:vAlign w:val="center"/>
        </w:tcPr>
        <w:p w14:paraId="44E39120"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9090445" wp14:editId="09F588A9">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69435921" w14:textId="77777777" w:rsidR="00524E8D" w:rsidRDefault="00524E8D" w:rsidP="00A51849">
          <w:pPr>
            <w:pStyle w:val="Header"/>
            <w:jc w:val="right"/>
            <w:rPr>
              <w:rFonts w:ascii="Arial" w:hAnsi="Arial" w:cs="Arial"/>
              <w:b/>
              <w:bCs/>
              <w:color w:val="009CD6"/>
              <w:szCs w:val="18"/>
            </w:rPr>
          </w:pPr>
        </w:p>
      </w:tc>
    </w:tr>
  </w:tbl>
  <w:p w14:paraId="5FD5F793"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B887AB6" wp14:editId="2DD85E40">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552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52EF6"/>
    <w:multiLevelType w:val="hybridMultilevel"/>
    <w:tmpl w:val="A2B0ECB0"/>
    <w:lvl w:ilvl="0" w:tplc="E3DAA1B2">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034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A2"/>
    <w:rsid w:val="0001289D"/>
    <w:rsid w:val="00043CFB"/>
    <w:rsid w:val="00055E5C"/>
    <w:rsid w:val="00076A2C"/>
    <w:rsid w:val="000D0D0A"/>
    <w:rsid w:val="00103163"/>
    <w:rsid w:val="00106B19"/>
    <w:rsid w:val="001133EF"/>
    <w:rsid w:val="00115D93"/>
    <w:rsid w:val="001247A8"/>
    <w:rsid w:val="001370B2"/>
    <w:rsid w:val="001378C0"/>
    <w:rsid w:val="00153234"/>
    <w:rsid w:val="001755D9"/>
    <w:rsid w:val="0018694A"/>
    <w:rsid w:val="001A3287"/>
    <w:rsid w:val="001A6508"/>
    <w:rsid w:val="001B23B8"/>
    <w:rsid w:val="001B4CDB"/>
    <w:rsid w:val="001D4C31"/>
    <w:rsid w:val="001D5502"/>
    <w:rsid w:val="001E4D21"/>
    <w:rsid w:val="00207CD1"/>
    <w:rsid w:val="00226657"/>
    <w:rsid w:val="00246388"/>
    <w:rsid w:val="002477A2"/>
    <w:rsid w:val="00263A51"/>
    <w:rsid w:val="00267E02"/>
    <w:rsid w:val="0028124D"/>
    <w:rsid w:val="002A5D44"/>
    <w:rsid w:val="002C3F32"/>
    <w:rsid w:val="002C4E3D"/>
    <w:rsid w:val="002D0444"/>
    <w:rsid w:val="002E0BC4"/>
    <w:rsid w:val="002F134D"/>
    <w:rsid w:val="002F1B76"/>
    <w:rsid w:val="003078AD"/>
    <w:rsid w:val="003234FE"/>
    <w:rsid w:val="00331C09"/>
    <w:rsid w:val="0033568E"/>
    <w:rsid w:val="00355FF5"/>
    <w:rsid w:val="00361350"/>
    <w:rsid w:val="003C3FAE"/>
    <w:rsid w:val="003F7D78"/>
    <w:rsid w:val="004038CB"/>
    <w:rsid w:val="0040546F"/>
    <w:rsid w:val="004177BD"/>
    <w:rsid w:val="0042404A"/>
    <w:rsid w:val="004342A1"/>
    <w:rsid w:val="0044618F"/>
    <w:rsid w:val="0046769A"/>
    <w:rsid w:val="00475FB3"/>
    <w:rsid w:val="004B1EC2"/>
    <w:rsid w:val="004C37A9"/>
    <w:rsid w:val="004D1D50"/>
    <w:rsid w:val="004F259E"/>
    <w:rsid w:val="00511F1D"/>
    <w:rsid w:val="00520F36"/>
    <w:rsid w:val="00524E8D"/>
    <w:rsid w:val="00530C4A"/>
    <w:rsid w:val="00534E13"/>
    <w:rsid w:val="00540615"/>
    <w:rsid w:val="00540A6D"/>
    <w:rsid w:val="005434AE"/>
    <w:rsid w:val="00566679"/>
    <w:rsid w:val="00571EEA"/>
    <w:rsid w:val="00575417"/>
    <w:rsid w:val="005768E1"/>
    <w:rsid w:val="00584EBE"/>
    <w:rsid w:val="00586177"/>
    <w:rsid w:val="005A11E1"/>
    <w:rsid w:val="005B1938"/>
    <w:rsid w:val="005C1401"/>
    <w:rsid w:val="005C3890"/>
    <w:rsid w:val="005C4E68"/>
    <w:rsid w:val="005D6A9C"/>
    <w:rsid w:val="005F3E09"/>
    <w:rsid w:val="005F7BFE"/>
    <w:rsid w:val="00600017"/>
    <w:rsid w:val="006235CA"/>
    <w:rsid w:val="0062366E"/>
    <w:rsid w:val="00663115"/>
    <w:rsid w:val="006643AB"/>
    <w:rsid w:val="00676E41"/>
    <w:rsid w:val="00682721"/>
    <w:rsid w:val="00694CA0"/>
    <w:rsid w:val="006A11AE"/>
    <w:rsid w:val="006B2613"/>
    <w:rsid w:val="006E6245"/>
    <w:rsid w:val="006F0A53"/>
    <w:rsid w:val="00710764"/>
    <w:rsid w:val="007210CD"/>
    <w:rsid w:val="00732045"/>
    <w:rsid w:val="0073275D"/>
    <w:rsid w:val="007368A5"/>
    <w:rsid w:val="007369DB"/>
    <w:rsid w:val="0077110E"/>
    <w:rsid w:val="0077179B"/>
    <w:rsid w:val="00784208"/>
    <w:rsid w:val="007956C2"/>
    <w:rsid w:val="007A187E"/>
    <w:rsid w:val="007B4EFF"/>
    <w:rsid w:val="007C05FD"/>
    <w:rsid w:val="007C72C2"/>
    <w:rsid w:val="007D4436"/>
    <w:rsid w:val="007E3569"/>
    <w:rsid w:val="007F257A"/>
    <w:rsid w:val="007F3665"/>
    <w:rsid w:val="00800037"/>
    <w:rsid w:val="00801BCB"/>
    <w:rsid w:val="00801E36"/>
    <w:rsid w:val="0082299A"/>
    <w:rsid w:val="0083391C"/>
    <w:rsid w:val="00861D73"/>
    <w:rsid w:val="00882919"/>
    <w:rsid w:val="00896EF9"/>
    <w:rsid w:val="00897553"/>
    <w:rsid w:val="008A4E87"/>
    <w:rsid w:val="008D76E6"/>
    <w:rsid w:val="008E22B3"/>
    <w:rsid w:val="0092392D"/>
    <w:rsid w:val="0093234A"/>
    <w:rsid w:val="00956A78"/>
    <w:rsid w:val="009629D0"/>
    <w:rsid w:val="00964248"/>
    <w:rsid w:val="0097363B"/>
    <w:rsid w:val="00973F53"/>
    <w:rsid w:val="0099076B"/>
    <w:rsid w:val="009A6BAA"/>
    <w:rsid w:val="009B796F"/>
    <w:rsid w:val="009C307F"/>
    <w:rsid w:val="009C353C"/>
    <w:rsid w:val="009D136F"/>
    <w:rsid w:val="009F0FB8"/>
    <w:rsid w:val="00A113A2"/>
    <w:rsid w:val="00A1419C"/>
    <w:rsid w:val="00A15CE4"/>
    <w:rsid w:val="00A2113E"/>
    <w:rsid w:val="00A23A51"/>
    <w:rsid w:val="00A24607"/>
    <w:rsid w:val="00A25CD3"/>
    <w:rsid w:val="00A45E7D"/>
    <w:rsid w:val="00A51849"/>
    <w:rsid w:val="00A626FD"/>
    <w:rsid w:val="00A709FE"/>
    <w:rsid w:val="00A73C60"/>
    <w:rsid w:val="00A82767"/>
    <w:rsid w:val="00A928A2"/>
    <w:rsid w:val="00A9546B"/>
    <w:rsid w:val="00AA332F"/>
    <w:rsid w:val="00AA7BBB"/>
    <w:rsid w:val="00AB64A8"/>
    <w:rsid w:val="00AC0266"/>
    <w:rsid w:val="00AD0ECE"/>
    <w:rsid w:val="00AD108E"/>
    <w:rsid w:val="00AD24EC"/>
    <w:rsid w:val="00AF4F77"/>
    <w:rsid w:val="00B11505"/>
    <w:rsid w:val="00B27B00"/>
    <w:rsid w:val="00B309F9"/>
    <w:rsid w:val="00B32B60"/>
    <w:rsid w:val="00B3505D"/>
    <w:rsid w:val="00B41424"/>
    <w:rsid w:val="00B433F1"/>
    <w:rsid w:val="00B51005"/>
    <w:rsid w:val="00B61619"/>
    <w:rsid w:val="00BB4545"/>
    <w:rsid w:val="00BC3363"/>
    <w:rsid w:val="00BC593C"/>
    <w:rsid w:val="00BD5873"/>
    <w:rsid w:val="00BD6170"/>
    <w:rsid w:val="00BE4E33"/>
    <w:rsid w:val="00BF4B60"/>
    <w:rsid w:val="00C049D7"/>
    <w:rsid w:val="00C04BE3"/>
    <w:rsid w:val="00C25D29"/>
    <w:rsid w:val="00C27A7C"/>
    <w:rsid w:val="00C42437"/>
    <w:rsid w:val="00CA08ED"/>
    <w:rsid w:val="00CC0F1E"/>
    <w:rsid w:val="00CC6EAA"/>
    <w:rsid w:val="00CF183B"/>
    <w:rsid w:val="00D2314D"/>
    <w:rsid w:val="00D354AE"/>
    <w:rsid w:val="00D375CD"/>
    <w:rsid w:val="00D37B53"/>
    <w:rsid w:val="00D43698"/>
    <w:rsid w:val="00D553A2"/>
    <w:rsid w:val="00D637D1"/>
    <w:rsid w:val="00D65D0C"/>
    <w:rsid w:val="00D72F49"/>
    <w:rsid w:val="00D774D3"/>
    <w:rsid w:val="00D82A96"/>
    <w:rsid w:val="00D904E8"/>
    <w:rsid w:val="00D91C5D"/>
    <w:rsid w:val="00DA08C3"/>
    <w:rsid w:val="00DA7FE2"/>
    <w:rsid w:val="00DB0EC0"/>
    <w:rsid w:val="00DB5A3E"/>
    <w:rsid w:val="00DC22AA"/>
    <w:rsid w:val="00DC353E"/>
    <w:rsid w:val="00DD1A99"/>
    <w:rsid w:val="00DE3398"/>
    <w:rsid w:val="00DF74DD"/>
    <w:rsid w:val="00E25AD0"/>
    <w:rsid w:val="00E4428F"/>
    <w:rsid w:val="00E47427"/>
    <w:rsid w:val="00E93668"/>
    <w:rsid w:val="00E95647"/>
    <w:rsid w:val="00EB6350"/>
    <w:rsid w:val="00ED5603"/>
    <w:rsid w:val="00ED7F3A"/>
    <w:rsid w:val="00F033E9"/>
    <w:rsid w:val="00F036A1"/>
    <w:rsid w:val="00F114AF"/>
    <w:rsid w:val="00F12803"/>
    <w:rsid w:val="00F15B57"/>
    <w:rsid w:val="00F21961"/>
    <w:rsid w:val="00F32D41"/>
    <w:rsid w:val="00F35EF4"/>
    <w:rsid w:val="00F37FE5"/>
    <w:rsid w:val="00F427DB"/>
    <w:rsid w:val="00F528F2"/>
    <w:rsid w:val="00FA5EB1"/>
    <w:rsid w:val="00FA7439"/>
    <w:rsid w:val="00FB033A"/>
    <w:rsid w:val="00FC4EC0"/>
    <w:rsid w:val="00FC6D7D"/>
    <w:rsid w:val="00FD2447"/>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5C1DFF"/>
  <w15:docId w15:val="{B11BAD97-BF0E-4C8B-A703-AD61F357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5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C05FD"/>
    <w:pPr>
      <w:keepNext/>
      <w:keepLines/>
      <w:spacing w:before="480"/>
      <w:ind w:left="567" w:hanging="567"/>
      <w:outlineLvl w:val="0"/>
    </w:pPr>
    <w:rPr>
      <w:b/>
      <w:sz w:val="28"/>
    </w:rPr>
  </w:style>
  <w:style w:type="paragraph" w:styleId="Heading2">
    <w:name w:val="heading 2"/>
    <w:basedOn w:val="Heading1"/>
    <w:next w:val="Normal"/>
    <w:qFormat/>
    <w:rsid w:val="007C05FD"/>
    <w:pPr>
      <w:spacing w:before="320"/>
      <w:outlineLvl w:val="1"/>
    </w:pPr>
    <w:rPr>
      <w:sz w:val="24"/>
    </w:rPr>
  </w:style>
  <w:style w:type="paragraph" w:styleId="Heading3">
    <w:name w:val="heading 3"/>
    <w:basedOn w:val="Heading1"/>
    <w:next w:val="Normal"/>
    <w:qFormat/>
    <w:rsid w:val="007C05FD"/>
    <w:pPr>
      <w:spacing w:before="200"/>
      <w:outlineLvl w:val="2"/>
    </w:pPr>
    <w:rPr>
      <w:sz w:val="24"/>
    </w:rPr>
  </w:style>
  <w:style w:type="paragraph" w:styleId="Heading4">
    <w:name w:val="heading 4"/>
    <w:basedOn w:val="Heading3"/>
    <w:next w:val="Normal"/>
    <w:qFormat/>
    <w:rsid w:val="007C05FD"/>
    <w:pPr>
      <w:ind w:left="1134" w:hanging="1134"/>
      <w:outlineLvl w:val="3"/>
    </w:pPr>
  </w:style>
  <w:style w:type="paragraph" w:styleId="Heading5">
    <w:name w:val="heading 5"/>
    <w:basedOn w:val="Heading4"/>
    <w:next w:val="Normal"/>
    <w:qFormat/>
    <w:rsid w:val="007C05FD"/>
    <w:pPr>
      <w:outlineLvl w:val="4"/>
    </w:pPr>
  </w:style>
  <w:style w:type="paragraph" w:styleId="Heading6">
    <w:name w:val="heading 6"/>
    <w:basedOn w:val="Heading4"/>
    <w:next w:val="Normal"/>
    <w:qFormat/>
    <w:rsid w:val="007C05FD"/>
    <w:pPr>
      <w:outlineLvl w:val="5"/>
    </w:pPr>
  </w:style>
  <w:style w:type="paragraph" w:styleId="Heading7">
    <w:name w:val="heading 7"/>
    <w:basedOn w:val="Heading4"/>
    <w:next w:val="Normal"/>
    <w:qFormat/>
    <w:rsid w:val="007C05FD"/>
    <w:pPr>
      <w:ind w:left="1701" w:hanging="1701"/>
      <w:outlineLvl w:val="6"/>
    </w:pPr>
  </w:style>
  <w:style w:type="paragraph" w:styleId="Heading8">
    <w:name w:val="heading 8"/>
    <w:basedOn w:val="Heading4"/>
    <w:next w:val="Normal"/>
    <w:qFormat/>
    <w:rsid w:val="007C05FD"/>
    <w:pPr>
      <w:ind w:left="1701" w:hanging="1701"/>
      <w:outlineLvl w:val="7"/>
    </w:pPr>
  </w:style>
  <w:style w:type="paragraph" w:styleId="Heading9">
    <w:name w:val="heading 9"/>
    <w:basedOn w:val="Heading4"/>
    <w:next w:val="Normal"/>
    <w:qFormat/>
    <w:rsid w:val="007C05FD"/>
    <w:pPr>
      <w:ind w:left="1701" w:hanging="1701"/>
      <w:outlineLvl w:val="8"/>
    </w:pPr>
  </w:style>
  <w:style w:type="character" w:default="1" w:styleId="DefaultParagraphFont">
    <w:name w:val="Default Paragraph Font"/>
    <w:uiPriority w:val="1"/>
    <w:semiHidden/>
    <w:unhideWhenUsed/>
    <w:rsid w:val="007C05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05FD"/>
  </w:style>
  <w:style w:type="paragraph" w:styleId="TOC8">
    <w:name w:val="toc 8"/>
    <w:basedOn w:val="Normal"/>
    <w:next w:val="Normal"/>
    <w:rsid w:val="007C05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C05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C05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C05F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C05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C05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C05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C05FD"/>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7C05FD"/>
    <w:pPr>
      <w:ind w:left="1698"/>
    </w:pPr>
  </w:style>
  <w:style w:type="paragraph" w:styleId="Index6">
    <w:name w:val="index 6"/>
    <w:basedOn w:val="Normal"/>
    <w:next w:val="Normal"/>
    <w:rsid w:val="007C05FD"/>
    <w:pPr>
      <w:ind w:left="1415"/>
    </w:pPr>
  </w:style>
  <w:style w:type="paragraph" w:styleId="Index5">
    <w:name w:val="index 5"/>
    <w:basedOn w:val="Normal"/>
    <w:next w:val="Normal"/>
    <w:rsid w:val="007C05FD"/>
    <w:pPr>
      <w:ind w:left="1132"/>
    </w:pPr>
  </w:style>
  <w:style w:type="paragraph" w:styleId="Index4">
    <w:name w:val="index 4"/>
    <w:basedOn w:val="Normal"/>
    <w:next w:val="Normal"/>
    <w:rsid w:val="007C05FD"/>
    <w:pPr>
      <w:ind w:left="849"/>
    </w:pPr>
  </w:style>
  <w:style w:type="paragraph" w:styleId="Index3">
    <w:name w:val="index 3"/>
    <w:basedOn w:val="Normal"/>
    <w:next w:val="Normal"/>
    <w:rsid w:val="007C05FD"/>
    <w:pPr>
      <w:ind w:left="566"/>
    </w:pPr>
  </w:style>
  <w:style w:type="paragraph" w:styleId="Index2">
    <w:name w:val="index 2"/>
    <w:basedOn w:val="Normal"/>
    <w:next w:val="Normal"/>
    <w:rsid w:val="007C05FD"/>
    <w:pPr>
      <w:ind w:left="283"/>
    </w:pPr>
  </w:style>
  <w:style w:type="paragraph" w:styleId="Index1">
    <w:name w:val="index 1"/>
    <w:basedOn w:val="Normal"/>
    <w:next w:val="Normal"/>
    <w:rsid w:val="007C05FD"/>
  </w:style>
  <w:style w:type="character" w:styleId="LineNumber">
    <w:name w:val="line number"/>
    <w:basedOn w:val="DefaultParagraphFont"/>
    <w:rsid w:val="007C05FD"/>
  </w:style>
  <w:style w:type="paragraph" w:styleId="IndexHeading">
    <w:name w:val="index heading"/>
    <w:basedOn w:val="Normal"/>
    <w:next w:val="Index1"/>
    <w:rsid w:val="007C05FD"/>
  </w:style>
  <w:style w:type="paragraph" w:styleId="Footer">
    <w:name w:val="footer"/>
    <w:basedOn w:val="Normal"/>
    <w:rsid w:val="007C05F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C05F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C05FD"/>
    <w:rPr>
      <w:rFonts w:ascii="Calibri" w:hAnsi="Calibri"/>
      <w:position w:val="6"/>
      <w:sz w:val="16"/>
    </w:rPr>
  </w:style>
  <w:style w:type="paragraph" w:styleId="FootnoteText">
    <w:name w:val="footnote text"/>
    <w:basedOn w:val="Normal"/>
    <w:rsid w:val="007C05FD"/>
    <w:pPr>
      <w:keepLines/>
      <w:tabs>
        <w:tab w:val="left" w:pos="256"/>
      </w:tabs>
      <w:ind w:left="256" w:hanging="256"/>
    </w:pPr>
  </w:style>
  <w:style w:type="paragraph" w:styleId="NormalIndent">
    <w:name w:val="Normal Indent"/>
    <w:basedOn w:val="Normal"/>
    <w:rsid w:val="007C05FD"/>
    <w:pPr>
      <w:ind w:left="567"/>
    </w:pPr>
  </w:style>
  <w:style w:type="paragraph" w:customStyle="1" w:styleId="enumlev1">
    <w:name w:val="enumlev1"/>
    <w:basedOn w:val="Normal"/>
    <w:rsid w:val="007C05FD"/>
    <w:pPr>
      <w:spacing w:before="86"/>
      <w:ind w:left="567" w:hanging="567"/>
    </w:pPr>
  </w:style>
  <w:style w:type="paragraph" w:customStyle="1" w:styleId="enumlev2">
    <w:name w:val="enumlev2"/>
    <w:basedOn w:val="enumlev1"/>
    <w:rsid w:val="007C05FD"/>
    <w:pPr>
      <w:ind w:left="1134"/>
    </w:pPr>
  </w:style>
  <w:style w:type="paragraph" w:customStyle="1" w:styleId="enumlev3">
    <w:name w:val="enumlev3"/>
    <w:basedOn w:val="enumlev2"/>
    <w:rsid w:val="007C05FD"/>
    <w:pPr>
      <w:ind w:left="1701"/>
    </w:pPr>
  </w:style>
  <w:style w:type="paragraph" w:customStyle="1" w:styleId="Equation">
    <w:name w:val="Equation"/>
    <w:basedOn w:val="Normal"/>
    <w:rsid w:val="007C05FD"/>
    <w:pPr>
      <w:tabs>
        <w:tab w:val="center" w:pos="4820"/>
        <w:tab w:val="right" w:pos="9639"/>
      </w:tabs>
    </w:pPr>
  </w:style>
  <w:style w:type="paragraph" w:customStyle="1" w:styleId="Head">
    <w:name w:val="Head"/>
    <w:basedOn w:val="Normal"/>
    <w:rsid w:val="007C05FD"/>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C05FD"/>
    <w:pPr>
      <w:spacing w:before="240"/>
    </w:pPr>
  </w:style>
  <w:style w:type="paragraph" w:customStyle="1" w:styleId="Call">
    <w:name w:val="Call"/>
    <w:basedOn w:val="Normal"/>
    <w:next w:val="Normal"/>
    <w:rsid w:val="007C05FD"/>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C05FD"/>
    <w:pPr>
      <w:tabs>
        <w:tab w:val="clear" w:pos="567"/>
        <w:tab w:val="clear" w:pos="1134"/>
        <w:tab w:val="clear" w:pos="1701"/>
        <w:tab w:val="clear" w:pos="2268"/>
        <w:tab w:val="clear" w:pos="2835"/>
        <w:tab w:val="right" w:pos="9781"/>
      </w:tabs>
    </w:pPr>
    <w:rPr>
      <w:b/>
    </w:rPr>
  </w:style>
  <w:style w:type="paragraph" w:styleId="List">
    <w:name w:val="List"/>
    <w:basedOn w:val="Normal"/>
    <w:rsid w:val="007C05FD"/>
    <w:pPr>
      <w:tabs>
        <w:tab w:val="left" w:pos="2127"/>
      </w:tabs>
      <w:ind w:left="2127" w:hanging="2127"/>
    </w:pPr>
  </w:style>
  <w:style w:type="paragraph" w:customStyle="1" w:styleId="Part">
    <w:name w:val="Part"/>
    <w:basedOn w:val="Normal"/>
    <w:rsid w:val="007C05FD"/>
    <w:pPr>
      <w:tabs>
        <w:tab w:val="left" w:pos="1276"/>
      </w:tabs>
      <w:spacing w:before="199"/>
      <w:ind w:left="1701" w:hanging="1701"/>
    </w:pPr>
    <w:rPr>
      <w:caps/>
    </w:rPr>
  </w:style>
  <w:style w:type="paragraph" w:customStyle="1" w:styleId="Reasons">
    <w:name w:val="Reasons"/>
    <w:basedOn w:val="Normal"/>
    <w:qFormat/>
    <w:rsid w:val="007C05FD"/>
  </w:style>
  <w:style w:type="paragraph" w:customStyle="1" w:styleId="meeting">
    <w:name w:val="meeting"/>
    <w:basedOn w:val="Head"/>
    <w:next w:val="Head"/>
    <w:rsid w:val="007C05FD"/>
    <w:pPr>
      <w:tabs>
        <w:tab w:val="left" w:pos="7371"/>
      </w:tabs>
      <w:spacing w:after="567"/>
    </w:pPr>
  </w:style>
  <w:style w:type="paragraph" w:customStyle="1" w:styleId="Subject">
    <w:name w:val="Subject"/>
    <w:basedOn w:val="Normal"/>
    <w:next w:val="Source"/>
    <w:rsid w:val="007C05FD"/>
    <w:pPr>
      <w:tabs>
        <w:tab w:val="left" w:pos="709"/>
      </w:tabs>
      <w:spacing w:before="0"/>
      <w:ind w:left="709" w:hanging="709"/>
    </w:pPr>
  </w:style>
  <w:style w:type="paragraph" w:customStyle="1" w:styleId="Source">
    <w:name w:val="Source"/>
    <w:basedOn w:val="Normal"/>
    <w:next w:val="Title1"/>
    <w:rsid w:val="007C05FD"/>
    <w:pPr>
      <w:spacing w:before="840"/>
      <w:jc w:val="center"/>
    </w:pPr>
    <w:rPr>
      <w:b/>
      <w:sz w:val="28"/>
    </w:rPr>
  </w:style>
  <w:style w:type="paragraph" w:customStyle="1" w:styleId="Object">
    <w:name w:val="Object"/>
    <w:basedOn w:val="Subject"/>
    <w:next w:val="Subject"/>
    <w:rsid w:val="007C05FD"/>
  </w:style>
  <w:style w:type="paragraph" w:customStyle="1" w:styleId="Data">
    <w:name w:val="Data"/>
    <w:basedOn w:val="Subject"/>
    <w:next w:val="Subject"/>
    <w:rsid w:val="007C05FD"/>
  </w:style>
  <w:style w:type="paragraph" w:customStyle="1" w:styleId="Headingb">
    <w:name w:val="Heading_b"/>
    <w:basedOn w:val="Heading3"/>
    <w:next w:val="Normal"/>
    <w:rsid w:val="007C05FD"/>
    <w:pPr>
      <w:spacing w:before="160"/>
      <w:outlineLvl w:val="0"/>
    </w:pPr>
  </w:style>
  <w:style w:type="paragraph" w:customStyle="1" w:styleId="Title1">
    <w:name w:val="Title 1"/>
    <w:basedOn w:val="Source"/>
    <w:next w:val="Title2"/>
    <w:rsid w:val="007C05FD"/>
    <w:pPr>
      <w:spacing w:before="240"/>
    </w:pPr>
    <w:rPr>
      <w:b w:val="0"/>
      <w:caps/>
    </w:rPr>
  </w:style>
  <w:style w:type="paragraph" w:customStyle="1" w:styleId="dnum">
    <w:name w:val="dnum"/>
    <w:basedOn w:val="Normal"/>
    <w:rsid w:val="007C05FD"/>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C05FD"/>
    <w:rPr>
      <w:caps w:val="0"/>
    </w:rPr>
  </w:style>
  <w:style w:type="paragraph" w:customStyle="1" w:styleId="Note">
    <w:name w:val="Note"/>
    <w:basedOn w:val="Normal"/>
    <w:rsid w:val="007C05FD"/>
    <w:pPr>
      <w:spacing w:before="80"/>
    </w:pPr>
  </w:style>
  <w:style w:type="paragraph" w:styleId="TOC9">
    <w:name w:val="toc 9"/>
    <w:basedOn w:val="Normal"/>
    <w:next w:val="Normal"/>
    <w:rsid w:val="007C05FD"/>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7C05FD"/>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7C05FD"/>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C05FD"/>
    <w:rPr>
      <w:rFonts w:eastAsiaTheme="minorHAnsi" w:cstheme="minorBidi"/>
      <w:color w:val="4F81BD" w:themeColor="accent1"/>
      <w:szCs w:val="22"/>
    </w:rPr>
  </w:style>
  <w:style w:type="character" w:styleId="FollowedHyperlink">
    <w:name w:val="FollowedHyperlink"/>
    <w:basedOn w:val="DefaultParagraphFont"/>
    <w:rsid w:val="007C05FD"/>
    <w:rPr>
      <w:color w:val="800080"/>
      <w:u w:val="single"/>
    </w:rPr>
  </w:style>
  <w:style w:type="paragraph" w:customStyle="1" w:styleId="AnnexNo">
    <w:name w:val="Annex_No"/>
    <w:basedOn w:val="Normal"/>
    <w:next w:val="Annexref"/>
    <w:rsid w:val="007C05FD"/>
    <w:pPr>
      <w:spacing w:before="720"/>
      <w:jc w:val="center"/>
    </w:pPr>
    <w:rPr>
      <w:caps/>
      <w:sz w:val="28"/>
    </w:rPr>
  </w:style>
  <w:style w:type="paragraph" w:customStyle="1" w:styleId="Annexref">
    <w:name w:val="Annex_ref"/>
    <w:basedOn w:val="Normal"/>
    <w:next w:val="Annextitle"/>
    <w:rsid w:val="007C05FD"/>
    <w:pPr>
      <w:jc w:val="center"/>
    </w:pPr>
    <w:rPr>
      <w:sz w:val="28"/>
    </w:rPr>
  </w:style>
  <w:style w:type="paragraph" w:customStyle="1" w:styleId="Annextitle">
    <w:name w:val="Annex_title"/>
    <w:basedOn w:val="Normal"/>
    <w:next w:val="Normal"/>
    <w:rsid w:val="007C05FD"/>
    <w:pPr>
      <w:spacing w:before="240" w:after="240"/>
      <w:jc w:val="center"/>
    </w:pPr>
    <w:rPr>
      <w:b/>
      <w:sz w:val="28"/>
    </w:rPr>
  </w:style>
  <w:style w:type="paragraph" w:customStyle="1" w:styleId="AppendixNo">
    <w:name w:val="Appendix_No"/>
    <w:basedOn w:val="AnnexNo"/>
    <w:next w:val="Appendixref"/>
    <w:rsid w:val="007C05FD"/>
  </w:style>
  <w:style w:type="paragraph" w:customStyle="1" w:styleId="Appendixref">
    <w:name w:val="Appendix_ref"/>
    <w:basedOn w:val="Annexref"/>
    <w:next w:val="Appendixtitle"/>
    <w:rsid w:val="007C05FD"/>
  </w:style>
  <w:style w:type="paragraph" w:customStyle="1" w:styleId="Appendixtitle">
    <w:name w:val="Appendix_title"/>
    <w:basedOn w:val="Annextitle"/>
    <w:next w:val="Normal"/>
    <w:rsid w:val="007C05FD"/>
  </w:style>
  <w:style w:type="paragraph" w:customStyle="1" w:styleId="Artheading">
    <w:name w:val="Art_heading"/>
    <w:basedOn w:val="Normal"/>
    <w:next w:val="Normalaftertitle"/>
    <w:rsid w:val="007C05FD"/>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C05F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C05F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C05FD"/>
  </w:style>
  <w:style w:type="paragraph" w:customStyle="1" w:styleId="Chaptitle">
    <w:name w:val="Chap_title"/>
    <w:basedOn w:val="Arttitle"/>
    <w:next w:val="Normal"/>
    <w:rsid w:val="007C05FD"/>
  </w:style>
  <w:style w:type="paragraph" w:customStyle="1" w:styleId="Equationlegend">
    <w:name w:val="Equation_legend"/>
    <w:basedOn w:val="NormalIndent"/>
    <w:rsid w:val="007C05FD"/>
    <w:pPr>
      <w:tabs>
        <w:tab w:val="right" w:pos="1531"/>
      </w:tabs>
      <w:spacing w:before="80"/>
      <w:ind w:left="1701" w:hanging="1701"/>
    </w:pPr>
  </w:style>
  <w:style w:type="paragraph" w:customStyle="1" w:styleId="Figure">
    <w:name w:val="Figure"/>
    <w:basedOn w:val="Normal"/>
    <w:next w:val="Figuretitle"/>
    <w:rsid w:val="007C05FD"/>
    <w:pPr>
      <w:keepNext/>
      <w:keepLines/>
      <w:spacing w:after="120"/>
      <w:jc w:val="center"/>
    </w:pPr>
  </w:style>
  <w:style w:type="paragraph" w:customStyle="1" w:styleId="Figurelegend">
    <w:name w:val="Figure_legend"/>
    <w:basedOn w:val="Normal"/>
    <w:rsid w:val="007C05FD"/>
    <w:pPr>
      <w:spacing w:before="20" w:after="20"/>
    </w:pPr>
    <w:rPr>
      <w:sz w:val="18"/>
    </w:rPr>
  </w:style>
  <w:style w:type="paragraph" w:customStyle="1" w:styleId="TableNo">
    <w:name w:val="Table_No"/>
    <w:basedOn w:val="Normal"/>
    <w:next w:val="Tabletitle"/>
    <w:rsid w:val="007C05FD"/>
    <w:pPr>
      <w:keepNext/>
      <w:spacing w:before="560" w:after="120"/>
      <w:jc w:val="center"/>
    </w:pPr>
    <w:rPr>
      <w:caps/>
    </w:rPr>
  </w:style>
  <w:style w:type="paragraph" w:customStyle="1" w:styleId="Tabletitle">
    <w:name w:val="Table_title"/>
    <w:basedOn w:val="TableNo"/>
    <w:next w:val="Tabletext"/>
    <w:rsid w:val="007C05F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7C05FD"/>
    <w:pPr>
      <w:spacing w:before="240" w:after="480"/>
    </w:pPr>
  </w:style>
  <w:style w:type="paragraph" w:customStyle="1" w:styleId="Figurewithouttitle">
    <w:name w:val="Figure_without_title"/>
    <w:basedOn w:val="Figure"/>
    <w:next w:val="Normalaftertitle"/>
    <w:rsid w:val="007C05FD"/>
    <w:pPr>
      <w:keepNext w:val="0"/>
      <w:spacing w:after="240"/>
    </w:pPr>
  </w:style>
  <w:style w:type="paragraph" w:customStyle="1" w:styleId="Headingi">
    <w:name w:val="Heading_i"/>
    <w:basedOn w:val="Heading3"/>
    <w:next w:val="Normal"/>
    <w:rsid w:val="007C05FD"/>
    <w:pPr>
      <w:spacing w:before="160"/>
      <w:outlineLvl w:val="0"/>
    </w:pPr>
    <w:rPr>
      <w:b w:val="0"/>
      <w:i/>
    </w:rPr>
  </w:style>
  <w:style w:type="character" w:styleId="PageNumber">
    <w:name w:val="page number"/>
    <w:basedOn w:val="DefaultParagraphFont"/>
    <w:rsid w:val="007C05FD"/>
    <w:rPr>
      <w:rFonts w:ascii="Calibri" w:hAnsi="Calibri"/>
    </w:rPr>
  </w:style>
  <w:style w:type="paragraph" w:customStyle="1" w:styleId="PartNo">
    <w:name w:val="Part_No"/>
    <w:basedOn w:val="AnnexNo"/>
    <w:next w:val="Parttitle"/>
    <w:rsid w:val="007C05FD"/>
  </w:style>
  <w:style w:type="paragraph" w:customStyle="1" w:styleId="Partref">
    <w:name w:val="Part_ref"/>
    <w:basedOn w:val="Annexref"/>
    <w:next w:val="Normalaftertitle"/>
    <w:rsid w:val="007C05FD"/>
  </w:style>
  <w:style w:type="paragraph" w:customStyle="1" w:styleId="Parttitle">
    <w:name w:val="Part_title"/>
    <w:basedOn w:val="Annextitle"/>
    <w:next w:val="Partref"/>
    <w:rsid w:val="007C05FD"/>
  </w:style>
  <w:style w:type="paragraph" w:customStyle="1" w:styleId="RecNo">
    <w:name w:val="Rec_No"/>
    <w:basedOn w:val="Normal"/>
    <w:next w:val="Rectitle"/>
    <w:rsid w:val="007C05FD"/>
    <w:pPr>
      <w:spacing w:before="720"/>
      <w:jc w:val="center"/>
    </w:pPr>
    <w:rPr>
      <w:caps/>
      <w:sz w:val="28"/>
    </w:rPr>
  </w:style>
  <w:style w:type="paragraph" w:customStyle="1" w:styleId="Rectitle">
    <w:name w:val="Rec_title"/>
    <w:basedOn w:val="Normal"/>
    <w:next w:val="Heading1"/>
    <w:rsid w:val="007C05FD"/>
    <w:pPr>
      <w:spacing w:before="240"/>
      <w:jc w:val="center"/>
    </w:pPr>
    <w:rPr>
      <w:b/>
      <w:sz w:val="28"/>
    </w:rPr>
  </w:style>
  <w:style w:type="paragraph" w:customStyle="1" w:styleId="Recref">
    <w:name w:val="Rec_ref"/>
    <w:basedOn w:val="Rectitle"/>
    <w:next w:val="Recdate"/>
    <w:rsid w:val="007C05FD"/>
    <w:pPr>
      <w:spacing w:before="120"/>
    </w:pPr>
    <w:rPr>
      <w:rFonts w:ascii="Times New Roman" w:hAnsi="Times New Roman"/>
      <w:b w:val="0"/>
      <w:sz w:val="24"/>
    </w:rPr>
  </w:style>
  <w:style w:type="paragraph" w:customStyle="1" w:styleId="Recdate">
    <w:name w:val="Rec_date"/>
    <w:basedOn w:val="Recref"/>
    <w:next w:val="Normalaftertitle"/>
    <w:rsid w:val="007C05FD"/>
    <w:pPr>
      <w:jc w:val="right"/>
    </w:pPr>
    <w:rPr>
      <w:sz w:val="22"/>
    </w:rPr>
  </w:style>
  <w:style w:type="paragraph" w:customStyle="1" w:styleId="Questiondate">
    <w:name w:val="Question_date"/>
    <w:basedOn w:val="Recdate"/>
    <w:next w:val="Normalaftertitle"/>
    <w:rsid w:val="007C05FD"/>
  </w:style>
  <w:style w:type="paragraph" w:customStyle="1" w:styleId="QuestionNo">
    <w:name w:val="Question_No"/>
    <w:basedOn w:val="RecNo"/>
    <w:next w:val="Questiontitle"/>
    <w:rsid w:val="007C05FD"/>
  </w:style>
  <w:style w:type="paragraph" w:customStyle="1" w:styleId="Questionref">
    <w:name w:val="Question_ref"/>
    <w:basedOn w:val="Recref"/>
    <w:next w:val="Questiondate"/>
    <w:rsid w:val="007C05FD"/>
  </w:style>
  <w:style w:type="paragraph" w:customStyle="1" w:styleId="Questiontitle">
    <w:name w:val="Question_title"/>
    <w:basedOn w:val="Rectitle"/>
    <w:next w:val="Questionref"/>
    <w:rsid w:val="007C05FD"/>
  </w:style>
  <w:style w:type="paragraph" w:customStyle="1" w:styleId="Reftext">
    <w:name w:val="Ref_text"/>
    <w:basedOn w:val="Normal"/>
    <w:rsid w:val="007C05FD"/>
    <w:pPr>
      <w:ind w:left="567" w:hanging="567"/>
    </w:pPr>
  </w:style>
  <w:style w:type="paragraph" w:customStyle="1" w:styleId="Reftitle">
    <w:name w:val="Ref_title"/>
    <w:basedOn w:val="Normal"/>
    <w:next w:val="Reftext"/>
    <w:rsid w:val="007C05FD"/>
    <w:pPr>
      <w:spacing w:before="480"/>
      <w:jc w:val="center"/>
    </w:pPr>
    <w:rPr>
      <w:caps/>
      <w:sz w:val="28"/>
    </w:rPr>
  </w:style>
  <w:style w:type="paragraph" w:customStyle="1" w:styleId="Repdate">
    <w:name w:val="Rep_date"/>
    <w:basedOn w:val="Recdate"/>
    <w:next w:val="Normalaftertitle"/>
    <w:rsid w:val="007C05FD"/>
  </w:style>
  <w:style w:type="paragraph" w:customStyle="1" w:styleId="RepNo">
    <w:name w:val="Rep_No"/>
    <w:basedOn w:val="RecNo"/>
    <w:next w:val="Reptitle"/>
    <w:rsid w:val="007C05FD"/>
  </w:style>
  <w:style w:type="paragraph" w:customStyle="1" w:styleId="Repref">
    <w:name w:val="Rep_ref"/>
    <w:basedOn w:val="Recref"/>
    <w:next w:val="Repdate"/>
    <w:rsid w:val="007C05FD"/>
  </w:style>
  <w:style w:type="paragraph" w:customStyle="1" w:styleId="Reptitle">
    <w:name w:val="Rep_title"/>
    <w:basedOn w:val="Rectitle"/>
    <w:next w:val="Repref"/>
    <w:rsid w:val="007C05FD"/>
  </w:style>
  <w:style w:type="paragraph" w:customStyle="1" w:styleId="Resdate">
    <w:name w:val="Res_date"/>
    <w:basedOn w:val="Recdate"/>
    <w:next w:val="Normalaftertitle"/>
    <w:rsid w:val="007C05FD"/>
  </w:style>
  <w:style w:type="paragraph" w:customStyle="1" w:styleId="ResNo">
    <w:name w:val="Res_No"/>
    <w:basedOn w:val="AnnexNo"/>
    <w:next w:val="Restitle"/>
    <w:rsid w:val="007C05FD"/>
  </w:style>
  <w:style w:type="paragraph" w:customStyle="1" w:styleId="Resref">
    <w:name w:val="Res_ref"/>
    <w:basedOn w:val="Recref"/>
    <w:next w:val="Resdate"/>
    <w:rsid w:val="007C05FD"/>
  </w:style>
  <w:style w:type="paragraph" w:customStyle="1" w:styleId="Restitle">
    <w:name w:val="Res_title"/>
    <w:basedOn w:val="Annextitle"/>
    <w:next w:val="Normal"/>
    <w:rsid w:val="007C05FD"/>
  </w:style>
  <w:style w:type="paragraph" w:customStyle="1" w:styleId="SectionNo">
    <w:name w:val="Section_No"/>
    <w:basedOn w:val="AnnexNo"/>
    <w:next w:val="Sectiontitle"/>
    <w:rsid w:val="007C05FD"/>
  </w:style>
  <w:style w:type="paragraph" w:customStyle="1" w:styleId="Sectiontitle">
    <w:name w:val="Section_title"/>
    <w:basedOn w:val="Normal"/>
    <w:next w:val="Normalaftertitle"/>
    <w:rsid w:val="007C05FD"/>
    <w:rPr>
      <w:sz w:val="28"/>
    </w:rPr>
  </w:style>
  <w:style w:type="paragraph" w:customStyle="1" w:styleId="SpecialFooter">
    <w:name w:val="Special Footer"/>
    <w:basedOn w:val="Footer"/>
    <w:rsid w:val="007C05FD"/>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C05FD"/>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C05FD"/>
    <w:pPr>
      <w:spacing w:before="120" w:after="120"/>
      <w:jc w:val="center"/>
    </w:pPr>
    <w:rPr>
      <w:b/>
    </w:rPr>
  </w:style>
  <w:style w:type="paragraph" w:customStyle="1" w:styleId="Tablelegend">
    <w:name w:val="Table_legend"/>
    <w:basedOn w:val="Tabletext"/>
    <w:rsid w:val="007C05FD"/>
    <w:pPr>
      <w:spacing w:before="120"/>
    </w:pPr>
  </w:style>
  <w:style w:type="paragraph" w:customStyle="1" w:styleId="Tableref">
    <w:name w:val="Table_ref"/>
    <w:basedOn w:val="Normal"/>
    <w:next w:val="Tabletitle"/>
    <w:rsid w:val="007C05FD"/>
    <w:pPr>
      <w:keepNext/>
      <w:spacing w:before="567"/>
      <w:jc w:val="center"/>
    </w:pPr>
  </w:style>
  <w:style w:type="paragraph" w:customStyle="1" w:styleId="Title2">
    <w:name w:val="Title 2"/>
    <w:basedOn w:val="Source"/>
    <w:next w:val="Title3"/>
    <w:rsid w:val="007C05FD"/>
    <w:pPr>
      <w:spacing w:before="240"/>
    </w:pPr>
    <w:rPr>
      <w:b w:val="0"/>
      <w:caps/>
    </w:rPr>
  </w:style>
  <w:style w:type="paragraph" w:customStyle="1" w:styleId="Title3">
    <w:name w:val="Title 3"/>
    <w:basedOn w:val="Title2"/>
    <w:next w:val="Normalaftertitle"/>
    <w:rsid w:val="007C05FD"/>
    <w:rPr>
      <w:caps w:val="0"/>
    </w:rPr>
  </w:style>
  <w:style w:type="paragraph" w:customStyle="1" w:styleId="Title4">
    <w:name w:val="Title 4"/>
    <w:basedOn w:val="Title3"/>
    <w:next w:val="Heading1"/>
    <w:rsid w:val="007C05FD"/>
    <w:rPr>
      <w:b/>
    </w:rPr>
  </w:style>
  <w:style w:type="paragraph" w:customStyle="1" w:styleId="FigureNo">
    <w:name w:val="Figure_No"/>
    <w:basedOn w:val="Normal"/>
    <w:next w:val="Figuretitle"/>
    <w:rsid w:val="007C05FD"/>
    <w:pPr>
      <w:keepNext/>
      <w:keepLines/>
      <w:spacing w:before="240" w:after="120"/>
      <w:jc w:val="center"/>
    </w:pPr>
    <w:rPr>
      <w:caps/>
    </w:rPr>
  </w:style>
  <w:style w:type="paragraph" w:customStyle="1" w:styleId="firstfooter0">
    <w:name w:val="firstfooter"/>
    <w:basedOn w:val="Normal"/>
    <w:rsid w:val="007C05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7C05FD"/>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7C05FD"/>
    <w:rPr>
      <w:rFonts w:ascii="Calibri" w:hAnsi="Calibri"/>
      <w:sz w:val="18"/>
      <w:lang w:val="fr-FR" w:eastAsia="en-US"/>
    </w:rPr>
  </w:style>
  <w:style w:type="table" w:styleId="TableGrid">
    <w:name w:val="Table Grid"/>
    <w:basedOn w:val="TableNormal"/>
    <w:uiPriority w:val="39"/>
    <w:rsid w:val="007C05F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5FD"/>
    <w:rPr>
      <w:rFonts w:ascii="Calibri" w:hAnsi="Calibri"/>
      <w:sz w:val="24"/>
      <w:lang w:val="fr-FR" w:eastAsia="en-US"/>
    </w:rPr>
  </w:style>
  <w:style w:type="character" w:styleId="PlaceholderText">
    <w:name w:val="Placeholder Text"/>
    <w:basedOn w:val="DefaultParagraphFont"/>
    <w:uiPriority w:val="99"/>
    <w:semiHidden/>
    <w:rsid w:val="007C05FD"/>
    <w:rPr>
      <w:color w:val="666666"/>
    </w:rPr>
  </w:style>
  <w:style w:type="character" w:styleId="UnresolvedMention">
    <w:name w:val="Unresolved Mention"/>
    <w:basedOn w:val="DefaultParagraphFont"/>
    <w:uiPriority w:val="99"/>
    <w:semiHidden/>
    <w:unhideWhenUsed/>
    <w:rsid w:val="007C05FD"/>
    <w:rPr>
      <w:color w:val="605E5C"/>
      <w:shd w:val="clear" w:color="auto" w:fill="E1DFDD"/>
    </w:rPr>
  </w:style>
  <w:style w:type="character" w:styleId="CommentReference">
    <w:name w:val="annotation reference"/>
    <w:basedOn w:val="DefaultParagraphFont"/>
    <w:semiHidden/>
    <w:unhideWhenUsed/>
    <w:rsid w:val="00BC3363"/>
    <w:rPr>
      <w:sz w:val="16"/>
      <w:szCs w:val="16"/>
    </w:rPr>
  </w:style>
  <w:style w:type="paragraph" w:styleId="CommentText">
    <w:name w:val="annotation text"/>
    <w:basedOn w:val="Normal"/>
    <w:link w:val="CommentTextChar"/>
    <w:semiHidden/>
    <w:unhideWhenUsed/>
    <w:rsid w:val="00BC3363"/>
    <w:rPr>
      <w:sz w:val="20"/>
    </w:rPr>
  </w:style>
  <w:style w:type="character" w:customStyle="1" w:styleId="CommentTextChar">
    <w:name w:val="Comment Text Char"/>
    <w:basedOn w:val="DefaultParagraphFont"/>
    <w:link w:val="CommentText"/>
    <w:semiHidden/>
    <w:rsid w:val="00BC3363"/>
    <w:rPr>
      <w:rFonts w:ascii="Calibri" w:hAnsi="Calibri"/>
      <w:lang w:val="fr-FR" w:eastAsia="en-US"/>
    </w:rPr>
  </w:style>
  <w:style w:type="paragraph" w:styleId="CommentSubject">
    <w:name w:val="annotation subject"/>
    <w:basedOn w:val="CommentText"/>
    <w:next w:val="CommentText"/>
    <w:link w:val="CommentSubjectChar"/>
    <w:semiHidden/>
    <w:unhideWhenUsed/>
    <w:rsid w:val="00BC3363"/>
    <w:rPr>
      <w:b/>
      <w:bCs/>
    </w:rPr>
  </w:style>
  <w:style w:type="character" w:customStyle="1" w:styleId="CommentSubjectChar">
    <w:name w:val="Comment Subject Char"/>
    <w:basedOn w:val="CommentTextChar"/>
    <w:link w:val="CommentSubject"/>
    <w:semiHidden/>
    <w:rsid w:val="00BC3363"/>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25-F.pdf" TargetMode="External"/><Relationship Id="rId13" Type="http://schemas.openxmlformats.org/officeDocument/2006/relationships/hyperlink" Target="https://www.itu.int/itu-d/sites/priorities/fr/affordable-connectivity/" TargetMode="External"/><Relationship Id="rId18" Type="http://schemas.openxmlformats.org/officeDocument/2006/relationships/hyperlink" Target="https://www.itu.int/md/S25-CL-C-0068/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3-CL-C-0122/en" TargetMode="External"/><Relationship Id="rId17" Type="http://schemas.openxmlformats.org/officeDocument/2006/relationships/hyperlink" Target="https://www.itu.int/md/D22-TDAG31-C-0002/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22-TDAG32-C-0002/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D-RES-D.25-2022/f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pp.gen5.digital/benchmark/about" TargetMode="External"/><Relationship Id="rId23" Type="http://schemas.openxmlformats.org/officeDocument/2006/relationships/header" Target="header2.xml"/><Relationship Id="rId10" Type="http://schemas.openxmlformats.org/officeDocument/2006/relationships/hyperlink" Target="https://www.itu.int/pub/D-RES-D.18-2022/fr" TargetMode="External"/><Relationship Id="rId19" Type="http://schemas.openxmlformats.org/officeDocument/2006/relationships/hyperlink" Target="https://www.itu.int/md/S25-CL-C-0071/fr" TargetMode="External"/><Relationship Id="rId4" Type="http://schemas.openxmlformats.org/officeDocument/2006/relationships/settings" Target="settings.xml"/><Relationship Id="rId9" Type="http://schemas.openxmlformats.org/officeDocument/2006/relationships/hyperlink" Target="https://www.itu.int/en/council/Documents/basic-texts-2023/RES-193-F.pdf" TargetMode="External"/><Relationship Id="rId14" Type="http://schemas.openxmlformats.org/officeDocument/2006/relationships/hyperlink" Target="https://www.itu.int/itu-d/sites/priorities/fr/enabling-policy-and-regulatory-environment/"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476D8-8593-4785-87B9-DFD3122E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0</TotalTime>
  <Pages>3</Pages>
  <Words>955</Words>
  <Characters>6408</Characters>
  <Application>Microsoft Office Word</Application>
  <DocSecurity>0</DocSecurity>
  <Lines>116</Lines>
  <Paragraphs>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7313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d'appui à la reconstruction des infrastructures dans les pays concernés</dc:title>
  <dc:subject>Conseil 2025 de l'UIT</dc:subject>
  <cp:keywords>C2025, C25, Council-25</cp:keywords>
  <dc:description/>
  <cp:lastPrinted>2000-07-18T08:55:00Z</cp:lastPrinted>
  <dcterms:created xsi:type="dcterms:W3CDTF">2025-06-09T15:35:00Z</dcterms:created>
  <dcterms:modified xsi:type="dcterms:W3CDTF">2025-06-09T15:42:00Z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