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3E1C2769" w14:textId="77777777" w:rsidTr="657AE238">
        <w:trPr>
          <w:cantSplit/>
          <w:trHeight w:val="23"/>
        </w:trPr>
        <w:tc>
          <w:tcPr>
            <w:tcW w:w="3969" w:type="dxa"/>
            <w:vMerge w:val="restart"/>
            <w:tcMar>
              <w:left w:w="0" w:type="dxa"/>
            </w:tcMar>
          </w:tcPr>
          <w:p w14:paraId="7147B863" w14:textId="42A65A4B" w:rsidR="00AD3606" w:rsidRPr="00C0458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C0458D">
              <w:rPr>
                <w:b/>
              </w:rPr>
              <w:t xml:space="preserve">Agenda item: </w:t>
            </w:r>
            <w:r w:rsidR="000D1F6E">
              <w:rPr>
                <w:b/>
              </w:rPr>
              <w:t>PL 2</w:t>
            </w:r>
          </w:p>
        </w:tc>
        <w:tc>
          <w:tcPr>
            <w:tcW w:w="5245" w:type="dxa"/>
          </w:tcPr>
          <w:p w14:paraId="6779937E" w14:textId="19BA6639" w:rsidR="00AD3606" w:rsidRPr="00C0458D" w:rsidRDefault="00AD3606" w:rsidP="00472BAD">
            <w:pPr>
              <w:tabs>
                <w:tab w:val="left" w:pos="851"/>
              </w:tabs>
              <w:spacing w:before="0" w:line="240" w:lineRule="atLeast"/>
              <w:jc w:val="right"/>
              <w:rPr>
                <w:b/>
              </w:rPr>
            </w:pPr>
            <w:r w:rsidRPr="00C0458D">
              <w:rPr>
                <w:b/>
              </w:rPr>
              <w:t>Document C2</w:t>
            </w:r>
            <w:r w:rsidR="00BF1FDE" w:rsidRPr="00C0458D">
              <w:rPr>
                <w:b/>
              </w:rPr>
              <w:t>5</w:t>
            </w:r>
            <w:r w:rsidRPr="00C0458D">
              <w:rPr>
                <w:b/>
              </w:rPr>
              <w:t>/</w:t>
            </w:r>
            <w:r w:rsidR="000D1F6E">
              <w:rPr>
                <w:b/>
              </w:rPr>
              <w:t>72</w:t>
            </w:r>
            <w:r w:rsidRPr="00C0458D">
              <w:rPr>
                <w:b/>
              </w:rPr>
              <w:t>-E</w:t>
            </w:r>
          </w:p>
        </w:tc>
      </w:tr>
      <w:tr w:rsidR="00AD3606" w:rsidRPr="00C0458D" w14:paraId="3E3F9DA5" w14:textId="77777777" w:rsidTr="657AE238">
        <w:trPr>
          <w:cantSplit/>
        </w:trPr>
        <w:tc>
          <w:tcPr>
            <w:tcW w:w="3969" w:type="dxa"/>
            <w:vMerge/>
          </w:tcPr>
          <w:p w14:paraId="5920AA6E"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55371C25" w14:textId="58B4C247" w:rsidR="00AD3606" w:rsidRPr="00C0458D" w:rsidRDefault="000D1F6E" w:rsidP="00AD3606">
            <w:pPr>
              <w:tabs>
                <w:tab w:val="left" w:pos="851"/>
              </w:tabs>
              <w:spacing w:before="0"/>
              <w:jc w:val="right"/>
              <w:rPr>
                <w:b/>
              </w:rPr>
            </w:pPr>
            <w:r>
              <w:rPr>
                <w:b/>
              </w:rPr>
              <w:t>1</w:t>
            </w:r>
            <w:r w:rsidR="00CB0FFB">
              <w:rPr>
                <w:b/>
              </w:rPr>
              <w:t>9</w:t>
            </w:r>
            <w:r>
              <w:rPr>
                <w:b/>
              </w:rPr>
              <w:t xml:space="preserve"> May 2025</w:t>
            </w:r>
          </w:p>
        </w:tc>
      </w:tr>
      <w:tr w:rsidR="00AD3606" w:rsidRPr="00C0458D" w14:paraId="75730376" w14:textId="77777777" w:rsidTr="657AE238">
        <w:trPr>
          <w:cantSplit/>
          <w:trHeight w:val="23"/>
        </w:trPr>
        <w:tc>
          <w:tcPr>
            <w:tcW w:w="3969" w:type="dxa"/>
            <w:vMerge/>
          </w:tcPr>
          <w:p w14:paraId="298F937E"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041A065E" w14:textId="77777777" w:rsidR="00AD3606" w:rsidRPr="00C0458D" w:rsidRDefault="00AD3606" w:rsidP="00AD3606">
            <w:pPr>
              <w:tabs>
                <w:tab w:val="left" w:pos="851"/>
              </w:tabs>
              <w:spacing w:before="0" w:line="240" w:lineRule="atLeast"/>
              <w:jc w:val="right"/>
              <w:rPr>
                <w:b/>
              </w:rPr>
            </w:pPr>
            <w:r w:rsidRPr="00C0458D">
              <w:rPr>
                <w:b/>
              </w:rPr>
              <w:t>Original: English</w:t>
            </w:r>
          </w:p>
        </w:tc>
      </w:tr>
      <w:tr w:rsidR="00472BAD" w:rsidRPr="00C0458D" w14:paraId="14DA91C4" w14:textId="77777777" w:rsidTr="657AE238">
        <w:trPr>
          <w:cantSplit/>
          <w:trHeight w:val="23"/>
        </w:trPr>
        <w:tc>
          <w:tcPr>
            <w:tcW w:w="3969" w:type="dxa"/>
          </w:tcPr>
          <w:p w14:paraId="5858B25D" w14:textId="77777777" w:rsidR="00472BAD" w:rsidRPr="00C0458D" w:rsidRDefault="00472BAD" w:rsidP="00AD3606">
            <w:pPr>
              <w:tabs>
                <w:tab w:val="left" w:pos="851"/>
              </w:tabs>
              <w:spacing w:line="240" w:lineRule="atLeast"/>
              <w:rPr>
                <w:b/>
              </w:rPr>
            </w:pPr>
          </w:p>
        </w:tc>
        <w:tc>
          <w:tcPr>
            <w:tcW w:w="5245" w:type="dxa"/>
          </w:tcPr>
          <w:p w14:paraId="5DBF7439" w14:textId="77777777" w:rsidR="00472BAD" w:rsidRPr="00C0458D" w:rsidRDefault="00472BAD" w:rsidP="00AD3606">
            <w:pPr>
              <w:tabs>
                <w:tab w:val="left" w:pos="851"/>
              </w:tabs>
              <w:spacing w:before="0" w:line="240" w:lineRule="atLeast"/>
              <w:jc w:val="right"/>
              <w:rPr>
                <w:b/>
              </w:rPr>
            </w:pPr>
          </w:p>
        </w:tc>
      </w:tr>
      <w:tr w:rsidR="00AD3606" w:rsidRPr="00C0458D" w14:paraId="2481FF59" w14:textId="77777777" w:rsidTr="657AE238">
        <w:trPr>
          <w:cantSplit/>
        </w:trPr>
        <w:tc>
          <w:tcPr>
            <w:tcW w:w="9214" w:type="dxa"/>
            <w:gridSpan w:val="2"/>
            <w:tcMar>
              <w:left w:w="0" w:type="dxa"/>
            </w:tcMar>
          </w:tcPr>
          <w:p w14:paraId="2016C4A0" w14:textId="77777777" w:rsidR="00AD3606" w:rsidRPr="000F7289" w:rsidRDefault="00AD3606" w:rsidP="000F7289">
            <w:pPr>
              <w:pStyle w:val="Source"/>
              <w:framePr w:hSpace="0" w:wrap="auto" w:vAnchor="margin" w:hAnchor="text" w:xAlign="left" w:yAlign="inline"/>
            </w:pPr>
            <w:bookmarkStart w:id="8" w:name="dsource" w:colFirst="0" w:colLast="0"/>
            <w:bookmarkEnd w:id="7"/>
            <w:r w:rsidRPr="000F7289">
              <w:t>Report by the Secretary-General</w:t>
            </w:r>
          </w:p>
        </w:tc>
      </w:tr>
      <w:tr w:rsidR="00AD3606" w:rsidRPr="00C0458D" w14:paraId="3A759762" w14:textId="77777777" w:rsidTr="657AE238">
        <w:trPr>
          <w:cantSplit/>
        </w:trPr>
        <w:tc>
          <w:tcPr>
            <w:tcW w:w="9214" w:type="dxa"/>
            <w:gridSpan w:val="2"/>
            <w:tcMar>
              <w:left w:w="0" w:type="dxa"/>
            </w:tcMar>
          </w:tcPr>
          <w:p w14:paraId="2A2DCF47" w14:textId="57D3694D" w:rsidR="00AD3606" w:rsidRPr="000F7289" w:rsidRDefault="000D1F6E" w:rsidP="000D1F6E">
            <w:pPr>
              <w:pStyle w:val="Subtitle"/>
              <w:framePr w:hSpace="0" w:wrap="auto" w:xAlign="left" w:yAlign="inline"/>
            </w:pPr>
            <w:bookmarkStart w:id="9" w:name="_Hlk164670350"/>
            <w:bookmarkStart w:id="10" w:name="dtitle1" w:colFirst="0" w:colLast="0"/>
            <w:bookmarkEnd w:id="8"/>
            <w:r w:rsidRPr="000D1F6E">
              <w:t>ACTIVITIES SUPPORTING THE RECONSTRUCTION OF INFRASTRUCTURE IN CONCERNED COUNTRIES</w:t>
            </w:r>
            <w:bookmarkEnd w:id="9"/>
          </w:p>
        </w:tc>
      </w:tr>
      <w:tr w:rsidR="00AD3606" w:rsidRPr="00C0458D" w14:paraId="72B25568" w14:textId="77777777" w:rsidTr="657AE238">
        <w:trPr>
          <w:cantSplit/>
        </w:trPr>
        <w:tc>
          <w:tcPr>
            <w:tcW w:w="9214" w:type="dxa"/>
            <w:gridSpan w:val="2"/>
            <w:tcBorders>
              <w:top w:val="single" w:sz="4" w:space="0" w:color="auto"/>
              <w:bottom w:val="single" w:sz="4" w:space="0" w:color="auto"/>
            </w:tcBorders>
            <w:tcMar>
              <w:left w:w="0" w:type="dxa"/>
            </w:tcMar>
          </w:tcPr>
          <w:p w14:paraId="4C3D541B" w14:textId="1024FD2F" w:rsidR="00AD3606" w:rsidRPr="00C0458D" w:rsidRDefault="00F16BAB" w:rsidP="00F16BAB">
            <w:pPr>
              <w:spacing w:before="160"/>
              <w:rPr>
                <w:b/>
                <w:bCs/>
                <w:sz w:val="26"/>
                <w:szCs w:val="26"/>
              </w:rPr>
            </w:pPr>
            <w:r w:rsidRPr="00C0458D">
              <w:rPr>
                <w:b/>
                <w:bCs/>
                <w:sz w:val="26"/>
                <w:szCs w:val="26"/>
              </w:rPr>
              <w:t>Purpose</w:t>
            </w:r>
          </w:p>
          <w:p w14:paraId="67D070EA" w14:textId="3F07A182" w:rsidR="00AD3606" w:rsidRPr="00C0458D" w:rsidRDefault="000D1F6E" w:rsidP="000D1F6E">
            <w:pPr>
              <w:jc w:val="both"/>
            </w:pPr>
            <w:r w:rsidRPr="000D1F6E">
              <w:t>This report has been prepared in response to the 2024 session of the ITU Council, where the Member States requested a comprehensive overview of the activities of ITU being carried out in supporting the Member States in the reconstruction of the ICT infrastructure. This report provides the background on the ITU’s mandate, outlines products and services, and points to recent ITU’s activities carried out in the concerned countries.</w:t>
            </w:r>
          </w:p>
          <w:p w14:paraId="4288AA6F" w14:textId="77777777" w:rsidR="00AD3606" w:rsidRDefault="00AD3606" w:rsidP="00F16BAB">
            <w:pPr>
              <w:spacing w:before="160"/>
              <w:rPr>
                <w:b/>
                <w:bCs/>
                <w:sz w:val="26"/>
                <w:szCs w:val="26"/>
              </w:rPr>
            </w:pPr>
            <w:r w:rsidRPr="00C0458D">
              <w:rPr>
                <w:b/>
                <w:bCs/>
                <w:sz w:val="26"/>
                <w:szCs w:val="26"/>
              </w:rPr>
              <w:t>Action required</w:t>
            </w:r>
            <w:r w:rsidR="00F16BAB" w:rsidRPr="00C0458D">
              <w:rPr>
                <w:b/>
                <w:bCs/>
                <w:sz w:val="26"/>
                <w:szCs w:val="26"/>
              </w:rPr>
              <w:t xml:space="preserve"> by the Council</w:t>
            </w:r>
          </w:p>
          <w:p w14:paraId="0FFF2D9B" w14:textId="0234BD74" w:rsidR="00722551" w:rsidRDefault="000D1F6E" w:rsidP="000D1F6E">
            <w:r w:rsidRPr="000D1F6E">
              <w:t xml:space="preserve">The Council is invited </w:t>
            </w:r>
            <w:r w:rsidRPr="000D1F6E">
              <w:rPr>
                <w:b/>
                <w:bCs/>
              </w:rPr>
              <w:t>to note</w:t>
            </w:r>
            <w:r w:rsidRPr="000D1F6E">
              <w:t xml:space="preserve"> this report and </w:t>
            </w:r>
            <w:r w:rsidRPr="000D1F6E">
              <w:rPr>
                <w:b/>
                <w:bCs/>
              </w:rPr>
              <w:t>provide guidance</w:t>
            </w:r>
            <w:r w:rsidRPr="000D1F6E">
              <w:t>.</w:t>
            </w:r>
          </w:p>
          <w:p w14:paraId="4B855F83" w14:textId="7E0F2BB7" w:rsidR="00722551" w:rsidRDefault="00722551" w:rsidP="00722551">
            <w:pPr>
              <w:spacing w:before="160"/>
              <w:rPr>
                <w:b/>
                <w:bCs/>
                <w:sz w:val="26"/>
                <w:szCs w:val="26"/>
              </w:rPr>
            </w:pPr>
            <w:r>
              <w:rPr>
                <w:b/>
                <w:bCs/>
                <w:sz w:val="26"/>
                <w:szCs w:val="26"/>
              </w:rPr>
              <w:t>Relevant link</w:t>
            </w:r>
            <w:r w:rsidR="004B25A1">
              <w:rPr>
                <w:b/>
                <w:bCs/>
                <w:sz w:val="26"/>
                <w:szCs w:val="26"/>
              </w:rPr>
              <w:t>(s)</w:t>
            </w:r>
            <w:r>
              <w:rPr>
                <w:b/>
                <w:bCs/>
                <w:sz w:val="26"/>
                <w:szCs w:val="26"/>
              </w:rPr>
              <w:t xml:space="preserve"> with the Strategic Plan</w:t>
            </w:r>
          </w:p>
          <w:p w14:paraId="56ADF403" w14:textId="6B685CBB" w:rsidR="00722551" w:rsidRPr="00F16BAB" w:rsidRDefault="000D1F6E" w:rsidP="00722551">
            <w:r w:rsidRPr="000D1F6E">
              <w:t>Provision of Technical Assistance.</w:t>
            </w:r>
          </w:p>
          <w:p w14:paraId="6A77059B" w14:textId="270D1307" w:rsidR="00722551" w:rsidRDefault="00722551" w:rsidP="00722551">
            <w:pPr>
              <w:spacing w:before="160"/>
              <w:rPr>
                <w:b/>
                <w:bCs/>
                <w:sz w:val="26"/>
                <w:szCs w:val="26"/>
              </w:rPr>
            </w:pPr>
            <w:r w:rsidRPr="657AE238">
              <w:rPr>
                <w:b/>
                <w:bCs/>
                <w:sz w:val="26"/>
                <w:szCs w:val="26"/>
              </w:rPr>
              <w:t>Financial implications</w:t>
            </w:r>
          </w:p>
          <w:p w14:paraId="5FE01EE0" w14:textId="298E07BE" w:rsidR="4A68607C" w:rsidRDefault="4A68607C" w:rsidP="657AE238">
            <w:pPr>
              <w:spacing w:before="160" w:line="259" w:lineRule="auto"/>
            </w:pPr>
            <w:r w:rsidRPr="00CB0FFB">
              <w:t>Within allocated budget 202</w:t>
            </w:r>
            <w:r w:rsidR="00E77A78" w:rsidRPr="00CB0FFB">
              <w:t>4</w:t>
            </w:r>
            <w:r w:rsidRPr="00CB0FFB">
              <w:t>-2025</w:t>
            </w:r>
            <w:r w:rsidR="00CB0FFB" w:rsidRPr="00CB0FFB">
              <w:t>.</w:t>
            </w:r>
          </w:p>
          <w:p w14:paraId="08939791" w14:textId="77777777" w:rsidR="00C0458D" w:rsidRDefault="00C0458D">
            <w:r>
              <w:t>_______________</w:t>
            </w:r>
          </w:p>
          <w:p w14:paraId="212A584A" w14:textId="77777777" w:rsidR="00AD3606" w:rsidRPr="00C0458D" w:rsidRDefault="00AD3606" w:rsidP="00F16BAB">
            <w:pPr>
              <w:spacing w:before="160"/>
              <w:rPr>
                <w:b/>
                <w:bCs/>
                <w:sz w:val="26"/>
                <w:szCs w:val="26"/>
              </w:rPr>
            </w:pPr>
            <w:r w:rsidRPr="00C0458D">
              <w:rPr>
                <w:b/>
                <w:bCs/>
                <w:sz w:val="26"/>
                <w:szCs w:val="26"/>
              </w:rPr>
              <w:t>References</w:t>
            </w:r>
          </w:p>
          <w:p w14:paraId="7089D4B7" w14:textId="717C20EE" w:rsidR="00AD3606" w:rsidRPr="00722551" w:rsidRDefault="000D1F6E" w:rsidP="000D1F6E">
            <w:pPr>
              <w:spacing w:after="160"/>
              <w:jc w:val="both"/>
              <w:rPr>
                <w:i/>
                <w:iCs/>
                <w:sz w:val="22"/>
                <w:szCs w:val="22"/>
              </w:rPr>
            </w:pPr>
            <w:r w:rsidRPr="000D1F6E">
              <w:rPr>
                <w:i/>
                <w:iCs/>
                <w:sz w:val="22"/>
                <w:szCs w:val="22"/>
              </w:rPr>
              <w:t xml:space="preserve">Resolutions </w:t>
            </w:r>
            <w:hyperlink r:id="rId11" w:history="1">
              <w:r w:rsidRPr="00CB0FFB">
                <w:rPr>
                  <w:rStyle w:val="Hyperlink"/>
                  <w:i/>
                  <w:iCs/>
                  <w:sz w:val="22"/>
                  <w:szCs w:val="22"/>
                </w:rPr>
                <w:t>125</w:t>
              </w:r>
            </w:hyperlink>
            <w:r w:rsidRPr="000D1F6E">
              <w:rPr>
                <w:i/>
                <w:iCs/>
                <w:sz w:val="22"/>
                <w:szCs w:val="22"/>
              </w:rPr>
              <w:t xml:space="preserve"> (Rev. Bucharest, 2022) and </w:t>
            </w:r>
            <w:hyperlink r:id="rId12" w:history="1">
              <w:r w:rsidRPr="00CB0FFB">
                <w:rPr>
                  <w:rStyle w:val="Hyperlink"/>
                  <w:i/>
                  <w:iCs/>
                  <w:sz w:val="22"/>
                  <w:szCs w:val="22"/>
                </w:rPr>
                <w:t>193</w:t>
              </w:r>
            </w:hyperlink>
            <w:r w:rsidRPr="000D1F6E">
              <w:rPr>
                <w:i/>
                <w:iCs/>
                <w:sz w:val="22"/>
                <w:szCs w:val="22"/>
              </w:rPr>
              <w:t xml:space="preserve"> (Rev. Bucharest, 2022) of the Plenipotentiary Conference (PP); Resolutions </w:t>
            </w:r>
            <w:hyperlink r:id="rId13" w:history="1">
              <w:r w:rsidRPr="00CB0FFB">
                <w:rPr>
                  <w:rStyle w:val="Hyperlink"/>
                  <w:i/>
                  <w:iCs/>
                  <w:sz w:val="22"/>
                  <w:szCs w:val="22"/>
                </w:rPr>
                <w:t>18</w:t>
              </w:r>
            </w:hyperlink>
            <w:r w:rsidRPr="000D1F6E">
              <w:rPr>
                <w:i/>
                <w:iCs/>
                <w:sz w:val="22"/>
                <w:szCs w:val="22"/>
              </w:rPr>
              <w:t xml:space="preserve"> (Rev. Kigali, 2022) and </w:t>
            </w:r>
            <w:hyperlink r:id="rId14" w:history="1">
              <w:r w:rsidRPr="0096226B">
                <w:rPr>
                  <w:rStyle w:val="Hyperlink"/>
                  <w:i/>
                  <w:iCs/>
                  <w:sz w:val="22"/>
                  <w:szCs w:val="22"/>
                </w:rPr>
                <w:t>25</w:t>
              </w:r>
            </w:hyperlink>
            <w:r w:rsidRPr="000D1F6E">
              <w:rPr>
                <w:i/>
                <w:iCs/>
                <w:sz w:val="22"/>
                <w:szCs w:val="22"/>
              </w:rPr>
              <w:t xml:space="preserve"> (Rev. Kigali, 2022) of the World Telecommunication Development Conference; Council Resolution </w:t>
            </w:r>
            <w:hyperlink r:id="rId15" w:history="1">
              <w:r w:rsidRPr="0096226B">
                <w:rPr>
                  <w:rStyle w:val="Hyperlink"/>
                  <w:i/>
                  <w:iCs/>
                  <w:sz w:val="22"/>
                  <w:szCs w:val="22"/>
                </w:rPr>
                <w:t>1408</w:t>
              </w:r>
            </w:hyperlink>
            <w:r w:rsidRPr="000D1F6E">
              <w:t xml:space="preserve"> </w:t>
            </w:r>
            <w:r w:rsidRPr="000D1F6E">
              <w:rPr>
                <w:i/>
                <w:iCs/>
                <w:sz w:val="22"/>
                <w:szCs w:val="22"/>
              </w:rPr>
              <w:t>(C22, last amended C23)</w:t>
            </w:r>
          </w:p>
        </w:tc>
      </w:tr>
    </w:tbl>
    <w:p w14:paraId="3E836A65" w14:textId="77777777" w:rsidR="00E227F3" w:rsidRPr="00C0458D"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10"/>
    </w:p>
    <w:bookmarkEnd w:id="3"/>
    <w:bookmarkEnd w:id="4"/>
    <w:p w14:paraId="52958905" w14:textId="77777777" w:rsidR="0090147A" w:rsidRPr="00C0458D"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C0458D">
        <w:br w:type="page"/>
      </w:r>
    </w:p>
    <w:p w14:paraId="1FA6F85E" w14:textId="6C4D55FE" w:rsidR="000D1F6E" w:rsidRPr="000D1F6E" w:rsidRDefault="000D1F6E" w:rsidP="000D1F6E">
      <w:pPr>
        <w:tabs>
          <w:tab w:val="clear" w:pos="567"/>
          <w:tab w:val="clear" w:pos="1134"/>
          <w:tab w:val="clear" w:pos="1701"/>
          <w:tab w:val="clear" w:pos="2268"/>
          <w:tab w:val="clear" w:pos="2835"/>
        </w:tabs>
        <w:spacing w:after="120"/>
        <w:outlineLvl w:val="1"/>
        <w:rPr>
          <w:b/>
          <w:lang w:val="en-US" w:eastAsia="zh-CN"/>
        </w:rPr>
      </w:pPr>
      <w:bookmarkStart w:id="12" w:name="_Toc309942973"/>
      <w:bookmarkEnd w:id="5"/>
      <w:bookmarkEnd w:id="11"/>
      <w:r w:rsidRPr="000D1F6E">
        <w:rPr>
          <w:b/>
          <w:lang w:val="en-US" w:eastAsia="zh-CN"/>
        </w:rPr>
        <w:lastRenderedPageBreak/>
        <w:t>1.</w:t>
      </w:r>
      <w:r w:rsidRPr="000D1F6E">
        <w:rPr>
          <w:b/>
        </w:rPr>
        <w:tab/>
      </w:r>
      <w:bookmarkEnd w:id="12"/>
      <w:r w:rsidRPr="000D1F6E">
        <w:rPr>
          <w:b/>
          <w:lang w:val="en-US" w:eastAsia="zh-CN"/>
        </w:rPr>
        <w:t>Background</w:t>
      </w:r>
    </w:p>
    <w:p w14:paraId="6392DF00" w14:textId="0CDF223A" w:rsidR="000D1F6E" w:rsidRPr="00E77A78" w:rsidRDefault="000D1F6E" w:rsidP="000D1F6E">
      <w:pPr>
        <w:spacing w:before="240" w:after="120"/>
        <w:jc w:val="both"/>
        <w:rPr>
          <w:rFonts w:asciiTheme="minorHAnsi" w:hAnsiTheme="minorHAnsi" w:cstheme="minorHAnsi"/>
          <w:szCs w:val="24"/>
        </w:rPr>
      </w:pPr>
      <w:r w:rsidRPr="00E77A78">
        <w:rPr>
          <w:rFonts w:asciiTheme="minorHAnsi" w:hAnsiTheme="minorHAnsi" w:cstheme="minorHAnsi"/>
          <w:szCs w:val="24"/>
        </w:rPr>
        <w:t>This report has been prepared in response to the 2024 session of the ITU Council, where the Member States requested a comprehensive overview of the activities of ITU being carried out in supporting the Member States in the reconstruction of the ICT infrastructure.</w:t>
      </w:r>
    </w:p>
    <w:p w14:paraId="1481ED54" w14:textId="7CB688FF" w:rsidR="000D1F6E" w:rsidRPr="00E77A78" w:rsidRDefault="000D1F6E" w:rsidP="000D1F6E">
      <w:pPr>
        <w:spacing w:after="120"/>
        <w:jc w:val="both"/>
        <w:rPr>
          <w:rFonts w:asciiTheme="minorHAnsi" w:hAnsiTheme="minorHAnsi" w:cstheme="minorHAnsi"/>
          <w:szCs w:val="24"/>
        </w:rPr>
      </w:pPr>
      <w:r w:rsidRPr="00E77A78">
        <w:rPr>
          <w:rFonts w:asciiTheme="minorHAnsi" w:hAnsiTheme="minorHAnsi" w:cstheme="minorHAnsi"/>
          <w:szCs w:val="24"/>
        </w:rPr>
        <w:t xml:space="preserve">The following presents the outcomes of the ITU Conferences and </w:t>
      </w:r>
      <w:r w:rsidR="002E1607">
        <w:rPr>
          <w:rFonts w:asciiTheme="minorHAnsi" w:hAnsiTheme="minorHAnsi" w:cstheme="minorHAnsi"/>
          <w:szCs w:val="24"/>
        </w:rPr>
        <w:t xml:space="preserve">the </w:t>
      </w:r>
      <w:r w:rsidRPr="00E77A78">
        <w:rPr>
          <w:rFonts w:asciiTheme="minorHAnsi" w:hAnsiTheme="minorHAnsi" w:cstheme="minorHAnsi"/>
          <w:szCs w:val="24"/>
        </w:rPr>
        <w:t xml:space="preserve">Council, through which the Union was requested to provide technical assistance to a series of concerned countries: </w:t>
      </w:r>
    </w:p>
    <w:p w14:paraId="577A5953" w14:textId="0A2576A1" w:rsidR="000D1F6E" w:rsidRPr="00E77A78" w:rsidRDefault="000D1F6E" w:rsidP="6A73759C">
      <w:pPr>
        <w:numPr>
          <w:ilvl w:val="0"/>
          <w:numId w:val="2"/>
        </w:numPr>
        <w:tabs>
          <w:tab w:val="clear" w:pos="567"/>
          <w:tab w:val="clear" w:pos="1134"/>
          <w:tab w:val="clear" w:pos="1701"/>
          <w:tab w:val="clear" w:pos="2268"/>
          <w:tab w:val="clear" w:pos="2835"/>
        </w:tabs>
        <w:overflowPunct/>
        <w:autoSpaceDE/>
        <w:autoSpaceDN/>
        <w:adjustRightInd/>
        <w:spacing w:before="0" w:after="120" w:line="259" w:lineRule="auto"/>
        <w:contextualSpacing/>
        <w:jc w:val="both"/>
        <w:textAlignment w:val="auto"/>
        <w:rPr>
          <w:rFonts w:asciiTheme="minorHAnsi" w:eastAsiaTheme="minorEastAsia" w:hAnsiTheme="minorHAnsi" w:cstheme="minorBidi"/>
          <w:lang w:val="en-US" w:eastAsia="zh-CN"/>
        </w:rPr>
      </w:pPr>
      <w:r w:rsidRPr="6A73759C">
        <w:rPr>
          <w:rFonts w:asciiTheme="minorHAnsi" w:eastAsiaTheme="minorEastAsia" w:hAnsiTheme="minorHAnsi" w:cstheme="minorBidi"/>
          <w:lang w:eastAsia="zh-CN"/>
        </w:rPr>
        <w:t xml:space="preserve">PP </w:t>
      </w:r>
      <w:r w:rsidRPr="6A73759C">
        <w:rPr>
          <w:rFonts w:asciiTheme="minorHAnsi" w:eastAsiaTheme="minorEastAsia" w:hAnsiTheme="minorHAnsi" w:cstheme="minorBidi"/>
          <w:lang w:val="en-US" w:eastAsia="zh-CN"/>
        </w:rPr>
        <w:t xml:space="preserve">Resolution 125 (Rev. Bucharest, 2022) – Assistance and support to Palestine for infrastructure development and capacity building in the telecommunication and information technology </w:t>
      </w:r>
      <w:proofErr w:type="gramStart"/>
      <w:r w:rsidRPr="6A73759C">
        <w:rPr>
          <w:rFonts w:asciiTheme="minorHAnsi" w:eastAsiaTheme="minorEastAsia" w:hAnsiTheme="minorHAnsi" w:cstheme="minorBidi"/>
          <w:lang w:val="en-US" w:eastAsia="zh-CN"/>
        </w:rPr>
        <w:t>sector;</w:t>
      </w:r>
      <w:proofErr w:type="gramEnd"/>
    </w:p>
    <w:p w14:paraId="0BC1ACA2" w14:textId="479BB705" w:rsidR="000D1F6E" w:rsidRPr="00E77A78" w:rsidRDefault="000D1F6E" w:rsidP="000D1F6E">
      <w:pPr>
        <w:numPr>
          <w:ilvl w:val="0"/>
          <w:numId w:val="2"/>
        </w:numPr>
        <w:tabs>
          <w:tab w:val="clear" w:pos="567"/>
          <w:tab w:val="clear" w:pos="1134"/>
          <w:tab w:val="clear" w:pos="1701"/>
          <w:tab w:val="clear" w:pos="2268"/>
          <w:tab w:val="clear" w:pos="2835"/>
        </w:tabs>
        <w:overflowPunct/>
        <w:autoSpaceDE/>
        <w:autoSpaceDN/>
        <w:adjustRightInd/>
        <w:spacing w:before="0" w:after="120" w:line="259" w:lineRule="auto"/>
        <w:contextualSpacing/>
        <w:jc w:val="both"/>
        <w:textAlignment w:val="auto"/>
        <w:rPr>
          <w:rFonts w:asciiTheme="minorHAnsi" w:eastAsiaTheme="minorEastAsia" w:hAnsiTheme="minorHAnsi" w:cstheme="minorHAnsi"/>
          <w:szCs w:val="24"/>
          <w:lang w:val="en-US" w:eastAsia="zh-CN"/>
        </w:rPr>
      </w:pPr>
      <w:r w:rsidRPr="00E77A78">
        <w:rPr>
          <w:rFonts w:asciiTheme="minorHAnsi" w:eastAsiaTheme="minorEastAsia" w:hAnsiTheme="minorHAnsi" w:cstheme="minorHAnsi"/>
          <w:szCs w:val="24"/>
          <w:lang w:val="en-US" w:eastAsia="zh-CN"/>
        </w:rPr>
        <w:t xml:space="preserve">PP Resolution 193 (Rev. Bucharest, 2022) – Support and assistance for Iraq to continue rebuilding and developing its telecommunication/information and communication technology </w:t>
      </w:r>
      <w:proofErr w:type="gramStart"/>
      <w:r w:rsidRPr="00E77A78">
        <w:rPr>
          <w:rFonts w:asciiTheme="minorHAnsi" w:eastAsiaTheme="minorEastAsia" w:hAnsiTheme="minorHAnsi" w:cstheme="minorHAnsi"/>
          <w:szCs w:val="24"/>
          <w:lang w:val="en-US" w:eastAsia="zh-CN"/>
        </w:rPr>
        <w:t>sector;</w:t>
      </w:r>
      <w:proofErr w:type="gramEnd"/>
    </w:p>
    <w:p w14:paraId="20087069" w14:textId="7CF30E0F" w:rsidR="000D1F6E" w:rsidRPr="00E77A78" w:rsidRDefault="000D1F6E" w:rsidP="000D1F6E">
      <w:pPr>
        <w:numPr>
          <w:ilvl w:val="0"/>
          <w:numId w:val="2"/>
        </w:numPr>
        <w:tabs>
          <w:tab w:val="clear" w:pos="567"/>
          <w:tab w:val="clear" w:pos="1134"/>
          <w:tab w:val="clear" w:pos="1701"/>
          <w:tab w:val="clear" w:pos="2268"/>
          <w:tab w:val="clear" w:pos="2835"/>
        </w:tabs>
        <w:overflowPunct/>
        <w:autoSpaceDE/>
        <w:autoSpaceDN/>
        <w:adjustRightInd/>
        <w:spacing w:before="0" w:after="120" w:line="259" w:lineRule="auto"/>
        <w:contextualSpacing/>
        <w:jc w:val="both"/>
        <w:textAlignment w:val="auto"/>
        <w:rPr>
          <w:rFonts w:asciiTheme="minorHAnsi" w:eastAsiaTheme="minorEastAsia" w:hAnsiTheme="minorHAnsi" w:cstheme="minorHAnsi"/>
          <w:szCs w:val="24"/>
          <w:lang w:val="en-US" w:eastAsia="zh-CN"/>
        </w:rPr>
      </w:pPr>
      <w:r w:rsidRPr="00E77A78">
        <w:rPr>
          <w:rFonts w:asciiTheme="minorHAnsi" w:eastAsiaTheme="minorEastAsia" w:hAnsiTheme="minorHAnsi" w:cstheme="minorHAnsi"/>
          <w:szCs w:val="24"/>
          <w:lang w:val="en-US" w:eastAsia="zh-CN"/>
        </w:rPr>
        <w:t xml:space="preserve">Council Resolution 1408 </w:t>
      </w:r>
      <w:r w:rsidRPr="00E77A78">
        <w:rPr>
          <w:i/>
          <w:iCs/>
          <w:szCs w:val="24"/>
        </w:rPr>
        <w:t>(C22, last amended C23) –</w:t>
      </w:r>
      <w:r w:rsidRPr="00E77A78">
        <w:rPr>
          <w:rFonts w:asciiTheme="minorHAnsi" w:eastAsiaTheme="minorEastAsia" w:hAnsiTheme="minorHAnsi" w:cstheme="minorHAnsi"/>
          <w:szCs w:val="24"/>
          <w:lang w:val="en-US" w:eastAsia="zh-CN"/>
        </w:rPr>
        <w:t xml:space="preserve"> Assistance and support to Ukraine for rebuilding their telecommunication </w:t>
      </w:r>
      <w:proofErr w:type="gramStart"/>
      <w:r w:rsidRPr="00E77A78">
        <w:rPr>
          <w:rFonts w:asciiTheme="minorHAnsi" w:eastAsiaTheme="minorEastAsia" w:hAnsiTheme="minorHAnsi" w:cstheme="minorHAnsi"/>
          <w:szCs w:val="24"/>
          <w:lang w:val="en-US" w:eastAsia="zh-CN"/>
        </w:rPr>
        <w:t>sector;</w:t>
      </w:r>
      <w:proofErr w:type="gramEnd"/>
    </w:p>
    <w:p w14:paraId="7ECD3067" w14:textId="5427E1DD" w:rsidR="000D1F6E" w:rsidRPr="00E77A78" w:rsidRDefault="000D1F6E" w:rsidP="40EE1E1B">
      <w:pPr>
        <w:numPr>
          <w:ilvl w:val="0"/>
          <w:numId w:val="2"/>
        </w:numPr>
        <w:tabs>
          <w:tab w:val="clear" w:pos="567"/>
          <w:tab w:val="clear" w:pos="1134"/>
          <w:tab w:val="clear" w:pos="1701"/>
          <w:tab w:val="clear" w:pos="2268"/>
          <w:tab w:val="clear" w:pos="2835"/>
        </w:tabs>
        <w:overflowPunct/>
        <w:autoSpaceDE/>
        <w:autoSpaceDN/>
        <w:adjustRightInd/>
        <w:spacing w:before="0" w:after="120" w:line="259" w:lineRule="auto"/>
        <w:contextualSpacing/>
        <w:jc w:val="both"/>
        <w:textAlignment w:val="auto"/>
        <w:rPr>
          <w:rFonts w:asciiTheme="minorHAnsi" w:eastAsiaTheme="minorEastAsia" w:hAnsiTheme="minorHAnsi" w:cstheme="minorBidi"/>
          <w:szCs w:val="24"/>
          <w:lang w:val="en-US" w:eastAsia="zh-CN"/>
        </w:rPr>
      </w:pPr>
      <w:r w:rsidRPr="00E77A78">
        <w:rPr>
          <w:rFonts w:asciiTheme="minorHAnsi" w:eastAsiaTheme="minorEastAsia" w:hAnsiTheme="minorHAnsi" w:cstheme="minorBidi"/>
          <w:szCs w:val="24"/>
          <w:lang w:val="en-US" w:eastAsia="zh-CN"/>
        </w:rPr>
        <w:t>ITU C</w:t>
      </w:r>
      <w:r w:rsidR="1182BEAE" w:rsidRPr="00E77A78">
        <w:rPr>
          <w:rFonts w:asciiTheme="minorHAnsi" w:eastAsiaTheme="minorEastAsia" w:hAnsiTheme="minorHAnsi" w:cstheme="minorBidi"/>
          <w:szCs w:val="24"/>
          <w:lang w:val="en-US" w:eastAsia="zh-CN"/>
        </w:rPr>
        <w:t>ouncil</w:t>
      </w:r>
      <w:r w:rsidRPr="00E77A78">
        <w:rPr>
          <w:rFonts w:asciiTheme="minorHAnsi" w:eastAsiaTheme="minorEastAsia" w:hAnsiTheme="minorHAnsi" w:cstheme="minorBidi"/>
          <w:szCs w:val="24"/>
          <w:lang w:val="en-US" w:eastAsia="zh-CN"/>
        </w:rPr>
        <w:t xml:space="preserve"> R</w:t>
      </w:r>
      <w:r w:rsidR="0EF11EA9" w:rsidRPr="00E77A78">
        <w:rPr>
          <w:rFonts w:asciiTheme="minorHAnsi" w:eastAsiaTheme="minorEastAsia" w:hAnsiTheme="minorHAnsi" w:cstheme="minorBidi"/>
          <w:szCs w:val="24"/>
          <w:lang w:val="en-US" w:eastAsia="zh-CN"/>
        </w:rPr>
        <w:t>esolution</w:t>
      </w:r>
      <w:r w:rsidRPr="00E77A78">
        <w:rPr>
          <w:rFonts w:asciiTheme="minorHAnsi" w:eastAsiaTheme="minorEastAsia" w:hAnsiTheme="minorHAnsi" w:cstheme="minorBidi"/>
          <w:szCs w:val="24"/>
          <w:lang w:val="en-US" w:eastAsia="zh-CN"/>
        </w:rPr>
        <w:t xml:space="preserve"> 1424 (2024) - Assistance and support to Palestine for rebuilding their telecommunication sector.</w:t>
      </w:r>
    </w:p>
    <w:p w14:paraId="20C6CB78" w14:textId="660AC8C8" w:rsidR="000D1F6E" w:rsidRPr="00E77A78" w:rsidRDefault="000D1F6E" w:rsidP="000D1F6E">
      <w:pPr>
        <w:numPr>
          <w:ilvl w:val="0"/>
          <w:numId w:val="2"/>
        </w:numPr>
        <w:tabs>
          <w:tab w:val="clear" w:pos="567"/>
          <w:tab w:val="clear" w:pos="1134"/>
          <w:tab w:val="clear" w:pos="1701"/>
          <w:tab w:val="clear" w:pos="2268"/>
          <w:tab w:val="clear" w:pos="2835"/>
        </w:tabs>
        <w:overflowPunct/>
        <w:autoSpaceDE/>
        <w:autoSpaceDN/>
        <w:adjustRightInd/>
        <w:spacing w:before="0" w:after="120" w:line="259" w:lineRule="auto"/>
        <w:contextualSpacing/>
        <w:jc w:val="both"/>
        <w:textAlignment w:val="auto"/>
        <w:rPr>
          <w:rFonts w:asciiTheme="minorHAnsi" w:eastAsiaTheme="minorEastAsia" w:hAnsiTheme="minorHAnsi" w:cstheme="minorHAnsi"/>
          <w:szCs w:val="24"/>
          <w:lang w:val="en-US" w:eastAsia="zh-CN"/>
        </w:rPr>
      </w:pPr>
      <w:r w:rsidRPr="00E77A78">
        <w:rPr>
          <w:rFonts w:asciiTheme="minorHAnsi" w:eastAsiaTheme="minorEastAsia" w:hAnsiTheme="minorHAnsi" w:cstheme="minorHAnsi"/>
          <w:szCs w:val="24"/>
          <w:lang w:val="en-US" w:eastAsia="zh-CN"/>
        </w:rPr>
        <w:t xml:space="preserve">WTDC Resolution 18 (Rev. Kigali, 2022) – Special technical assistance to </w:t>
      </w:r>
      <w:proofErr w:type="gramStart"/>
      <w:r w:rsidRPr="00E77A78">
        <w:rPr>
          <w:rFonts w:asciiTheme="minorHAnsi" w:eastAsiaTheme="minorEastAsia" w:hAnsiTheme="minorHAnsi" w:cstheme="minorHAnsi"/>
          <w:szCs w:val="24"/>
          <w:lang w:val="en-US" w:eastAsia="zh-CN"/>
        </w:rPr>
        <w:t>Palestine;</w:t>
      </w:r>
      <w:proofErr w:type="gramEnd"/>
    </w:p>
    <w:p w14:paraId="05786B60" w14:textId="1910C862" w:rsidR="000D1F6E" w:rsidRPr="00E77A78" w:rsidRDefault="000D1F6E" w:rsidP="6A73759C">
      <w:pPr>
        <w:numPr>
          <w:ilvl w:val="0"/>
          <w:numId w:val="2"/>
        </w:numPr>
        <w:tabs>
          <w:tab w:val="clear" w:pos="567"/>
          <w:tab w:val="clear" w:pos="1134"/>
          <w:tab w:val="clear" w:pos="1701"/>
          <w:tab w:val="clear" w:pos="2268"/>
          <w:tab w:val="clear" w:pos="2835"/>
        </w:tabs>
        <w:overflowPunct/>
        <w:autoSpaceDE/>
        <w:autoSpaceDN/>
        <w:adjustRightInd/>
        <w:spacing w:before="0" w:after="120" w:line="259" w:lineRule="auto"/>
        <w:contextualSpacing/>
        <w:jc w:val="both"/>
        <w:textAlignment w:val="auto"/>
        <w:rPr>
          <w:rFonts w:asciiTheme="minorHAnsi" w:eastAsiaTheme="minorEastAsia" w:hAnsiTheme="minorHAnsi" w:cstheme="minorBidi"/>
          <w:lang w:val="en-US" w:eastAsia="zh-CN"/>
        </w:rPr>
      </w:pPr>
      <w:r w:rsidRPr="6A73759C">
        <w:rPr>
          <w:rFonts w:asciiTheme="minorHAnsi" w:eastAsiaTheme="minorEastAsia" w:hAnsiTheme="minorHAnsi" w:cstheme="minorBidi"/>
          <w:lang w:val="en-US" w:eastAsia="zh-CN"/>
        </w:rPr>
        <w:t xml:space="preserve">WTDC Resolution 25 (Rev. Kigali, 2022) – Assistance to countries in special need: Afghanistan, Burundi, Central African Republic, Democratic Republic of the Congo, Eritrea, Ethiopia, Guinea, </w:t>
      </w:r>
      <w:r w:rsidR="62690709" w:rsidRPr="6A73759C">
        <w:rPr>
          <w:rFonts w:asciiTheme="minorHAnsi" w:eastAsiaTheme="minorEastAsia" w:hAnsiTheme="minorHAnsi" w:cstheme="minorBidi"/>
          <w:lang w:val="en-US" w:eastAsia="zh-CN"/>
        </w:rPr>
        <w:t>Guinea-Bissau</w:t>
      </w:r>
      <w:r w:rsidRPr="6A73759C">
        <w:rPr>
          <w:rFonts w:asciiTheme="minorHAnsi" w:eastAsiaTheme="minorEastAsia" w:hAnsiTheme="minorHAnsi" w:cstheme="minorBidi"/>
          <w:lang w:val="en-US" w:eastAsia="zh-CN"/>
        </w:rPr>
        <w:t xml:space="preserve">, Haiti, Liberia, Rwanda, Sierra Leone, Somalia, South Sudan and </w:t>
      </w:r>
      <w:proofErr w:type="gramStart"/>
      <w:r w:rsidRPr="6A73759C">
        <w:rPr>
          <w:rFonts w:asciiTheme="minorHAnsi" w:eastAsiaTheme="minorEastAsia" w:hAnsiTheme="minorHAnsi" w:cstheme="minorBidi"/>
          <w:lang w:val="en-US" w:eastAsia="zh-CN"/>
        </w:rPr>
        <w:t>Timor-Leste;</w:t>
      </w:r>
      <w:proofErr w:type="gramEnd"/>
    </w:p>
    <w:p w14:paraId="77BBFEDD" w14:textId="6345EE98" w:rsidR="000D1F6E" w:rsidRPr="000D1F6E" w:rsidRDefault="000D1F6E" w:rsidP="000D1F6E">
      <w:pPr>
        <w:tabs>
          <w:tab w:val="clear" w:pos="567"/>
          <w:tab w:val="clear" w:pos="1134"/>
          <w:tab w:val="clear" w:pos="1701"/>
          <w:tab w:val="clear" w:pos="2268"/>
          <w:tab w:val="clear" w:pos="2835"/>
        </w:tabs>
        <w:spacing w:before="480" w:after="120"/>
        <w:outlineLvl w:val="1"/>
        <w:rPr>
          <w:b/>
          <w:lang w:val="en-US" w:eastAsia="zh-CN"/>
        </w:rPr>
      </w:pPr>
      <w:r w:rsidRPr="00E77A78">
        <w:rPr>
          <w:b/>
          <w:szCs w:val="24"/>
          <w:lang w:val="en-US" w:eastAsia="zh-CN"/>
        </w:rPr>
        <w:t>2.</w:t>
      </w:r>
      <w:r w:rsidRPr="00E77A78">
        <w:rPr>
          <w:b/>
          <w:szCs w:val="24"/>
          <w:lang w:val="en-US" w:eastAsia="zh-CN"/>
        </w:rPr>
        <w:tab/>
        <w:t>Update on the actions</w:t>
      </w:r>
      <w:r w:rsidRPr="000D1F6E">
        <w:rPr>
          <w:b/>
          <w:lang w:val="en-US" w:eastAsia="zh-CN"/>
        </w:rPr>
        <w:t xml:space="preserve"> undertaken</w:t>
      </w:r>
    </w:p>
    <w:p w14:paraId="022D5EF2" w14:textId="436298B1" w:rsidR="000D1F6E" w:rsidRPr="000D1F6E" w:rsidRDefault="000D1F6E" w:rsidP="000D1F6E">
      <w:pPr>
        <w:spacing w:after="120"/>
        <w:jc w:val="both"/>
        <w:rPr>
          <w:rFonts w:asciiTheme="minorHAnsi" w:hAnsiTheme="minorHAnsi" w:cstheme="minorHAnsi"/>
          <w:szCs w:val="24"/>
        </w:rPr>
      </w:pPr>
      <w:r w:rsidRPr="000D1F6E">
        <w:rPr>
          <w:rFonts w:asciiTheme="minorHAnsi" w:hAnsiTheme="minorHAnsi" w:cstheme="minorHAnsi"/>
          <w:szCs w:val="24"/>
        </w:rPr>
        <w:t xml:space="preserve">All countries concerned are the beneficiaries of ITU’s products and services in particular being developed and offered under the </w:t>
      </w:r>
      <w:hyperlink r:id="rId16" w:history="1">
        <w:r w:rsidRPr="000D1F6E">
          <w:rPr>
            <w:rFonts w:asciiTheme="minorHAnsi" w:hAnsiTheme="minorHAnsi" w:cstheme="minorHAnsi"/>
            <w:color w:val="0563C1"/>
            <w:szCs w:val="24"/>
            <w:u w:val="single"/>
          </w:rPr>
          <w:t>ITU-D Priority 1: Affordable connectivity</w:t>
        </w:r>
      </w:hyperlink>
      <w:r w:rsidRPr="000D1F6E">
        <w:rPr>
          <w:rFonts w:asciiTheme="minorHAnsi" w:hAnsiTheme="minorHAnsi" w:cstheme="minorHAnsi"/>
          <w:szCs w:val="24"/>
        </w:rPr>
        <w:t xml:space="preserve"> and </w:t>
      </w:r>
      <w:hyperlink r:id="rId17" w:history="1">
        <w:r w:rsidRPr="000D1F6E">
          <w:rPr>
            <w:rFonts w:asciiTheme="minorHAnsi" w:hAnsiTheme="minorHAnsi" w:cstheme="minorHAnsi"/>
            <w:color w:val="0563C1"/>
            <w:szCs w:val="24"/>
            <w:u w:val="single"/>
          </w:rPr>
          <w:t>ITU-D Priority</w:t>
        </w:r>
        <w:r>
          <w:rPr>
            <w:rFonts w:asciiTheme="minorHAnsi" w:hAnsiTheme="minorHAnsi" w:cstheme="minorHAnsi"/>
            <w:color w:val="0563C1"/>
            <w:szCs w:val="24"/>
            <w:u w:val="single"/>
          </w:rPr>
          <w:t> </w:t>
        </w:r>
        <w:r w:rsidRPr="000D1F6E">
          <w:rPr>
            <w:rFonts w:asciiTheme="minorHAnsi" w:hAnsiTheme="minorHAnsi" w:cstheme="minorHAnsi"/>
            <w:color w:val="0563C1"/>
            <w:szCs w:val="24"/>
            <w:u w:val="single"/>
          </w:rPr>
          <w:t>3: Enabling Policy and Regulatory Environment</w:t>
        </w:r>
      </w:hyperlink>
      <w:r w:rsidRPr="000D1F6E">
        <w:rPr>
          <w:rFonts w:asciiTheme="minorHAnsi" w:hAnsiTheme="minorHAnsi" w:cstheme="minorHAnsi"/>
          <w:szCs w:val="24"/>
        </w:rPr>
        <w:t xml:space="preserve">. </w:t>
      </w:r>
    </w:p>
    <w:p w14:paraId="21A02ABB" w14:textId="77777777" w:rsidR="000D1F6E" w:rsidRPr="000D1F6E" w:rsidRDefault="000D1F6E" w:rsidP="000D1F6E">
      <w:pPr>
        <w:spacing w:after="120"/>
        <w:jc w:val="both"/>
        <w:rPr>
          <w:rFonts w:asciiTheme="minorHAnsi" w:hAnsiTheme="minorHAnsi" w:cstheme="minorHAnsi"/>
          <w:szCs w:val="24"/>
        </w:rPr>
      </w:pPr>
      <w:r w:rsidRPr="000D1F6E">
        <w:rPr>
          <w:rFonts w:asciiTheme="minorHAnsi" w:hAnsiTheme="minorHAnsi" w:cstheme="minorHAnsi"/>
          <w:szCs w:val="24"/>
        </w:rPr>
        <w:t xml:space="preserve">The catalogue of the products and services includes, amongst others, infrastructure mapping and analysis, assessment studies, publications, workshops, guidelines, and best practices on telecommunication/ICT infrastructure including wireless and fixed broadband, connecting rural and remote areas, conformance and interoperability, spectrum management, transition to digital broadcasting, the effective and efficient management and proper use of telecommunication resources within the mandate of ITU. </w:t>
      </w:r>
    </w:p>
    <w:p w14:paraId="1893FFFC" w14:textId="77777777" w:rsidR="000D1F6E" w:rsidRPr="000D1F6E" w:rsidRDefault="000D1F6E" w:rsidP="000D1F6E">
      <w:pPr>
        <w:spacing w:after="120"/>
        <w:jc w:val="both"/>
        <w:rPr>
          <w:rFonts w:eastAsiaTheme="minorEastAsia" w:cstheme="minorHAnsi"/>
          <w:szCs w:val="24"/>
        </w:rPr>
      </w:pPr>
      <w:r w:rsidRPr="000D1F6E">
        <w:rPr>
          <w:rFonts w:asciiTheme="minorHAnsi" w:hAnsiTheme="minorHAnsi" w:cstheme="minorHAnsi"/>
          <w:szCs w:val="24"/>
        </w:rPr>
        <w:t>It also encompasses the d</w:t>
      </w:r>
      <w:r w:rsidRPr="000D1F6E">
        <w:rPr>
          <w:rFonts w:asciiTheme="minorHAnsi" w:eastAsiaTheme="minorEastAsia" w:hAnsiTheme="minorHAnsi" w:cstheme="minorHAnsi"/>
          <w:szCs w:val="24"/>
          <w:lang w:eastAsia="zh-CN"/>
        </w:rPr>
        <w:t>evelopment of National Emergency Telecommunication Plans, capacity building for the use of ICTs for disaster management and the development of simulation exercises, i</w:t>
      </w:r>
      <w:r w:rsidRPr="000D1F6E">
        <w:rPr>
          <w:rFonts w:eastAsiaTheme="minorEastAsia" w:cstheme="minorHAnsi"/>
          <w:szCs w:val="24"/>
        </w:rPr>
        <w:t xml:space="preserve">mplementation of multi-hazard early warning systems, including Common Alerting Protocol, restoring connectivity in countries hit by disasters, providing disaster connectivity maps and building national human capacities in disaster risk reduction and management. </w:t>
      </w:r>
    </w:p>
    <w:p w14:paraId="00D02BEF" w14:textId="33E41D10" w:rsidR="000D1F6E" w:rsidRPr="000D1F6E" w:rsidRDefault="000D1F6E" w:rsidP="6A73759C">
      <w:pPr>
        <w:spacing w:after="120"/>
        <w:jc w:val="both"/>
        <w:rPr>
          <w:rFonts w:asciiTheme="minorHAnsi" w:hAnsiTheme="minorHAnsi" w:cstheme="minorBidi"/>
        </w:rPr>
      </w:pPr>
      <w:r w:rsidRPr="6A73759C">
        <w:rPr>
          <w:rFonts w:eastAsiaTheme="minorEastAsia" w:cstheme="minorBidi"/>
        </w:rPr>
        <w:t xml:space="preserve">Upon this, ITU provides platforms and tools for effective policy, legal and regulatory frameworks to support regulators and policymakers in fostering universal and meaningful connectivity development. Products </w:t>
      </w:r>
      <w:proofErr w:type="gramStart"/>
      <w:r w:rsidRPr="6A73759C">
        <w:rPr>
          <w:rFonts w:eastAsiaTheme="minorEastAsia" w:cstheme="minorBidi"/>
        </w:rPr>
        <w:t>include</w:t>
      </w:r>
      <w:r w:rsidR="201E074D" w:rsidRPr="6A73759C">
        <w:rPr>
          <w:rFonts w:eastAsiaTheme="minorEastAsia" w:cstheme="minorBidi"/>
        </w:rPr>
        <w:t>:</w:t>
      </w:r>
      <w:proofErr w:type="gramEnd"/>
      <w:r w:rsidRPr="6A73759C">
        <w:rPr>
          <w:rFonts w:eastAsiaTheme="minorEastAsia" w:cstheme="minorBidi"/>
        </w:rPr>
        <w:t xml:space="preserve"> </w:t>
      </w:r>
      <w:r w:rsidRPr="6A73759C">
        <w:rPr>
          <w:rFonts w:eastAsiaTheme="minorEastAsia" w:cstheme="minorBidi"/>
          <w:lang w:val="en-US"/>
        </w:rPr>
        <w:t xml:space="preserve">Digital Regulation platform, </w:t>
      </w:r>
      <w:r w:rsidRPr="6A73759C">
        <w:rPr>
          <w:rFonts w:eastAsiaTheme="minorEastAsia" w:cstheme="minorBidi"/>
        </w:rPr>
        <w:t xml:space="preserve">Collaborative Regulation, </w:t>
      </w:r>
      <w:hyperlink r:id="rId18" w:history="1">
        <w:r w:rsidRPr="006B61BE">
          <w:rPr>
            <w:rStyle w:val="Hyperlink"/>
            <w:rFonts w:eastAsiaTheme="minorEastAsia" w:cstheme="minorBidi"/>
          </w:rPr>
          <w:t>G5 Benchmark</w:t>
        </w:r>
      </w:hyperlink>
      <w:r w:rsidRPr="6A73759C">
        <w:rPr>
          <w:rFonts w:eastAsiaTheme="minorEastAsia" w:cstheme="minorBidi"/>
        </w:rPr>
        <w:t>, Global Symposium for Regulators, Best Practice Guidelines, Economic impact studies, ICT Policy Impact Lab.</w:t>
      </w:r>
    </w:p>
    <w:p w14:paraId="4D322AF1" w14:textId="77777777" w:rsidR="000D1F6E" w:rsidRPr="000D1F6E" w:rsidRDefault="000D1F6E" w:rsidP="000D1F6E">
      <w:pPr>
        <w:spacing w:after="120"/>
        <w:jc w:val="both"/>
        <w:rPr>
          <w:rFonts w:cstheme="minorHAnsi"/>
        </w:rPr>
      </w:pPr>
      <w:r w:rsidRPr="000D1F6E">
        <w:rPr>
          <w:rFonts w:asciiTheme="minorHAnsi" w:hAnsiTheme="minorHAnsi" w:cstheme="minorHAnsi"/>
          <w:szCs w:val="24"/>
        </w:rPr>
        <w:lastRenderedPageBreak/>
        <w:t xml:space="preserve">Detailed reporting on all actions relevant to infrastructure development on the ground is available in </w:t>
      </w:r>
      <w:hyperlink r:id="rId19" w:history="1">
        <w:r w:rsidRPr="000D1F6E">
          <w:rPr>
            <w:rFonts w:asciiTheme="minorHAnsi" w:hAnsiTheme="minorHAnsi" w:cstheme="minorHAnsi"/>
            <w:color w:val="0563C1"/>
            <w:szCs w:val="24"/>
            <w:u w:val="single"/>
          </w:rPr>
          <w:t>Document TDAG-25/2</w:t>
        </w:r>
      </w:hyperlink>
      <w:r w:rsidRPr="000D1F6E">
        <w:rPr>
          <w:rFonts w:asciiTheme="minorHAnsi" w:hAnsiTheme="minorHAnsi" w:cstheme="minorHAnsi"/>
          <w:szCs w:val="24"/>
        </w:rPr>
        <w:t xml:space="preserve"> and covers the period from </w:t>
      </w:r>
      <w:r w:rsidRPr="000D1F6E">
        <w:rPr>
          <w:rFonts w:cstheme="minorHAnsi"/>
        </w:rPr>
        <w:t xml:space="preserve">May 2024 to April 2025. Actions carried out from June 2023 to April 2024 can be found in </w:t>
      </w:r>
      <w:hyperlink r:id="rId20" w:history="1">
        <w:r w:rsidRPr="000D1F6E">
          <w:rPr>
            <w:rFonts w:cstheme="minorHAnsi"/>
            <w:color w:val="0563C1"/>
            <w:u w:val="single"/>
          </w:rPr>
          <w:t>Document TDAG-24/2</w:t>
        </w:r>
      </w:hyperlink>
      <w:r w:rsidRPr="000D1F6E">
        <w:rPr>
          <w:rFonts w:cstheme="minorHAnsi"/>
        </w:rPr>
        <w:t>.</w:t>
      </w:r>
    </w:p>
    <w:p w14:paraId="18A64575" w14:textId="513BB0E6" w:rsidR="000D1F6E" w:rsidRPr="000D1F6E" w:rsidRDefault="000D1F6E" w:rsidP="000D1F6E">
      <w:pPr>
        <w:spacing w:after="120"/>
        <w:jc w:val="both"/>
        <w:rPr>
          <w:rFonts w:asciiTheme="minorHAnsi" w:hAnsiTheme="minorHAnsi" w:cstheme="minorHAnsi"/>
          <w:szCs w:val="24"/>
        </w:rPr>
      </w:pPr>
      <w:r w:rsidRPr="000D1F6E">
        <w:rPr>
          <w:rFonts w:asciiTheme="minorHAnsi" w:hAnsiTheme="minorHAnsi" w:cstheme="minorHAnsi"/>
          <w:szCs w:val="24"/>
        </w:rPr>
        <w:t>Detailed reporting on actions carried out in response to the ITU Council Res</w:t>
      </w:r>
      <w:r>
        <w:rPr>
          <w:rFonts w:asciiTheme="minorHAnsi" w:hAnsiTheme="minorHAnsi" w:cstheme="minorHAnsi"/>
          <w:szCs w:val="24"/>
        </w:rPr>
        <w:t>olution</w:t>
      </w:r>
      <w:r w:rsidRPr="000D1F6E">
        <w:rPr>
          <w:rFonts w:asciiTheme="minorHAnsi" w:hAnsiTheme="minorHAnsi" w:cstheme="minorHAnsi"/>
          <w:szCs w:val="24"/>
        </w:rPr>
        <w:t xml:space="preserve"> 1408 on Ukraine and ITU Council Res</w:t>
      </w:r>
      <w:r>
        <w:rPr>
          <w:rFonts w:asciiTheme="minorHAnsi" w:hAnsiTheme="minorHAnsi" w:cstheme="minorHAnsi"/>
          <w:szCs w:val="24"/>
        </w:rPr>
        <w:t>olution</w:t>
      </w:r>
      <w:r w:rsidRPr="000D1F6E">
        <w:rPr>
          <w:rFonts w:asciiTheme="minorHAnsi" w:hAnsiTheme="minorHAnsi" w:cstheme="minorHAnsi"/>
          <w:szCs w:val="24"/>
        </w:rPr>
        <w:t xml:space="preserve"> 1424 on Palestine have been made available as the </w:t>
      </w:r>
      <w:r>
        <w:rPr>
          <w:rFonts w:asciiTheme="minorHAnsi" w:hAnsiTheme="minorHAnsi" w:cstheme="minorHAnsi"/>
          <w:szCs w:val="24"/>
        </w:rPr>
        <w:t>s</w:t>
      </w:r>
      <w:r w:rsidRPr="000D1F6E">
        <w:rPr>
          <w:rFonts w:asciiTheme="minorHAnsi" w:hAnsiTheme="minorHAnsi" w:cstheme="minorHAnsi"/>
          <w:szCs w:val="24"/>
        </w:rPr>
        <w:t xml:space="preserve">ecretariat </w:t>
      </w:r>
      <w:r>
        <w:rPr>
          <w:rFonts w:asciiTheme="minorHAnsi" w:hAnsiTheme="minorHAnsi" w:cstheme="minorHAnsi"/>
          <w:szCs w:val="24"/>
        </w:rPr>
        <w:t>d</w:t>
      </w:r>
      <w:r w:rsidRPr="000D1F6E">
        <w:rPr>
          <w:rFonts w:asciiTheme="minorHAnsi" w:hAnsiTheme="minorHAnsi" w:cstheme="minorHAnsi"/>
          <w:szCs w:val="24"/>
        </w:rPr>
        <w:t xml:space="preserve">ocuments </w:t>
      </w:r>
      <w:hyperlink r:id="rId21" w:history="1">
        <w:r w:rsidRPr="000D1F6E">
          <w:rPr>
            <w:rStyle w:val="Hyperlink"/>
            <w:rFonts w:asciiTheme="minorHAnsi" w:hAnsiTheme="minorHAnsi" w:cstheme="minorHAnsi"/>
            <w:szCs w:val="24"/>
          </w:rPr>
          <w:t>C25/68</w:t>
        </w:r>
      </w:hyperlink>
      <w:r w:rsidRPr="000D1F6E">
        <w:rPr>
          <w:rFonts w:asciiTheme="minorHAnsi" w:hAnsiTheme="minorHAnsi" w:cstheme="minorHAnsi"/>
          <w:szCs w:val="24"/>
        </w:rPr>
        <w:t xml:space="preserve"> and </w:t>
      </w:r>
      <w:hyperlink r:id="rId22" w:history="1">
        <w:r w:rsidRPr="000D1F6E">
          <w:rPr>
            <w:rStyle w:val="Hyperlink"/>
            <w:rFonts w:asciiTheme="minorHAnsi" w:hAnsiTheme="minorHAnsi" w:cstheme="minorHAnsi"/>
            <w:szCs w:val="24"/>
          </w:rPr>
          <w:t>C25/71</w:t>
        </w:r>
      </w:hyperlink>
      <w:r w:rsidR="007B1693">
        <w:t>, respectively</w:t>
      </w:r>
      <w:r w:rsidRPr="000D1F6E">
        <w:rPr>
          <w:rFonts w:asciiTheme="minorHAnsi" w:hAnsiTheme="minorHAnsi" w:cstheme="minorHAnsi"/>
          <w:szCs w:val="24"/>
        </w:rPr>
        <w:t>.</w:t>
      </w:r>
    </w:p>
    <w:p w14:paraId="3DC359A5" w14:textId="181812E8" w:rsidR="000D1F6E" w:rsidRPr="000D1F6E" w:rsidRDefault="000D1F6E" w:rsidP="000D1F6E">
      <w:pPr>
        <w:tabs>
          <w:tab w:val="clear" w:pos="567"/>
          <w:tab w:val="clear" w:pos="1134"/>
          <w:tab w:val="clear" w:pos="1701"/>
          <w:tab w:val="clear" w:pos="2268"/>
          <w:tab w:val="clear" w:pos="2835"/>
        </w:tabs>
        <w:spacing w:before="480" w:after="120"/>
        <w:outlineLvl w:val="1"/>
        <w:rPr>
          <w:b/>
          <w:lang w:val="en-US" w:eastAsia="zh-CN"/>
        </w:rPr>
      </w:pPr>
      <w:r w:rsidRPr="000D1F6E">
        <w:rPr>
          <w:b/>
          <w:lang w:val="en-US" w:eastAsia="zh-CN"/>
        </w:rPr>
        <w:t>3.</w:t>
      </w:r>
      <w:r w:rsidRPr="000D1F6E">
        <w:rPr>
          <w:b/>
          <w:lang w:val="en-US" w:eastAsia="zh-CN"/>
        </w:rPr>
        <w:tab/>
        <w:t>Conclusions</w:t>
      </w:r>
    </w:p>
    <w:p w14:paraId="0A52D501" w14:textId="77777777" w:rsidR="000D1F6E" w:rsidRPr="000D1F6E" w:rsidRDefault="000D1F6E" w:rsidP="000D1F6E">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0D1F6E">
        <w:rPr>
          <w:rFonts w:asciiTheme="minorHAnsi" w:hAnsiTheme="minorHAnsi" w:cstheme="minorHAnsi"/>
          <w:szCs w:val="24"/>
        </w:rPr>
        <w:t xml:space="preserve">ITU has continued to strengthen its offering of products and services relevant to the Member States’ efforts dedicated to the ICT infrastructure development, rebuilding, and/or rehabilitation. Many countries have been benefiting from the ITU’s offering and direct assistance in line with the resolutions listed above. </w:t>
      </w:r>
    </w:p>
    <w:p w14:paraId="26C23479" w14:textId="77777777" w:rsidR="000D1F6E" w:rsidRPr="000D1F6E" w:rsidRDefault="000D1F6E" w:rsidP="000D1F6E">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0D1F6E">
        <w:rPr>
          <w:rFonts w:asciiTheme="minorHAnsi" w:hAnsiTheme="minorHAnsi" w:cstheme="minorHAnsi"/>
          <w:szCs w:val="24"/>
        </w:rPr>
        <w:t xml:space="preserve">All Member States interested in strengthened support to ICT infrastructure rebuilding and/or rehabilitation are kindly encouraged to use the relevant ITU’s products and services, as well as to reach out to ITU in case of need for technical assistance. </w:t>
      </w:r>
    </w:p>
    <w:p w14:paraId="0363C6C6" w14:textId="4D0E76A3" w:rsidR="000D1F6E" w:rsidRPr="000D1F6E" w:rsidRDefault="000D1F6E" w:rsidP="6A73759C">
      <w:pPr>
        <w:tabs>
          <w:tab w:val="clear" w:pos="567"/>
          <w:tab w:val="clear" w:pos="1134"/>
          <w:tab w:val="clear" w:pos="1701"/>
          <w:tab w:val="clear" w:pos="2268"/>
          <w:tab w:val="clear" w:pos="2835"/>
        </w:tabs>
        <w:spacing w:after="120"/>
        <w:jc w:val="both"/>
        <w:rPr>
          <w:rFonts w:asciiTheme="minorHAnsi" w:hAnsiTheme="minorHAnsi" w:cstheme="minorBidi"/>
        </w:rPr>
      </w:pPr>
      <w:r w:rsidRPr="6A73759C">
        <w:rPr>
          <w:rFonts w:asciiTheme="minorHAnsi" w:hAnsiTheme="minorHAnsi" w:cstheme="minorBidi"/>
        </w:rPr>
        <w:t xml:space="preserve">As the reconstruction and rehabilitation of ICT infrastructure require dedication of significant financial resources, all stakeholders are kindly invited to provide support to ensure that ITU’s assistance is </w:t>
      </w:r>
      <w:r w:rsidR="6DD1B223" w:rsidRPr="6A73759C">
        <w:rPr>
          <w:rFonts w:asciiTheme="minorHAnsi" w:hAnsiTheme="minorHAnsi" w:cstheme="minorBidi"/>
        </w:rPr>
        <w:t xml:space="preserve">more </w:t>
      </w:r>
      <w:r w:rsidRPr="6A73759C">
        <w:rPr>
          <w:rFonts w:asciiTheme="minorHAnsi" w:hAnsiTheme="minorHAnsi" w:cstheme="minorBidi"/>
        </w:rPr>
        <w:t xml:space="preserve">comprehensive. </w:t>
      </w:r>
    </w:p>
    <w:p w14:paraId="35C6D0A5" w14:textId="693689B2" w:rsidR="007A3FCD" w:rsidRPr="000D1F6E" w:rsidRDefault="000D1F6E" w:rsidP="000D1F6E">
      <w:pPr>
        <w:tabs>
          <w:tab w:val="clear" w:pos="567"/>
          <w:tab w:val="clear" w:pos="1134"/>
          <w:tab w:val="clear" w:pos="1701"/>
          <w:tab w:val="clear" w:pos="2268"/>
          <w:tab w:val="clear" w:pos="2835"/>
        </w:tabs>
        <w:spacing w:before="840"/>
        <w:jc w:val="center"/>
        <w:rPr>
          <w:rFonts w:asciiTheme="minorHAnsi" w:hAnsiTheme="minorHAnsi" w:cstheme="minorHAnsi"/>
          <w:szCs w:val="24"/>
        </w:rPr>
      </w:pPr>
      <w:r w:rsidRPr="000D1F6E">
        <w:rPr>
          <w:rFonts w:asciiTheme="minorHAnsi" w:hAnsiTheme="minorHAnsi" w:cstheme="minorHAnsi"/>
          <w:szCs w:val="24"/>
        </w:rPr>
        <w:t>_________________</w:t>
      </w:r>
    </w:p>
    <w:sectPr w:rsidR="007A3FCD" w:rsidRPr="000D1F6E" w:rsidSect="00AD3606">
      <w:headerReference w:type="default" r:id="rId23"/>
      <w:footerReference w:type="default" r:id="rId24"/>
      <w:headerReference w:type="first" r:id="rId25"/>
      <w:footerReference w:type="first" r:id="rId2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111BA" w14:textId="77777777" w:rsidR="004811F8" w:rsidRDefault="004811F8">
      <w:r>
        <w:separator/>
      </w:r>
    </w:p>
  </w:endnote>
  <w:endnote w:type="continuationSeparator" w:id="0">
    <w:p w14:paraId="51CD4957" w14:textId="77777777" w:rsidR="004811F8" w:rsidRDefault="004811F8">
      <w:r>
        <w:continuationSeparator/>
      </w:r>
    </w:p>
  </w:endnote>
  <w:endnote w:type="continuationNotice" w:id="1">
    <w:p w14:paraId="0A2B3C06" w14:textId="77777777" w:rsidR="00AA225A" w:rsidRDefault="00AA225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rsidTr="001A6220">
      <w:trPr>
        <w:jc w:val="center"/>
      </w:trPr>
      <w:tc>
        <w:tcPr>
          <w:tcW w:w="1803" w:type="dxa"/>
          <w:vAlign w:val="center"/>
        </w:tcPr>
        <w:p w14:paraId="5B3DDD9A" w14:textId="77777777" w:rsidR="00EE49E8" w:rsidRDefault="00C6520B" w:rsidP="00EE49E8">
          <w:pPr>
            <w:pStyle w:val="Header"/>
            <w:jc w:val="left"/>
            <w:rPr>
              <w:noProof/>
            </w:rPr>
          </w:pPr>
          <w:r>
            <w:rPr>
              <w:noProof/>
            </w:rPr>
            <w:t>gDoc #</w:t>
          </w:r>
        </w:p>
      </w:tc>
      <w:tc>
        <w:tcPr>
          <w:tcW w:w="8261" w:type="dxa"/>
        </w:tcPr>
        <w:p w14:paraId="6F6B3A01" w14:textId="0291A3CB" w:rsidR="00EE49E8" w:rsidRPr="00E06FD5" w:rsidRDefault="00EE49E8" w:rsidP="000745AB">
          <w:pPr>
            <w:pStyle w:val="Header"/>
            <w:tabs>
              <w:tab w:val="left" w:pos="6164"/>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0D1F6E">
            <w:rPr>
              <w:bCs/>
            </w:rPr>
            <w:t>72</w:t>
          </w:r>
          <w:r w:rsidRPr="00623AE3">
            <w:rPr>
              <w:bCs/>
            </w:rPr>
            <w:t>-E</w:t>
          </w:r>
          <w:r>
            <w:rPr>
              <w:bCs/>
            </w:rPr>
            <w:tab/>
          </w:r>
          <w:r>
            <w:fldChar w:fldCharType="begin"/>
          </w:r>
          <w:r>
            <w:instrText>PAGE</w:instrText>
          </w:r>
          <w:r>
            <w:fldChar w:fldCharType="separate"/>
          </w:r>
          <w:r>
            <w:t>1</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1444FCEA" w:rsidR="00EE49E8" w:rsidRPr="00E06FD5" w:rsidRDefault="00EE49E8" w:rsidP="000745AB">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0D1F6E">
            <w:rPr>
              <w:bCs/>
            </w:rPr>
            <w:t>72</w:t>
          </w:r>
          <w:r w:rsidRPr="00623AE3">
            <w:rPr>
              <w:bCs/>
            </w:rPr>
            <w:t>-E</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642A2" w14:textId="77777777" w:rsidR="004811F8" w:rsidRDefault="004811F8">
      <w:r>
        <w:t>____________________</w:t>
      </w:r>
    </w:p>
  </w:footnote>
  <w:footnote w:type="continuationSeparator" w:id="0">
    <w:p w14:paraId="28A26594" w14:textId="77777777" w:rsidR="004811F8" w:rsidRDefault="004811F8">
      <w:r>
        <w:continuationSeparator/>
      </w:r>
    </w:p>
  </w:footnote>
  <w:footnote w:type="continuationNotice" w:id="1">
    <w:p w14:paraId="5044CC21" w14:textId="77777777" w:rsidR="00AA225A" w:rsidRDefault="00AA225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146925F" w14:paraId="26541EC4" w14:textId="77777777" w:rsidTr="3146925F">
      <w:trPr>
        <w:trHeight w:val="300"/>
      </w:trPr>
      <w:tc>
        <w:tcPr>
          <w:tcW w:w="3020" w:type="dxa"/>
        </w:tcPr>
        <w:p w14:paraId="45714FB8" w14:textId="1AE5A1F4" w:rsidR="3146925F" w:rsidRDefault="3146925F" w:rsidP="3146925F">
          <w:pPr>
            <w:pStyle w:val="Header"/>
            <w:ind w:left="-115"/>
            <w:jc w:val="left"/>
          </w:pPr>
        </w:p>
      </w:tc>
      <w:tc>
        <w:tcPr>
          <w:tcW w:w="3020" w:type="dxa"/>
        </w:tcPr>
        <w:p w14:paraId="512B3549" w14:textId="1748C652" w:rsidR="3146925F" w:rsidRDefault="3146925F" w:rsidP="3146925F">
          <w:pPr>
            <w:pStyle w:val="Header"/>
          </w:pPr>
        </w:p>
      </w:tc>
      <w:tc>
        <w:tcPr>
          <w:tcW w:w="3020" w:type="dxa"/>
        </w:tcPr>
        <w:p w14:paraId="3BC02BA2" w14:textId="03978289" w:rsidR="3146925F" w:rsidRDefault="3146925F" w:rsidP="3146925F">
          <w:pPr>
            <w:pStyle w:val="Header"/>
            <w:ind w:right="-115"/>
            <w:jc w:val="right"/>
          </w:pPr>
        </w:p>
      </w:tc>
    </w:tr>
  </w:tbl>
  <w:p w14:paraId="21159D4A" w14:textId="28B96120" w:rsidR="3146925F" w:rsidRDefault="3146925F" w:rsidP="31469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34A86D35" w14:textId="77777777" w:rsidTr="001A6220">
      <w:trPr>
        <w:trHeight w:val="1104"/>
        <w:jc w:val="center"/>
      </w:trPr>
      <w:tc>
        <w:tcPr>
          <w:tcW w:w="4390" w:type="dxa"/>
          <w:vAlign w:val="center"/>
        </w:tcPr>
        <w:p w14:paraId="5AD45E6C" w14:textId="77777777" w:rsidR="00AD3606" w:rsidRPr="009621F8" w:rsidRDefault="003936D3" w:rsidP="00CF4A2B">
          <w:pPr>
            <w:pStyle w:val="Header"/>
            <w:jc w:val="left"/>
            <w:rPr>
              <w:rFonts w:ascii="Arial" w:hAnsi="Arial" w:cs="Arial"/>
              <w:b/>
              <w:bCs/>
              <w:color w:val="009CD6"/>
              <w:sz w:val="36"/>
              <w:szCs w:val="36"/>
            </w:rPr>
          </w:pPr>
          <w:bookmarkStart w:id="13" w:name="_Hlk133422111"/>
          <w:r>
            <w:rPr>
              <w:rFonts w:ascii="Arial" w:hAnsi="Arial" w:cs="Arial"/>
              <w:b/>
              <w:bCs/>
              <w:noProof/>
              <w:color w:val="009CD6"/>
              <w:sz w:val="36"/>
              <w:szCs w:val="36"/>
            </w:rPr>
            <w:drawing>
              <wp:inline distT="0" distB="0" distL="0" distR="0" wp14:anchorId="313B81B2" wp14:editId="52EB5A23">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0374029" w14:textId="77777777" w:rsidR="00AD3606" w:rsidRDefault="00AD3606" w:rsidP="00AD3606">
          <w:pPr>
            <w:pStyle w:val="Header"/>
            <w:jc w:val="right"/>
            <w:rPr>
              <w:rFonts w:ascii="Arial" w:hAnsi="Arial" w:cs="Arial"/>
              <w:b/>
              <w:bCs/>
              <w:color w:val="009CD6"/>
              <w:szCs w:val="18"/>
            </w:rPr>
          </w:pPr>
        </w:p>
        <w:p w14:paraId="02A52018" w14:textId="77777777" w:rsidR="00AD3606" w:rsidRDefault="00AD3606" w:rsidP="00AD3606">
          <w:pPr>
            <w:pStyle w:val="Header"/>
            <w:jc w:val="right"/>
            <w:rPr>
              <w:rFonts w:ascii="Arial" w:hAnsi="Arial" w:cs="Arial"/>
              <w:b/>
              <w:bCs/>
              <w:color w:val="009CD6"/>
              <w:szCs w:val="18"/>
            </w:rPr>
          </w:pPr>
        </w:p>
        <w:p w14:paraId="13CCD8D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3C724958"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29EDCDB4" wp14:editId="1542E4D0">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8AC3A" id="Rectangle 5" o:spid="_x0000_s1026" style="position:absolute;margin-left:.3pt;margin-top:47.35pt;width:8.5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552EF6"/>
    <w:multiLevelType w:val="hybridMultilevel"/>
    <w:tmpl w:val="A2B0ECB0"/>
    <w:lvl w:ilvl="0" w:tplc="E3DAA1B2">
      <w:start w:val="1"/>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2012830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210D4"/>
    <w:rsid w:val="00036E85"/>
    <w:rsid w:val="0006007D"/>
    <w:rsid w:val="00063016"/>
    <w:rsid w:val="00066795"/>
    <w:rsid w:val="000745AB"/>
    <w:rsid w:val="00076AF6"/>
    <w:rsid w:val="00085CF2"/>
    <w:rsid w:val="000B1705"/>
    <w:rsid w:val="000C1241"/>
    <w:rsid w:val="000D1F6E"/>
    <w:rsid w:val="000D75B2"/>
    <w:rsid w:val="000F5DDB"/>
    <w:rsid w:val="000F7289"/>
    <w:rsid w:val="001121F5"/>
    <w:rsid w:val="00136E91"/>
    <w:rsid w:val="001400DC"/>
    <w:rsid w:val="00140CE1"/>
    <w:rsid w:val="001441DD"/>
    <w:rsid w:val="0017539C"/>
    <w:rsid w:val="00175AC2"/>
    <w:rsid w:val="0017609F"/>
    <w:rsid w:val="00193969"/>
    <w:rsid w:val="001A3154"/>
    <w:rsid w:val="001A6220"/>
    <w:rsid w:val="001A7D1D"/>
    <w:rsid w:val="001B51DD"/>
    <w:rsid w:val="001C628E"/>
    <w:rsid w:val="001C7900"/>
    <w:rsid w:val="001E0F7B"/>
    <w:rsid w:val="001F5569"/>
    <w:rsid w:val="002119FD"/>
    <w:rsid w:val="00212152"/>
    <w:rsid w:val="002130E0"/>
    <w:rsid w:val="00221F46"/>
    <w:rsid w:val="00232CBD"/>
    <w:rsid w:val="00264425"/>
    <w:rsid w:val="00265875"/>
    <w:rsid w:val="0027303B"/>
    <w:rsid w:val="0028109B"/>
    <w:rsid w:val="002A2188"/>
    <w:rsid w:val="002B1F58"/>
    <w:rsid w:val="002B389A"/>
    <w:rsid w:val="002C1C7A"/>
    <w:rsid w:val="002C54E2"/>
    <w:rsid w:val="002E1607"/>
    <w:rsid w:val="002F2A5A"/>
    <w:rsid w:val="0030160F"/>
    <w:rsid w:val="00320223"/>
    <w:rsid w:val="00322D0D"/>
    <w:rsid w:val="0034533C"/>
    <w:rsid w:val="00361465"/>
    <w:rsid w:val="003877F5"/>
    <w:rsid w:val="003936D3"/>
    <w:rsid w:val="003942D4"/>
    <w:rsid w:val="003958A8"/>
    <w:rsid w:val="003B29C2"/>
    <w:rsid w:val="003C2533"/>
    <w:rsid w:val="003C7C80"/>
    <w:rsid w:val="003D5A7F"/>
    <w:rsid w:val="0040435A"/>
    <w:rsid w:val="00416A24"/>
    <w:rsid w:val="00427BFF"/>
    <w:rsid w:val="00431D9E"/>
    <w:rsid w:val="00433CE8"/>
    <w:rsid w:val="00434A5C"/>
    <w:rsid w:val="00453079"/>
    <w:rsid w:val="004544D9"/>
    <w:rsid w:val="00472BAD"/>
    <w:rsid w:val="004811F8"/>
    <w:rsid w:val="00484009"/>
    <w:rsid w:val="00490E72"/>
    <w:rsid w:val="00491157"/>
    <w:rsid w:val="00491BA9"/>
    <w:rsid w:val="004921C8"/>
    <w:rsid w:val="00495B0B"/>
    <w:rsid w:val="004A1B8B"/>
    <w:rsid w:val="004B25A1"/>
    <w:rsid w:val="004D1851"/>
    <w:rsid w:val="004D599D"/>
    <w:rsid w:val="004E2EA5"/>
    <w:rsid w:val="004E3AEB"/>
    <w:rsid w:val="0050223C"/>
    <w:rsid w:val="005243FF"/>
    <w:rsid w:val="00564FBC"/>
    <w:rsid w:val="005800BC"/>
    <w:rsid w:val="00582442"/>
    <w:rsid w:val="005C3648"/>
    <w:rsid w:val="005F3269"/>
    <w:rsid w:val="00623AE3"/>
    <w:rsid w:val="00630C4D"/>
    <w:rsid w:val="00644EC6"/>
    <w:rsid w:val="0064737F"/>
    <w:rsid w:val="006535F1"/>
    <w:rsid w:val="0065557D"/>
    <w:rsid w:val="00660D50"/>
    <w:rsid w:val="00662984"/>
    <w:rsid w:val="006716BB"/>
    <w:rsid w:val="006B1859"/>
    <w:rsid w:val="006B61BE"/>
    <w:rsid w:val="006B6680"/>
    <w:rsid w:val="006B6DCC"/>
    <w:rsid w:val="006B77F1"/>
    <w:rsid w:val="006C5ECF"/>
    <w:rsid w:val="00702DEF"/>
    <w:rsid w:val="00706861"/>
    <w:rsid w:val="00722551"/>
    <w:rsid w:val="0075051B"/>
    <w:rsid w:val="0077110E"/>
    <w:rsid w:val="00793188"/>
    <w:rsid w:val="00794D34"/>
    <w:rsid w:val="007A3FCD"/>
    <w:rsid w:val="007B1693"/>
    <w:rsid w:val="007B19CF"/>
    <w:rsid w:val="007D01AF"/>
    <w:rsid w:val="007E40FC"/>
    <w:rsid w:val="00813E5E"/>
    <w:rsid w:val="0083581B"/>
    <w:rsid w:val="00863874"/>
    <w:rsid w:val="00864AFF"/>
    <w:rsid w:val="00865925"/>
    <w:rsid w:val="008B4A6A"/>
    <w:rsid w:val="008C7E27"/>
    <w:rsid w:val="008F7448"/>
    <w:rsid w:val="0090147A"/>
    <w:rsid w:val="009173EF"/>
    <w:rsid w:val="00932906"/>
    <w:rsid w:val="00946D3A"/>
    <w:rsid w:val="00961B0B"/>
    <w:rsid w:val="0096226B"/>
    <w:rsid w:val="00962D33"/>
    <w:rsid w:val="009B38C3"/>
    <w:rsid w:val="009E17BD"/>
    <w:rsid w:val="009E485A"/>
    <w:rsid w:val="00A04CEC"/>
    <w:rsid w:val="00A23C23"/>
    <w:rsid w:val="00A27F92"/>
    <w:rsid w:val="00A32257"/>
    <w:rsid w:val="00A36D20"/>
    <w:rsid w:val="00A514A4"/>
    <w:rsid w:val="00A55622"/>
    <w:rsid w:val="00A83502"/>
    <w:rsid w:val="00A94BAB"/>
    <w:rsid w:val="00AA225A"/>
    <w:rsid w:val="00AD15B3"/>
    <w:rsid w:val="00AD3606"/>
    <w:rsid w:val="00AD4A3D"/>
    <w:rsid w:val="00AD677D"/>
    <w:rsid w:val="00AF6E49"/>
    <w:rsid w:val="00B04A67"/>
    <w:rsid w:val="00B0583C"/>
    <w:rsid w:val="00B40A81"/>
    <w:rsid w:val="00B44910"/>
    <w:rsid w:val="00B61DC3"/>
    <w:rsid w:val="00B72267"/>
    <w:rsid w:val="00B76EB6"/>
    <w:rsid w:val="00B7737B"/>
    <w:rsid w:val="00B824C8"/>
    <w:rsid w:val="00B84B9D"/>
    <w:rsid w:val="00B9131F"/>
    <w:rsid w:val="00BB0646"/>
    <w:rsid w:val="00BC251A"/>
    <w:rsid w:val="00BD032B"/>
    <w:rsid w:val="00BE01C6"/>
    <w:rsid w:val="00BE2640"/>
    <w:rsid w:val="00BF1FDE"/>
    <w:rsid w:val="00C01189"/>
    <w:rsid w:val="00C0458D"/>
    <w:rsid w:val="00C374DE"/>
    <w:rsid w:val="00C47AD4"/>
    <w:rsid w:val="00C52D81"/>
    <w:rsid w:val="00C55198"/>
    <w:rsid w:val="00C6520B"/>
    <w:rsid w:val="00C879D8"/>
    <w:rsid w:val="00CA6393"/>
    <w:rsid w:val="00CA68FE"/>
    <w:rsid w:val="00CA7995"/>
    <w:rsid w:val="00CB0FFB"/>
    <w:rsid w:val="00CB18FF"/>
    <w:rsid w:val="00CD0C08"/>
    <w:rsid w:val="00CE03FB"/>
    <w:rsid w:val="00CE433C"/>
    <w:rsid w:val="00CF0161"/>
    <w:rsid w:val="00CF33F3"/>
    <w:rsid w:val="00CF4A2B"/>
    <w:rsid w:val="00D024CA"/>
    <w:rsid w:val="00D06183"/>
    <w:rsid w:val="00D22C42"/>
    <w:rsid w:val="00D65041"/>
    <w:rsid w:val="00DB1936"/>
    <w:rsid w:val="00DB384B"/>
    <w:rsid w:val="00DD11ED"/>
    <w:rsid w:val="00DF0189"/>
    <w:rsid w:val="00DF26C9"/>
    <w:rsid w:val="00E06FD5"/>
    <w:rsid w:val="00E10E80"/>
    <w:rsid w:val="00E124F0"/>
    <w:rsid w:val="00E227F3"/>
    <w:rsid w:val="00E545C6"/>
    <w:rsid w:val="00E60F04"/>
    <w:rsid w:val="00E64CB2"/>
    <w:rsid w:val="00E65B24"/>
    <w:rsid w:val="00E71F3B"/>
    <w:rsid w:val="00E77A78"/>
    <w:rsid w:val="00E854E4"/>
    <w:rsid w:val="00E86DBF"/>
    <w:rsid w:val="00E969AF"/>
    <w:rsid w:val="00EB0D6F"/>
    <w:rsid w:val="00EB2232"/>
    <w:rsid w:val="00EC5337"/>
    <w:rsid w:val="00ED4AE6"/>
    <w:rsid w:val="00EE49E8"/>
    <w:rsid w:val="00F16BAB"/>
    <w:rsid w:val="00F2150A"/>
    <w:rsid w:val="00F231D8"/>
    <w:rsid w:val="00F41209"/>
    <w:rsid w:val="00F44C00"/>
    <w:rsid w:val="00F45D2C"/>
    <w:rsid w:val="00F46C5F"/>
    <w:rsid w:val="00F632C0"/>
    <w:rsid w:val="00F641E1"/>
    <w:rsid w:val="00F94A63"/>
    <w:rsid w:val="00FA1C28"/>
    <w:rsid w:val="00FB1279"/>
    <w:rsid w:val="00FB6B76"/>
    <w:rsid w:val="00FB7596"/>
    <w:rsid w:val="00FB7FA9"/>
    <w:rsid w:val="00FC5DBD"/>
    <w:rsid w:val="00FE4077"/>
    <w:rsid w:val="00FE500D"/>
    <w:rsid w:val="00FE77D2"/>
    <w:rsid w:val="00FF26C9"/>
    <w:rsid w:val="00FF39B1"/>
    <w:rsid w:val="0EF11EA9"/>
    <w:rsid w:val="1182BEAE"/>
    <w:rsid w:val="127FE89C"/>
    <w:rsid w:val="201E074D"/>
    <w:rsid w:val="21214009"/>
    <w:rsid w:val="3146925F"/>
    <w:rsid w:val="40EE1E1B"/>
    <w:rsid w:val="4A68607C"/>
    <w:rsid w:val="62690709"/>
    <w:rsid w:val="657AE238"/>
    <w:rsid w:val="6A73759C"/>
    <w:rsid w:val="6DD1B223"/>
    <w:rsid w:val="76E90B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EDE6B371-A5BD-4FED-8F06-877A69E8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character" w:styleId="CommentReference">
    <w:name w:val="annotation reference"/>
    <w:basedOn w:val="DefaultParagraphFont"/>
    <w:semiHidden/>
    <w:unhideWhenUsed/>
    <w:rsid w:val="000D1F6E"/>
    <w:rPr>
      <w:sz w:val="16"/>
      <w:szCs w:val="16"/>
    </w:rPr>
  </w:style>
  <w:style w:type="paragraph" w:styleId="CommentText">
    <w:name w:val="annotation text"/>
    <w:basedOn w:val="Normal"/>
    <w:link w:val="CommentTextChar"/>
    <w:unhideWhenUsed/>
    <w:rsid w:val="000D1F6E"/>
    <w:rPr>
      <w:sz w:val="20"/>
    </w:rPr>
  </w:style>
  <w:style w:type="character" w:customStyle="1" w:styleId="CommentTextChar">
    <w:name w:val="Comment Text Char"/>
    <w:basedOn w:val="DefaultParagraphFont"/>
    <w:link w:val="CommentText"/>
    <w:rsid w:val="000D1F6E"/>
    <w:rPr>
      <w:rFonts w:ascii="Calibri" w:hAnsi="Calibri"/>
      <w:lang w:val="en-GB" w:eastAsia="en-US"/>
    </w:rPr>
  </w:style>
  <w:style w:type="paragraph" w:styleId="CommentSubject">
    <w:name w:val="annotation subject"/>
    <w:basedOn w:val="CommentText"/>
    <w:next w:val="CommentText"/>
    <w:link w:val="CommentSubjectChar"/>
    <w:semiHidden/>
    <w:unhideWhenUsed/>
    <w:rsid w:val="000D1F6E"/>
    <w:rPr>
      <w:b/>
      <w:bCs/>
    </w:rPr>
  </w:style>
  <w:style w:type="character" w:customStyle="1" w:styleId="CommentSubjectChar">
    <w:name w:val="Comment Subject Char"/>
    <w:basedOn w:val="CommentTextChar"/>
    <w:link w:val="CommentSubject"/>
    <w:semiHidden/>
    <w:rsid w:val="000D1F6E"/>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pub/D-RES-D.18-2022" TargetMode="External"/><Relationship Id="rId18" Type="http://schemas.openxmlformats.org/officeDocument/2006/relationships/hyperlink" Target="https://app.gen5.digital/benchmark/abou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tu.int/md/S25-CL-C-0068/en" TargetMode="External"/><Relationship Id="rId7" Type="http://schemas.openxmlformats.org/officeDocument/2006/relationships/settings" Target="settings.xml"/><Relationship Id="rId12" Type="http://schemas.openxmlformats.org/officeDocument/2006/relationships/hyperlink" Target="https://www.itu.int/en/council/Documents/basic-texts-2023/RES-193-E.pdf" TargetMode="External"/><Relationship Id="rId17" Type="http://schemas.openxmlformats.org/officeDocument/2006/relationships/hyperlink" Target="https://www.itu.int/itu-d/sites/priorities/enabling-policy-and-regulatory-environmen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tu.int/itu-d/sites/priorities/affordable-connectivity/" TargetMode="External"/><Relationship Id="rId20" Type="http://schemas.openxmlformats.org/officeDocument/2006/relationships/hyperlink" Target="https://www.itu.int/md/D22-TDAG31-C-000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125-E.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md/S23-CL-C-0122/e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md/D22-TDAG32-C-0002/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pub/D-RES-D.25-2022" TargetMode="External"/><Relationship Id="rId22" Type="http://schemas.openxmlformats.org/officeDocument/2006/relationships/hyperlink" Target="https://www.itu.int/md/S25-CL-C-0071/en"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8" ma:contentTypeDescription="Create a new document." ma:contentTypeScope="" ma:versionID="df57621dcd9cb730b7324d398b3ce10c">
  <xsd:schema xmlns:xsd="http://www.w3.org/2001/XMLSchema" xmlns:xs="http://www.w3.org/2001/XMLSchema" xmlns:p="http://schemas.microsoft.com/office/2006/metadata/properties" xmlns:ns2="a1cf676c-2816-4389-ad5d-0f2e7c7e67c4" targetNamespace="http://schemas.microsoft.com/office/2006/metadata/properties" ma:root="true" ma:fieldsID="21bebef123d8a211588512afbbbc1c26"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E2F2AC-2255-4DBF-9278-6619577B4509}">
  <ds:schemaRefs>
    <ds:schemaRef ds:uri="http://www.w3.org/XML/1998/namespace"/>
    <ds:schemaRef ds:uri="a1cf676c-2816-4389-ad5d-0f2e7c7e67c4"/>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C6537EE1-9E85-45D4-86BE-7AB5C90FE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EBCB52BA-7AEF-42D4-AF59-959012BFA9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770</Words>
  <Characters>5607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Activities supporting the reconstruction of infrastructure in concerned countries</vt:lpstr>
    </vt:vector>
  </TitlesOfParts>
  <Manager>General Secretariat</Manager>
  <Company>International Telecommunication Union (ITU)</Company>
  <LinksUpToDate>false</LinksUpToDate>
  <CharactersWithSpaces>6365</CharactersWithSpaces>
  <SharedDoc>false</SharedDoc>
  <HLinks>
    <vt:vector size="48" baseType="variant">
      <vt:variant>
        <vt:i4>7733307</vt:i4>
      </vt:variant>
      <vt:variant>
        <vt:i4>18</vt:i4>
      </vt:variant>
      <vt:variant>
        <vt:i4>0</vt:i4>
      </vt:variant>
      <vt:variant>
        <vt:i4>5</vt:i4>
      </vt:variant>
      <vt:variant>
        <vt:lpwstr>https://www.itu.int/md/S25-CL-C-0071/en</vt:lpwstr>
      </vt:variant>
      <vt:variant>
        <vt:lpwstr/>
      </vt:variant>
      <vt:variant>
        <vt:i4>8323130</vt:i4>
      </vt:variant>
      <vt:variant>
        <vt:i4>15</vt:i4>
      </vt:variant>
      <vt:variant>
        <vt:i4>0</vt:i4>
      </vt:variant>
      <vt:variant>
        <vt:i4>5</vt:i4>
      </vt:variant>
      <vt:variant>
        <vt:lpwstr>https://www.itu.int/md/S25-CL-C-0068/en</vt:lpwstr>
      </vt:variant>
      <vt:variant>
        <vt:lpwstr/>
      </vt:variant>
      <vt:variant>
        <vt:i4>4522061</vt:i4>
      </vt:variant>
      <vt:variant>
        <vt:i4>12</vt:i4>
      </vt:variant>
      <vt:variant>
        <vt:i4>0</vt:i4>
      </vt:variant>
      <vt:variant>
        <vt:i4>5</vt:i4>
      </vt:variant>
      <vt:variant>
        <vt:lpwstr>https://www.itu.int/md/D22-TDAG31-C-0002/</vt:lpwstr>
      </vt:variant>
      <vt:variant>
        <vt:lpwstr/>
      </vt:variant>
      <vt:variant>
        <vt:i4>2097249</vt:i4>
      </vt:variant>
      <vt:variant>
        <vt:i4>9</vt:i4>
      </vt:variant>
      <vt:variant>
        <vt:i4>0</vt:i4>
      </vt:variant>
      <vt:variant>
        <vt:i4>5</vt:i4>
      </vt:variant>
      <vt:variant>
        <vt:lpwstr>https://www.itu.int/md/D22-TDAG32-C-0002/en</vt:lpwstr>
      </vt:variant>
      <vt:variant>
        <vt:lpwstr/>
      </vt:variant>
      <vt:variant>
        <vt:i4>1048601</vt:i4>
      </vt:variant>
      <vt:variant>
        <vt:i4>6</vt:i4>
      </vt:variant>
      <vt:variant>
        <vt:i4>0</vt:i4>
      </vt:variant>
      <vt:variant>
        <vt:i4>5</vt:i4>
      </vt:variant>
      <vt:variant>
        <vt:lpwstr>https://app.gen5.digital/benchmark/about</vt:lpwstr>
      </vt:variant>
      <vt:variant>
        <vt:lpwstr/>
      </vt:variant>
      <vt:variant>
        <vt:i4>3080306</vt:i4>
      </vt:variant>
      <vt:variant>
        <vt:i4>3</vt:i4>
      </vt:variant>
      <vt:variant>
        <vt:i4>0</vt:i4>
      </vt:variant>
      <vt:variant>
        <vt:i4>5</vt:i4>
      </vt:variant>
      <vt:variant>
        <vt:lpwstr>https://www.itu.int/itu-d/sites/priorities/enabling-policy-and-regulatory-environment/</vt:lpwstr>
      </vt:variant>
      <vt:variant>
        <vt:lpwstr/>
      </vt:variant>
      <vt:variant>
        <vt:i4>2490476</vt:i4>
      </vt:variant>
      <vt:variant>
        <vt:i4>0</vt:i4>
      </vt:variant>
      <vt:variant>
        <vt:i4>0</vt:i4>
      </vt:variant>
      <vt:variant>
        <vt:i4>5</vt:i4>
      </vt:variant>
      <vt:variant>
        <vt:lpwstr>https://www.itu.int/itu-d/sites/priorities/affordable-connectivity/</vt:lpwstr>
      </vt:variant>
      <vt:variant>
        <vt:lpwstr/>
      </vt:variant>
      <vt:variant>
        <vt:i4>196633</vt:i4>
      </vt:variant>
      <vt:variant>
        <vt:i4>3</vt:i4>
      </vt:variant>
      <vt:variant>
        <vt:i4>0</vt:i4>
      </vt:variant>
      <vt:variant>
        <vt:i4>5</vt:i4>
      </vt:variant>
      <vt:variant>
        <vt:lpwstr>https://council.itu.int/2025/en/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Activities supporting the reconstruction of infrastructure in concerned countries</dc:title>
  <dc:subject>Council 2025</dc:subject>
  <dc:creator>LRT</dc:creator>
  <cp:keywords>C25; C2025; Council 2025; ITU160</cp:keywords>
  <dc:description/>
  <cp:lastModifiedBy>GBS</cp:lastModifiedBy>
  <cp:revision>3</cp:revision>
  <cp:lastPrinted>2000-07-18T22:30:00Z</cp:lastPrinted>
  <dcterms:created xsi:type="dcterms:W3CDTF">2025-05-19T15:49:00Z</dcterms:created>
  <dcterms:modified xsi:type="dcterms:W3CDTF">2025-05-19T16:03:00Z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