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08C3C854" w:rsidR="00AD3606" w:rsidRPr="00C0458D" w:rsidRDefault="000F104D"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rFonts w:hint="eastAsia"/>
                <w:b/>
                <w:lang w:eastAsia="zh-CN"/>
              </w:rPr>
              <w:t>议项：</w:t>
            </w:r>
            <w:r w:rsidR="00FA74D5" w:rsidRPr="00FA74D5">
              <w:rPr>
                <w:b/>
              </w:rPr>
              <w:t>PL 2</w:t>
            </w:r>
          </w:p>
        </w:tc>
        <w:tc>
          <w:tcPr>
            <w:tcW w:w="5245" w:type="dxa"/>
          </w:tcPr>
          <w:p w14:paraId="6779937E" w14:textId="75EFB8C8" w:rsidR="00AD3606" w:rsidRPr="00C0458D" w:rsidRDefault="00791B97" w:rsidP="00472BAD">
            <w:pPr>
              <w:tabs>
                <w:tab w:val="left" w:pos="851"/>
              </w:tabs>
              <w:spacing w:before="0" w:line="240" w:lineRule="atLeast"/>
              <w:jc w:val="right"/>
              <w:rPr>
                <w:b/>
                <w:lang w:eastAsia="zh-CN"/>
              </w:rPr>
            </w:pPr>
            <w:r>
              <w:rPr>
                <w:rFonts w:hint="eastAsia"/>
                <w:b/>
                <w:lang w:eastAsia="zh-CN"/>
              </w:rPr>
              <w:t>文件</w:t>
            </w:r>
            <w:r>
              <w:rPr>
                <w:rFonts w:hint="eastAsia"/>
                <w:b/>
                <w:lang w:eastAsia="zh-CN"/>
              </w:rPr>
              <w:t xml:space="preserve"> </w:t>
            </w:r>
            <w:r w:rsidR="00FA74D5" w:rsidRPr="00FA74D5">
              <w:rPr>
                <w:b/>
              </w:rPr>
              <w:t>C25/72-</w:t>
            </w:r>
            <w:r>
              <w:rPr>
                <w:rFonts w:hint="eastAsia"/>
                <w:b/>
                <w:lang w:eastAsia="zh-CN"/>
              </w:rPr>
              <w:t>C</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5EFE1777" w:rsidR="00AD3606" w:rsidRPr="00C0458D" w:rsidRDefault="00FA74D5" w:rsidP="00AD3606">
            <w:pPr>
              <w:tabs>
                <w:tab w:val="left" w:pos="851"/>
              </w:tabs>
              <w:spacing w:before="0"/>
              <w:jc w:val="right"/>
              <w:rPr>
                <w:b/>
              </w:rPr>
            </w:pPr>
            <w:r w:rsidRPr="00FA74D5">
              <w:rPr>
                <w:b/>
              </w:rPr>
              <w:t>2025</w:t>
            </w:r>
            <w:r w:rsidR="00791B97">
              <w:rPr>
                <w:rFonts w:hint="eastAsia"/>
                <w:b/>
                <w:lang w:eastAsia="zh-CN"/>
              </w:rPr>
              <w:t>年</w:t>
            </w:r>
            <w:r w:rsidR="003457FB">
              <w:rPr>
                <w:rFonts w:hint="eastAsia"/>
                <w:b/>
                <w:lang w:eastAsia="zh-CN"/>
              </w:rPr>
              <w:t>5</w:t>
            </w:r>
            <w:r w:rsidR="00791B97">
              <w:rPr>
                <w:rFonts w:hint="eastAsia"/>
                <w:b/>
                <w:lang w:eastAsia="zh-CN"/>
              </w:rPr>
              <w:t>月</w:t>
            </w:r>
            <w:r w:rsidR="00E47FF1" w:rsidRPr="00FA74D5">
              <w:rPr>
                <w:b/>
              </w:rPr>
              <w:t>19</w:t>
            </w:r>
            <w:r w:rsidR="00791B97">
              <w:rPr>
                <w:rFonts w:hint="eastAsia"/>
                <w:b/>
                <w:lang w:eastAsia="zh-CN"/>
              </w:rPr>
              <w:t>日</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38E8E9F4" w:rsidR="00AD3606" w:rsidRPr="00C0458D" w:rsidRDefault="00791B97" w:rsidP="00AD3606">
            <w:pPr>
              <w:tabs>
                <w:tab w:val="left" w:pos="851"/>
              </w:tabs>
              <w:spacing w:before="0" w:line="240" w:lineRule="atLeast"/>
              <w:jc w:val="right"/>
              <w:rPr>
                <w:b/>
                <w:lang w:eastAsia="zh-CN"/>
              </w:rPr>
            </w:pPr>
            <w:r>
              <w:rPr>
                <w:rFonts w:hint="eastAsia"/>
                <w:b/>
                <w:lang w:eastAsia="zh-CN"/>
              </w:rPr>
              <w:t>原文：英文</w:t>
            </w:r>
          </w:p>
        </w:tc>
      </w:tr>
      <w:tr w:rsidR="00472BAD" w:rsidRPr="00C0458D" w14:paraId="14DA91C4" w14:textId="77777777" w:rsidTr="00AD3606">
        <w:trPr>
          <w:cantSplit/>
          <w:trHeight w:val="23"/>
        </w:trPr>
        <w:tc>
          <w:tcPr>
            <w:tcW w:w="3969" w:type="dxa"/>
          </w:tcPr>
          <w:p w14:paraId="5858B25D" w14:textId="29F7EE76"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56A528AB" w:rsidR="00AD3606" w:rsidRPr="000F7289" w:rsidRDefault="00791B97" w:rsidP="000F7289">
            <w:pPr>
              <w:pStyle w:val="Source"/>
              <w:framePr w:hSpace="0" w:wrap="auto" w:vAnchor="margin" w:hAnchor="text" w:xAlign="left" w:yAlign="inline"/>
            </w:pPr>
            <w:bookmarkStart w:id="8" w:name="dsource" w:colFirst="0" w:colLast="0"/>
            <w:bookmarkEnd w:id="7"/>
            <w:r>
              <w:rPr>
                <w:rFonts w:hint="eastAsia"/>
                <w:lang w:eastAsia="zh-CN"/>
              </w:rPr>
              <w:t>秘书长的报告</w:t>
            </w:r>
          </w:p>
        </w:tc>
      </w:tr>
      <w:tr w:rsidR="00AD3606" w:rsidRPr="00C0458D" w14:paraId="3A759762" w14:textId="77777777" w:rsidTr="00AD3606">
        <w:trPr>
          <w:cantSplit/>
        </w:trPr>
        <w:tc>
          <w:tcPr>
            <w:tcW w:w="9214" w:type="dxa"/>
            <w:gridSpan w:val="2"/>
            <w:tcMar>
              <w:left w:w="0" w:type="dxa"/>
            </w:tcMar>
          </w:tcPr>
          <w:p w14:paraId="2A2DCF47" w14:textId="2106FA75" w:rsidR="00AD3606" w:rsidRPr="000F7289" w:rsidRDefault="008D1B37" w:rsidP="000F7289">
            <w:pPr>
              <w:pStyle w:val="Subtitle"/>
              <w:framePr w:hSpace="0" w:wrap="auto" w:xAlign="left" w:yAlign="inline"/>
              <w:rPr>
                <w:lang w:eastAsia="zh-CN"/>
              </w:rPr>
            </w:pPr>
            <w:bookmarkStart w:id="9" w:name="dtitle1" w:colFirst="0" w:colLast="0"/>
            <w:bookmarkEnd w:id="8"/>
            <w:r>
              <w:rPr>
                <w:rFonts w:hint="eastAsia"/>
                <w:caps/>
                <w:lang w:eastAsia="zh-CN"/>
              </w:rPr>
              <w:t>为</w:t>
            </w:r>
            <w:r w:rsidR="00C84A84" w:rsidRPr="008D1B37">
              <w:rPr>
                <w:rFonts w:hint="eastAsia"/>
                <w:caps/>
                <w:lang w:eastAsia="zh-CN"/>
              </w:rPr>
              <w:t>相关国家重建基础设施</w:t>
            </w:r>
            <w:r w:rsidR="00E47FF1" w:rsidRPr="008D1B37">
              <w:rPr>
                <w:rFonts w:hint="eastAsia"/>
                <w:caps/>
                <w:lang w:eastAsia="zh-CN"/>
              </w:rPr>
              <w:t>提供支持</w:t>
            </w:r>
            <w:r w:rsidR="00C84A84" w:rsidRPr="008D1B37">
              <w:rPr>
                <w:rFonts w:hint="eastAsia"/>
                <w:caps/>
                <w:lang w:eastAsia="zh-CN"/>
              </w:rPr>
              <w:t>的活动</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5D39699" w:rsidR="00AD3606" w:rsidRPr="00C0458D" w:rsidRDefault="00791B97" w:rsidP="00F16BAB">
            <w:pPr>
              <w:spacing w:before="160"/>
              <w:rPr>
                <w:b/>
                <w:bCs/>
                <w:sz w:val="26"/>
                <w:szCs w:val="26"/>
                <w:lang w:eastAsia="zh-CN"/>
              </w:rPr>
            </w:pPr>
            <w:r>
              <w:rPr>
                <w:rFonts w:hint="eastAsia"/>
                <w:b/>
                <w:bCs/>
                <w:sz w:val="26"/>
                <w:szCs w:val="26"/>
                <w:lang w:eastAsia="zh-CN"/>
              </w:rPr>
              <w:t>目的</w:t>
            </w:r>
          </w:p>
          <w:p w14:paraId="67D070EA" w14:textId="2BED2EFB" w:rsidR="00AD3606" w:rsidRPr="00C0458D" w:rsidRDefault="00C84A84" w:rsidP="00235FC4">
            <w:pPr>
              <w:ind w:firstLineChars="200" w:firstLine="480"/>
              <w:rPr>
                <w:lang w:eastAsia="zh-CN"/>
              </w:rPr>
            </w:pPr>
            <w:r w:rsidRPr="009038A4">
              <w:rPr>
                <w:rFonts w:hint="eastAsia"/>
                <w:lang w:eastAsia="zh-CN"/>
              </w:rPr>
              <w:t>本报告是</w:t>
            </w:r>
            <w:r w:rsidR="009038A4">
              <w:rPr>
                <w:rFonts w:hint="eastAsia"/>
                <w:lang w:eastAsia="zh-CN"/>
              </w:rPr>
              <w:t>为响应</w:t>
            </w:r>
            <w:r w:rsidRPr="009038A4">
              <w:rPr>
                <w:rFonts w:hint="eastAsia"/>
                <w:lang w:eastAsia="zh-CN"/>
              </w:rPr>
              <w:t>国际电联理事会</w:t>
            </w:r>
            <w:r w:rsidR="008D1B37" w:rsidRPr="009038A4">
              <w:rPr>
                <w:lang w:eastAsia="zh-CN"/>
              </w:rPr>
              <w:t>2024</w:t>
            </w:r>
            <w:r w:rsidRPr="009038A4">
              <w:rPr>
                <w:rFonts w:hint="eastAsia"/>
                <w:lang w:eastAsia="zh-CN"/>
              </w:rPr>
              <w:t>年会议</w:t>
            </w:r>
            <w:r w:rsidR="009038A4">
              <w:rPr>
                <w:rFonts w:hint="eastAsia"/>
                <w:lang w:eastAsia="zh-CN"/>
              </w:rPr>
              <w:t>而</w:t>
            </w:r>
            <w:r w:rsidRPr="009038A4">
              <w:rPr>
                <w:rFonts w:hint="eastAsia"/>
                <w:lang w:eastAsia="zh-CN"/>
              </w:rPr>
              <w:t>编</w:t>
            </w:r>
            <w:r w:rsidRPr="00C84A84">
              <w:rPr>
                <w:rFonts w:hint="eastAsia"/>
                <w:lang w:eastAsia="zh-CN"/>
              </w:rPr>
              <w:t>写的</w:t>
            </w:r>
            <w:r w:rsidR="008D1B37">
              <w:rPr>
                <w:rFonts w:hint="eastAsia"/>
                <w:lang w:eastAsia="zh-CN"/>
              </w:rPr>
              <w:t>，</w:t>
            </w:r>
            <w:r w:rsidRPr="00C84A84">
              <w:rPr>
                <w:rFonts w:hint="eastAsia"/>
                <w:lang w:eastAsia="zh-CN"/>
              </w:rPr>
              <w:t>在该会议上</w:t>
            </w:r>
            <w:r w:rsidR="008D1B37">
              <w:rPr>
                <w:rFonts w:hint="eastAsia"/>
                <w:lang w:eastAsia="zh-CN"/>
              </w:rPr>
              <w:t>，</w:t>
            </w:r>
            <w:r w:rsidRPr="00C84A84">
              <w:rPr>
                <w:rFonts w:hint="eastAsia"/>
                <w:lang w:eastAsia="zh-CN"/>
              </w:rPr>
              <w:t>成员国要求全面概述国际电联为支持成员国重建</w:t>
            </w:r>
            <w:r w:rsidR="008D1B37" w:rsidRPr="00FA74D5">
              <w:rPr>
                <w:lang w:eastAsia="zh-CN"/>
              </w:rPr>
              <w:t>ICT</w:t>
            </w:r>
            <w:r w:rsidRPr="00C84A84">
              <w:rPr>
                <w:rFonts w:hint="eastAsia"/>
                <w:lang w:eastAsia="zh-CN"/>
              </w:rPr>
              <w:t>基础设施而开展的活动</w:t>
            </w:r>
            <w:r w:rsidR="008D1B37">
              <w:rPr>
                <w:rFonts w:hint="eastAsia"/>
                <w:lang w:eastAsia="zh-CN"/>
              </w:rPr>
              <w:t>。</w:t>
            </w:r>
            <w:r w:rsidRPr="009038A4">
              <w:rPr>
                <w:rFonts w:hint="eastAsia"/>
                <w:lang w:eastAsia="zh-CN"/>
              </w:rPr>
              <w:t>本报告</w:t>
            </w:r>
            <w:r w:rsidR="007C39C8" w:rsidRPr="009038A4">
              <w:rPr>
                <w:rFonts w:hint="eastAsia"/>
                <w:lang w:eastAsia="zh-CN"/>
              </w:rPr>
              <w:t>介绍</w:t>
            </w:r>
            <w:r w:rsidRPr="009038A4">
              <w:rPr>
                <w:rFonts w:hint="eastAsia"/>
                <w:lang w:eastAsia="zh-CN"/>
              </w:rPr>
              <w:t>了有关国际电联</w:t>
            </w:r>
            <w:r w:rsidR="008D1B37" w:rsidRPr="009038A4">
              <w:rPr>
                <w:rFonts w:hint="eastAsia"/>
                <w:lang w:eastAsia="zh-CN"/>
              </w:rPr>
              <w:t>职责</w:t>
            </w:r>
            <w:r w:rsidRPr="009038A4">
              <w:rPr>
                <w:rFonts w:hint="eastAsia"/>
                <w:lang w:eastAsia="zh-CN"/>
              </w:rPr>
              <w:t>的背景</w:t>
            </w:r>
            <w:r w:rsidR="008D1B37" w:rsidRPr="009038A4">
              <w:rPr>
                <w:rFonts w:hint="eastAsia"/>
                <w:lang w:eastAsia="zh-CN"/>
              </w:rPr>
              <w:t>，</w:t>
            </w:r>
            <w:r w:rsidRPr="009038A4">
              <w:rPr>
                <w:rFonts w:hint="eastAsia"/>
                <w:lang w:eastAsia="zh-CN"/>
              </w:rPr>
              <w:t>概述了产品和服务</w:t>
            </w:r>
            <w:r w:rsidR="008D1B37" w:rsidRPr="009038A4">
              <w:rPr>
                <w:rFonts w:hint="eastAsia"/>
                <w:lang w:eastAsia="zh-CN"/>
              </w:rPr>
              <w:t>，</w:t>
            </w:r>
            <w:r w:rsidRPr="009038A4">
              <w:rPr>
                <w:rFonts w:hint="eastAsia"/>
                <w:lang w:eastAsia="zh-CN"/>
              </w:rPr>
              <w:t>并</w:t>
            </w:r>
            <w:r w:rsidR="007C39C8" w:rsidRPr="009038A4">
              <w:rPr>
                <w:rFonts w:hint="eastAsia"/>
                <w:lang w:eastAsia="zh-CN"/>
              </w:rPr>
              <w:t>介绍</w:t>
            </w:r>
            <w:r w:rsidRPr="009038A4">
              <w:rPr>
                <w:rFonts w:hint="eastAsia"/>
                <w:lang w:eastAsia="zh-CN"/>
              </w:rPr>
              <w:t>了国际电联</w:t>
            </w:r>
            <w:r w:rsidR="007C39C8" w:rsidRPr="009038A4">
              <w:rPr>
                <w:rFonts w:hint="eastAsia"/>
                <w:lang w:eastAsia="zh-CN"/>
              </w:rPr>
              <w:t>最近</w:t>
            </w:r>
            <w:r w:rsidRPr="009038A4">
              <w:rPr>
                <w:rFonts w:hint="eastAsia"/>
                <w:lang w:eastAsia="zh-CN"/>
              </w:rPr>
              <w:t>在相关</w:t>
            </w:r>
            <w:r w:rsidRPr="00C84A84">
              <w:rPr>
                <w:rFonts w:hint="eastAsia"/>
                <w:lang w:eastAsia="zh-CN"/>
              </w:rPr>
              <w:t>国家开展的活动</w:t>
            </w:r>
            <w:r w:rsidR="008D1B37">
              <w:rPr>
                <w:rFonts w:hint="eastAsia"/>
                <w:lang w:eastAsia="zh-CN"/>
              </w:rPr>
              <w:t>。</w:t>
            </w:r>
          </w:p>
          <w:p w14:paraId="4288AA6F" w14:textId="0BCE77A9" w:rsidR="00AD3606" w:rsidRDefault="00791B97" w:rsidP="00F16BAB">
            <w:pPr>
              <w:spacing w:before="160"/>
              <w:rPr>
                <w:b/>
                <w:bCs/>
                <w:sz w:val="26"/>
                <w:szCs w:val="26"/>
                <w:lang w:eastAsia="zh-CN"/>
              </w:rPr>
            </w:pPr>
            <w:r w:rsidRPr="00791B97">
              <w:rPr>
                <w:rFonts w:hint="eastAsia"/>
                <w:b/>
                <w:bCs/>
                <w:sz w:val="26"/>
                <w:szCs w:val="26"/>
                <w:lang w:eastAsia="zh-CN"/>
              </w:rPr>
              <w:t>理事会需采取的行动</w:t>
            </w:r>
          </w:p>
          <w:p w14:paraId="0FFF2D9B" w14:textId="6475FD6E" w:rsidR="00722551" w:rsidRDefault="00C84A84" w:rsidP="000F104D">
            <w:pPr>
              <w:ind w:firstLineChars="200" w:firstLine="480"/>
              <w:rPr>
                <w:lang w:val="en-US" w:eastAsia="zh-CN"/>
              </w:rPr>
            </w:pPr>
            <w:r w:rsidRPr="00C84A84">
              <w:rPr>
                <w:rFonts w:hint="eastAsia"/>
                <w:lang w:eastAsia="zh-CN"/>
              </w:rPr>
              <w:t>请理事会</w:t>
            </w:r>
            <w:r w:rsidR="00AF3591">
              <w:rPr>
                <w:rFonts w:hint="eastAsia"/>
                <w:lang w:eastAsia="zh-CN"/>
              </w:rPr>
              <w:t>将</w:t>
            </w:r>
            <w:r w:rsidRPr="00C84A84">
              <w:rPr>
                <w:rFonts w:hint="eastAsia"/>
                <w:lang w:eastAsia="zh-CN"/>
              </w:rPr>
              <w:t>本报告</w:t>
            </w:r>
            <w:r w:rsidR="00AF3591" w:rsidRPr="00AF3591">
              <w:rPr>
                <w:rFonts w:hint="eastAsia"/>
                <w:b/>
                <w:bCs/>
                <w:lang w:eastAsia="zh-CN"/>
              </w:rPr>
              <w:t>记录在案</w:t>
            </w:r>
            <w:r w:rsidRPr="00C84A84">
              <w:rPr>
                <w:rFonts w:hint="eastAsia"/>
                <w:lang w:eastAsia="zh-CN"/>
              </w:rPr>
              <w:t>并</w:t>
            </w:r>
            <w:r w:rsidRPr="00AF3591">
              <w:rPr>
                <w:rFonts w:hint="eastAsia"/>
                <w:b/>
                <w:bCs/>
                <w:lang w:eastAsia="zh-CN"/>
              </w:rPr>
              <w:t>提供指导</w:t>
            </w:r>
            <w:r w:rsidR="00AF3591" w:rsidRPr="00AF3591">
              <w:rPr>
                <w:rFonts w:hint="eastAsia"/>
                <w:lang w:eastAsia="zh-CN"/>
              </w:rPr>
              <w:t>。</w:t>
            </w:r>
          </w:p>
          <w:p w14:paraId="7BB41EC2" w14:textId="77777777" w:rsidR="000F104D" w:rsidRDefault="000F104D" w:rsidP="000F104D">
            <w:pPr>
              <w:spacing w:before="160"/>
              <w:rPr>
                <w:b/>
                <w:bCs/>
                <w:sz w:val="26"/>
                <w:szCs w:val="26"/>
                <w:lang w:eastAsia="zh-CN"/>
              </w:rPr>
            </w:pPr>
            <w:r w:rsidRPr="00A12D70">
              <w:rPr>
                <w:rFonts w:hint="eastAsia"/>
                <w:b/>
                <w:bCs/>
                <w:sz w:val="26"/>
                <w:szCs w:val="26"/>
                <w:lang w:eastAsia="zh-CN"/>
              </w:rPr>
              <w:t>与《战略规划》的关联</w:t>
            </w:r>
          </w:p>
          <w:p w14:paraId="480CE100" w14:textId="3C334493" w:rsidR="000F104D" w:rsidRPr="00F16BAB" w:rsidRDefault="00C84A84" w:rsidP="000F104D">
            <w:pPr>
              <w:ind w:firstLineChars="200" w:firstLine="480"/>
              <w:rPr>
                <w:lang w:eastAsia="zh-CN"/>
              </w:rPr>
            </w:pPr>
            <w:r w:rsidRPr="00C84A84">
              <w:rPr>
                <w:rFonts w:hint="eastAsia"/>
                <w:lang w:eastAsia="zh-CN"/>
              </w:rPr>
              <w:t>提供技术援助</w:t>
            </w:r>
            <w:r w:rsidR="00AF3591">
              <w:rPr>
                <w:rFonts w:hint="eastAsia"/>
                <w:lang w:eastAsia="zh-CN"/>
              </w:rPr>
              <w:t>。</w:t>
            </w:r>
          </w:p>
          <w:p w14:paraId="3120A5D3" w14:textId="77777777" w:rsidR="000F104D" w:rsidRDefault="000F104D" w:rsidP="000F104D">
            <w:pPr>
              <w:spacing w:before="160"/>
              <w:rPr>
                <w:b/>
                <w:bCs/>
                <w:sz w:val="26"/>
                <w:szCs w:val="26"/>
                <w:lang w:eastAsia="zh-CN"/>
              </w:rPr>
            </w:pPr>
            <w:r>
              <w:rPr>
                <w:rFonts w:hint="eastAsia"/>
                <w:b/>
                <w:bCs/>
                <w:sz w:val="26"/>
                <w:szCs w:val="26"/>
                <w:lang w:eastAsia="zh-CN"/>
              </w:rPr>
              <w:t>财务影响</w:t>
            </w:r>
          </w:p>
          <w:p w14:paraId="4C866DE9" w14:textId="18023665" w:rsidR="000F104D" w:rsidRPr="00453079" w:rsidRDefault="000F104D" w:rsidP="000F104D">
            <w:pPr>
              <w:spacing w:before="160"/>
              <w:ind w:firstLineChars="200" w:firstLine="480"/>
              <w:rPr>
                <w:szCs w:val="24"/>
                <w:lang w:eastAsia="zh-CN"/>
              </w:rPr>
            </w:pPr>
            <w:r w:rsidRPr="009038A4">
              <w:rPr>
                <w:rFonts w:hint="eastAsia"/>
                <w:szCs w:val="24"/>
                <w:lang w:eastAsia="zh-CN"/>
              </w:rPr>
              <w:t>在</w:t>
            </w:r>
            <w:r w:rsidR="00C00FC1" w:rsidRPr="009038A4">
              <w:rPr>
                <w:szCs w:val="24"/>
                <w:lang w:eastAsia="zh-CN"/>
              </w:rPr>
              <w:t>2024-2025</w:t>
            </w:r>
            <w:r w:rsidRPr="009038A4">
              <w:rPr>
                <w:rFonts w:hint="eastAsia"/>
                <w:szCs w:val="24"/>
                <w:lang w:eastAsia="zh-CN"/>
              </w:rPr>
              <w:t>年</w:t>
            </w:r>
            <w:r w:rsidR="00C00FC1" w:rsidRPr="009038A4">
              <w:rPr>
                <w:rFonts w:hint="eastAsia"/>
                <w:szCs w:val="24"/>
                <w:lang w:eastAsia="zh-CN"/>
              </w:rPr>
              <w:t>划拨</w:t>
            </w:r>
            <w:r w:rsidRPr="009038A4">
              <w:rPr>
                <w:rFonts w:hint="eastAsia"/>
                <w:szCs w:val="24"/>
                <w:lang w:eastAsia="zh-CN"/>
              </w:rPr>
              <w:t>预算</w:t>
            </w:r>
            <w:r w:rsidRPr="00A12D70">
              <w:rPr>
                <w:rFonts w:hint="eastAsia"/>
                <w:szCs w:val="24"/>
                <w:lang w:eastAsia="zh-CN"/>
              </w:rPr>
              <w:t>范围内</w:t>
            </w:r>
            <w:r>
              <w:rPr>
                <w:rFonts w:hint="eastAsia"/>
                <w:szCs w:val="24"/>
                <w:lang w:eastAsia="zh-CN"/>
              </w:rPr>
              <w:t>。</w:t>
            </w:r>
          </w:p>
          <w:p w14:paraId="08939791" w14:textId="77777777" w:rsidR="00C0458D" w:rsidRDefault="00C0458D">
            <w:pPr>
              <w:rPr>
                <w:lang w:eastAsia="zh-CN"/>
              </w:rPr>
            </w:pPr>
            <w:r>
              <w:rPr>
                <w:lang w:eastAsia="zh-CN"/>
              </w:rPr>
              <w:t>_______________</w:t>
            </w:r>
          </w:p>
          <w:p w14:paraId="212A584A" w14:textId="18597986" w:rsidR="00AD3606" w:rsidRPr="00C0458D" w:rsidRDefault="00791B97" w:rsidP="00F16BAB">
            <w:pPr>
              <w:spacing w:before="160"/>
              <w:rPr>
                <w:b/>
                <w:bCs/>
                <w:sz w:val="26"/>
                <w:szCs w:val="26"/>
                <w:lang w:eastAsia="zh-CN"/>
              </w:rPr>
            </w:pPr>
            <w:r>
              <w:rPr>
                <w:rFonts w:hint="eastAsia"/>
                <w:b/>
                <w:bCs/>
                <w:sz w:val="26"/>
                <w:szCs w:val="26"/>
                <w:lang w:eastAsia="zh-CN"/>
              </w:rPr>
              <w:t>参考</w:t>
            </w:r>
            <w:r w:rsidR="00FA74D5">
              <w:rPr>
                <w:rFonts w:hint="eastAsia"/>
                <w:b/>
                <w:bCs/>
                <w:sz w:val="26"/>
                <w:szCs w:val="26"/>
                <w:lang w:eastAsia="zh-CN"/>
              </w:rPr>
              <w:t>文件</w:t>
            </w:r>
          </w:p>
          <w:p w14:paraId="7089D4B7" w14:textId="0BE94025" w:rsidR="00AD3606" w:rsidRPr="00791B97" w:rsidRDefault="00C84A84" w:rsidP="00A07996">
            <w:pPr>
              <w:spacing w:after="160"/>
              <w:rPr>
                <w:rFonts w:eastAsia="STKaiti"/>
                <w:sz w:val="22"/>
                <w:szCs w:val="22"/>
                <w:lang w:eastAsia="zh-CN"/>
              </w:rPr>
            </w:pPr>
            <w:r w:rsidRPr="00B3498B">
              <w:rPr>
                <w:rFonts w:ascii="STKaiti" w:eastAsia="STKaiti" w:hAnsi="STKaiti" w:hint="eastAsia"/>
                <w:lang w:eastAsia="zh-CN"/>
              </w:rPr>
              <w:t>全权代表大会</w:t>
            </w:r>
            <w:r w:rsidR="00B3498B" w:rsidRPr="00B3498B">
              <w:rPr>
                <w:rFonts w:ascii="STKaiti" w:eastAsia="STKaiti" w:hAnsi="STKaiti" w:hint="eastAsia"/>
                <w:lang w:eastAsia="zh-CN"/>
              </w:rPr>
              <w:t>（</w:t>
            </w:r>
            <w:r w:rsidR="00B3498B" w:rsidRPr="00B3498B">
              <w:rPr>
                <w:lang w:eastAsia="zh-CN"/>
              </w:rPr>
              <w:t>PP</w:t>
            </w:r>
            <w:r w:rsidR="00B3498B" w:rsidRPr="00B3498B">
              <w:rPr>
                <w:rFonts w:ascii="STKaiti" w:eastAsia="STKaiti" w:hAnsi="STKaiti" w:hint="eastAsia"/>
                <w:lang w:eastAsia="zh-CN"/>
              </w:rPr>
              <w:t>）</w:t>
            </w:r>
            <w:r w:rsidRPr="00B3498B">
              <w:rPr>
                <w:rFonts w:ascii="STKaiti" w:eastAsia="STKaiti" w:hAnsi="STKaiti" w:hint="eastAsia"/>
                <w:lang w:eastAsia="zh-CN"/>
              </w:rPr>
              <w:t>第</w:t>
            </w:r>
            <w:hyperlink r:id="rId11" w:history="1">
              <w:r w:rsidR="00B3498B" w:rsidRPr="00B3498B">
                <w:rPr>
                  <w:rStyle w:val="Hyperlink"/>
                  <w:lang w:eastAsia="zh-CN"/>
                </w:rPr>
                <w:t>125</w:t>
              </w:r>
            </w:hyperlink>
            <w:r w:rsidRPr="00B3498B">
              <w:rPr>
                <w:rFonts w:ascii="STKaiti" w:eastAsia="STKaiti" w:hAnsi="STKaiti" w:hint="eastAsia"/>
                <w:lang w:eastAsia="zh-CN"/>
              </w:rPr>
              <w:t>号决议</w:t>
            </w:r>
            <w:r w:rsidR="00B3498B" w:rsidRPr="00B3498B">
              <w:rPr>
                <w:rFonts w:ascii="STKaiti" w:eastAsia="STKaiti" w:hAnsi="STKaiti" w:hint="eastAsia"/>
                <w:lang w:eastAsia="zh-CN"/>
              </w:rPr>
              <w:t>（</w:t>
            </w:r>
            <w:r w:rsidR="00B3498B" w:rsidRPr="00B3498B">
              <w:rPr>
                <w:lang w:eastAsia="zh-CN"/>
              </w:rPr>
              <w:t>2022</w:t>
            </w:r>
            <w:r w:rsidR="00B3498B" w:rsidRPr="00B3498B">
              <w:rPr>
                <w:rFonts w:ascii="STKaiti" w:eastAsia="STKaiti" w:hAnsi="STKaiti" w:hint="eastAsia"/>
                <w:lang w:eastAsia="zh-CN"/>
              </w:rPr>
              <w:t>年，布加勒斯特，修订版）</w:t>
            </w:r>
            <w:r w:rsidRPr="00B3498B">
              <w:rPr>
                <w:rFonts w:ascii="STKaiti" w:eastAsia="STKaiti" w:hAnsi="STKaiti" w:hint="eastAsia"/>
                <w:lang w:eastAsia="zh-CN"/>
              </w:rPr>
              <w:t>和第</w:t>
            </w:r>
            <w:hyperlink r:id="rId12" w:history="1">
              <w:r w:rsidR="00B3498B" w:rsidRPr="00B3498B">
                <w:rPr>
                  <w:rStyle w:val="Hyperlink"/>
                  <w:lang w:eastAsia="zh-CN"/>
                </w:rPr>
                <w:t>193</w:t>
              </w:r>
            </w:hyperlink>
            <w:r w:rsidRPr="00B3498B">
              <w:rPr>
                <w:rFonts w:ascii="STKaiti" w:eastAsia="STKaiti" w:hAnsi="STKaiti" w:hint="eastAsia"/>
                <w:lang w:eastAsia="zh-CN"/>
              </w:rPr>
              <w:t>号决议</w:t>
            </w:r>
            <w:r w:rsidR="00B3498B" w:rsidRPr="00B3498B">
              <w:rPr>
                <w:rFonts w:ascii="STKaiti" w:eastAsia="STKaiti" w:hAnsi="STKaiti" w:hint="eastAsia"/>
                <w:lang w:eastAsia="zh-CN"/>
              </w:rPr>
              <w:t>（</w:t>
            </w:r>
            <w:r w:rsidR="00B3498B" w:rsidRPr="00B3498B">
              <w:rPr>
                <w:lang w:eastAsia="zh-CN"/>
              </w:rPr>
              <w:t>2022</w:t>
            </w:r>
            <w:r w:rsidR="00B3498B" w:rsidRPr="00B3498B">
              <w:rPr>
                <w:rFonts w:ascii="STKaiti" w:eastAsia="STKaiti" w:hAnsi="STKaiti" w:hint="eastAsia"/>
                <w:lang w:eastAsia="zh-CN"/>
              </w:rPr>
              <w:t>年，布加勒斯特，修订版）；</w:t>
            </w:r>
            <w:r w:rsidRPr="00B3498B">
              <w:rPr>
                <w:rFonts w:ascii="STKaiti" w:eastAsia="STKaiti" w:hAnsi="STKaiti" w:hint="eastAsia"/>
                <w:lang w:eastAsia="zh-CN"/>
              </w:rPr>
              <w:t>世界电信发展</w:t>
            </w:r>
            <w:proofErr w:type="gramStart"/>
            <w:r w:rsidRPr="00B3498B">
              <w:rPr>
                <w:rFonts w:ascii="STKaiti" w:eastAsia="STKaiti" w:hAnsi="STKaiti" w:hint="eastAsia"/>
                <w:lang w:eastAsia="zh-CN"/>
              </w:rPr>
              <w:t>大会第</w:t>
            </w:r>
            <w:proofErr w:type="gramEnd"/>
            <w:r w:rsidR="00B3498B">
              <w:fldChar w:fldCharType="begin"/>
            </w:r>
            <w:r w:rsidR="00B3498B">
              <w:rPr>
                <w:lang w:eastAsia="zh-CN"/>
              </w:rPr>
              <w:instrText>HYPERLINK "https://www.itu.int/pub/D-RES-D.18-2022"</w:instrText>
            </w:r>
            <w:r w:rsidR="00B3498B">
              <w:fldChar w:fldCharType="separate"/>
            </w:r>
            <w:r w:rsidR="00B3498B" w:rsidRPr="00B3498B">
              <w:rPr>
                <w:rStyle w:val="Hyperlink"/>
                <w:lang w:eastAsia="zh-CN"/>
              </w:rPr>
              <w:t>18</w:t>
            </w:r>
            <w:r w:rsidR="00B3498B">
              <w:fldChar w:fldCharType="end"/>
            </w:r>
            <w:r w:rsidRPr="00B3498B">
              <w:rPr>
                <w:rFonts w:ascii="STKaiti" w:eastAsia="STKaiti" w:hAnsi="STKaiti" w:hint="eastAsia"/>
                <w:lang w:eastAsia="zh-CN"/>
              </w:rPr>
              <w:t>号决议</w:t>
            </w:r>
            <w:r w:rsidR="00B3498B" w:rsidRPr="00B3498B">
              <w:rPr>
                <w:rFonts w:ascii="STKaiti" w:eastAsia="STKaiti" w:hAnsi="STKaiti" w:hint="eastAsia"/>
                <w:lang w:eastAsia="zh-CN"/>
              </w:rPr>
              <w:t>（</w:t>
            </w:r>
            <w:r w:rsidR="00B3498B" w:rsidRPr="00B3498B">
              <w:rPr>
                <w:lang w:eastAsia="zh-CN"/>
              </w:rPr>
              <w:t>2022</w:t>
            </w:r>
            <w:r w:rsidR="00B3498B" w:rsidRPr="00B3498B">
              <w:rPr>
                <w:rFonts w:ascii="STKaiti" w:eastAsia="STKaiti" w:hAnsi="STKaiti" w:hint="eastAsia"/>
                <w:lang w:eastAsia="zh-CN"/>
              </w:rPr>
              <w:t>年，基加利，修订版）</w:t>
            </w:r>
            <w:r w:rsidRPr="00B3498B">
              <w:rPr>
                <w:rFonts w:ascii="STKaiti" w:eastAsia="STKaiti" w:hAnsi="STKaiti" w:hint="eastAsia"/>
                <w:lang w:eastAsia="zh-CN"/>
              </w:rPr>
              <w:t>和第</w:t>
            </w:r>
            <w:hyperlink r:id="rId13" w:history="1">
              <w:r w:rsidR="00B3498B" w:rsidRPr="00B3498B">
                <w:rPr>
                  <w:rStyle w:val="Hyperlink"/>
                  <w:lang w:eastAsia="zh-CN"/>
                </w:rPr>
                <w:t>25</w:t>
              </w:r>
            </w:hyperlink>
            <w:r w:rsidRPr="00B3498B">
              <w:rPr>
                <w:rFonts w:ascii="STKaiti" w:eastAsia="STKaiti" w:hAnsi="STKaiti" w:hint="eastAsia"/>
                <w:lang w:eastAsia="zh-CN"/>
              </w:rPr>
              <w:t>号决议</w:t>
            </w:r>
            <w:r w:rsidR="00B3498B" w:rsidRPr="00B3498B">
              <w:rPr>
                <w:rFonts w:ascii="STKaiti" w:eastAsia="STKaiti" w:hAnsi="STKaiti" w:hint="eastAsia"/>
                <w:lang w:eastAsia="zh-CN"/>
              </w:rPr>
              <w:t>（</w:t>
            </w:r>
            <w:r w:rsidR="00B3498B" w:rsidRPr="00B3498B">
              <w:rPr>
                <w:lang w:eastAsia="zh-CN"/>
              </w:rPr>
              <w:t>2022</w:t>
            </w:r>
            <w:r w:rsidR="00B3498B" w:rsidRPr="00B3498B">
              <w:rPr>
                <w:rFonts w:ascii="STKaiti" w:eastAsia="STKaiti" w:hAnsi="STKaiti" w:hint="eastAsia"/>
                <w:lang w:eastAsia="zh-CN"/>
              </w:rPr>
              <w:t>年，基加利，修订版）；</w:t>
            </w:r>
            <w:r w:rsidRPr="00B3498B">
              <w:rPr>
                <w:rFonts w:ascii="STKaiti" w:eastAsia="STKaiti" w:hAnsi="STKaiti" w:hint="eastAsia"/>
                <w:lang w:eastAsia="zh-CN"/>
              </w:rPr>
              <w:t>理事会第</w:t>
            </w:r>
            <w:hyperlink r:id="rId14" w:history="1">
              <w:r w:rsidR="00B3498B" w:rsidRPr="00B3498B">
                <w:rPr>
                  <w:rStyle w:val="Hyperlink"/>
                  <w:lang w:eastAsia="zh-CN"/>
                </w:rPr>
                <w:t>1408</w:t>
              </w:r>
            </w:hyperlink>
            <w:r w:rsidRPr="00B3498B">
              <w:rPr>
                <w:rFonts w:ascii="STKaiti" w:eastAsia="STKaiti" w:hAnsi="STKaiti" w:hint="eastAsia"/>
                <w:lang w:eastAsia="zh-CN"/>
              </w:rPr>
              <w:t>号决议</w:t>
            </w:r>
            <w:r w:rsidR="00B3498B" w:rsidRPr="00B3498B">
              <w:rPr>
                <w:rFonts w:ascii="STKaiti" w:eastAsia="STKaiti" w:hAnsi="STKaiti" w:hint="eastAsia"/>
                <w:lang w:eastAsia="zh-CN"/>
              </w:rPr>
              <w:t>（</w:t>
            </w:r>
            <w:r w:rsidR="00B3498B" w:rsidRPr="00B3498B">
              <w:rPr>
                <w:lang w:eastAsia="zh-CN"/>
              </w:rPr>
              <w:t>C22</w:t>
            </w:r>
            <w:r w:rsidR="00B3498B" w:rsidRPr="00B3498B">
              <w:rPr>
                <w:rFonts w:ascii="STKaiti" w:eastAsia="STKaiti" w:hAnsi="STKaiti" w:hint="eastAsia"/>
                <w:lang w:eastAsia="zh-CN"/>
              </w:rPr>
              <w:t>，最后修正</w:t>
            </w:r>
            <w:r w:rsidR="00B3498B" w:rsidRPr="00B3498B">
              <w:rPr>
                <w:lang w:eastAsia="zh-CN"/>
              </w:rPr>
              <w:t>C23</w:t>
            </w:r>
            <w:r w:rsidR="00B3498B" w:rsidRPr="00B3498B">
              <w:rPr>
                <w:rFonts w:ascii="STKaiti" w:eastAsia="STKaiti" w:hAnsi="STKaiti" w:hint="eastAsia"/>
                <w:lang w:eastAsia="zh-CN"/>
              </w:rPr>
              <w:t>）</w:t>
            </w: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0" w:name="_Hlk133421428"/>
      <w:bookmarkEnd w:id="2"/>
      <w:bookmarkEnd w:id="9"/>
    </w:p>
    <w:bookmarkEnd w:id="3"/>
    <w:bookmarkEnd w:id="4"/>
    <w:p w14:paraId="6662AA29" w14:textId="26692353" w:rsidR="00FA74D5" w:rsidRPr="00FA74D5" w:rsidRDefault="0090147A" w:rsidP="00BC02A2">
      <w:pPr>
        <w:pStyle w:val="Heading1"/>
        <w:rPr>
          <w:lang w:val="en-US" w:eastAsia="zh-CN"/>
        </w:rPr>
      </w:pPr>
      <w:r w:rsidRPr="00C0458D">
        <w:rPr>
          <w:lang w:eastAsia="zh-CN"/>
        </w:rPr>
        <w:br w:type="page"/>
      </w:r>
      <w:bookmarkStart w:id="11" w:name="_Toc309942973"/>
      <w:r w:rsidR="00FA74D5" w:rsidRPr="00FA74D5">
        <w:rPr>
          <w:lang w:val="en-US" w:eastAsia="zh-CN"/>
        </w:rPr>
        <w:lastRenderedPageBreak/>
        <w:t>1</w:t>
      </w:r>
      <w:r w:rsidR="00FA74D5" w:rsidRPr="00FA74D5">
        <w:rPr>
          <w:lang w:eastAsia="zh-CN"/>
        </w:rPr>
        <w:tab/>
      </w:r>
      <w:bookmarkEnd w:id="11"/>
      <w:r w:rsidR="00C84A84" w:rsidRPr="00C84A84">
        <w:rPr>
          <w:rFonts w:hint="eastAsia"/>
          <w:lang w:val="en-US" w:eastAsia="zh-CN"/>
        </w:rPr>
        <w:t>背景</w:t>
      </w:r>
    </w:p>
    <w:p w14:paraId="7226D928" w14:textId="4F35BCFC" w:rsidR="00FA74D5" w:rsidRPr="00FA74D5" w:rsidRDefault="00C84A84" w:rsidP="00BC02A2">
      <w:pPr>
        <w:spacing w:before="240" w:after="120"/>
        <w:ind w:firstLineChars="200" w:firstLine="480"/>
        <w:jc w:val="both"/>
        <w:rPr>
          <w:lang w:eastAsia="zh-CN"/>
        </w:rPr>
      </w:pPr>
      <w:r w:rsidRPr="00C84A84">
        <w:rPr>
          <w:rFonts w:hint="eastAsia"/>
          <w:lang w:eastAsia="zh-CN"/>
        </w:rPr>
        <w:t>本报告是</w:t>
      </w:r>
      <w:r w:rsidR="008D1852">
        <w:rPr>
          <w:rFonts w:hint="eastAsia"/>
          <w:lang w:eastAsia="zh-CN"/>
        </w:rPr>
        <w:t>为响应</w:t>
      </w:r>
      <w:r w:rsidRPr="00C84A84">
        <w:rPr>
          <w:rFonts w:hint="eastAsia"/>
          <w:lang w:eastAsia="zh-CN"/>
        </w:rPr>
        <w:t>国际电联理事会</w:t>
      </w:r>
      <w:r w:rsidR="00F265A8" w:rsidRPr="00FA74D5">
        <w:rPr>
          <w:lang w:eastAsia="zh-CN"/>
        </w:rPr>
        <w:t>2024</w:t>
      </w:r>
      <w:r w:rsidRPr="008D1852">
        <w:rPr>
          <w:rFonts w:hint="eastAsia"/>
          <w:lang w:eastAsia="zh-CN"/>
        </w:rPr>
        <w:t>年会议</w:t>
      </w:r>
      <w:r w:rsidR="008D1852" w:rsidRPr="008D1852">
        <w:rPr>
          <w:rFonts w:hint="eastAsia"/>
          <w:lang w:eastAsia="zh-CN"/>
        </w:rPr>
        <w:t>而</w:t>
      </w:r>
      <w:r w:rsidRPr="008D1852">
        <w:rPr>
          <w:rFonts w:hint="eastAsia"/>
          <w:lang w:eastAsia="zh-CN"/>
        </w:rPr>
        <w:t>编写的</w:t>
      </w:r>
      <w:r w:rsidR="00F265A8" w:rsidRPr="008D1852">
        <w:rPr>
          <w:rFonts w:hint="eastAsia"/>
          <w:lang w:eastAsia="zh-CN"/>
        </w:rPr>
        <w:t>，</w:t>
      </w:r>
      <w:r w:rsidRPr="008D1852">
        <w:rPr>
          <w:rFonts w:hint="eastAsia"/>
          <w:lang w:eastAsia="zh-CN"/>
        </w:rPr>
        <w:t>在该会议上</w:t>
      </w:r>
      <w:r w:rsidR="00F265A8" w:rsidRPr="008D1852">
        <w:rPr>
          <w:rFonts w:hint="eastAsia"/>
          <w:lang w:eastAsia="zh-CN"/>
        </w:rPr>
        <w:t>，</w:t>
      </w:r>
      <w:r w:rsidRPr="00C84A84">
        <w:rPr>
          <w:rFonts w:hint="eastAsia"/>
          <w:lang w:eastAsia="zh-CN"/>
        </w:rPr>
        <w:t>成员国要求全面概述国际电联为支持成员国重建</w:t>
      </w:r>
      <w:r w:rsidR="00F265A8" w:rsidRPr="00FA74D5">
        <w:rPr>
          <w:lang w:eastAsia="zh-CN"/>
        </w:rPr>
        <w:t>ICT</w:t>
      </w:r>
      <w:r w:rsidRPr="00C84A84">
        <w:rPr>
          <w:rFonts w:hint="eastAsia"/>
          <w:lang w:eastAsia="zh-CN"/>
        </w:rPr>
        <w:t>基础设施而开展的活动</w:t>
      </w:r>
      <w:r w:rsidR="00F265A8">
        <w:rPr>
          <w:rFonts w:hint="eastAsia"/>
          <w:lang w:eastAsia="zh-CN"/>
        </w:rPr>
        <w:t>。</w:t>
      </w:r>
    </w:p>
    <w:p w14:paraId="5765D3CF" w14:textId="4F810413" w:rsidR="00FA74D5" w:rsidRPr="00FA74D5" w:rsidRDefault="00423F6D" w:rsidP="00BC02A2">
      <w:pPr>
        <w:spacing w:after="120"/>
        <w:ind w:firstLineChars="200" w:firstLine="480"/>
        <w:jc w:val="both"/>
        <w:rPr>
          <w:lang w:eastAsia="zh-CN"/>
        </w:rPr>
      </w:pPr>
      <w:r>
        <w:rPr>
          <w:rFonts w:hint="eastAsia"/>
          <w:lang w:eastAsia="zh-CN"/>
        </w:rPr>
        <w:t>下文</w:t>
      </w:r>
      <w:r w:rsidR="00C84A84" w:rsidRPr="00C84A84">
        <w:rPr>
          <w:rFonts w:hint="eastAsia"/>
          <w:lang w:eastAsia="zh-CN"/>
        </w:rPr>
        <w:t>介绍了国际电联大会和理事会的成果</w:t>
      </w:r>
      <w:r w:rsidR="004B1A26">
        <w:rPr>
          <w:rFonts w:hint="eastAsia"/>
          <w:lang w:eastAsia="zh-CN"/>
        </w:rPr>
        <w:t>，</w:t>
      </w:r>
      <w:r w:rsidR="008D1852">
        <w:rPr>
          <w:rFonts w:hint="eastAsia"/>
          <w:lang w:eastAsia="zh-CN"/>
        </w:rPr>
        <w:t>其中要求</w:t>
      </w:r>
      <w:r w:rsidR="00C84A84" w:rsidRPr="00C84A84">
        <w:rPr>
          <w:rFonts w:hint="eastAsia"/>
          <w:lang w:eastAsia="zh-CN"/>
        </w:rPr>
        <w:t>国际电联向一系列相关国家提供技术援助</w:t>
      </w:r>
      <w:r>
        <w:rPr>
          <w:rFonts w:hint="eastAsia"/>
          <w:lang w:eastAsia="zh-CN"/>
        </w:rPr>
        <w:t>：</w:t>
      </w:r>
    </w:p>
    <w:p w14:paraId="787B84D6" w14:textId="03032B6D" w:rsidR="00FA74D5" w:rsidRPr="00FA74D5" w:rsidRDefault="00BC02A2" w:rsidP="00BC02A2">
      <w:pPr>
        <w:pStyle w:val="enumlev1"/>
        <w:rPr>
          <w:lang w:val="en-US" w:eastAsia="zh-CN"/>
        </w:rPr>
      </w:pPr>
      <w:r w:rsidRPr="00BC02A2">
        <w:rPr>
          <w:lang w:val="en-US" w:eastAsia="zh-CN"/>
        </w:rPr>
        <w:t>–</w:t>
      </w:r>
      <w:r>
        <w:rPr>
          <w:lang w:val="en-US" w:eastAsia="zh-CN"/>
        </w:rPr>
        <w:tab/>
      </w:r>
      <w:r w:rsidR="00423F6D" w:rsidRPr="00C84A84">
        <w:rPr>
          <w:rFonts w:hint="eastAsia"/>
          <w:lang w:val="en-US" w:eastAsia="zh-CN"/>
        </w:rPr>
        <w:t>全权代表大会第</w:t>
      </w:r>
      <w:r w:rsidR="00423F6D" w:rsidRPr="00FA74D5">
        <w:rPr>
          <w:lang w:val="en-US" w:eastAsia="zh-CN"/>
        </w:rPr>
        <w:t>125</w:t>
      </w:r>
      <w:r w:rsidR="00423F6D" w:rsidRPr="00C84A84">
        <w:rPr>
          <w:rFonts w:hint="eastAsia"/>
          <w:lang w:val="en-US" w:eastAsia="zh-CN"/>
        </w:rPr>
        <w:t>号决议</w:t>
      </w:r>
      <w:r w:rsidR="00423F6D">
        <w:rPr>
          <w:rFonts w:hint="eastAsia"/>
          <w:lang w:val="en-US" w:eastAsia="zh-CN"/>
        </w:rPr>
        <w:t>（</w:t>
      </w:r>
      <w:r w:rsidR="00423F6D" w:rsidRPr="00FA74D5">
        <w:rPr>
          <w:lang w:val="en-US" w:eastAsia="zh-CN"/>
        </w:rPr>
        <w:t>2022</w:t>
      </w:r>
      <w:r w:rsidR="00423F6D" w:rsidRPr="00C84A84">
        <w:rPr>
          <w:rFonts w:hint="eastAsia"/>
          <w:lang w:val="en-US" w:eastAsia="zh-CN"/>
        </w:rPr>
        <w:t>年</w:t>
      </w:r>
      <w:r w:rsidR="00423F6D">
        <w:rPr>
          <w:rFonts w:hint="eastAsia"/>
          <w:lang w:val="en-US" w:eastAsia="zh-CN"/>
        </w:rPr>
        <w:t>，</w:t>
      </w:r>
      <w:r w:rsidR="00423F6D" w:rsidRPr="00C84A84">
        <w:rPr>
          <w:rFonts w:hint="eastAsia"/>
          <w:lang w:val="en-US" w:eastAsia="zh-CN"/>
        </w:rPr>
        <w:t>布加勒斯特</w:t>
      </w:r>
      <w:r w:rsidR="00423F6D">
        <w:rPr>
          <w:rFonts w:hint="eastAsia"/>
          <w:lang w:val="en-US" w:eastAsia="zh-CN"/>
        </w:rPr>
        <w:t>，</w:t>
      </w:r>
      <w:r w:rsidR="00423F6D" w:rsidRPr="00C84A84">
        <w:rPr>
          <w:rFonts w:hint="eastAsia"/>
          <w:lang w:val="en-US" w:eastAsia="zh-CN"/>
        </w:rPr>
        <w:t>修订版</w:t>
      </w:r>
      <w:r w:rsidR="00423F6D">
        <w:rPr>
          <w:rFonts w:hint="eastAsia"/>
          <w:lang w:val="en-US" w:eastAsia="zh-CN"/>
        </w:rPr>
        <w:t>）</w:t>
      </w:r>
      <w:r w:rsidR="00FA74D5" w:rsidRPr="00FA74D5">
        <w:rPr>
          <w:lang w:val="en-US" w:eastAsia="zh-CN"/>
        </w:rPr>
        <w:t xml:space="preserve">– </w:t>
      </w:r>
      <w:r w:rsidR="00423F6D" w:rsidRPr="00423F6D">
        <w:rPr>
          <w:rFonts w:hint="eastAsia"/>
          <w:lang w:val="en-US" w:eastAsia="zh-CN"/>
        </w:rPr>
        <w:t>为巴勒斯坦电信和信息技术行业的基础设施发展和能力建设提供援助和支持</w:t>
      </w:r>
      <w:r w:rsidR="00423F6D">
        <w:rPr>
          <w:rFonts w:hint="eastAsia"/>
          <w:lang w:val="en-US" w:eastAsia="zh-CN"/>
        </w:rPr>
        <w:t>；</w:t>
      </w:r>
    </w:p>
    <w:p w14:paraId="35A40160" w14:textId="0AA40FCF" w:rsidR="00FA74D5" w:rsidRPr="00FA74D5" w:rsidRDefault="00BC02A2" w:rsidP="00BC02A2">
      <w:pPr>
        <w:pStyle w:val="enumlev1"/>
        <w:rPr>
          <w:lang w:val="en-US" w:eastAsia="zh-CN"/>
        </w:rPr>
      </w:pPr>
      <w:r w:rsidRPr="00BC02A2">
        <w:rPr>
          <w:lang w:val="en-US" w:eastAsia="zh-CN"/>
        </w:rPr>
        <w:t>–</w:t>
      </w:r>
      <w:r>
        <w:rPr>
          <w:lang w:val="en-US" w:eastAsia="zh-CN"/>
        </w:rPr>
        <w:tab/>
      </w:r>
      <w:r w:rsidR="00423F6D" w:rsidRPr="00C84A84">
        <w:rPr>
          <w:rFonts w:hint="eastAsia"/>
          <w:lang w:val="en-US" w:eastAsia="zh-CN"/>
        </w:rPr>
        <w:t>全权代表大会第</w:t>
      </w:r>
      <w:r w:rsidR="00423F6D" w:rsidRPr="00FA74D5">
        <w:rPr>
          <w:lang w:val="en-US" w:eastAsia="zh-CN"/>
        </w:rPr>
        <w:t>193</w:t>
      </w:r>
      <w:r w:rsidR="00423F6D" w:rsidRPr="00C84A84">
        <w:rPr>
          <w:rFonts w:hint="eastAsia"/>
          <w:lang w:val="en-US" w:eastAsia="zh-CN"/>
        </w:rPr>
        <w:t>号决议</w:t>
      </w:r>
      <w:r w:rsidR="00423F6D">
        <w:rPr>
          <w:rFonts w:hint="eastAsia"/>
          <w:lang w:val="en-US" w:eastAsia="zh-CN"/>
        </w:rPr>
        <w:t>（</w:t>
      </w:r>
      <w:r w:rsidR="00423F6D" w:rsidRPr="00FA74D5">
        <w:rPr>
          <w:lang w:val="en-US" w:eastAsia="zh-CN"/>
        </w:rPr>
        <w:t>2022</w:t>
      </w:r>
      <w:r w:rsidR="00423F6D" w:rsidRPr="00C84A84">
        <w:rPr>
          <w:rFonts w:hint="eastAsia"/>
          <w:lang w:val="en-US" w:eastAsia="zh-CN"/>
        </w:rPr>
        <w:t>年</w:t>
      </w:r>
      <w:r w:rsidR="00423F6D">
        <w:rPr>
          <w:rFonts w:hint="eastAsia"/>
          <w:lang w:val="en-US" w:eastAsia="zh-CN"/>
        </w:rPr>
        <w:t>，</w:t>
      </w:r>
      <w:r w:rsidR="00423F6D" w:rsidRPr="00C84A84">
        <w:rPr>
          <w:rFonts w:hint="eastAsia"/>
          <w:lang w:val="en-US" w:eastAsia="zh-CN"/>
        </w:rPr>
        <w:t>布加勒斯特</w:t>
      </w:r>
      <w:r w:rsidR="00423F6D">
        <w:rPr>
          <w:rFonts w:hint="eastAsia"/>
          <w:lang w:val="en-US" w:eastAsia="zh-CN"/>
        </w:rPr>
        <w:t>，</w:t>
      </w:r>
      <w:r w:rsidR="00423F6D" w:rsidRPr="00C84A84">
        <w:rPr>
          <w:rFonts w:hint="eastAsia"/>
          <w:lang w:val="en-US" w:eastAsia="zh-CN"/>
        </w:rPr>
        <w:t>修订版</w:t>
      </w:r>
      <w:r w:rsidR="00423F6D">
        <w:rPr>
          <w:rFonts w:hint="eastAsia"/>
          <w:lang w:val="en-US" w:eastAsia="zh-CN"/>
        </w:rPr>
        <w:t>）</w:t>
      </w:r>
      <w:r w:rsidR="00FA74D5" w:rsidRPr="00FA74D5">
        <w:rPr>
          <w:lang w:val="en-US" w:eastAsia="zh-CN"/>
        </w:rPr>
        <w:t xml:space="preserve">– </w:t>
      </w:r>
      <w:r w:rsidR="00423F6D" w:rsidRPr="00423F6D">
        <w:rPr>
          <w:rFonts w:hint="eastAsia"/>
          <w:lang w:val="en-US" w:eastAsia="zh-CN"/>
        </w:rPr>
        <w:t>为伊拉克继续重建和发展其电信</w:t>
      </w:r>
      <w:r w:rsidR="00423F6D" w:rsidRPr="00FA74D5">
        <w:rPr>
          <w:lang w:val="en-US" w:eastAsia="zh-CN"/>
        </w:rPr>
        <w:t>/</w:t>
      </w:r>
      <w:r w:rsidR="00423F6D" w:rsidRPr="00423F6D">
        <w:rPr>
          <w:rFonts w:hint="eastAsia"/>
          <w:lang w:val="en-US" w:eastAsia="zh-CN"/>
        </w:rPr>
        <w:t>信息通信技术行业提供支持和援助</w:t>
      </w:r>
      <w:r w:rsidR="00423F6D">
        <w:rPr>
          <w:rFonts w:hint="eastAsia"/>
          <w:lang w:val="en-US" w:eastAsia="zh-CN"/>
        </w:rPr>
        <w:t>；</w:t>
      </w:r>
    </w:p>
    <w:p w14:paraId="6FD58E9F" w14:textId="52FF2681" w:rsidR="00FA74D5" w:rsidRPr="00FA74D5" w:rsidRDefault="00BC02A2" w:rsidP="00BC02A2">
      <w:pPr>
        <w:pStyle w:val="enumlev1"/>
        <w:rPr>
          <w:lang w:val="en-US" w:eastAsia="zh-CN"/>
        </w:rPr>
      </w:pPr>
      <w:r w:rsidRPr="00BC02A2">
        <w:rPr>
          <w:lang w:val="en-US" w:eastAsia="zh-CN"/>
        </w:rPr>
        <w:t>–</w:t>
      </w:r>
      <w:r>
        <w:rPr>
          <w:lang w:val="en-US" w:eastAsia="zh-CN"/>
        </w:rPr>
        <w:tab/>
      </w:r>
      <w:r w:rsidR="00423F6D" w:rsidRPr="00C84A84">
        <w:rPr>
          <w:rFonts w:hint="eastAsia"/>
          <w:lang w:val="en-US" w:eastAsia="zh-CN"/>
        </w:rPr>
        <w:t>理事会第</w:t>
      </w:r>
      <w:bookmarkStart w:id="12" w:name="OLE_LINK1"/>
      <w:r w:rsidR="00423F6D" w:rsidRPr="00FA74D5">
        <w:rPr>
          <w:lang w:val="en-US" w:eastAsia="zh-CN"/>
        </w:rPr>
        <w:t>1408</w:t>
      </w:r>
      <w:bookmarkEnd w:id="12"/>
      <w:r w:rsidR="00423F6D" w:rsidRPr="00C84A84">
        <w:rPr>
          <w:rFonts w:hint="eastAsia"/>
          <w:lang w:val="en-US" w:eastAsia="zh-CN"/>
        </w:rPr>
        <w:t>号决议</w:t>
      </w:r>
      <w:r w:rsidR="00423F6D">
        <w:rPr>
          <w:rFonts w:hint="eastAsia"/>
          <w:lang w:val="en-US" w:eastAsia="zh-CN"/>
        </w:rPr>
        <w:t>（</w:t>
      </w:r>
      <w:r w:rsidR="00423F6D" w:rsidRPr="00FA74D5">
        <w:rPr>
          <w:lang w:eastAsia="zh-CN"/>
        </w:rPr>
        <w:t>C22</w:t>
      </w:r>
      <w:r w:rsidR="00423F6D" w:rsidRPr="00423F6D">
        <w:rPr>
          <w:rFonts w:ascii="STKaiti" w:eastAsia="STKaiti" w:hAnsi="STKaiti" w:hint="eastAsia"/>
          <w:lang w:val="en-US" w:eastAsia="zh-CN"/>
        </w:rPr>
        <w:t>，最后修正</w:t>
      </w:r>
      <w:r w:rsidR="00423F6D" w:rsidRPr="00FA74D5">
        <w:rPr>
          <w:lang w:eastAsia="zh-CN"/>
        </w:rPr>
        <w:t>C23</w:t>
      </w:r>
      <w:r w:rsidR="00423F6D">
        <w:rPr>
          <w:rFonts w:hint="eastAsia"/>
          <w:lang w:val="en-US" w:eastAsia="zh-CN"/>
        </w:rPr>
        <w:t>）</w:t>
      </w:r>
      <w:bookmarkStart w:id="13" w:name="OLE_LINK2"/>
      <w:r w:rsidR="00FA74D5" w:rsidRPr="00FA74D5">
        <w:rPr>
          <w:i/>
          <w:iCs/>
          <w:lang w:eastAsia="zh-CN"/>
        </w:rPr>
        <w:t>–</w:t>
      </w:r>
      <w:r w:rsidR="00FA74D5" w:rsidRPr="00FA74D5">
        <w:rPr>
          <w:lang w:val="en-US" w:eastAsia="zh-CN"/>
        </w:rPr>
        <w:t xml:space="preserve"> </w:t>
      </w:r>
      <w:bookmarkEnd w:id="13"/>
      <w:r w:rsidR="008407DB" w:rsidRPr="008407DB">
        <w:rPr>
          <w:rFonts w:hint="eastAsia"/>
          <w:lang w:val="en-US" w:eastAsia="zh-CN"/>
        </w:rPr>
        <w:t>帮助和支持乌克兰重建其电信行业</w:t>
      </w:r>
      <w:r w:rsidR="008407DB">
        <w:rPr>
          <w:rFonts w:hint="eastAsia"/>
          <w:lang w:val="en-US" w:eastAsia="zh-CN"/>
        </w:rPr>
        <w:t>；</w:t>
      </w:r>
    </w:p>
    <w:p w14:paraId="6ECD664A" w14:textId="21750672" w:rsidR="00FA74D5" w:rsidRPr="00FA74D5" w:rsidRDefault="00BC02A2" w:rsidP="00BC02A2">
      <w:pPr>
        <w:pStyle w:val="enumlev1"/>
        <w:rPr>
          <w:lang w:val="en-US" w:eastAsia="zh-CN"/>
        </w:rPr>
      </w:pPr>
      <w:r w:rsidRPr="00BC02A2">
        <w:rPr>
          <w:lang w:val="en-US" w:eastAsia="zh-CN"/>
        </w:rPr>
        <w:t>–</w:t>
      </w:r>
      <w:r>
        <w:rPr>
          <w:lang w:val="en-US" w:eastAsia="zh-CN"/>
        </w:rPr>
        <w:tab/>
      </w:r>
      <w:r w:rsidR="004A0EC3" w:rsidRPr="00C84A84">
        <w:rPr>
          <w:rFonts w:hint="eastAsia"/>
          <w:lang w:val="en-US" w:eastAsia="zh-CN"/>
        </w:rPr>
        <w:t>国际电联理事会第</w:t>
      </w:r>
      <w:r w:rsidR="004A0EC3" w:rsidRPr="00FA74D5">
        <w:rPr>
          <w:lang w:val="en-US" w:eastAsia="zh-CN"/>
        </w:rPr>
        <w:t>1424</w:t>
      </w:r>
      <w:r w:rsidR="004A0EC3" w:rsidRPr="00C84A84">
        <w:rPr>
          <w:rFonts w:hint="eastAsia"/>
          <w:lang w:val="en-US" w:eastAsia="zh-CN"/>
        </w:rPr>
        <w:t>号决议</w:t>
      </w:r>
      <w:r w:rsidR="004A0EC3">
        <w:rPr>
          <w:rFonts w:hint="eastAsia"/>
          <w:lang w:val="en-US" w:eastAsia="zh-CN"/>
        </w:rPr>
        <w:t>（</w:t>
      </w:r>
      <w:r w:rsidR="004A0EC3" w:rsidRPr="00FA74D5">
        <w:rPr>
          <w:lang w:val="en-US" w:eastAsia="zh-CN"/>
        </w:rPr>
        <w:t>2024</w:t>
      </w:r>
      <w:r w:rsidR="004A0EC3" w:rsidRPr="00C84A84">
        <w:rPr>
          <w:rFonts w:hint="eastAsia"/>
          <w:lang w:val="en-US" w:eastAsia="zh-CN"/>
        </w:rPr>
        <w:t>年</w:t>
      </w:r>
      <w:r w:rsidR="004A0EC3">
        <w:rPr>
          <w:rFonts w:hint="eastAsia"/>
          <w:lang w:val="en-US" w:eastAsia="zh-CN"/>
        </w:rPr>
        <w:t>）</w:t>
      </w:r>
      <w:r w:rsidR="004A0EC3" w:rsidRPr="00FA74D5">
        <w:rPr>
          <w:i/>
          <w:iCs/>
          <w:lang w:eastAsia="zh-CN"/>
        </w:rPr>
        <w:t>–</w:t>
      </w:r>
      <w:r w:rsidR="004A0EC3" w:rsidRPr="00FA74D5">
        <w:rPr>
          <w:lang w:val="en-US" w:eastAsia="zh-CN"/>
        </w:rPr>
        <w:t xml:space="preserve"> </w:t>
      </w:r>
      <w:r w:rsidR="004A0EC3" w:rsidRPr="004A0EC3">
        <w:rPr>
          <w:rFonts w:hint="eastAsia"/>
          <w:lang w:val="en-US" w:eastAsia="zh-CN"/>
        </w:rPr>
        <w:t>援助和支持巴勒斯坦重建其电信行业</w:t>
      </w:r>
      <w:r w:rsidR="00D42A87">
        <w:rPr>
          <w:rFonts w:hint="eastAsia"/>
          <w:lang w:val="en-US" w:eastAsia="zh-CN"/>
        </w:rPr>
        <w:t>；</w:t>
      </w:r>
    </w:p>
    <w:p w14:paraId="58DA20E3" w14:textId="21850641" w:rsidR="00FA74D5" w:rsidRPr="00FA74D5" w:rsidRDefault="00BC02A2" w:rsidP="00BC02A2">
      <w:pPr>
        <w:pStyle w:val="enumlev1"/>
        <w:rPr>
          <w:lang w:val="en-US" w:eastAsia="zh-CN"/>
        </w:rPr>
      </w:pPr>
      <w:r w:rsidRPr="00BC02A2">
        <w:rPr>
          <w:lang w:val="en-US" w:eastAsia="zh-CN"/>
        </w:rPr>
        <w:t>–</w:t>
      </w:r>
      <w:r>
        <w:rPr>
          <w:lang w:val="en-US" w:eastAsia="zh-CN"/>
        </w:rPr>
        <w:tab/>
      </w:r>
      <w:r w:rsidR="004A0EC3" w:rsidRPr="004A0EC3">
        <w:rPr>
          <w:rFonts w:hint="eastAsia"/>
          <w:lang w:val="en-US" w:eastAsia="zh-CN"/>
        </w:rPr>
        <w:t>世界电信发展大会</w:t>
      </w:r>
      <w:r w:rsidR="004A0EC3">
        <w:rPr>
          <w:rFonts w:hint="eastAsia"/>
          <w:lang w:val="en-US" w:eastAsia="zh-CN"/>
        </w:rPr>
        <w:t>（</w:t>
      </w:r>
      <w:r w:rsidR="004A0EC3" w:rsidRPr="00FA74D5">
        <w:rPr>
          <w:lang w:val="en-US" w:eastAsia="zh-CN"/>
        </w:rPr>
        <w:t>WTDC</w:t>
      </w:r>
      <w:r w:rsidR="004A0EC3">
        <w:rPr>
          <w:rFonts w:hint="eastAsia"/>
          <w:lang w:val="en-US" w:eastAsia="zh-CN"/>
        </w:rPr>
        <w:t>）</w:t>
      </w:r>
      <w:r w:rsidR="004A0EC3" w:rsidRPr="00C84A84">
        <w:rPr>
          <w:rFonts w:hint="eastAsia"/>
          <w:lang w:val="en-US" w:eastAsia="zh-CN"/>
        </w:rPr>
        <w:t>第</w:t>
      </w:r>
      <w:r w:rsidR="004A0EC3" w:rsidRPr="00FA74D5">
        <w:rPr>
          <w:lang w:val="en-US" w:eastAsia="zh-CN"/>
        </w:rPr>
        <w:t>18</w:t>
      </w:r>
      <w:r w:rsidR="004A0EC3" w:rsidRPr="00C84A84">
        <w:rPr>
          <w:rFonts w:hint="eastAsia"/>
          <w:lang w:val="en-US" w:eastAsia="zh-CN"/>
        </w:rPr>
        <w:t>号决议</w:t>
      </w:r>
      <w:r w:rsidR="004A0EC3">
        <w:rPr>
          <w:rFonts w:hint="eastAsia"/>
          <w:lang w:val="en-US" w:eastAsia="zh-CN"/>
        </w:rPr>
        <w:t>（</w:t>
      </w:r>
      <w:r w:rsidR="004A0EC3" w:rsidRPr="00FA74D5">
        <w:rPr>
          <w:lang w:val="en-US" w:eastAsia="zh-CN"/>
        </w:rPr>
        <w:t>2022</w:t>
      </w:r>
      <w:r w:rsidR="004A0EC3" w:rsidRPr="00C84A84">
        <w:rPr>
          <w:rFonts w:hint="eastAsia"/>
          <w:lang w:val="en-US" w:eastAsia="zh-CN"/>
        </w:rPr>
        <w:t>年</w:t>
      </w:r>
      <w:r w:rsidR="004A0EC3">
        <w:rPr>
          <w:rFonts w:hint="eastAsia"/>
          <w:lang w:val="en-US" w:eastAsia="zh-CN"/>
        </w:rPr>
        <w:t>，</w:t>
      </w:r>
      <w:r w:rsidR="004A0EC3" w:rsidRPr="00C84A84">
        <w:rPr>
          <w:rFonts w:hint="eastAsia"/>
          <w:lang w:val="en-US" w:eastAsia="zh-CN"/>
        </w:rPr>
        <w:t>基加利</w:t>
      </w:r>
      <w:r w:rsidR="004A0EC3">
        <w:rPr>
          <w:rFonts w:hint="eastAsia"/>
          <w:lang w:val="en-US" w:eastAsia="zh-CN"/>
        </w:rPr>
        <w:t>，</w:t>
      </w:r>
      <w:r w:rsidR="004A0EC3" w:rsidRPr="00C84A84">
        <w:rPr>
          <w:rFonts w:hint="eastAsia"/>
          <w:lang w:val="en-US" w:eastAsia="zh-CN"/>
        </w:rPr>
        <w:t>修订版</w:t>
      </w:r>
      <w:r w:rsidR="004A0EC3">
        <w:rPr>
          <w:rFonts w:hint="eastAsia"/>
          <w:lang w:val="en-US" w:eastAsia="zh-CN"/>
        </w:rPr>
        <w:t>）</w:t>
      </w:r>
      <w:r w:rsidR="00FA74D5" w:rsidRPr="00FA74D5">
        <w:rPr>
          <w:lang w:val="en-US" w:eastAsia="zh-CN"/>
        </w:rPr>
        <w:t xml:space="preserve">– </w:t>
      </w:r>
      <w:r w:rsidR="004A0EC3" w:rsidRPr="004A0EC3">
        <w:rPr>
          <w:rFonts w:hint="eastAsia"/>
          <w:lang w:val="en-US" w:eastAsia="zh-CN"/>
        </w:rPr>
        <w:t>向巴勒斯坦提供的特别技术援助</w:t>
      </w:r>
    </w:p>
    <w:p w14:paraId="432C95FB" w14:textId="074D9FFE" w:rsidR="00FA74D5" w:rsidRPr="00FA74D5" w:rsidRDefault="00BC02A2" w:rsidP="00BC02A2">
      <w:pPr>
        <w:pStyle w:val="enumlev1"/>
        <w:rPr>
          <w:lang w:val="en-US" w:eastAsia="zh-CN"/>
        </w:rPr>
      </w:pPr>
      <w:r w:rsidRPr="00BC02A2">
        <w:rPr>
          <w:lang w:val="en-US" w:eastAsia="zh-CN"/>
        </w:rPr>
        <w:t>–</w:t>
      </w:r>
      <w:r>
        <w:rPr>
          <w:lang w:val="en-US" w:eastAsia="zh-CN"/>
        </w:rPr>
        <w:tab/>
      </w:r>
      <w:r w:rsidR="00FA74D5" w:rsidRPr="00FA74D5">
        <w:rPr>
          <w:lang w:val="en-US" w:eastAsia="zh-CN"/>
        </w:rPr>
        <w:t>WTDC</w:t>
      </w:r>
      <w:r w:rsidR="004A0EC3" w:rsidRPr="004A0EC3">
        <w:rPr>
          <w:rFonts w:hint="eastAsia"/>
          <w:lang w:val="en-US" w:eastAsia="zh-CN"/>
        </w:rPr>
        <w:t>第</w:t>
      </w:r>
      <w:r w:rsidR="004A0EC3" w:rsidRPr="00FA74D5">
        <w:rPr>
          <w:lang w:val="en-US" w:eastAsia="zh-CN"/>
        </w:rPr>
        <w:t>25</w:t>
      </w:r>
      <w:r w:rsidR="004A0EC3" w:rsidRPr="004A0EC3">
        <w:rPr>
          <w:rFonts w:hint="eastAsia"/>
          <w:lang w:val="en-US" w:eastAsia="zh-CN"/>
        </w:rPr>
        <w:t>号决议（</w:t>
      </w:r>
      <w:r w:rsidR="004A0EC3" w:rsidRPr="00FA74D5">
        <w:rPr>
          <w:lang w:val="en-US" w:eastAsia="zh-CN"/>
        </w:rPr>
        <w:t>2022</w:t>
      </w:r>
      <w:r w:rsidR="004A0EC3" w:rsidRPr="004A0EC3">
        <w:rPr>
          <w:rFonts w:hint="eastAsia"/>
          <w:lang w:val="en-US" w:eastAsia="zh-CN"/>
        </w:rPr>
        <w:t>年，基加利，修订版）</w:t>
      </w:r>
      <w:r w:rsidR="00FA74D5" w:rsidRPr="00FA74D5">
        <w:rPr>
          <w:lang w:val="en-US" w:eastAsia="zh-CN"/>
        </w:rPr>
        <w:t xml:space="preserve">– </w:t>
      </w:r>
      <w:r w:rsidR="004A0EC3" w:rsidRPr="004A0EC3">
        <w:rPr>
          <w:rFonts w:hint="eastAsia"/>
          <w:lang w:val="en-US" w:eastAsia="zh-CN"/>
        </w:rPr>
        <w:t>援助有特殊需要的国家：阿富汗、布隆迪、中非共和国、刚果民主共和国、厄立特里亚、埃塞俄比亚、几内亚、几内亚比绍、海地、利比里亚、卢旺达、塞拉利昂</w:t>
      </w:r>
      <w:r w:rsidR="004A0EC3">
        <w:rPr>
          <w:rFonts w:hint="eastAsia"/>
          <w:lang w:val="en-US" w:eastAsia="zh-CN"/>
        </w:rPr>
        <w:t>、</w:t>
      </w:r>
      <w:r w:rsidR="004A0EC3" w:rsidRPr="004A0EC3">
        <w:rPr>
          <w:rFonts w:hint="eastAsia"/>
          <w:lang w:val="en-US" w:eastAsia="zh-CN"/>
        </w:rPr>
        <w:t>索马里</w:t>
      </w:r>
      <w:r w:rsidR="004A0EC3">
        <w:rPr>
          <w:rFonts w:hint="eastAsia"/>
          <w:lang w:val="en-US" w:eastAsia="zh-CN"/>
        </w:rPr>
        <w:t>、</w:t>
      </w:r>
      <w:r w:rsidR="004A0EC3" w:rsidRPr="004A0EC3">
        <w:rPr>
          <w:rFonts w:hint="eastAsia"/>
          <w:lang w:val="en-US" w:eastAsia="zh-CN"/>
        </w:rPr>
        <w:t>南苏丹和东帝汶</w:t>
      </w:r>
      <w:r w:rsidR="004A0EC3">
        <w:rPr>
          <w:rFonts w:hint="eastAsia"/>
          <w:lang w:val="en-US" w:eastAsia="zh-CN"/>
        </w:rPr>
        <w:t>。</w:t>
      </w:r>
    </w:p>
    <w:p w14:paraId="20829F25" w14:textId="25B7AC68" w:rsidR="00FA74D5" w:rsidRPr="00FA74D5" w:rsidRDefault="00FA74D5" w:rsidP="00BC02A2">
      <w:pPr>
        <w:pStyle w:val="Heading1"/>
        <w:rPr>
          <w:lang w:val="en-US" w:eastAsia="zh-CN"/>
        </w:rPr>
      </w:pPr>
      <w:r w:rsidRPr="00FA74D5">
        <w:rPr>
          <w:lang w:val="en-US" w:eastAsia="zh-CN"/>
        </w:rPr>
        <w:t>2</w:t>
      </w:r>
      <w:r w:rsidRPr="00FA74D5">
        <w:rPr>
          <w:lang w:val="en-US" w:eastAsia="zh-CN"/>
        </w:rPr>
        <w:tab/>
      </w:r>
      <w:r w:rsidR="00F41BA4">
        <w:rPr>
          <w:rFonts w:hint="eastAsia"/>
          <w:lang w:val="en-US" w:eastAsia="zh-CN"/>
        </w:rPr>
        <w:t>所</w:t>
      </w:r>
      <w:r w:rsidR="00C84A84" w:rsidRPr="00C84A84">
        <w:rPr>
          <w:rFonts w:hint="eastAsia"/>
          <w:lang w:val="en-US" w:eastAsia="zh-CN"/>
        </w:rPr>
        <w:t>采取行动的最新情况</w:t>
      </w:r>
    </w:p>
    <w:p w14:paraId="4E200391" w14:textId="6BEE0FC3" w:rsidR="00FA74D5" w:rsidRPr="00FA74D5" w:rsidRDefault="00C84A84" w:rsidP="00BC02A2">
      <w:pPr>
        <w:spacing w:after="120"/>
        <w:ind w:firstLineChars="200" w:firstLine="480"/>
        <w:jc w:val="both"/>
        <w:rPr>
          <w:lang w:eastAsia="zh-CN"/>
        </w:rPr>
      </w:pPr>
      <w:r w:rsidRPr="00C84A84">
        <w:rPr>
          <w:rFonts w:hint="eastAsia"/>
          <w:lang w:eastAsia="zh-CN"/>
        </w:rPr>
        <w:t>所有相关国家都是国际电联</w:t>
      </w:r>
      <w:r w:rsidR="00A172FA" w:rsidRPr="00C84A84">
        <w:rPr>
          <w:rFonts w:hint="eastAsia"/>
          <w:lang w:eastAsia="zh-CN"/>
        </w:rPr>
        <w:t>产品和服务的受益</w:t>
      </w:r>
      <w:r w:rsidR="00D42A87">
        <w:rPr>
          <w:rFonts w:hint="eastAsia"/>
          <w:lang w:eastAsia="zh-CN"/>
        </w:rPr>
        <w:t>方</w:t>
      </w:r>
      <w:r w:rsidR="00A172FA">
        <w:rPr>
          <w:rFonts w:hint="eastAsia"/>
          <w:lang w:eastAsia="zh-CN"/>
        </w:rPr>
        <w:t>，特别是</w:t>
      </w:r>
      <w:r w:rsidRPr="00C84A84">
        <w:rPr>
          <w:rFonts w:hint="eastAsia"/>
          <w:lang w:eastAsia="zh-CN"/>
        </w:rPr>
        <w:t>在</w:t>
      </w:r>
      <w:hyperlink r:id="rId15" w:history="1">
        <w:r w:rsidR="00A172FA" w:rsidRPr="00FA74D5">
          <w:rPr>
            <w:rStyle w:val="Hyperlink"/>
            <w:lang w:eastAsia="zh-CN"/>
          </w:rPr>
          <w:t>ITU-D</w:t>
        </w:r>
        <w:r w:rsidR="00A172FA" w:rsidRPr="00A172FA">
          <w:rPr>
            <w:rStyle w:val="Hyperlink"/>
            <w:rFonts w:hint="eastAsia"/>
            <w:lang w:eastAsia="zh-CN"/>
          </w:rPr>
          <w:t>重点工作</w:t>
        </w:r>
        <w:r w:rsidR="00A172FA" w:rsidRPr="00FA74D5">
          <w:rPr>
            <w:rStyle w:val="Hyperlink"/>
            <w:lang w:eastAsia="zh-CN"/>
          </w:rPr>
          <w:t>1</w:t>
        </w:r>
        <w:r w:rsidR="00A172FA">
          <w:rPr>
            <w:rStyle w:val="Hyperlink"/>
            <w:rFonts w:hint="eastAsia"/>
            <w:lang w:eastAsia="zh-CN"/>
          </w:rPr>
          <w:t>：</w:t>
        </w:r>
        <w:r w:rsidR="00A172FA" w:rsidRPr="00A172FA">
          <w:rPr>
            <w:rStyle w:val="Hyperlink"/>
            <w:rFonts w:hint="eastAsia"/>
            <w:lang w:eastAsia="zh-CN"/>
          </w:rPr>
          <w:t>价格可承受的连接</w:t>
        </w:r>
      </w:hyperlink>
      <w:r w:rsidRPr="00C84A84">
        <w:rPr>
          <w:rFonts w:hint="eastAsia"/>
          <w:lang w:eastAsia="zh-CN"/>
        </w:rPr>
        <w:t>和</w:t>
      </w:r>
      <w:hyperlink r:id="rId16" w:history="1">
        <w:r w:rsidR="00A172FA" w:rsidRPr="00FA74D5">
          <w:rPr>
            <w:rStyle w:val="Hyperlink"/>
            <w:lang w:eastAsia="zh-CN"/>
          </w:rPr>
          <w:t>ITU-D</w:t>
        </w:r>
        <w:r w:rsidR="00A172FA" w:rsidRPr="00A172FA">
          <w:rPr>
            <w:rStyle w:val="Hyperlink"/>
            <w:rFonts w:hint="eastAsia"/>
            <w:lang w:eastAsia="zh-CN"/>
          </w:rPr>
          <w:t>重点工作</w:t>
        </w:r>
        <w:r w:rsidR="00A172FA" w:rsidRPr="00FA74D5">
          <w:rPr>
            <w:rStyle w:val="Hyperlink"/>
            <w:lang w:eastAsia="zh-CN"/>
          </w:rPr>
          <w:t>3</w:t>
        </w:r>
        <w:r w:rsidR="00A172FA">
          <w:rPr>
            <w:rStyle w:val="Hyperlink"/>
            <w:rFonts w:hint="eastAsia"/>
            <w:lang w:eastAsia="zh-CN"/>
          </w:rPr>
          <w:t>：</w:t>
        </w:r>
        <w:r w:rsidR="00A172FA" w:rsidRPr="00A172FA">
          <w:rPr>
            <w:rStyle w:val="Hyperlink"/>
            <w:rFonts w:hint="eastAsia"/>
            <w:lang w:eastAsia="zh-CN"/>
          </w:rPr>
          <w:t>有利的政策和监管环境</w:t>
        </w:r>
      </w:hyperlink>
      <w:r w:rsidRPr="00C84A84">
        <w:rPr>
          <w:rFonts w:hint="eastAsia"/>
          <w:lang w:eastAsia="zh-CN"/>
        </w:rPr>
        <w:t>下开发和提供的产品和服务</w:t>
      </w:r>
      <w:r w:rsidR="00A172FA">
        <w:rPr>
          <w:rFonts w:hint="eastAsia"/>
          <w:lang w:eastAsia="zh-CN"/>
        </w:rPr>
        <w:t>。</w:t>
      </w:r>
      <w:r w:rsidR="00FA74D5" w:rsidRPr="00FA74D5">
        <w:rPr>
          <w:lang w:eastAsia="zh-CN"/>
        </w:rPr>
        <w:t xml:space="preserve"> </w:t>
      </w:r>
    </w:p>
    <w:p w14:paraId="3D35A333" w14:textId="370E30FB" w:rsidR="00FA74D5" w:rsidRPr="00FA74D5" w:rsidRDefault="00C84A84" w:rsidP="00BC02A2">
      <w:pPr>
        <w:spacing w:after="120"/>
        <w:ind w:firstLineChars="200" w:firstLine="480"/>
        <w:jc w:val="both"/>
        <w:rPr>
          <w:lang w:eastAsia="zh-CN"/>
        </w:rPr>
      </w:pPr>
      <w:r w:rsidRPr="008A4F0A">
        <w:rPr>
          <w:rFonts w:hint="eastAsia"/>
          <w:lang w:eastAsia="zh-CN"/>
        </w:rPr>
        <w:t>产品和服务目录包括基础设施</w:t>
      </w:r>
      <w:r w:rsidR="006D62D2" w:rsidRPr="008A4F0A">
        <w:rPr>
          <w:rFonts w:hint="eastAsia"/>
          <w:lang w:eastAsia="zh-CN"/>
        </w:rPr>
        <w:t>对照和分析、评估研究、出版物、讲习班、导则</w:t>
      </w:r>
      <w:r w:rsidR="00654AE8" w:rsidRPr="008A4F0A">
        <w:rPr>
          <w:rFonts w:hint="eastAsia"/>
          <w:lang w:eastAsia="zh-CN"/>
        </w:rPr>
        <w:t>以及</w:t>
      </w:r>
      <w:r w:rsidR="006D62D2" w:rsidRPr="008A4F0A">
        <w:rPr>
          <w:rFonts w:hint="eastAsia"/>
          <w:lang w:eastAsia="zh-CN"/>
        </w:rPr>
        <w:t>电信</w:t>
      </w:r>
      <w:r w:rsidR="006D62D2" w:rsidRPr="008A4F0A">
        <w:rPr>
          <w:lang w:eastAsia="zh-CN"/>
        </w:rPr>
        <w:t>/ICT</w:t>
      </w:r>
      <w:r w:rsidR="006D62D2" w:rsidRPr="008A4F0A">
        <w:rPr>
          <w:rFonts w:hint="eastAsia"/>
          <w:lang w:eastAsia="zh-CN"/>
        </w:rPr>
        <w:t>基础设施（包括无线和固定宽带）</w:t>
      </w:r>
      <w:r w:rsidR="00654AE8" w:rsidRPr="008A4F0A">
        <w:rPr>
          <w:rFonts w:hint="eastAsia"/>
          <w:lang w:eastAsia="zh-CN"/>
        </w:rPr>
        <w:t>方面</w:t>
      </w:r>
      <w:r w:rsidR="006D62D2" w:rsidRPr="008A4F0A">
        <w:rPr>
          <w:rFonts w:hint="eastAsia"/>
          <w:lang w:eastAsia="zh-CN"/>
        </w:rPr>
        <w:t>的最佳做法、</w:t>
      </w:r>
      <w:r w:rsidRPr="008A4F0A">
        <w:rPr>
          <w:rFonts w:hint="eastAsia"/>
          <w:lang w:eastAsia="zh-CN"/>
        </w:rPr>
        <w:t>连接农村和</w:t>
      </w:r>
      <w:r w:rsidR="006D62D2" w:rsidRPr="008A4F0A">
        <w:rPr>
          <w:rFonts w:hint="eastAsia"/>
          <w:lang w:eastAsia="zh-CN"/>
        </w:rPr>
        <w:t>偏远</w:t>
      </w:r>
      <w:r w:rsidRPr="008A4F0A">
        <w:rPr>
          <w:rFonts w:hint="eastAsia"/>
          <w:lang w:eastAsia="zh-CN"/>
        </w:rPr>
        <w:t>地区</w:t>
      </w:r>
      <w:r w:rsidR="006D62D2" w:rsidRPr="008A4F0A">
        <w:rPr>
          <w:rFonts w:hint="eastAsia"/>
          <w:lang w:eastAsia="zh-CN"/>
        </w:rPr>
        <w:t>、一致性和互操作性</w:t>
      </w:r>
      <w:r w:rsidR="002E1B97" w:rsidRPr="008A4F0A">
        <w:rPr>
          <w:rFonts w:hint="eastAsia"/>
          <w:lang w:eastAsia="zh-CN"/>
        </w:rPr>
        <w:t>、</w:t>
      </w:r>
      <w:r w:rsidRPr="008A4F0A">
        <w:rPr>
          <w:rFonts w:hint="eastAsia"/>
          <w:lang w:eastAsia="zh-CN"/>
        </w:rPr>
        <w:t>频谱管理</w:t>
      </w:r>
      <w:r w:rsidR="002E1B97" w:rsidRPr="008A4F0A">
        <w:rPr>
          <w:rFonts w:hint="eastAsia"/>
          <w:lang w:eastAsia="zh-CN"/>
        </w:rPr>
        <w:t>、</w:t>
      </w:r>
      <w:r w:rsidRPr="008A4F0A">
        <w:rPr>
          <w:rFonts w:hint="eastAsia"/>
          <w:lang w:eastAsia="zh-CN"/>
        </w:rPr>
        <w:t>向数字广播过渡</w:t>
      </w:r>
      <w:r w:rsidR="002E1B97" w:rsidRPr="008A4F0A">
        <w:rPr>
          <w:rFonts w:hint="eastAsia"/>
          <w:lang w:eastAsia="zh-CN"/>
        </w:rPr>
        <w:t>、在国际电联职责范围内对</w:t>
      </w:r>
      <w:r w:rsidRPr="008A4F0A">
        <w:rPr>
          <w:rFonts w:hint="eastAsia"/>
          <w:lang w:eastAsia="zh-CN"/>
        </w:rPr>
        <w:t>电信资源的有效和高效管理</w:t>
      </w:r>
      <w:r w:rsidR="00D42A87" w:rsidRPr="008A4F0A">
        <w:rPr>
          <w:rFonts w:hint="eastAsia"/>
          <w:lang w:eastAsia="zh-CN"/>
        </w:rPr>
        <w:t>以及</w:t>
      </w:r>
      <w:r w:rsidRPr="008A4F0A">
        <w:rPr>
          <w:rFonts w:hint="eastAsia"/>
          <w:lang w:eastAsia="zh-CN"/>
        </w:rPr>
        <w:t>合理使用</w:t>
      </w:r>
      <w:r w:rsidR="00654AE8" w:rsidRPr="008A4F0A">
        <w:rPr>
          <w:rFonts w:hint="eastAsia"/>
          <w:lang w:eastAsia="zh-CN"/>
        </w:rPr>
        <w:t>等</w:t>
      </w:r>
      <w:r w:rsidR="002E1B97" w:rsidRPr="008A4F0A">
        <w:rPr>
          <w:rFonts w:hint="eastAsia"/>
          <w:lang w:eastAsia="zh-CN"/>
        </w:rPr>
        <w:t>。</w:t>
      </w:r>
    </w:p>
    <w:p w14:paraId="4DC2A6FB" w14:textId="3679D052" w:rsidR="00FA74D5" w:rsidRPr="00FA74D5" w:rsidRDefault="00D42A87" w:rsidP="00BC02A2">
      <w:pPr>
        <w:spacing w:after="120"/>
        <w:ind w:firstLineChars="200" w:firstLine="480"/>
        <w:jc w:val="both"/>
        <w:rPr>
          <w:lang w:eastAsia="zh-CN"/>
        </w:rPr>
      </w:pPr>
      <w:r w:rsidRPr="00D42A87">
        <w:rPr>
          <w:rFonts w:hint="eastAsia"/>
          <w:lang w:eastAsia="zh-CN"/>
        </w:rPr>
        <w:t>此外，它</w:t>
      </w:r>
      <w:r w:rsidR="00C84A84" w:rsidRPr="00C84A84">
        <w:rPr>
          <w:rFonts w:hint="eastAsia"/>
          <w:lang w:eastAsia="zh-CN"/>
        </w:rPr>
        <w:t>还包括制定</w:t>
      </w:r>
      <w:r w:rsidR="004D2CA8">
        <w:rPr>
          <w:rFonts w:hint="eastAsia"/>
          <w:lang w:eastAsia="zh-CN"/>
        </w:rPr>
        <w:t>《</w:t>
      </w:r>
      <w:r w:rsidR="004D2CA8" w:rsidRPr="004D2CA8">
        <w:rPr>
          <w:rFonts w:hint="eastAsia"/>
          <w:lang w:eastAsia="zh-CN"/>
        </w:rPr>
        <w:t>国家应急通信计划</w:t>
      </w:r>
      <w:r w:rsidR="004D2CA8">
        <w:rPr>
          <w:rFonts w:hint="eastAsia"/>
          <w:lang w:eastAsia="zh-CN"/>
        </w:rPr>
        <w:t>》、</w:t>
      </w:r>
      <w:r w:rsidR="00C84A84" w:rsidRPr="00C84A84">
        <w:rPr>
          <w:rFonts w:hint="eastAsia"/>
          <w:lang w:eastAsia="zh-CN"/>
        </w:rPr>
        <w:t>将</w:t>
      </w:r>
      <w:r w:rsidR="004D2CA8" w:rsidRPr="00FA74D5">
        <w:rPr>
          <w:lang w:eastAsia="zh-CN"/>
        </w:rPr>
        <w:t>ICT</w:t>
      </w:r>
      <w:r w:rsidR="00C84A84" w:rsidRPr="00C84A84">
        <w:rPr>
          <w:rFonts w:hint="eastAsia"/>
          <w:lang w:eastAsia="zh-CN"/>
        </w:rPr>
        <w:t>用于灾害管理</w:t>
      </w:r>
      <w:r w:rsidR="00F73E1C">
        <w:rPr>
          <w:rFonts w:hint="eastAsia"/>
          <w:lang w:eastAsia="zh-CN"/>
        </w:rPr>
        <w:t>方面</w:t>
      </w:r>
      <w:r w:rsidR="00C84A84" w:rsidRPr="00C84A84">
        <w:rPr>
          <w:rFonts w:hint="eastAsia"/>
          <w:lang w:eastAsia="zh-CN"/>
        </w:rPr>
        <w:t>的能力建设和</w:t>
      </w:r>
      <w:r w:rsidR="00F73E1C">
        <w:rPr>
          <w:rFonts w:hint="eastAsia"/>
          <w:lang w:eastAsia="zh-CN"/>
        </w:rPr>
        <w:t>开展</w:t>
      </w:r>
      <w:r w:rsidR="004D2CA8" w:rsidRPr="004D2CA8">
        <w:rPr>
          <w:rFonts w:hint="eastAsia"/>
          <w:lang w:eastAsia="zh-CN"/>
        </w:rPr>
        <w:t>模拟演练</w:t>
      </w:r>
      <w:r w:rsidR="004D2CA8">
        <w:rPr>
          <w:rFonts w:hint="eastAsia"/>
          <w:lang w:eastAsia="zh-CN"/>
        </w:rPr>
        <w:t>、</w:t>
      </w:r>
      <w:r w:rsidR="00C84A84" w:rsidRPr="00C84A84">
        <w:rPr>
          <w:rFonts w:hint="eastAsia"/>
          <w:lang w:eastAsia="zh-CN"/>
        </w:rPr>
        <w:t>实施</w:t>
      </w:r>
      <w:r w:rsidR="004D2CA8" w:rsidRPr="004D2CA8">
        <w:rPr>
          <w:rFonts w:hint="eastAsia"/>
          <w:lang w:eastAsia="zh-CN"/>
        </w:rPr>
        <w:t>多灾种早期预警系统</w:t>
      </w:r>
      <w:r w:rsidR="004D2CA8">
        <w:rPr>
          <w:rFonts w:hint="eastAsia"/>
          <w:lang w:eastAsia="zh-CN"/>
        </w:rPr>
        <w:t>（</w:t>
      </w:r>
      <w:r w:rsidR="004D2CA8" w:rsidRPr="00C84A84">
        <w:rPr>
          <w:rFonts w:hint="eastAsia"/>
          <w:lang w:eastAsia="zh-CN"/>
        </w:rPr>
        <w:t>包括</w:t>
      </w:r>
      <w:r w:rsidR="004D2CA8" w:rsidRPr="004D2CA8">
        <w:rPr>
          <w:rFonts w:hint="eastAsia"/>
          <w:lang w:eastAsia="zh-CN"/>
        </w:rPr>
        <w:t>通用警报协议</w:t>
      </w:r>
      <w:r w:rsidR="004D2CA8">
        <w:rPr>
          <w:rFonts w:hint="eastAsia"/>
          <w:lang w:eastAsia="zh-CN"/>
        </w:rPr>
        <w:t>）、</w:t>
      </w:r>
      <w:r w:rsidR="00F73E1C" w:rsidRPr="00C84A84">
        <w:rPr>
          <w:rFonts w:hint="eastAsia"/>
          <w:lang w:eastAsia="zh-CN"/>
        </w:rPr>
        <w:t>恢复</w:t>
      </w:r>
      <w:r w:rsidR="00C84A84" w:rsidRPr="00C84A84">
        <w:rPr>
          <w:rFonts w:hint="eastAsia"/>
          <w:lang w:eastAsia="zh-CN"/>
        </w:rPr>
        <w:t>受灾国家</w:t>
      </w:r>
      <w:r w:rsidR="00F73E1C">
        <w:rPr>
          <w:rFonts w:hint="eastAsia"/>
          <w:lang w:eastAsia="zh-CN"/>
        </w:rPr>
        <w:t>的连通性</w:t>
      </w:r>
      <w:r w:rsidR="004D2CA8">
        <w:rPr>
          <w:rFonts w:hint="eastAsia"/>
          <w:lang w:eastAsia="zh-CN"/>
        </w:rPr>
        <w:t>、</w:t>
      </w:r>
      <w:r w:rsidR="00C84A84" w:rsidRPr="00C84A84">
        <w:rPr>
          <w:rFonts w:hint="eastAsia"/>
          <w:lang w:eastAsia="zh-CN"/>
        </w:rPr>
        <w:t>提供</w:t>
      </w:r>
      <w:r w:rsidR="004D2CA8" w:rsidRPr="004D2CA8">
        <w:rPr>
          <w:rFonts w:hint="eastAsia"/>
          <w:lang w:eastAsia="zh-CN"/>
        </w:rPr>
        <w:t>灾害通信连接图</w:t>
      </w:r>
      <w:r w:rsidR="00C84A84" w:rsidRPr="00C84A84">
        <w:rPr>
          <w:rFonts w:hint="eastAsia"/>
          <w:lang w:eastAsia="zh-CN"/>
        </w:rPr>
        <w:t>以及</w:t>
      </w:r>
      <w:r w:rsidR="004D2CA8">
        <w:rPr>
          <w:rFonts w:hint="eastAsia"/>
          <w:lang w:eastAsia="zh-CN"/>
        </w:rPr>
        <w:t>在</w:t>
      </w:r>
      <w:r w:rsidR="00C84A84" w:rsidRPr="00C84A84">
        <w:rPr>
          <w:rFonts w:hint="eastAsia"/>
          <w:lang w:eastAsia="zh-CN"/>
        </w:rPr>
        <w:t>减少和管理灾害风险</w:t>
      </w:r>
      <w:r w:rsidR="004D2CA8">
        <w:rPr>
          <w:rFonts w:hint="eastAsia"/>
          <w:lang w:eastAsia="zh-CN"/>
        </w:rPr>
        <w:t>方面进行</w:t>
      </w:r>
      <w:r w:rsidR="00C84A84" w:rsidRPr="00C84A84">
        <w:rPr>
          <w:rFonts w:hint="eastAsia"/>
          <w:lang w:eastAsia="zh-CN"/>
        </w:rPr>
        <w:t>国家人员能力</w:t>
      </w:r>
      <w:r w:rsidR="004D2CA8">
        <w:rPr>
          <w:rFonts w:hint="eastAsia"/>
          <w:lang w:eastAsia="zh-CN"/>
        </w:rPr>
        <w:t>建设。</w:t>
      </w:r>
    </w:p>
    <w:p w14:paraId="3F8CC1A7" w14:textId="49BF1CF5" w:rsidR="00FA74D5" w:rsidRPr="00FA74D5" w:rsidRDefault="00C84A84" w:rsidP="00BC02A2">
      <w:pPr>
        <w:spacing w:after="120"/>
        <w:ind w:firstLineChars="200" w:firstLine="480"/>
        <w:jc w:val="both"/>
        <w:rPr>
          <w:lang w:eastAsia="zh-CN"/>
        </w:rPr>
      </w:pPr>
      <w:r w:rsidRPr="00C84A84">
        <w:rPr>
          <w:rFonts w:hint="eastAsia"/>
          <w:lang w:eastAsia="zh-CN"/>
        </w:rPr>
        <w:t>在此基础上</w:t>
      </w:r>
      <w:r w:rsidR="00DD5D7D">
        <w:rPr>
          <w:rFonts w:hint="eastAsia"/>
          <w:lang w:eastAsia="zh-CN"/>
        </w:rPr>
        <w:t>，</w:t>
      </w:r>
      <w:r w:rsidRPr="00C84A84">
        <w:rPr>
          <w:rFonts w:hint="eastAsia"/>
          <w:lang w:eastAsia="zh-CN"/>
        </w:rPr>
        <w:t>国际电联为</w:t>
      </w:r>
      <w:r w:rsidR="008A4F0A">
        <w:rPr>
          <w:rFonts w:hint="eastAsia"/>
          <w:lang w:eastAsia="zh-CN"/>
        </w:rPr>
        <w:t>制定</w:t>
      </w:r>
      <w:r w:rsidRPr="00C84A84">
        <w:rPr>
          <w:rFonts w:hint="eastAsia"/>
          <w:lang w:eastAsia="zh-CN"/>
        </w:rPr>
        <w:t>有效的政策</w:t>
      </w:r>
      <w:r w:rsidR="00DD5D7D">
        <w:rPr>
          <w:rFonts w:hint="eastAsia"/>
          <w:lang w:eastAsia="zh-CN"/>
        </w:rPr>
        <w:t>、</w:t>
      </w:r>
      <w:r w:rsidRPr="00C84A84">
        <w:rPr>
          <w:rFonts w:hint="eastAsia"/>
          <w:lang w:eastAsia="zh-CN"/>
        </w:rPr>
        <w:t>法律和监管框架提供</w:t>
      </w:r>
      <w:r w:rsidR="008A4F0A">
        <w:rPr>
          <w:rFonts w:hint="eastAsia"/>
          <w:lang w:eastAsia="zh-CN"/>
        </w:rPr>
        <w:t>了</w:t>
      </w:r>
      <w:r w:rsidRPr="00C84A84">
        <w:rPr>
          <w:rFonts w:hint="eastAsia"/>
          <w:lang w:eastAsia="zh-CN"/>
        </w:rPr>
        <w:t>平台和工具</w:t>
      </w:r>
      <w:r w:rsidR="00DD5D7D">
        <w:rPr>
          <w:rFonts w:hint="eastAsia"/>
          <w:lang w:eastAsia="zh-CN"/>
        </w:rPr>
        <w:t>，</w:t>
      </w:r>
      <w:r w:rsidRPr="002917FD">
        <w:rPr>
          <w:rFonts w:hint="eastAsia"/>
          <w:lang w:eastAsia="zh-CN"/>
        </w:rPr>
        <w:t>以支持监管机构和</w:t>
      </w:r>
      <w:r w:rsidR="00DD5D7D" w:rsidRPr="002917FD">
        <w:rPr>
          <w:rFonts w:hint="eastAsia"/>
          <w:lang w:eastAsia="zh-CN"/>
        </w:rPr>
        <w:t>政策制定机构</w:t>
      </w:r>
      <w:r w:rsidRPr="002917FD">
        <w:rPr>
          <w:rFonts w:hint="eastAsia"/>
          <w:lang w:eastAsia="zh-CN"/>
        </w:rPr>
        <w:t>促进普遍</w:t>
      </w:r>
      <w:r w:rsidR="00DD5D7D" w:rsidRPr="002917FD">
        <w:rPr>
          <w:rFonts w:hint="eastAsia"/>
          <w:lang w:eastAsia="zh-CN"/>
        </w:rPr>
        <w:t>且</w:t>
      </w:r>
      <w:r w:rsidRPr="002917FD">
        <w:rPr>
          <w:rFonts w:hint="eastAsia"/>
          <w:lang w:eastAsia="zh-CN"/>
        </w:rPr>
        <w:t>有意义的</w:t>
      </w:r>
      <w:r w:rsidR="002917FD" w:rsidRPr="002917FD">
        <w:rPr>
          <w:rFonts w:hint="eastAsia"/>
          <w:lang w:eastAsia="zh-CN"/>
        </w:rPr>
        <w:t>连通性的</w:t>
      </w:r>
      <w:r w:rsidRPr="002917FD">
        <w:rPr>
          <w:rFonts w:hint="eastAsia"/>
          <w:lang w:eastAsia="zh-CN"/>
        </w:rPr>
        <w:t>发展</w:t>
      </w:r>
      <w:r w:rsidR="00DD5D7D" w:rsidRPr="002917FD">
        <w:rPr>
          <w:rFonts w:hint="eastAsia"/>
          <w:lang w:eastAsia="zh-CN"/>
        </w:rPr>
        <w:t>。</w:t>
      </w:r>
      <w:r w:rsidR="002917FD" w:rsidRPr="002917FD">
        <w:rPr>
          <w:rFonts w:hint="eastAsia"/>
          <w:lang w:eastAsia="zh-CN"/>
        </w:rPr>
        <w:t>相关</w:t>
      </w:r>
      <w:r w:rsidRPr="002917FD">
        <w:rPr>
          <w:rFonts w:hint="eastAsia"/>
          <w:lang w:eastAsia="zh-CN"/>
        </w:rPr>
        <w:t>产品包括</w:t>
      </w:r>
      <w:r w:rsidR="00DD5D7D" w:rsidRPr="002917FD">
        <w:rPr>
          <w:rFonts w:hint="eastAsia"/>
          <w:lang w:eastAsia="zh-CN"/>
        </w:rPr>
        <w:t>：</w:t>
      </w:r>
      <w:r w:rsidRPr="002917FD">
        <w:rPr>
          <w:rFonts w:hint="eastAsia"/>
          <w:lang w:eastAsia="zh-CN"/>
        </w:rPr>
        <w:t>数字监管平台</w:t>
      </w:r>
      <w:r w:rsidR="00DD5D7D" w:rsidRPr="002917FD">
        <w:rPr>
          <w:rFonts w:hint="eastAsia"/>
          <w:lang w:eastAsia="zh-CN"/>
        </w:rPr>
        <w:t>、</w:t>
      </w:r>
      <w:r w:rsidRPr="002917FD">
        <w:rPr>
          <w:rFonts w:hint="eastAsia"/>
          <w:lang w:eastAsia="zh-CN"/>
        </w:rPr>
        <w:t>协作监管</w:t>
      </w:r>
      <w:r w:rsidR="00DD5D7D" w:rsidRPr="002917FD">
        <w:rPr>
          <w:rFonts w:hint="eastAsia"/>
          <w:lang w:eastAsia="zh-CN"/>
        </w:rPr>
        <w:t>、</w:t>
      </w:r>
      <w:hyperlink r:id="rId17" w:history="1">
        <w:r w:rsidR="00DD5D7D" w:rsidRPr="002917FD">
          <w:rPr>
            <w:rStyle w:val="Hyperlink"/>
            <w:lang w:eastAsia="zh-CN"/>
          </w:rPr>
          <w:t>G5</w:t>
        </w:r>
        <w:r w:rsidR="00DD5D7D" w:rsidRPr="002917FD">
          <w:rPr>
            <w:rStyle w:val="Hyperlink"/>
            <w:rFonts w:hint="eastAsia"/>
            <w:lang w:eastAsia="zh-CN"/>
          </w:rPr>
          <w:t>基准</w:t>
        </w:r>
      </w:hyperlink>
      <w:r w:rsidR="00DD5D7D" w:rsidRPr="002917FD">
        <w:rPr>
          <w:rFonts w:hint="eastAsia"/>
          <w:lang w:eastAsia="zh-CN"/>
        </w:rPr>
        <w:t>、</w:t>
      </w:r>
      <w:r w:rsidRPr="002917FD">
        <w:rPr>
          <w:rFonts w:hint="eastAsia"/>
          <w:lang w:eastAsia="zh-CN"/>
        </w:rPr>
        <w:t>全球监管机构专题研讨会</w:t>
      </w:r>
      <w:r w:rsidR="00DD5D7D" w:rsidRPr="002917FD">
        <w:rPr>
          <w:rFonts w:hint="eastAsia"/>
          <w:lang w:eastAsia="zh-CN"/>
        </w:rPr>
        <w:t>、</w:t>
      </w:r>
      <w:r w:rsidRPr="002917FD">
        <w:rPr>
          <w:rFonts w:hint="eastAsia"/>
          <w:lang w:eastAsia="zh-CN"/>
        </w:rPr>
        <w:t>最佳做法</w:t>
      </w:r>
      <w:r w:rsidR="00DD5D7D" w:rsidRPr="002917FD">
        <w:rPr>
          <w:rFonts w:hint="eastAsia"/>
          <w:lang w:eastAsia="zh-CN"/>
        </w:rPr>
        <w:t>导则、</w:t>
      </w:r>
      <w:r w:rsidRPr="002917FD">
        <w:rPr>
          <w:rFonts w:hint="eastAsia"/>
          <w:lang w:eastAsia="zh-CN"/>
        </w:rPr>
        <w:t>经济影响研究</w:t>
      </w:r>
      <w:r w:rsidR="00DD5D7D" w:rsidRPr="002917FD">
        <w:rPr>
          <w:rFonts w:hint="eastAsia"/>
          <w:lang w:eastAsia="zh-CN"/>
        </w:rPr>
        <w:t>、</w:t>
      </w:r>
      <w:r w:rsidR="00DD5D7D" w:rsidRPr="002917FD">
        <w:rPr>
          <w:lang w:eastAsia="zh-CN"/>
        </w:rPr>
        <w:t>ICT</w:t>
      </w:r>
      <w:r w:rsidRPr="002917FD">
        <w:rPr>
          <w:rFonts w:hint="eastAsia"/>
          <w:lang w:eastAsia="zh-CN"/>
        </w:rPr>
        <w:t>政策影响实验室</w:t>
      </w:r>
      <w:r w:rsidR="00DD5D7D" w:rsidRPr="002917FD">
        <w:rPr>
          <w:rFonts w:hint="eastAsia"/>
          <w:lang w:eastAsia="zh-CN"/>
        </w:rPr>
        <w:t>。</w:t>
      </w:r>
    </w:p>
    <w:p w14:paraId="15EDEEAD" w14:textId="041C7331" w:rsidR="00FA74D5" w:rsidRPr="00FA74D5" w:rsidRDefault="00814507" w:rsidP="006706D7">
      <w:pPr>
        <w:keepNext/>
        <w:keepLines/>
        <w:spacing w:after="120"/>
        <w:ind w:firstLineChars="200" w:firstLine="480"/>
        <w:jc w:val="both"/>
        <w:rPr>
          <w:lang w:eastAsia="zh-CN"/>
        </w:rPr>
      </w:pPr>
      <w:r>
        <w:rPr>
          <w:rFonts w:hint="eastAsia"/>
          <w:lang w:eastAsia="zh-CN"/>
        </w:rPr>
        <w:lastRenderedPageBreak/>
        <w:t>与</w:t>
      </w:r>
      <w:r w:rsidR="00C84A84" w:rsidRPr="00C84A84">
        <w:rPr>
          <w:rFonts w:hint="eastAsia"/>
          <w:lang w:eastAsia="zh-CN"/>
        </w:rPr>
        <w:t>实地基础设施</w:t>
      </w:r>
      <w:r w:rsidR="00883E98">
        <w:rPr>
          <w:rFonts w:hint="eastAsia"/>
          <w:lang w:eastAsia="zh-CN"/>
        </w:rPr>
        <w:t>建设</w:t>
      </w:r>
      <w:r>
        <w:rPr>
          <w:rFonts w:hint="eastAsia"/>
          <w:lang w:eastAsia="zh-CN"/>
        </w:rPr>
        <w:t>相关</w:t>
      </w:r>
      <w:r w:rsidR="00C84A84" w:rsidRPr="00C84A84">
        <w:rPr>
          <w:rFonts w:hint="eastAsia"/>
          <w:lang w:eastAsia="zh-CN"/>
        </w:rPr>
        <w:t>的所有行动的详细报告</w:t>
      </w:r>
      <w:r>
        <w:rPr>
          <w:rFonts w:hint="eastAsia"/>
          <w:lang w:eastAsia="zh-CN"/>
        </w:rPr>
        <w:t>载于</w:t>
      </w:r>
      <w:hyperlink r:id="rId18" w:history="1">
        <w:r w:rsidR="00883E98" w:rsidRPr="00FA74D5">
          <w:rPr>
            <w:rStyle w:val="Hyperlink"/>
            <w:lang w:eastAsia="zh-CN"/>
          </w:rPr>
          <w:t>TDAG-25/2</w:t>
        </w:r>
        <w:r w:rsidR="00883E98">
          <w:rPr>
            <w:rStyle w:val="Hyperlink"/>
            <w:rFonts w:hint="eastAsia"/>
            <w:lang w:eastAsia="zh-CN"/>
          </w:rPr>
          <w:t>号文件</w:t>
        </w:r>
      </w:hyperlink>
      <w:r w:rsidR="00883E98">
        <w:rPr>
          <w:rFonts w:hint="eastAsia"/>
          <w:lang w:eastAsia="zh-CN"/>
        </w:rPr>
        <w:t>，</w:t>
      </w:r>
      <w:r w:rsidR="00C84A84" w:rsidRPr="00C84A84">
        <w:rPr>
          <w:rFonts w:hint="eastAsia"/>
          <w:lang w:eastAsia="zh-CN"/>
        </w:rPr>
        <w:t>涵盖</w:t>
      </w:r>
      <w:r w:rsidR="00883E98">
        <w:rPr>
          <w:rFonts w:hint="eastAsia"/>
          <w:lang w:eastAsia="zh-CN"/>
        </w:rPr>
        <w:t>的</w:t>
      </w:r>
      <w:r w:rsidR="00C84A84" w:rsidRPr="00C84A84">
        <w:rPr>
          <w:rFonts w:hint="eastAsia"/>
          <w:lang w:eastAsia="zh-CN"/>
        </w:rPr>
        <w:t>时间</w:t>
      </w:r>
      <w:r w:rsidR="00883E98">
        <w:rPr>
          <w:rFonts w:hint="eastAsia"/>
          <w:lang w:eastAsia="zh-CN"/>
        </w:rPr>
        <w:t>范围</w:t>
      </w:r>
      <w:r w:rsidR="00C84A84" w:rsidRPr="00C84A84">
        <w:rPr>
          <w:rFonts w:hint="eastAsia"/>
          <w:lang w:eastAsia="zh-CN"/>
        </w:rPr>
        <w:t>为</w:t>
      </w:r>
      <w:r w:rsidR="00883E98" w:rsidRPr="00FA74D5">
        <w:rPr>
          <w:lang w:eastAsia="zh-CN"/>
        </w:rPr>
        <w:t>2024</w:t>
      </w:r>
      <w:r w:rsidR="00C84A84" w:rsidRPr="00C84A84">
        <w:rPr>
          <w:rFonts w:hint="eastAsia"/>
          <w:lang w:eastAsia="zh-CN"/>
        </w:rPr>
        <w:t>年</w:t>
      </w:r>
      <w:r w:rsidR="00C84A84" w:rsidRPr="00C84A84">
        <w:rPr>
          <w:rFonts w:hint="eastAsia"/>
          <w:lang w:eastAsia="zh-CN"/>
        </w:rPr>
        <w:t>5</w:t>
      </w:r>
      <w:r w:rsidR="00C84A84" w:rsidRPr="00C84A84">
        <w:rPr>
          <w:rFonts w:hint="eastAsia"/>
          <w:lang w:eastAsia="zh-CN"/>
        </w:rPr>
        <w:t>月至</w:t>
      </w:r>
      <w:r w:rsidR="00883E98" w:rsidRPr="00FA74D5">
        <w:rPr>
          <w:lang w:eastAsia="zh-CN"/>
        </w:rPr>
        <w:t>2025</w:t>
      </w:r>
      <w:r w:rsidR="00C84A84" w:rsidRPr="00C84A84">
        <w:rPr>
          <w:rFonts w:hint="eastAsia"/>
          <w:lang w:eastAsia="zh-CN"/>
        </w:rPr>
        <w:t>年</w:t>
      </w:r>
      <w:r w:rsidR="00C84A84" w:rsidRPr="00C84A84">
        <w:rPr>
          <w:rFonts w:hint="eastAsia"/>
          <w:lang w:eastAsia="zh-CN"/>
        </w:rPr>
        <w:t>4</w:t>
      </w:r>
      <w:r w:rsidR="00C84A84" w:rsidRPr="00C84A84">
        <w:rPr>
          <w:rFonts w:hint="eastAsia"/>
          <w:lang w:eastAsia="zh-CN"/>
        </w:rPr>
        <w:t>月</w:t>
      </w:r>
      <w:r w:rsidR="00883E98">
        <w:rPr>
          <w:rFonts w:hint="eastAsia"/>
          <w:lang w:eastAsia="zh-CN"/>
        </w:rPr>
        <w:t>。</w:t>
      </w:r>
      <w:r w:rsidR="00883E98" w:rsidRPr="00FA74D5">
        <w:rPr>
          <w:lang w:eastAsia="zh-CN"/>
        </w:rPr>
        <w:t>2023</w:t>
      </w:r>
      <w:r w:rsidR="00C84A84" w:rsidRPr="00C84A84">
        <w:rPr>
          <w:rFonts w:hint="eastAsia"/>
          <w:lang w:eastAsia="zh-CN"/>
        </w:rPr>
        <w:t>年</w:t>
      </w:r>
      <w:r w:rsidR="00C84A84" w:rsidRPr="00C84A84">
        <w:rPr>
          <w:rFonts w:hint="eastAsia"/>
          <w:lang w:eastAsia="zh-CN"/>
        </w:rPr>
        <w:t>6</w:t>
      </w:r>
      <w:r w:rsidR="00C84A84" w:rsidRPr="00C84A84">
        <w:rPr>
          <w:rFonts w:hint="eastAsia"/>
          <w:lang w:eastAsia="zh-CN"/>
        </w:rPr>
        <w:t>月至</w:t>
      </w:r>
      <w:r w:rsidR="00883E98" w:rsidRPr="00FA74D5">
        <w:rPr>
          <w:lang w:eastAsia="zh-CN"/>
        </w:rPr>
        <w:t>2024</w:t>
      </w:r>
      <w:r w:rsidR="00C84A84" w:rsidRPr="00C84A84">
        <w:rPr>
          <w:rFonts w:hint="eastAsia"/>
          <w:lang w:eastAsia="zh-CN"/>
        </w:rPr>
        <w:t>年</w:t>
      </w:r>
      <w:r w:rsidR="00C84A84" w:rsidRPr="00C84A84">
        <w:rPr>
          <w:rFonts w:hint="eastAsia"/>
          <w:lang w:eastAsia="zh-CN"/>
        </w:rPr>
        <w:t>4</w:t>
      </w:r>
      <w:r w:rsidR="00C84A84" w:rsidRPr="00C84A84">
        <w:rPr>
          <w:rFonts w:hint="eastAsia"/>
          <w:lang w:eastAsia="zh-CN"/>
        </w:rPr>
        <w:t>月期间</w:t>
      </w:r>
      <w:r w:rsidR="00883E98">
        <w:rPr>
          <w:rFonts w:hint="eastAsia"/>
          <w:lang w:eastAsia="zh-CN"/>
        </w:rPr>
        <w:t>开展</w:t>
      </w:r>
      <w:r w:rsidR="00C84A84" w:rsidRPr="00C84A84">
        <w:rPr>
          <w:rFonts w:hint="eastAsia"/>
          <w:lang w:eastAsia="zh-CN"/>
        </w:rPr>
        <w:t>的行动见</w:t>
      </w:r>
      <w:hyperlink r:id="rId19" w:history="1">
        <w:r w:rsidR="00883E98" w:rsidRPr="00FA74D5">
          <w:rPr>
            <w:rStyle w:val="Hyperlink"/>
            <w:lang w:eastAsia="zh-CN"/>
          </w:rPr>
          <w:t>TDAG-24/2</w:t>
        </w:r>
        <w:r w:rsidR="00883E98">
          <w:rPr>
            <w:rStyle w:val="Hyperlink"/>
            <w:rFonts w:hint="eastAsia"/>
            <w:lang w:eastAsia="zh-CN"/>
          </w:rPr>
          <w:t>号文件</w:t>
        </w:r>
      </w:hyperlink>
      <w:r w:rsidR="00883E98">
        <w:rPr>
          <w:rFonts w:hint="eastAsia"/>
          <w:lang w:eastAsia="zh-CN"/>
        </w:rPr>
        <w:t>。</w:t>
      </w:r>
    </w:p>
    <w:p w14:paraId="63EA0F81" w14:textId="3B1F1271" w:rsidR="00FA74D5" w:rsidRPr="00FA74D5" w:rsidRDefault="00893C56" w:rsidP="00BC02A2">
      <w:pPr>
        <w:spacing w:after="120"/>
        <w:ind w:firstLineChars="200" w:firstLine="480"/>
        <w:jc w:val="both"/>
        <w:rPr>
          <w:lang w:eastAsia="zh-CN"/>
        </w:rPr>
      </w:pPr>
      <w:r>
        <w:rPr>
          <w:rFonts w:hint="eastAsia"/>
          <w:lang w:eastAsia="zh-CN"/>
        </w:rPr>
        <w:t>响应</w:t>
      </w:r>
      <w:r w:rsidR="00C84A84" w:rsidRPr="00C84A84">
        <w:rPr>
          <w:rFonts w:hint="eastAsia"/>
          <w:lang w:eastAsia="zh-CN"/>
        </w:rPr>
        <w:t>国际电联理事会关于乌克兰的第</w:t>
      </w:r>
      <w:r w:rsidR="003E47A0" w:rsidRPr="00FA74D5">
        <w:rPr>
          <w:lang w:eastAsia="zh-CN"/>
        </w:rPr>
        <w:t>1408</w:t>
      </w:r>
      <w:r w:rsidR="00C84A84" w:rsidRPr="00C84A84">
        <w:rPr>
          <w:rFonts w:hint="eastAsia"/>
          <w:lang w:eastAsia="zh-CN"/>
        </w:rPr>
        <w:t>号决议和国际电联理事会关于巴勒斯坦的第</w:t>
      </w:r>
      <w:r w:rsidR="003E47A0" w:rsidRPr="00FA74D5">
        <w:rPr>
          <w:lang w:eastAsia="zh-CN"/>
        </w:rPr>
        <w:t>1424</w:t>
      </w:r>
      <w:r w:rsidR="00C84A84" w:rsidRPr="00C84A84">
        <w:rPr>
          <w:rFonts w:hint="eastAsia"/>
          <w:lang w:eastAsia="zh-CN"/>
        </w:rPr>
        <w:t>号决议</w:t>
      </w:r>
      <w:r w:rsidR="002917FD">
        <w:rPr>
          <w:rFonts w:hint="eastAsia"/>
          <w:lang w:eastAsia="zh-CN"/>
        </w:rPr>
        <w:t>而</w:t>
      </w:r>
      <w:r w:rsidR="00C84A84" w:rsidRPr="00C84A84">
        <w:rPr>
          <w:rFonts w:hint="eastAsia"/>
          <w:lang w:eastAsia="zh-CN"/>
        </w:rPr>
        <w:t>采取</w:t>
      </w:r>
      <w:r w:rsidR="003E47A0">
        <w:rPr>
          <w:rFonts w:hint="eastAsia"/>
          <w:lang w:eastAsia="zh-CN"/>
        </w:rPr>
        <w:t>的</w:t>
      </w:r>
      <w:r w:rsidR="00C84A84" w:rsidRPr="00C84A84">
        <w:rPr>
          <w:rFonts w:hint="eastAsia"/>
          <w:lang w:eastAsia="zh-CN"/>
        </w:rPr>
        <w:t>行动的详细报告分别作为秘书处</w:t>
      </w:r>
      <w:hyperlink r:id="rId20" w:history="1">
        <w:r w:rsidR="003E47A0" w:rsidRPr="00FA74D5">
          <w:rPr>
            <w:rStyle w:val="Hyperlink"/>
            <w:lang w:eastAsia="zh-CN"/>
          </w:rPr>
          <w:t>C25/68</w:t>
        </w:r>
      </w:hyperlink>
      <w:r w:rsidR="003E47A0" w:rsidRPr="00C84A84">
        <w:rPr>
          <w:rFonts w:hint="eastAsia"/>
          <w:lang w:eastAsia="zh-CN"/>
        </w:rPr>
        <w:t>和</w:t>
      </w:r>
      <w:hyperlink r:id="rId21" w:history="1">
        <w:r w:rsidR="003E47A0" w:rsidRPr="00FA74D5">
          <w:rPr>
            <w:rStyle w:val="Hyperlink"/>
            <w:lang w:eastAsia="zh-CN"/>
          </w:rPr>
          <w:t>C25/71</w:t>
        </w:r>
      </w:hyperlink>
      <w:r w:rsidR="003E47A0">
        <w:rPr>
          <w:rFonts w:hint="eastAsia"/>
          <w:lang w:eastAsia="zh-CN"/>
        </w:rPr>
        <w:t>号</w:t>
      </w:r>
      <w:r w:rsidR="00C84A84" w:rsidRPr="00C84A84">
        <w:rPr>
          <w:rFonts w:hint="eastAsia"/>
          <w:lang w:eastAsia="zh-CN"/>
        </w:rPr>
        <w:t>文件提供</w:t>
      </w:r>
      <w:r w:rsidR="003E47A0">
        <w:rPr>
          <w:rFonts w:hint="eastAsia"/>
          <w:lang w:eastAsia="zh-CN"/>
        </w:rPr>
        <w:t>。</w:t>
      </w:r>
    </w:p>
    <w:p w14:paraId="2561AB98" w14:textId="64B71201" w:rsidR="00FA74D5" w:rsidRPr="00FA74D5" w:rsidRDefault="00FA74D5" w:rsidP="00BC02A2">
      <w:pPr>
        <w:pStyle w:val="Heading1"/>
        <w:rPr>
          <w:lang w:val="en-US" w:eastAsia="zh-CN"/>
        </w:rPr>
      </w:pPr>
      <w:r w:rsidRPr="00FA74D5">
        <w:rPr>
          <w:lang w:val="en-US" w:eastAsia="zh-CN"/>
        </w:rPr>
        <w:t>3</w:t>
      </w:r>
      <w:r w:rsidRPr="00FA74D5">
        <w:rPr>
          <w:lang w:val="en-US" w:eastAsia="zh-CN"/>
        </w:rPr>
        <w:tab/>
      </w:r>
      <w:r w:rsidR="00C84A84" w:rsidRPr="00C84A84">
        <w:rPr>
          <w:rFonts w:hint="eastAsia"/>
          <w:lang w:val="en-US" w:eastAsia="zh-CN"/>
        </w:rPr>
        <w:t>结论</w:t>
      </w:r>
    </w:p>
    <w:p w14:paraId="2F00B6FE" w14:textId="7C142001" w:rsidR="00FA74D5" w:rsidRPr="00FA74D5" w:rsidRDefault="00C84A84" w:rsidP="00BC02A2">
      <w:pPr>
        <w:tabs>
          <w:tab w:val="clear" w:pos="567"/>
          <w:tab w:val="clear" w:pos="1134"/>
          <w:tab w:val="clear" w:pos="1701"/>
          <w:tab w:val="clear" w:pos="2268"/>
          <w:tab w:val="clear" w:pos="2835"/>
        </w:tabs>
        <w:spacing w:after="120"/>
        <w:ind w:firstLineChars="200" w:firstLine="480"/>
        <w:jc w:val="both"/>
        <w:rPr>
          <w:lang w:eastAsia="zh-CN"/>
        </w:rPr>
      </w:pPr>
      <w:r w:rsidRPr="00C84A84">
        <w:rPr>
          <w:rFonts w:hint="eastAsia"/>
          <w:lang w:eastAsia="zh-CN"/>
        </w:rPr>
        <w:t>国际电联继续加强提供与成员国</w:t>
      </w:r>
      <w:r w:rsidR="005A661A" w:rsidRPr="00FA74D5">
        <w:rPr>
          <w:lang w:eastAsia="zh-CN"/>
        </w:rPr>
        <w:t>ICT</w:t>
      </w:r>
      <w:r w:rsidRPr="00C84A84">
        <w:rPr>
          <w:rFonts w:hint="eastAsia"/>
          <w:lang w:eastAsia="zh-CN"/>
        </w:rPr>
        <w:t>基础设施发展</w:t>
      </w:r>
      <w:r w:rsidR="005A661A">
        <w:rPr>
          <w:rFonts w:hint="eastAsia"/>
          <w:lang w:eastAsia="zh-CN"/>
        </w:rPr>
        <w:t>、</w:t>
      </w:r>
      <w:r w:rsidRPr="00C84A84">
        <w:rPr>
          <w:rFonts w:hint="eastAsia"/>
          <w:lang w:eastAsia="zh-CN"/>
        </w:rPr>
        <w:t>重建和</w:t>
      </w:r>
      <w:r w:rsidR="005A661A" w:rsidRPr="00FA74D5">
        <w:rPr>
          <w:lang w:eastAsia="zh-CN"/>
        </w:rPr>
        <w:t>/</w:t>
      </w:r>
      <w:r w:rsidRPr="00C84A84">
        <w:rPr>
          <w:rFonts w:hint="eastAsia"/>
          <w:lang w:eastAsia="zh-CN"/>
        </w:rPr>
        <w:t>或恢复工作相关的产品和服务</w:t>
      </w:r>
      <w:r w:rsidR="005A661A">
        <w:rPr>
          <w:rFonts w:hint="eastAsia"/>
          <w:lang w:eastAsia="zh-CN"/>
        </w:rPr>
        <w:t>。</w:t>
      </w:r>
      <w:r w:rsidRPr="00C84A84">
        <w:rPr>
          <w:rFonts w:hint="eastAsia"/>
          <w:lang w:eastAsia="zh-CN"/>
        </w:rPr>
        <w:t>许多国家</w:t>
      </w:r>
      <w:r w:rsidR="005A661A">
        <w:rPr>
          <w:rFonts w:hint="eastAsia"/>
          <w:lang w:eastAsia="zh-CN"/>
        </w:rPr>
        <w:t>一直受益于</w:t>
      </w:r>
      <w:r w:rsidRPr="00C84A84">
        <w:rPr>
          <w:rFonts w:hint="eastAsia"/>
          <w:lang w:eastAsia="zh-CN"/>
        </w:rPr>
        <w:t>国际电联根据上述决议提供</w:t>
      </w:r>
      <w:r w:rsidR="005A661A">
        <w:rPr>
          <w:rFonts w:hint="eastAsia"/>
          <w:lang w:eastAsia="zh-CN"/>
        </w:rPr>
        <w:t>的产品和服务以及</w:t>
      </w:r>
      <w:r w:rsidRPr="00C84A84">
        <w:rPr>
          <w:rFonts w:hint="eastAsia"/>
          <w:lang w:eastAsia="zh-CN"/>
        </w:rPr>
        <w:t>直接援助</w:t>
      </w:r>
      <w:r w:rsidR="005A661A">
        <w:rPr>
          <w:rFonts w:hint="eastAsia"/>
          <w:lang w:eastAsia="zh-CN"/>
        </w:rPr>
        <w:t>。</w:t>
      </w:r>
    </w:p>
    <w:p w14:paraId="497900C5" w14:textId="2B1CC272" w:rsidR="00FA74D5" w:rsidRPr="00FA74D5" w:rsidRDefault="00C84A84" w:rsidP="00BC02A2">
      <w:pPr>
        <w:tabs>
          <w:tab w:val="clear" w:pos="567"/>
          <w:tab w:val="clear" w:pos="1134"/>
          <w:tab w:val="clear" w:pos="1701"/>
          <w:tab w:val="clear" w:pos="2268"/>
          <w:tab w:val="clear" w:pos="2835"/>
        </w:tabs>
        <w:spacing w:after="120"/>
        <w:ind w:firstLineChars="200" w:firstLine="480"/>
        <w:jc w:val="both"/>
        <w:rPr>
          <w:lang w:eastAsia="zh-CN"/>
        </w:rPr>
      </w:pPr>
      <w:r w:rsidRPr="00C84A84">
        <w:rPr>
          <w:rFonts w:hint="eastAsia"/>
          <w:lang w:eastAsia="zh-CN"/>
        </w:rPr>
        <w:t>鼓励所有有意加</w:t>
      </w:r>
      <w:r w:rsidR="00F70962">
        <w:rPr>
          <w:rFonts w:hint="eastAsia"/>
          <w:lang w:eastAsia="zh-CN"/>
        </w:rPr>
        <w:t>大</w:t>
      </w:r>
      <w:r w:rsidRPr="00C84A84">
        <w:rPr>
          <w:rFonts w:hint="eastAsia"/>
          <w:lang w:eastAsia="zh-CN"/>
        </w:rPr>
        <w:t>对</w:t>
      </w:r>
      <w:r w:rsidR="00F70962" w:rsidRPr="00FA74D5">
        <w:rPr>
          <w:lang w:eastAsia="zh-CN"/>
        </w:rPr>
        <w:t>ICT</w:t>
      </w:r>
      <w:r w:rsidRPr="00C84A84">
        <w:rPr>
          <w:rFonts w:hint="eastAsia"/>
          <w:lang w:eastAsia="zh-CN"/>
        </w:rPr>
        <w:t>基础设施重建和</w:t>
      </w:r>
      <w:r w:rsidR="00F70962" w:rsidRPr="00FA74D5">
        <w:rPr>
          <w:lang w:eastAsia="zh-CN"/>
        </w:rPr>
        <w:t>/</w:t>
      </w:r>
      <w:r w:rsidRPr="00C84A84">
        <w:rPr>
          <w:rFonts w:hint="eastAsia"/>
          <w:lang w:eastAsia="zh-CN"/>
        </w:rPr>
        <w:t>或恢复的支持</w:t>
      </w:r>
      <w:r w:rsidR="00F70962">
        <w:rPr>
          <w:rFonts w:hint="eastAsia"/>
          <w:lang w:eastAsia="zh-CN"/>
        </w:rPr>
        <w:t>力度</w:t>
      </w:r>
      <w:r w:rsidRPr="00C84A84">
        <w:rPr>
          <w:rFonts w:hint="eastAsia"/>
          <w:lang w:eastAsia="zh-CN"/>
        </w:rPr>
        <w:t>的成员国使用国际电联的相关产品和服务</w:t>
      </w:r>
      <w:r w:rsidR="00F70962">
        <w:rPr>
          <w:rFonts w:hint="eastAsia"/>
          <w:lang w:eastAsia="zh-CN"/>
        </w:rPr>
        <w:t>，</w:t>
      </w:r>
      <w:r w:rsidRPr="00C84A84">
        <w:rPr>
          <w:rFonts w:hint="eastAsia"/>
          <w:lang w:eastAsia="zh-CN"/>
        </w:rPr>
        <w:t>并在需要技术援助时与国际电联</w:t>
      </w:r>
      <w:r w:rsidR="006E07DD">
        <w:rPr>
          <w:rFonts w:hint="eastAsia"/>
          <w:lang w:eastAsia="zh-CN"/>
        </w:rPr>
        <w:t>取得</w:t>
      </w:r>
      <w:r w:rsidRPr="00C84A84">
        <w:rPr>
          <w:rFonts w:hint="eastAsia"/>
          <w:lang w:eastAsia="zh-CN"/>
        </w:rPr>
        <w:t>联系</w:t>
      </w:r>
      <w:r w:rsidR="00F70962">
        <w:rPr>
          <w:rFonts w:hint="eastAsia"/>
          <w:lang w:eastAsia="zh-CN"/>
        </w:rPr>
        <w:t>。</w:t>
      </w:r>
    </w:p>
    <w:p w14:paraId="421F5EE2" w14:textId="095C6177" w:rsidR="00FA74D5" w:rsidRPr="00FA74D5" w:rsidRDefault="00C84A84" w:rsidP="00BC02A2">
      <w:pPr>
        <w:tabs>
          <w:tab w:val="clear" w:pos="567"/>
          <w:tab w:val="clear" w:pos="1134"/>
          <w:tab w:val="clear" w:pos="1701"/>
          <w:tab w:val="clear" w:pos="2268"/>
          <w:tab w:val="clear" w:pos="2835"/>
        </w:tabs>
        <w:spacing w:after="120"/>
        <w:ind w:firstLineChars="200" w:firstLine="480"/>
        <w:jc w:val="both"/>
        <w:rPr>
          <w:lang w:eastAsia="zh-CN"/>
        </w:rPr>
      </w:pPr>
      <w:r w:rsidRPr="00C84A84">
        <w:rPr>
          <w:rFonts w:hint="eastAsia"/>
          <w:lang w:eastAsia="zh-CN"/>
        </w:rPr>
        <w:t>由于</w:t>
      </w:r>
      <w:r w:rsidR="004C7996" w:rsidRPr="00FA74D5">
        <w:rPr>
          <w:lang w:eastAsia="zh-CN"/>
        </w:rPr>
        <w:t>ICT</w:t>
      </w:r>
      <w:r w:rsidRPr="006E07DD">
        <w:rPr>
          <w:rFonts w:hint="eastAsia"/>
          <w:lang w:eastAsia="zh-CN"/>
        </w:rPr>
        <w:t>基础设施的重建和恢复需要投入大量</w:t>
      </w:r>
      <w:r w:rsidR="006E07DD" w:rsidRPr="006E07DD">
        <w:rPr>
          <w:rFonts w:hint="eastAsia"/>
          <w:lang w:eastAsia="zh-CN"/>
        </w:rPr>
        <w:t>的财政</w:t>
      </w:r>
      <w:r w:rsidRPr="006E07DD">
        <w:rPr>
          <w:rFonts w:hint="eastAsia"/>
          <w:lang w:eastAsia="zh-CN"/>
        </w:rPr>
        <w:t>资源</w:t>
      </w:r>
      <w:r w:rsidR="004C7996" w:rsidRPr="006E07DD">
        <w:rPr>
          <w:rFonts w:hint="eastAsia"/>
          <w:lang w:eastAsia="zh-CN"/>
        </w:rPr>
        <w:t>，</w:t>
      </w:r>
      <w:r w:rsidRPr="00C84A84">
        <w:rPr>
          <w:rFonts w:hint="eastAsia"/>
          <w:lang w:eastAsia="zh-CN"/>
        </w:rPr>
        <w:t>因此恳请</w:t>
      </w:r>
      <w:proofErr w:type="gramStart"/>
      <w:r w:rsidRPr="00C84A84">
        <w:rPr>
          <w:rFonts w:hint="eastAsia"/>
          <w:lang w:eastAsia="zh-CN"/>
        </w:rPr>
        <w:t>所有利益</w:t>
      </w:r>
      <w:proofErr w:type="gramEnd"/>
      <w:r w:rsidRPr="00C84A84">
        <w:rPr>
          <w:rFonts w:hint="eastAsia"/>
          <w:lang w:eastAsia="zh-CN"/>
        </w:rPr>
        <w:t>攸关方提供支持</w:t>
      </w:r>
      <w:r w:rsidR="004C7996">
        <w:rPr>
          <w:rFonts w:hint="eastAsia"/>
          <w:lang w:eastAsia="zh-CN"/>
        </w:rPr>
        <w:t>，</w:t>
      </w:r>
      <w:r w:rsidRPr="00C84A84">
        <w:rPr>
          <w:rFonts w:hint="eastAsia"/>
          <w:lang w:eastAsia="zh-CN"/>
        </w:rPr>
        <w:t>以确保国际电联的援助更加全面</w:t>
      </w:r>
      <w:r w:rsidR="004C7996">
        <w:rPr>
          <w:rFonts w:hint="eastAsia"/>
          <w:lang w:eastAsia="zh-CN"/>
        </w:rPr>
        <w:t>。</w:t>
      </w:r>
    </w:p>
    <w:bookmarkEnd w:id="5"/>
    <w:bookmarkEnd w:id="10"/>
    <w:p w14:paraId="35C6D0A5" w14:textId="77777777" w:rsidR="007A3FCD" w:rsidRPr="00C0458D" w:rsidRDefault="007A3FCD" w:rsidP="00192E78">
      <w:pPr>
        <w:spacing w:before="600"/>
        <w:jc w:val="center"/>
        <w:rPr>
          <w:lang w:eastAsia="zh-CN"/>
        </w:rPr>
      </w:pPr>
      <w:r>
        <w:rPr>
          <w:lang w:eastAsia="zh-CN"/>
        </w:rPr>
        <w:t>______________</w:t>
      </w:r>
    </w:p>
    <w:sectPr w:rsidR="007A3FCD" w:rsidRPr="00C0458D"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5C013" w14:textId="77777777" w:rsidR="008B168D" w:rsidRDefault="008B168D">
      <w:r>
        <w:separator/>
      </w:r>
    </w:p>
  </w:endnote>
  <w:endnote w:type="continuationSeparator" w:id="0">
    <w:p w14:paraId="1E7124A9" w14:textId="77777777" w:rsidR="008B168D" w:rsidRDefault="008B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693D2E01" w:rsidR="00EE49E8" w:rsidRDefault="00267544" w:rsidP="00EE49E8">
          <w:pPr>
            <w:pStyle w:val="Header"/>
            <w:jc w:val="left"/>
            <w:rPr>
              <w:noProof/>
            </w:rPr>
          </w:pPr>
          <w:r>
            <w:rPr>
              <w:noProof/>
            </w:rPr>
            <w:t>gDoc #</w:t>
          </w:r>
        </w:p>
      </w:tc>
      <w:tc>
        <w:tcPr>
          <w:tcW w:w="8261" w:type="dxa"/>
        </w:tcPr>
        <w:p w14:paraId="6F6B3A01" w14:textId="4C10DF69"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r w:rsidR="00267544" w:rsidRPr="00623AE3">
            <w:rPr>
              <w:bCs/>
            </w:rPr>
            <w:t>C</w:t>
          </w:r>
          <w:r w:rsidR="00267544">
            <w:rPr>
              <w:bCs/>
            </w:rPr>
            <w:t>25</w:t>
          </w:r>
          <w:r w:rsidR="00267544" w:rsidRPr="00623AE3">
            <w:rPr>
              <w:bCs/>
            </w:rPr>
            <w:t>/</w:t>
          </w:r>
          <w:r w:rsidR="00267544">
            <w:rPr>
              <w:bCs/>
            </w:rPr>
            <w:t>72</w:t>
          </w:r>
          <w:r w:rsidR="00267544" w:rsidRPr="00623AE3">
            <w:rPr>
              <w:bCs/>
            </w:rPr>
            <w:t>-</w:t>
          </w:r>
          <w:r w:rsidR="00356410">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4FA7E25F" w:rsidR="00EE49E8" w:rsidRPr="006B77F1" w:rsidRDefault="00267544"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1CDD2D0F"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r w:rsidR="00267544" w:rsidRPr="00623AE3">
            <w:rPr>
              <w:bCs/>
            </w:rPr>
            <w:t>C</w:t>
          </w:r>
          <w:r w:rsidR="00267544">
            <w:rPr>
              <w:bCs/>
            </w:rPr>
            <w:t>25</w:t>
          </w:r>
          <w:r w:rsidR="00267544" w:rsidRPr="00623AE3">
            <w:rPr>
              <w:bCs/>
            </w:rPr>
            <w:t>/</w:t>
          </w:r>
          <w:r w:rsidR="00267544">
            <w:rPr>
              <w:bCs/>
            </w:rPr>
            <w:t>72</w:t>
          </w:r>
          <w:r w:rsidR="00267544" w:rsidRPr="00623AE3">
            <w:rPr>
              <w:bCs/>
            </w:rPr>
            <w:t>-</w:t>
          </w:r>
          <w:r w:rsidR="005A47FF">
            <w:rPr>
              <w:bCs/>
            </w:rPr>
            <w:t>C</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293E0" w14:textId="77777777" w:rsidR="008B168D" w:rsidRDefault="008B168D">
      <w:r>
        <w:t>____________________</w:t>
      </w:r>
    </w:p>
  </w:footnote>
  <w:footnote w:type="continuationSeparator" w:id="0">
    <w:p w14:paraId="16A162F7" w14:textId="77777777" w:rsidR="008B168D" w:rsidRDefault="008B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5A47FF" w:rsidRPr="00784011" w14:paraId="064E4940" w14:textId="77777777" w:rsidTr="009F4F03">
      <w:trPr>
        <w:trHeight w:val="1104"/>
        <w:jc w:val="center"/>
      </w:trPr>
      <w:tc>
        <w:tcPr>
          <w:tcW w:w="4390" w:type="dxa"/>
          <w:vAlign w:val="center"/>
        </w:tcPr>
        <w:p w14:paraId="6D1271EB" w14:textId="77777777" w:rsidR="005A47FF" w:rsidRPr="009621F8" w:rsidRDefault="005A47FF" w:rsidP="005A47FF">
          <w:pPr>
            <w:pStyle w:val="Header"/>
            <w:jc w:val="left"/>
            <w:rPr>
              <w:rFonts w:ascii="Arial" w:hAnsi="Arial" w:cs="Arial"/>
              <w:b/>
              <w:bCs/>
              <w:color w:val="009CD6"/>
              <w:sz w:val="36"/>
              <w:szCs w:val="36"/>
            </w:rPr>
          </w:pPr>
          <w:bookmarkStart w:id="14" w:name="_Hlk133422111"/>
          <w:r>
            <w:rPr>
              <w:rFonts w:ascii="Arial" w:hAnsi="Arial" w:cs="Arial"/>
              <w:b/>
              <w:bCs/>
              <w:noProof/>
              <w:color w:val="009CD6"/>
              <w:sz w:val="36"/>
              <w:szCs w:val="36"/>
            </w:rPr>
            <w:drawing>
              <wp:inline distT="0" distB="0" distL="0" distR="0" wp14:anchorId="7799E43D" wp14:editId="65D5F7E9">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77A934AF" w14:textId="77777777" w:rsidR="005A47FF" w:rsidRDefault="005A47FF" w:rsidP="005A47FF">
          <w:pPr>
            <w:pStyle w:val="Header"/>
            <w:jc w:val="right"/>
            <w:rPr>
              <w:rFonts w:ascii="Arial" w:hAnsi="Arial" w:cs="Arial"/>
              <w:b/>
              <w:bCs/>
              <w:color w:val="009CD6"/>
              <w:szCs w:val="18"/>
            </w:rPr>
          </w:pPr>
        </w:p>
        <w:p w14:paraId="31572891" w14:textId="77777777" w:rsidR="005A47FF" w:rsidRDefault="005A47FF" w:rsidP="005A47FF">
          <w:pPr>
            <w:pStyle w:val="Header"/>
            <w:jc w:val="right"/>
            <w:rPr>
              <w:rFonts w:ascii="Arial" w:hAnsi="Arial" w:cs="Arial"/>
              <w:b/>
              <w:bCs/>
              <w:color w:val="009CD6"/>
              <w:szCs w:val="18"/>
            </w:rPr>
          </w:pPr>
        </w:p>
        <w:p w14:paraId="77BC1A6A" w14:textId="77777777" w:rsidR="005A47FF" w:rsidRPr="00784011" w:rsidRDefault="005A47FF" w:rsidP="005A47FF">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3C724958" w14:textId="3A13E37B" w:rsidR="00AD3606" w:rsidRPr="005A47FF" w:rsidRDefault="005A47FF" w:rsidP="005A47FF">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949A4E" wp14:editId="4BF09B6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F93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665E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2F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2D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68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0A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C4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E5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581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4D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65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52EF6"/>
    <w:multiLevelType w:val="hybridMultilevel"/>
    <w:tmpl w:val="A2B0ECB0"/>
    <w:lvl w:ilvl="0" w:tplc="E3DAA1B2">
      <w:start w:val="1"/>
      <w:numFmt w:val="bullet"/>
      <w:lvlText w:val="-"/>
      <w:lvlJc w:val="left"/>
      <w:pPr>
        <w:ind w:left="720" w:hanging="36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374816267">
    <w:abstractNumId w:val="9"/>
  </w:num>
  <w:num w:numId="2" w16cid:durableId="526060877">
    <w:abstractNumId w:val="7"/>
  </w:num>
  <w:num w:numId="3" w16cid:durableId="1517227191">
    <w:abstractNumId w:val="6"/>
  </w:num>
  <w:num w:numId="4" w16cid:durableId="2083940608">
    <w:abstractNumId w:val="5"/>
  </w:num>
  <w:num w:numId="5" w16cid:durableId="1440831355">
    <w:abstractNumId w:val="4"/>
  </w:num>
  <w:num w:numId="6" w16cid:durableId="1469274345">
    <w:abstractNumId w:val="8"/>
  </w:num>
  <w:num w:numId="7" w16cid:durableId="1595625436">
    <w:abstractNumId w:val="3"/>
  </w:num>
  <w:num w:numId="8" w16cid:durableId="1047339128">
    <w:abstractNumId w:val="2"/>
  </w:num>
  <w:num w:numId="9" w16cid:durableId="637880343">
    <w:abstractNumId w:val="1"/>
  </w:num>
  <w:num w:numId="10" w16cid:durableId="1781563013">
    <w:abstractNumId w:val="0"/>
  </w:num>
  <w:num w:numId="11" w16cid:durableId="1859080470">
    <w:abstractNumId w:val="8"/>
  </w:num>
  <w:num w:numId="12" w16cid:durableId="155414043">
    <w:abstractNumId w:val="3"/>
  </w:num>
  <w:num w:numId="13" w16cid:durableId="2041319012">
    <w:abstractNumId w:val="2"/>
  </w:num>
  <w:num w:numId="14" w16cid:durableId="954947632">
    <w:abstractNumId w:val="1"/>
  </w:num>
  <w:num w:numId="15" w16cid:durableId="1399134059">
    <w:abstractNumId w:val="0"/>
  </w:num>
  <w:num w:numId="16" w16cid:durableId="738600626">
    <w:abstractNumId w:val="8"/>
  </w:num>
  <w:num w:numId="17" w16cid:durableId="224611617">
    <w:abstractNumId w:val="3"/>
  </w:num>
  <w:num w:numId="18" w16cid:durableId="525951670">
    <w:abstractNumId w:val="2"/>
  </w:num>
  <w:num w:numId="19" w16cid:durableId="74590421">
    <w:abstractNumId w:val="1"/>
  </w:num>
  <w:num w:numId="20" w16cid:durableId="1917863451">
    <w:abstractNumId w:val="0"/>
  </w:num>
  <w:num w:numId="21" w16cid:durableId="1168716127">
    <w:abstractNumId w:val="8"/>
  </w:num>
  <w:num w:numId="22" w16cid:durableId="85929431">
    <w:abstractNumId w:val="3"/>
  </w:num>
  <w:num w:numId="23" w16cid:durableId="676469403">
    <w:abstractNumId w:val="2"/>
  </w:num>
  <w:num w:numId="24" w16cid:durableId="945383661">
    <w:abstractNumId w:val="1"/>
  </w:num>
  <w:num w:numId="25" w16cid:durableId="1134104765">
    <w:abstractNumId w:val="0"/>
  </w:num>
  <w:num w:numId="26" w16cid:durableId="690111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7948"/>
    <w:rsid w:val="000210D4"/>
    <w:rsid w:val="0006007D"/>
    <w:rsid w:val="00063016"/>
    <w:rsid w:val="00066795"/>
    <w:rsid w:val="000745AB"/>
    <w:rsid w:val="00076AF6"/>
    <w:rsid w:val="00085CF2"/>
    <w:rsid w:val="000A5F1E"/>
    <w:rsid w:val="000B1705"/>
    <w:rsid w:val="000D75B2"/>
    <w:rsid w:val="000F104D"/>
    <w:rsid w:val="000F5DDB"/>
    <w:rsid w:val="000F6A9D"/>
    <w:rsid w:val="000F7289"/>
    <w:rsid w:val="001121F5"/>
    <w:rsid w:val="0011568F"/>
    <w:rsid w:val="00135C85"/>
    <w:rsid w:val="001400DC"/>
    <w:rsid w:val="00140CE1"/>
    <w:rsid w:val="00172FB7"/>
    <w:rsid w:val="0017539C"/>
    <w:rsid w:val="00175AC2"/>
    <w:rsid w:val="0017609F"/>
    <w:rsid w:val="0019018D"/>
    <w:rsid w:val="00192E78"/>
    <w:rsid w:val="001A3154"/>
    <w:rsid w:val="001A7D1D"/>
    <w:rsid w:val="001B51DD"/>
    <w:rsid w:val="001C628E"/>
    <w:rsid w:val="001E0F7B"/>
    <w:rsid w:val="001F5569"/>
    <w:rsid w:val="002119FD"/>
    <w:rsid w:val="002130E0"/>
    <w:rsid w:val="00221F46"/>
    <w:rsid w:val="00235FC4"/>
    <w:rsid w:val="00264425"/>
    <w:rsid w:val="00265875"/>
    <w:rsid w:val="00267544"/>
    <w:rsid w:val="0027303B"/>
    <w:rsid w:val="00280689"/>
    <w:rsid w:val="0028109B"/>
    <w:rsid w:val="002917FD"/>
    <w:rsid w:val="002A2188"/>
    <w:rsid w:val="002B1F58"/>
    <w:rsid w:val="002B5C7F"/>
    <w:rsid w:val="002C1C7A"/>
    <w:rsid w:val="002C54E2"/>
    <w:rsid w:val="002E1B97"/>
    <w:rsid w:val="0030160F"/>
    <w:rsid w:val="00320223"/>
    <w:rsid w:val="00322D0D"/>
    <w:rsid w:val="003457FB"/>
    <w:rsid w:val="00346896"/>
    <w:rsid w:val="00356410"/>
    <w:rsid w:val="003600B8"/>
    <w:rsid w:val="00361465"/>
    <w:rsid w:val="003877F5"/>
    <w:rsid w:val="003936D3"/>
    <w:rsid w:val="003942D4"/>
    <w:rsid w:val="003958A8"/>
    <w:rsid w:val="003A5373"/>
    <w:rsid w:val="003B29C2"/>
    <w:rsid w:val="003B79CD"/>
    <w:rsid w:val="003C2533"/>
    <w:rsid w:val="003D5A7F"/>
    <w:rsid w:val="003E053F"/>
    <w:rsid w:val="003E47A0"/>
    <w:rsid w:val="0040435A"/>
    <w:rsid w:val="0040719A"/>
    <w:rsid w:val="00416A24"/>
    <w:rsid w:val="00423F6D"/>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0EC3"/>
    <w:rsid w:val="004A1B8B"/>
    <w:rsid w:val="004B1A26"/>
    <w:rsid w:val="004B25A1"/>
    <w:rsid w:val="004C7996"/>
    <w:rsid w:val="004D1851"/>
    <w:rsid w:val="004D2CA8"/>
    <w:rsid w:val="004D599D"/>
    <w:rsid w:val="004E2EA5"/>
    <w:rsid w:val="004E3AEB"/>
    <w:rsid w:val="0050223C"/>
    <w:rsid w:val="005243FF"/>
    <w:rsid w:val="005448DF"/>
    <w:rsid w:val="00564FBC"/>
    <w:rsid w:val="00565382"/>
    <w:rsid w:val="005800BC"/>
    <w:rsid w:val="00582442"/>
    <w:rsid w:val="005A47FF"/>
    <w:rsid w:val="005A661A"/>
    <w:rsid w:val="005C6A42"/>
    <w:rsid w:val="005D5362"/>
    <w:rsid w:val="005F3269"/>
    <w:rsid w:val="00623AE3"/>
    <w:rsid w:val="00630C4D"/>
    <w:rsid w:val="00644EC6"/>
    <w:rsid w:val="0064737F"/>
    <w:rsid w:val="006535F1"/>
    <w:rsid w:val="00654AE8"/>
    <w:rsid w:val="0065557D"/>
    <w:rsid w:val="00657101"/>
    <w:rsid w:val="00660D50"/>
    <w:rsid w:val="00662984"/>
    <w:rsid w:val="006706D7"/>
    <w:rsid w:val="006716BB"/>
    <w:rsid w:val="006725B7"/>
    <w:rsid w:val="006B1859"/>
    <w:rsid w:val="006B56D2"/>
    <w:rsid w:val="006B6680"/>
    <w:rsid w:val="006B6DCC"/>
    <w:rsid w:val="006B77F1"/>
    <w:rsid w:val="006C3905"/>
    <w:rsid w:val="006C5ECF"/>
    <w:rsid w:val="006D62D2"/>
    <w:rsid w:val="006E07DD"/>
    <w:rsid w:val="006E3827"/>
    <w:rsid w:val="006F34A8"/>
    <w:rsid w:val="00702DEF"/>
    <w:rsid w:val="00706861"/>
    <w:rsid w:val="00722551"/>
    <w:rsid w:val="00724EC7"/>
    <w:rsid w:val="00733898"/>
    <w:rsid w:val="00734D0B"/>
    <w:rsid w:val="0075051B"/>
    <w:rsid w:val="0077110E"/>
    <w:rsid w:val="00783697"/>
    <w:rsid w:val="0079114E"/>
    <w:rsid w:val="00791B97"/>
    <w:rsid w:val="00793188"/>
    <w:rsid w:val="00794D34"/>
    <w:rsid w:val="007A3FCD"/>
    <w:rsid w:val="007B19CF"/>
    <w:rsid w:val="007C39C8"/>
    <w:rsid w:val="007D01AF"/>
    <w:rsid w:val="00810DC9"/>
    <w:rsid w:val="00813E5E"/>
    <w:rsid w:val="00814507"/>
    <w:rsid w:val="0083581B"/>
    <w:rsid w:val="00837675"/>
    <w:rsid w:val="008407DB"/>
    <w:rsid w:val="00845BBD"/>
    <w:rsid w:val="00863874"/>
    <w:rsid w:val="00864AFF"/>
    <w:rsid w:val="00865925"/>
    <w:rsid w:val="00883E98"/>
    <w:rsid w:val="00893C56"/>
    <w:rsid w:val="00896EF9"/>
    <w:rsid w:val="008A4F0A"/>
    <w:rsid w:val="008B168D"/>
    <w:rsid w:val="008B4A6A"/>
    <w:rsid w:val="008C7E27"/>
    <w:rsid w:val="008D1852"/>
    <w:rsid w:val="008D1B37"/>
    <w:rsid w:val="008F7448"/>
    <w:rsid w:val="0090147A"/>
    <w:rsid w:val="009038A4"/>
    <w:rsid w:val="009173EF"/>
    <w:rsid w:val="00931254"/>
    <w:rsid w:val="00932906"/>
    <w:rsid w:val="00932DD8"/>
    <w:rsid w:val="00961B0B"/>
    <w:rsid w:val="00962D33"/>
    <w:rsid w:val="0096453C"/>
    <w:rsid w:val="009836D5"/>
    <w:rsid w:val="009B2338"/>
    <w:rsid w:val="009B38C3"/>
    <w:rsid w:val="009E17BD"/>
    <w:rsid w:val="009E485A"/>
    <w:rsid w:val="00A04CEC"/>
    <w:rsid w:val="00A07996"/>
    <w:rsid w:val="00A172FA"/>
    <w:rsid w:val="00A272DB"/>
    <w:rsid w:val="00A27F92"/>
    <w:rsid w:val="00A32257"/>
    <w:rsid w:val="00A36D20"/>
    <w:rsid w:val="00A514A4"/>
    <w:rsid w:val="00A537B9"/>
    <w:rsid w:val="00A55622"/>
    <w:rsid w:val="00A73930"/>
    <w:rsid w:val="00A83502"/>
    <w:rsid w:val="00A875ED"/>
    <w:rsid w:val="00A94BAB"/>
    <w:rsid w:val="00AD15B3"/>
    <w:rsid w:val="00AD3606"/>
    <w:rsid w:val="00AD4A3D"/>
    <w:rsid w:val="00AD677D"/>
    <w:rsid w:val="00AE5DBA"/>
    <w:rsid w:val="00AF3591"/>
    <w:rsid w:val="00AF6E49"/>
    <w:rsid w:val="00B04A67"/>
    <w:rsid w:val="00B0583C"/>
    <w:rsid w:val="00B3498B"/>
    <w:rsid w:val="00B40A81"/>
    <w:rsid w:val="00B44910"/>
    <w:rsid w:val="00B44AE8"/>
    <w:rsid w:val="00B72267"/>
    <w:rsid w:val="00B76EB6"/>
    <w:rsid w:val="00B7737B"/>
    <w:rsid w:val="00B824C8"/>
    <w:rsid w:val="00B84B9D"/>
    <w:rsid w:val="00B9131F"/>
    <w:rsid w:val="00BB0646"/>
    <w:rsid w:val="00BC02A2"/>
    <w:rsid w:val="00BC251A"/>
    <w:rsid w:val="00BD032B"/>
    <w:rsid w:val="00BD6C19"/>
    <w:rsid w:val="00BE01C6"/>
    <w:rsid w:val="00BE0B5F"/>
    <w:rsid w:val="00BE2640"/>
    <w:rsid w:val="00BE6A41"/>
    <w:rsid w:val="00BF1FDE"/>
    <w:rsid w:val="00C00FC1"/>
    <w:rsid w:val="00C01189"/>
    <w:rsid w:val="00C0458D"/>
    <w:rsid w:val="00C374DE"/>
    <w:rsid w:val="00C47AD4"/>
    <w:rsid w:val="00C52D81"/>
    <w:rsid w:val="00C55198"/>
    <w:rsid w:val="00C6520B"/>
    <w:rsid w:val="00C75800"/>
    <w:rsid w:val="00C84A84"/>
    <w:rsid w:val="00CA30CC"/>
    <w:rsid w:val="00CA6393"/>
    <w:rsid w:val="00CA7995"/>
    <w:rsid w:val="00CB18FF"/>
    <w:rsid w:val="00CB56B7"/>
    <w:rsid w:val="00CD0C08"/>
    <w:rsid w:val="00CD0C73"/>
    <w:rsid w:val="00CE03FB"/>
    <w:rsid w:val="00CE433C"/>
    <w:rsid w:val="00CF0161"/>
    <w:rsid w:val="00CF33F3"/>
    <w:rsid w:val="00CF4A2B"/>
    <w:rsid w:val="00D024CA"/>
    <w:rsid w:val="00D06183"/>
    <w:rsid w:val="00D22C42"/>
    <w:rsid w:val="00D42A87"/>
    <w:rsid w:val="00D618CB"/>
    <w:rsid w:val="00D65041"/>
    <w:rsid w:val="00D702E5"/>
    <w:rsid w:val="00DB1936"/>
    <w:rsid w:val="00DB384B"/>
    <w:rsid w:val="00DD11ED"/>
    <w:rsid w:val="00DD5D7D"/>
    <w:rsid w:val="00DF0189"/>
    <w:rsid w:val="00DF26C9"/>
    <w:rsid w:val="00E06FD5"/>
    <w:rsid w:val="00E10E80"/>
    <w:rsid w:val="00E124F0"/>
    <w:rsid w:val="00E214A6"/>
    <w:rsid w:val="00E227F3"/>
    <w:rsid w:val="00E40872"/>
    <w:rsid w:val="00E47FF1"/>
    <w:rsid w:val="00E545C6"/>
    <w:rsid w:val="00E60754"/>
    <w:rsid w:val="00E60F04"/>
    <w:rsid w:val="00E65B24"/>
    <w:rsid w:val="00E854E4"/>
    <w:rsid w:val="00E86DBF"/>
    <w:rsid w:val="00E969AF"/>
    <w:rsid w:val="00EB0D6F"/>
    <w:rsid w:val="00EB2232"/>
    <w:rsid w:val="00EB4DCD"/>
    <w:rsid w:val="00EC5337"/>
    <w:rsid w:val="00EE49E8"/>
    <w:rsid w:val="00F16BAB"/>
    <w:rsid w:val="00F2150A"/>
    <w:rsid w:val="00F231D8"/>
    <w:rsid w:val="00F265A8"/>
    <w:rsid w:val="00F41209"/>
    <w:rsid w:val="00F41BA4"/>
    <w:rsid w:val="00F44C00"/>
    <w:rsid w:val="00F45D2C"/>
    <w:rsid w:val="00F46C5F"/>
    <w:rsid w:val="00F53ADA"/>
    <w:rsid w:val="00F632C0"/>
    <w:rsid w:val="00F641E1"/>
    <w:rsid w:val="00F70962"/>
    <w:rsid w:val="00F73E1C"/>
    <w:rsid w:val="00F94A63"/>
    <w:rsid w:val="00FA1C28"/>
    <w:rsid w:val="00FA5BA6"/>
    <w:rsid w:val="00FA74D5"/>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DecNo">
    <w:name w:val="Dec_No"/>
    <w:basedOn w:val="ResNo"/>
    <w:rsid w:val="00EB4DCD"/>
  </w:style>
  <w:style w:type="paragraph" w:customStyle="1" w:styleId="Dectitle">
    <w:name w:val="Dec_title"/>
    <w:basedOn w:val="Restitle"/>
    <w:rsid w:val="00EB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278693">
      <w:bodyDiv w:val="1"/>
      <w:marLeft w:val="0"/>
      <w:marRight w:val="0"/>
      <w:marTop w:val="0"/>
      <w:marBottom w:val="0"/>
      <w:divBdr>
        <w:top w:val="none" w:sz="0" w:space="0" w:color="auto"/>
        <w:left w:val="none" w:sz="0" w:space="0" w:color="auto"/>
        <w:bottom w:val="none" w:sz="0" w:space="0" w:color="auto"/>
        <w:right w:val="none" w:sz="0" w:space="0" w:color="auto"/>
      </w:divBdr>
    </w:div>
    <w:div w:id="63217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D-RES-D.25-2022" TargetMode="External"/><Relationship Id="rId18" Type="http://schemas.openxmlformats.org/officeDocument/2006/relationships/hyperlink" Target="https://www.itu.int/md/D22-TDAG32-C-0002/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S25-CL-C-0071/en" TargetMode="External"/><Relationship Id="rId7" Type="http://schemas.openxmlformats.org/officeDocument/2006/relationships/settings" Target="settings.xml"/><Relationship Id="rId12" Type="http://schemas.openxmlformats.org/officeDocument/2006/relationships/hyperlink" Target="https://www.itu.int/en/council/Documents/basic-texts-2023/RES-193-C.pdf" TargetMode="External"/><Relationship Id="rId17" Type="http://schemas.openxmlformats.org/officeDocument/2006/relationships/hyperlink" Target="https://app.gen5.digital/benchmark/abou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itu-d/sites/priorities/enabling-policy-and-regulatory-environment/" TargetMode="External"/><Relationship Id="rId20" Type="http://schemas.openxmlformats.org/officeDocument/2006/relationships/hyperlink" Target="https://www.itu.int/md/S25-CL-C-006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25-C.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itu-d/sites/priorities/affordable-connectivit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D22-TDAG31-C-0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122/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F2AC-2255-4DBF-9278-6619577B4509}">
  <ds:schemaRefs>
    <ds:schemaRef ds:uri="http://schemas.microsoft.com/office/2006/metadata/properties"/>
    <ds:schemaRef ds:uri="http://schemas.microsoft.com/office/2006/documentManagement/types"/>
    <ds:schemaRef ds:uri="a1cf676c-2816-4389-ad5d-0f2e7c7e67c4"/>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1535</Words>
  <Characters>1733</Characters>
  <Application>Microsoft Office Word</Application>
  <DocSecurity>0</DocSecurity>
  <Lines>79</Lines>
  <Paragraphs>38</Paragraphs>
  <ScaleCrop>false</ScaleCrop>
  <HeadingPairs>
    <vt:vector size="2" baseType="variant">
      <vt:variant>
        <vt:lpstr>Title</vt:lpstr>
      </vt:variant>
      <vt:variant>
        <vt:i4>1</vt:i4>
      </vt:variant>
    </vt:vector>
  </HeadingPairs>
  <TitlesOfParts>
    <vt:vector size="1" baseType="lpstr">
      <vt:lpstr>Activities supporting the reconstruction of infrastructure in concerned countries</vt:lpstr>
    </vt:vector>
  </TitlesOfParts>
  <Manager>General Secretariat</Manager>
  <Company>International Telecommunication Union (ITU)</Company>
  <LinksUpToDate>false</LinksUpToDate>
  <CharactersWithSpaces>1751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supporting the reconstruction of infrastructure in concerned countries</dc:title>
  <dc:subject>ITU Council 2025</dc:subject>
  <cp:keywords>C25; C2025; Council 2025; ITU160</cp:keywords>
  <dc:description/>
  <cp:lastPrinted>2000-07-18T13:30:00Z</cp:lastPrinted>
  <dcterms:created xsi:type="dcterms:W3CDTF">2025-06-09T15:36:00Z</dcterms:created>
  <dcterms:modified xsi:type="dcterms:W3CDTF">2025-06-09T15:36:00Z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