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56929823" w14:textId="77777777" w:rsidTr="00F363FE">
        <w:tc>
          <w:tcPr>
            <w:tcW w:w="6512" w:type="dxa"/>
          </w:tcPr>
          <w:p w14:paraId="4E65C925" w14:textId="31BF0EA2" w:rsidR="007B0AA0" w:rsidRPr="007B0AA0" w:rsidRDefault="00CD69FF" w:rsidP="00CD69FF">
            <w:pPr>
              <w:spacing w:before="60" w:after="60" w:line="260" w:lineRule="exact"/>
              <w:rPr>
                <w:b/>
                <w:bCs/>
                <w:rtl/>
                <w:lang w:bidi="ar-EG"/>
              </w:rPr>
            </w:pPr>
            <w:r w:rsidRPr="00CD69FF">
              <w:rPr>
                <w:b/>
                <w:bCs/>
                <w:rtl/>
              </w:rPr>
              <w:t>بند جدول الأعمال</w:t>
            </w:r>
            <w:r w:rsidRPr="00CD69FF">
              <w:rPr>
                <w:b/>
                <w:bCs/>
                <w:lang w:bidi="ar-EG"/>
              </w:rPr>
              <w:t>:</w:t>
            </w:r>
            <w:r w:rsidRPr="00CD69FF">
              <w:rPr>
                <w:b/>
                <w:bCs/>
                <w:rtl/>
              </w:rPr>
              <w:t xml:space="preserve"> PL 2</w:t>
            </w:r>
          </w:p>
        </w:tc>
        <w:tc>
          <w:tcPr>
            <w:tcW w:w="3117" w:type="dxa"/>
          </w:tcPr>
          <w:p w14:paraId="31E26D94" w14:textId="3485A272"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CD69FF">
              <w:rPr>
                <w:b/>
                <w:bCs/>
                <w:lang w:bidi="ar-EG"/>
              </w:rPr>
              <w:t>72</w:t>
            </w:r>
            <w:r w:rsidRPr="007B0AA0">
              <w:rPr>
                <w:b/>
                <w:bCs/>
                <w:lang w:bidi="ar-EG"/>
              </w:rPr>
              <w:t>-A</w:t>
            </w:r>
          </w:p>
        </w:tc>
      </w:tr>
      <w:tr w:rsidR="007B0AA0" w14:paraId="43950FB7" w14:textId="77777777" w:rsidTr="00F363FE">
        <w:tc>
          <w:tcPr>
            <w:tcW w:w="6512" w:type="dxa"/>
          </w:tcPr>
          <w:p w14:paraId="50E35A98" w14:textId="77777777" w:rsidR="007B0AA0" w:rsidRPr="007B0AA0" w:rsidRDefault="007B0AA0" w:rsidP="00F363FE">
            <w:pPr>
              <w:spacing w:before="60" w:after="60" w:line="260" w:lineRule="exact"/>
              <w:rPr>
                <w:b/>
                <w:bCs/>
                <w:rtl/>
                <w:lang w:bidi="ar-EG"/>
              </w:rPr>
            </w:pPr>
          </w:p>
        </w:tc>
        <w:tc>
          <w:tcPr>
            <w:tcW w:w="3117" w:type="dxa"/>
          </w:tcPr>
          <w:p w14:paraId="3D1757EE" w14:textId="660F0BB5" w:rsidR="007B0AA0" w:rsidRPr="007B0AA0" w:rsidRDefault="00CD69FF" w:rsidP="00F363FE">
            <w:pPr>
              <w:spacing w:before="60" w:after="60" w:line="260" w:lineRule="exact"/>
              <w:rPr>
                <w:b/>
                <w:bCs/>
                <w:rtl/>
                <w:lang w:bidi="ar-EG"/>
              </w:rPr>
            </w:pPr>
            <w:r w:rsidRPr="00CD69FF">
              <w:rPr>
                <w:b/>
                <w:bCs/>
                <w:rtl/>
                <w:lang w:bidi="ar-EG"/>
              </w:rPr>
              <w:t>19 مايو 2025</w:t>
            </w:r>
          </w:p>
        </w:tc>
      </w:tr>
      <w:tr w:rsidR="007B0AA0" w14:paraId="6300D5ED" w14:textId="77777777" w:rsidTr="00F363FE">
        <w:tc>
          <w:tcPr>
            <w:tcW w:w="6512" w:type="dxa"/>
          </w:tcPr>
          <w:p w14:paraId="4888B98B" w14:textId="77777777" w:rsidR="007B0AA0" w:rsidRPr="007B0AA0" w:rsidRDefault="007B0AA0" w:rsidP="00F363FE">
            <w:pPr>
              <w:spacing w:before="60" w:after="60" w:line="260" w:lineRule="exact"/>
              <w:rPr>
                <w:b/>
                <w:bCs/>
                <w:rtl/>
                <w:lang w:bidi="ar-EG"/>
              </w:rPr>
            </w:pPr>
          </w:p>
        </w:tc>
        <w:tc>
          <w:tcPr>
            <w:tcW w:w="3117" w:type="dxa"/>
          </w:tcPr>
          <w:p w14:paraId="4042F013"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0CF686A4" w14:textId="77777777" w:rsidTr="00F363FE">
        <w:tc>
          <w:tcPr>
            <w:tcW w:w="6512" w:type="dxa"/>
          </w:tcPr>
          <w:p w14:paraId="321BDAD0" w14:textId="77777777" w:rsidR="007B0AA0" w:rsidRDefault="007B0AA0" w:rsidP="00F363FE">
            <w:pPr>
              <w:spacing w:before="60" w:after="60" w:line="260" w:lineRule="exact"/>
              <w:rPr>
                <w:lang w:bidi="ar-EG"/>
              </w:rPr>
            </w:pPr>
          </w:p>
        </w:tc>
        <w:tc>
          <w:tcPr>
            <w:tcW w:w="3117" w:type="dxa"/>
          </w:tcPr>
          <w:p w14:paraId="71A61EBF" w14:textId="77777777" w:rsidR="007B0AA0" w:rsidRDefault="007B0AA0" w:rsidP="00F363FE">
            <w:pPr>
              <w:spacing w:before="60" w:after="60" w:line="260" w:lineRule="exact"/>
              <w:rPr>
                <w:rtl/>
                <w:lang w:bidi="ar-EG"/>
              </w:rPr>
            </w:pPr>
          </w:p>
        </w:tc>
      </w:tr>
      <w:tr w:rsidR="007B0AA0" w14:paraId="2A8995C6" w14:textId="77777777" w:rsidTr="00EE7446">
        <w:tc>
          <w:tcPr>
            <w:tcW w:w="9629" w:type="dxa"/>
            <w:gridSpan w:val="2"/>
          </w:tcPr>
          <w:p w14:paraId="689801CA" w14:textId="77777777" w:rsidR="007B0AA0" w:rsidRDefault="001D64C7" w:rsidP="007B0AA0">
            <w:pPr>
              <w:pStyle w:val="Source"/>
              <w:jc w:val="left"/>
              <w:rPr>
                <w:lang w:bidi="ar-EG"/>
              </w:rPr>
            </w:pPr>
            <w:r>
              <w:rPr>
                <w:rFonts w:hint="cs"/>
                <w:rtl/>
                <w:lang w:bidi="ar-EG"/>
              </w:rPr>
              <w:t>تقرير من الأمينة العامة</w:t>
            </w:r>
          </w:p>
        </w:tc>
      </w:tr>
      <w:tr w:rsidR="007B0AA0" w14:paraId="6BCF3757" w14:textId="77777777" w:rsidTr="007B0AA0">
        <w:tc>
          <w:tcPr>
            <w:tcW w:w="9629" w:type="dxa"/>
            <w:gridSpan w:val="2"/>
            <w:tcBorders>
              <w:bottom w:val="single" w:sz="4" w:space="0" w:color="auto"/>
            </w:tcBorders>
          </w:tcPr>
          <w:p w14:paraId="7B439C47" w14:textId="6943A30C" w:rsidR="007B0AA0" w:rsidRPr="005546CF" w:rsidRDefault="00CD69FF" w:rsidP="00CD69FF">
            <w:pPr>
              <w:pStyle w:val="Subtitle0"/>
              <w:rPr>
                <w:sz w:val="32"/>
                <w:szCs w:val="32"/>
              </w:rPr>
            </w:pPr>
            <w:bookmarkStart w:id="0" w:name="_Hlk164670350"/>
            <w:r w:rsidRPr="00CD69FF">
              <w:rPr>
                <w:sz w:val="32"/>
                <w:szCs w:val="32"/>
                <w:rtl/>
                <w:lang w:bidi="ar-SA"/>
              </w:rPr>
              <w:t>الأنشطة الداعمة لإعادة بناء البنية التحتية في البلدان المعنية</w:t>
            </w:r>
            <w:bookmarkEnd w:id="0"/>
          </w:p>
        </w:tc>
      </w:tr>
      <w:tr w:rsidR="007B0AA0" w14:paraId="2F552BF3" w14:textId="77777777" w:rsidTr="007B0AA0">
        <w:tc>
          <w:tcPr>
            <w:tcW w:w="9629" w:type="dxa"/>
            <w:gridSpan w:val="2"/>
            <w:tcBorders>
              <w:top w:val="single" w:sz="4" w:space="0" w:color="auto"/>
              <w:bottom w:val="single" w:sz="4" w:space="0" w:color="auto"/>
            </w:tcBorders>
          </w:tcPr>
          <w:p w14:paraId="078B0603" w14:textId="3438BA68" w:rsidR="007B0AA0" w:rsidRPr="007B0AA0" w:rsidRDefault="007B0AA0" w:rsidP="007B0AA0">
            <w:pPr>
              <w:rPr>
                <w:b/>
                <w:bCs/>
                <w:rtl/>
              </w:rPr>
            </w:pPr>
            <w:r w:rsidRPr="007B0AA0">
              <w:rPr>
                <w:rFonts w:hint="cs"/>
                <w:b/>
                <w:bCs/>
                <w:rtl/>
              </w:rPr>
              <w:t>الغرض</w:t>
            </w:r>
          </w:p>
          <w:p w14:paraId="7B7248E0" w14:textId="320897F6" w:rsidR="007B0AA0" w:rsidRDefault="00CD69FF" w:rsidP="00CD69FF">
            <w:pPr>
              <w:rPr>
                <w:rtl/>
              </w:rPr>
            </w:pPr>
            <w:r w:rsidRPr="00CD69FF">
              <w:rPr>
                <w:rtl/>
              </w:rPr>
              <w:t>أُعد هذا التقرير استجابة</w:t>
            </w:r>
            <w:r w:rsidR="00B17B6F">
              <w:rPr>
                <w:rFonts w:hint="cs"/>
                <w:rtl/>
              </w:rPr>
              <w:t>ً</w:t>
            </w:r>
            <w:r w:rsidRPr="00CD69FF">
              <w:rPr>
                <w:rtl/>
              </w:rPr>
              <w:t xml:space="preserve"> لمجلس الاتحاد في دورته لعام 2024، حيث طلبت الدول الأعضاء إعطاءها نظرة عامة شاملة على أنشطة الاتحاد المضطلع بها حالياً لدعم الدول الأعضاء في إعادة بناء البنية التحتية لتكنولوجيا المعلومات والاتصالات. ويقدم هذا التقرير معلومات أساسية عن ولاية الاتحاد، ويحدد المنتجات والخدمات، ويشير إلى أنشطة الاتحاد المضطلع بها مؤخراً في البلدان المعنية.</w:t>
            </w:r>
          </w:p>
          <w:p w14:paraId="6A62A485" w14:textId="77777777" w:rsidR="007B0AA0" w:rsidRPr="007B0AA0" w:rsidRDefault="007B0AA0" w:rsidP="007B0AA0">
            <w:pPr>
              <w:rPr>
                <w:b/>
                <w:bCs/>
                <w:rtl/>
              </w:rPr>
            </w:pPr>
            <w:r w:rsidRPr="007B0AA0">
              <w:rPr>
                <w:rFonts w:hint="cs"/>
                <w:b/>
                <w:bCs/>
                <w:rtl/>
              </w:rPr>
              <w:t>الإجراء المطلوب من المجلس</w:t>
            </w:r>
          </w:p>
          <w:p w14:paraId="654E78ED" w14:textId="1D522C04" w:rsidR="007B0AA0" w:rsidRDefault="00CD69FF" w:rsidP="00CD69FF">
            <w:r w:rsidRPr="00CD69FF">
              <w:rPr>
                <w:rtl/>
              </w:rPr>
              <w:t xml:space="preserve">يُدعى المجلس إلى </w:t>
            </w:r>
            <w:r w:rsidRPr="00CD69FF">
              <w:rPr>
                <w:b/>
                <w:bCs/>
                <w:rtl/>
              </w:rPr>
              <w:t>الإحاطة علماً</w:t>
            </w:r>
            <w:r w:rsidRPr="00CD69FF">
              <w:rPr>
                <w:rtl/>
              </w:rPr>
              <w:t xml:space="preserve"> بهذا التقرير و</w:t>
            </w:r>
            <w:r w:rsidRPr="00CD69FF">
              <w:rPr>
                <w:b/>
                <w:bCs/>
                <w:rtl/>
              </w:rPr>
              <w:t>تقديم توجيهات</w:t>
            </w:r>
            <w:r w:rsidRPr="00CD69FF">
              <w:rPr>
                <w:rtl/>
              </w:rPr>
              <w:t xml:space="preserve"> بهذا الشأن.</w:t>
            </w:r>
          </w:p>
          <w:p w14:paraId="0E820A8C" w14:textId="7113EC05" w:rsidR="007B0AA0" w:rsidRPr="007B0AA0" w:rsidRDefault="007B0AA0" w:rsidP="007B0AA0">
            <w:pPr>
              <w:rPr>
                <w:b/>
                <w:bCs/>
                <w:rtl/>
              </w:rPr>
            </w:pPr>
            <w:r w:rsidRPr="007B0AA0">
              <w:rPr>
                <w:b/>
                <w:bCs/>
                <w:rtl/>
              </w:rPr>
              <w:t>الصلة بالخطة ال</w:t>
            </w:r>
            <w:r w:rsidRPr="007B0AA0">
              <w:rPr>
                <w:rFonts w:hint="cs"/>
                <w:b/>
                <w:bCs/>
                <w:rtl/>
              </w:rPr>
              <w:t>ا</w:t>
            </w:r>
            <w:r w:rsidRPr="007B0AA0">
              <w:rPr>
                <w:b/>
                <w:bCs/>
                <w:rtl/>
              </w:rPr>
              <w:t>ستراتيجية</w:t>
            </w:r>
          </w:p>
          <w:p w14:paraId="2DDB464C" w14:textId="5563B833" w:rsidR="007B0AA0" w:rsidRDefault="00CD69FF" w:rsidP="00CD69FF">
            <w:pPr>
              <w:rPr>
                <w:rtl/>
              </w:rPr>
            </w:pPr>
            <w:r w:rsidRPr="00CD69FF">
              <w:rPr>
                <w:rtl/>
              </w:rPr>
              <w:t>تقديم المساعدة التقنية.</w:t>
            </w:r>
          </w:p>
          <w:p w14:paraId="5024963E" w14:textId="77777777" w:rsidR="007B0AA0" w:rsidRDefault="007B0AA0" w:rsidP="00B97F32">
            <w:pPr>
              <w:rPr>
                <w:b/>
                <w:bCs/>
              </w:rPr>
            </w:pPr>
            <w:r w:rsidRPr="007B0AA0">
              <w:rPr>
                <w:rFonts w:hint="cs"/>
                <w:b/>
                <w:bCs/>
                <w:rtl/>
              </w:rPr>
              <w:t>الآثار المالية</w:t>
            </w:r>
          </w:p>
          <w:p w14:paraId="26A4B10D" w14:textId="2F6A150B" w:rsidR="006F363C" w:rsidRPr="005546CF" w:rsidRDefault="00CD69FF" w:rsidP="00CD69FF">
            <w:pPr>
              <w:rPr>
                <w:rtl/>
                <w:lang w:bidi="ar-EG"/>
              </w:rPr>
            </w:pPr>
            <w:r w:rsidRPr="00CD69FF">
              <w:rPr>
                <w:rtl/>
              </w:rPr>
              <w:t xml:space="preserve">ضمن الميزانية المخصصة </w:t>
            </w:r>
            <w:r w:rsidR="00094D9E" w:rsidRPr="00094D9E">
              <w:rPr>
                <w:rtl/>
              </w:rPr>
              <w:t>لفترة السنتين</w:t>
            </w:r>
            <w:r w:rsidR="00094D9E">
              <w:t xml:space="preserve"> </w:t>
            </w:r>
            <w:r w:rsidRPr="00CD69FF">
              <w:rPr>
                <w:rtl/>
              </w:rPr>
              <w:t>2024-2025.</w:t>
            </w:r>
          </w:p>
          <w:p w14:paraId="1729021D"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B42C377" w14:textId="77777777" w:rsidR="007B0AA0" w:rsidRPr="007B0AA0" w:rsidRDefault="007B0AA0" w:rsidP="007B0AA0">
            <w:pPr>
              <w:rPr>
                <w:b/>
                <w:bCs/>
                <w:rtl/>
              </w:rPr>
            </w:pPr>
            <w:r w:rsidRPr="007B0AA0">
              <w:rPr>
                <w:rFonts w:hint="cs"/>
                <w:b/>
                <w:bCs/>
                <w:rtl/>
              </w:rPr>
              <w:t>المراجع</w:t>
            </w:r>
          </w:p>
          <w:p w14:paraId="6B517728" w14:textId="19AED0EE" w:rsidR="007B0AA0" w:rsidRPr="005546CF" w:rsidRDefault="00CD69FF" w:rsidP="00612E60">
            <w:pPr>
              <w:spacing w:after="120"/>
              <w:rPr>
                <w:i/>
                <w:iCs/>
                <w:rtl/>
              </w:rPr>
            </w:pPr>
            <w:r w:rsidRPr="00CD69FF">
              <w:rPr>
                <w:i/>
                <w:iCs/>
                <w:rtl/>
              </w:rPr>
              <w:t xml:space="preserve">القراران </w:t>
            </w:r>
            <w:hyperlink r:id="rId8" w:history="1">
              <w:r w:rsidRPr="00CD69FF">
                <w:rPr>
                  <w:rStyle w:val="Hyperlink"/>
                  <w:rFonts w:ascii="Dubai" w:eastAsiaTheme="minorEastAsia" w:hAnsi="Dubai" w:cs="Dubai"/>
                  <w:i/>
                  <w:iCs/>
                  <w:noProof w:val="0"/>
                  <w:sz w:val="22"/>
                  <w:rtl/>
                  <w:lang w:val="en-US" w:eastAsia="zh-CN"/>
                </w:rPr>
                <w:t>125</w:t>
              </w:r>
            </w:hyperlink>
            <w:r>
              <w:rPr>
                <w:rFonts w:hint="cs"/>
                <w:i/>
                <w:iCs/>
                <w:rtl/>
                <w:lang w:bidi="ar-EG"/>
              </w:rPr>
              <w:t xml:space="preserve"> </w:t>
            </w:r>
            <w:r w:rsidRPr="00CD69FF">
              <w:rPr>
                <w:i/>
                <w:iCs/>
                <w:rtl/>
              </w:rPr>
              <w:t>(المراجَع في بوخارست، 2022) و</w:t>
            </w:r>
            <w:hyperlink r:id="rId9" w:history="1">
              <w:r w:rsidRPr="00CD69FF">
                <w:rPr>
                  <w:rStyle w:val="Hyperlink"/>
                  <w:rFonts w:ascii="Dubai" w:eastAsiaTheme="minorEastAsia" w:hAnsi="Dubai" w:cs="Dubai"/>
                  <w:i/>
                  <w:iCs/>
                  <w:noProof w:val="0"/>
                  <w:sz w:val="22"/>
                  <w:lang w:eastAsia="zh-CN"/>
                </w:rPr>
                <w:t>193</w:t>
              </w:r>
            </w:hyperlink>
            <w:r w:rsidRPr="00CD69FF">
              <w:rPr>
                <w:i/>
                <w:iCs/>
                <w:rtl/>
              </w:rPr>
              <w:t xml:space="preserve"> (المراجَع في بوخارست، 2022) لمؤتمر المندوبين المفوضين</w:t>
            </w:r>
            <w:r w:rsidR="00C36645">
              <w:rPr>
                <w:rFonts w:hint="cs"/>
                <w:i/>
                <w:iCs/>
                <w:rtl/>
              </w:rPr>
              <w:t> </w:t>
            </w:r>
            <w:r w:rsidRPr="00CD69FF">
              <w:rPr>
                <w:i/>
                <w:iCs/>
                <w:rtl/>
              </w:rPr>
              <w:t>(</w:t>
            </w:r>
            <w:r w:rsidRPr="00CD69FF">
              <w:rPr>
                <w:i/>
                <w:iCs/>
              </w:rPr>
              <w:t>PP</w:t>
            </w:r>
            <w:r w:rsidRPr="00CD69FF">
              <w:rPr>
                <w:i/>
                <w:iCs/>
                <w:rtl/>
              </w:rPr>
              <w:t xml:space="preserve">)؛ القراران </w:t>
            </w:r>
            <w:hyperlink r:id="rId10" w:history="1">
              <w:r w:rsidRPr="00CD69FF">
                <w:rPr>
                  <w:rStyle w:val="Hyperlink"/>
                  <w:rFonts w:ascii="Dubai" w:eastAsiaTheme="minorEastAsia" w:hAnsi="Dubai" w:cs="Dubai"/>
                  <w:i/>
                  <w:iCs/>
                  <w:noProof w:val="0"/>
                  <w:sz w:val="22"/>
                  <w:lang w:eastAsia="zh-CN"/>
                </w:rPr>
                <w:t>18</w:t>
              </w:r>
            </w:hyperlink>
            <w:r>
              <w:rPr>
                <w:rFonts w:hint="cs"/>
                <w:i/>
                <w:iCs/>
                <w:rtl/>
              </w:rPr>
              <w:t xml:space="preserve"> </w:t>
            </w:r>
            <w:r w:rsidRPr="00CD69FF">
              <w:rPr>
                <w:i/>
                <w:iCs/>
                <w:rtl/>
              </w:rPr>
              <w:t>(المراجَع في كيغالي، 2022) و</w:t>
            </w:r>
            <w:hyperlink r:id="rId11" w:history="1">
              <w:r w:rsidRPr="00CD69FF">
                <w:rPr>
                  <w:rStyle w:val="Hyperlink"/>
                  <w:rFonts w:ascii="Dubai" w:eastAsiaTheme="minorEastAsia" w:hAnsi="Dubai" w:cs="Dubai"/>
                  <w:i/>
                  <w:iCs/>
                  <w:noProof w:val="0"/>
                  <w:sz w:val="22"/>
                  <w:lang w:eastAsia="zh-CN"/>
                </w:rPr>
                <w:t>25</w:t>
              </w:r>
            </w:hyperlink>
            <w:r w:rsidRPr="00CD69FF">
              <w:rPr>
                <w:i/>
                <w:iCs/>
                <w:rtl/>
              </w:rPr>
              <w:t xml:space="preserve"> (المراجَع في كيغالي، 2022) للمؤتمر العالمي لتنمية الاتصالات؛ القرار </w:t>
            </w:r>
            <w:hyperlink r:id="rId12" w:history="1">
              <w:r w:rsidRPr="00CD69FF">
                <w:rPr>
                  <w:rStyle w:val="Hyperlink"/>
                  <w:rFonts w:ascii="Dubai" w:eastAsiaTheme="minorEastAsia" w:hAnsi="Dubai" w:cs="Dubai"/>
                  <w:i/>
                  <w:iCs/>
                  <w:noProof w:val="0"/>
                  <w:sz w:val="22"/>
                  <w:lang w:eastAsia="zh-CN"/>
                </w:rPr>
                <w:t>1408</w:t>
              </w:r>
            </w:hyperlink>
            <w:r w:rsidRPr="00CD69FF">
              <w:rPr>
                <w:i/>
                <w:iCs/>
                <w:rtl/>
              </w:rPr>
              <w:t xml:space="preserve"> الصادر عن المجلس ‎(‏دورة 2022‏، المعدَّل آخر مرة في دورة 2023)</w:t>
            </w:r>
          </w:p>
        </w:tc>
      </w:tr>
    </w:tbl>
    <w:p w14:paraId="68097178" w14:textId="77777777" w:rsidR="00F50E3F" w:rsidRDefault="00F50E3F" w:rsidP="0043260A">
      <w:pPr>
        <w:rPr>
          <w:rtl/>
          <w:lang w:bidi="ar-EG"/>
        </w:rPr>
      </w:pPr>
      <w:r>
        <w:rPr>
          <w:rtl/>
          <w:lang w:bidi="ar-EG"/>
        </w:rPr>
        <w:br w:type="page"/>
      </w:r>
    </w:p>
    <w:p w14:paraId="1D714A03" w14:textId="02CDB71F" w:rsidR="00CD69FF" w:rsidRPr="00CD69FF" w:rsidRDefault="00CD69FF" w:rsidP="00CD69FF">
      <w:pPr>
        <w:pStyle w:val="Heading1"/>
        <w:rPr>
          <w:lang w:val="ar-SA" w:bidi="ar-EG"/>
        </w:rPr>
      </w:pPr>
      <w:bookmarkStart w:id="1" w:name="_Toc309942973"/>
      <w:r>
        <w:lastRenderedPageBreak/>
        <w:t>1</w:t>
      </w:r>
      <w:r w:rsidRPr="00CD69FF">
        <w:rPr>
          <w:rtl/>
        </w:rPr>
        <w:tab/>
        <w:t>معلومات أساسية</w:t>
      </w:r>
      <w:bookmarkEnd w:id="1"/>
    </w:p>
    <w:p w14:paraId="1E3123B1" w14:textId="1CEE3259" w:rsidR="00CD69FF" w:rsidRPr="00CD69FF" w:rsidRDefault="00CD69FF" w:rsidP="00CD69FF">
      <w:pPr>
        <w:rPr>
          <w:lang w:val="ar-SA" w:bidi="ar-EG"/>
        </w:rPr>
      </w:pPr>
      <w:r w:rsidRPr="00CD69FF">
        <w:rPr>
          <w:rtl/>
        </w:rPr>
        <w:t>أُعد هذا التقرير استجابة</w:t>
      </w:r>
      <w:r w:rsidR="00AB5434">
        <w:rPr>
          <w:rFonts w:hint="cs"/>
          <w:rtl/>
        </w:rPr>
        <w:t>ً</w:t>
      </w:r>
      <w:r w:rsidRPr="00CD69FF">
        <w:rPr>
          <w:rtl/>
        </w:rPr>
        <w:t xml:space="preserve"> لمجلس الاتحاد في دورته لعام 2024، حيث طلبت الدول الأعضاء إعطاءها نظرة عامة شاملة على أنشطة الاتحاد المضطلع بها حالياً لدعم الدول الأعضاء في إعادة بناء البنية التحتية لتكنولوجيا المعلومات والاتصالات.</w:t>
      </w:r>
    </w:p>
    <w:p w14:paraId="5E330588" w14:textId="48FA72BF" w:rsidR="00CD69FF" w:rsidRPr="00CD69FF" w:rsidRDefault="00CD69FF" w:rsidP="00CD69FF">
      <w:pPr>
        <w:rPr>
          <w:lang w:val="ar-SA" w:bidi="ar-EG"/>
        </w:rPr>
      </w:pPr>
      <w:r w:rsidRPr="00CD69FF">
        <w:rPr>
          <w:rtl/>
        </w:rPr>
        <w:t>وفيما يلي عرض لنتائج مؤتمرات الاتحاد ومجلسه، التي من خلالها طُلب إلى الاتحاد تقديم المساعدة التقنية إلى مجموعة من البلدان المعنية</w:t>
      </w:r>
      <w:r w:rsidR="00AB5434">
        <w:rPr>
          <w:rFonts w:hint="cs"/>
          <w:rtl/>
          <w:lang w:bidi="ar-EG"/>
        </w:rPr>
        <w:t>:</w:t>
      </w:r>
    </w:p>
    <w:p w14:paraId="66681024" w14:textId="3CC184E0" w:rsidR="00CD69FF" w:rsidRPr="00612E60" w:rsidRDefault="00CD69FF" w:rsidP="00CD69FF">
      <w:pPr>
        <w:pStyle w:val="enumlev1"/>
        <w:rPr>
          <w:spacing w:val="-2"/>
          <w:lang w:val="ar-SA" w:bidi="ar-EG"/>
        </w:rPr>
      </w:pPr>
      <w:r w:rsidRPr="00612E60">
        <w:rPr>
          <w:spacing w:val="-2"/>
          <w:rtl/>
          <w:lang w:val="ar-SA" w:bidi="ar-EG"/>
        </w:rPr>
        <w:noBreakHyphen/>
      </w:r>
      <w:r w:rsidRPr="00612E60">
        <w:rPr>
          <w:spacing w:val="-2"/>
          <w:lang w:val="ar-SA" w:bidi="ar-EG"/>
        </w:rPr>
        <w:tab/>
      </w:r>
      <w:r w:rsidRPr="00612E60">
        <w:rPr>
          <w:spacing w:val="-2"/>
          <w:rtl/>
        </w:rPr>
        <w:t>القرار 125 (المراجَع في بوخارست، 2022) لمؤتمر المندوبين المفوضين - تقديم المساعدة والدعم إلى فلسطين لتطوير البنية التحتية وبناء القدرات في قطاع الاتصالات وتكنولوجيا المعلومات؛</w:t>
      </w:r>
    </w:p>
    <w:p w14:paraId="414017D5" w14:textId="22685027" w:rsidR="00CD69FF" w:rsidRPr="00CD69FF" w:rsidRDefault="00CD69FF" w:rsidP="00CD69FF">
      <w:pPr>
        <w:pStyle w:val="enumlev1"/>
        <w:rPr>
          <w:lang w:val="ar-SA" w:bidi="ar-EG"/>
        </w:rPr>
      </w:pPr>
      <w:r w:rsidRPr="00CD69FF">
        <w:rPr>
          <w:rtl/>
          <w:lang w:val="ar-SA" w:bidi="ar-EG"/>
        </w:rPr>
        <w:noBreakHyphen/>
      </w:r>
      <w:r w:rsidRPr="00CD69FF">
        <w:rPr>
          <w:lang w:val="ar-SA" w:bidi="ar-EG"/>
        </w:rPr>
        <w:tab/>
      </w:r>
      <w:r w:rsidRPr="00CD69FF">
        <w:rPr>
          <w:rtl/>
        </w:rPr>
        <w:t>القرار 193 (المراجَع في بوخارست، 2022) لمؤتمر المندوبين المفوضين - دعم ومساعدة العراق في مواصلة إعادة بناء وتطوير قطاع الاتصالات/تكنولوجيا المعلومات والاتصالات لديه؛</w:t>
      </w:r>
    </w:p>
    <w:p w14:paraId="52DF2FA7" w14:textId="5C96E668" w:rsidR="00CD69FF" w:rsidRPr="00CD69FF" w:rsidRDefault="00CD69FF" w:rsidP="00CD69FF">
      <w:pPr>
        <w:pStyle w:val="enumlev1"/>
        <w:rPr>
          <w:lang w:val="ar-SA" w:bidi="ar-EG"/>
        </w:rPr>
      </w:pPr>
      <w:r w:rsidRPr="00CD69FF">
        <w:rPr>
          <w:rtl/>
          <w:lang w:val="ar-SA" w:bidi="ar-EG"/>
        </w:rPr>
        <w:noBreakHyphen/>
      </w:r>
      <w:r w:rsidRPr="00CD69FF">
        <w:rPr>
          <w:lang w:val="ar-SA" w:bidi="ar-EG"/>
        </w:rPr>
        <w:tab/>
      </w:r>
      <w:r w:rsidRPr="00CD69FF">
        <w:rPr>
          <w:rtl/>
        </w:rPr>
        <w:t xml:space="preserve">القرار 1408 الصادر عن المجلس </w:t>
      </w:r>
      <w:r w:rsidRPr="00612E60">
        <w:rPr>
          <w:i/>
          <w:iCs/>
          <w:rtl/>
        </w:rPr>
        <w:t>(دورة 2022، المعدَّل آخر مرة في دورة 2023</w:t>
      </w:r>
      <w:r w:rsidRPr="00612E60">
        <w:rPr>
          <w:i/>
          <w:iCs/>
          <w:rtl/>
          <w:lang w:bidi="ar-EG"/>
        </w:rPr>
        <w:t>)</w:t>
      </w:r>
      <w:r w:rsidRPr="00CD69FF">
        <w:rPr>
          <w:rtl/>
          <w:lang w:bidi="ar-EG"/>
        </w:rPr>
        <w:t xml:space="preserve"> -</w:t>
      </w:r>
      <w:r w:rsidRPr="00CD69FF">
        <w:rPr>
          <w:rtl/>
        </w:rPr>
        <w:t xml:space="preserve"> تقديم المساعدة والدعم إلى أوكرانيا لإعادة بناء قطاع اتصالاتها؛</w:t>
      </w:r>
    </w:p>
    <w:p w14:paraId="5733FB60" w14:textId="35DAFA5D" w:rsidR="00CD69FF" w:rsidRPr="00807EE1" w:rsidRDefault="00CD69FF" w:rsidP="00CD69FF">
      <w:pPr>
        <w:pStyle w:val="enumlev1"/>
        <w:rPr>
          <w:spacing w:val="-4"/>
          <w:lang w:val="ar-SA" w:bidi="ar-EG"/>
        </w:rPr>
      </w:pPr>
      <w:r w:rsidRPr="00CD69FF">
        <w:rPr>
          <w:rtl/>
          <w:lang w:val="ar-SA" w:bidi="ar-EG"/>
        </w:rPr>
        <w:noBreakHyphen/>
      </w:r>
      <w:r w:rsidRPr="00CD69FF">
        <w:rPr>
          <w:lang w:val="ar-SA" w:bidi="ar-EG"/>
        </w:rPr>
        <w:tab/>
      </w:r>
      <w:r w:rsidRPr="00807EE1">
        <w:rPr>
          <w:spacing w:val="-4"/>
          <w:rtl/>
        </w:rPr>
        <w:t>القرار 1424 (2024) الصادر عن مجلس الاتحاد - تقديم المساعدة والدعم إلى فلسطين لإعادة بناء قطاع اتصالاتها؛</w:t>
      </w:r>
    </w:p>
    <w:p w14:paraId="003F6653" w14:textId="4B10EEEA" w:rsidR="00CD69FF" w:rsidRPr="00CD69FF" w:rsidRDefault="00CD69FF" w:rsidP="00CD69FF">
      <w:pPr>
        <w:pStyle w:val="enumlev1"/>
        <w:rPr>
          <w:lang w:val="ar-SA" w:bidi="ar-EG"/>
        </w:rPr>
      </w:pPr>
      <w:r w:rsidRPr="00CD69FF">
        <w:rPr>
          <w:rtl/>
          <w:lang w:val="ar-SA" w:bidi="ar-EG"/>
        </w:rPr>
        <w:noBreakHyphen/>
      </w:r>
      <w:r w:rsidRPr="00CD69FF">
        <w:rPr>
          <w:lang w:val="ar-SA" w:bidi="ar-EG"/>
        </w:rPr>
        <w:tab/>
      </w:r>
      <w:r w:rsidRPr="00CD69FF">
        <w:rPr>
          <w:rtl/>
        </w:rPr>
        <w:t xml:space="preserve">القـرار 18 (المراجَع في كيغالي، 2022) للمؤتمر العالمي لتنمية الاتصالات </w:t>
      </w:r>
      <w:r w:rsidR="00AB5434" w:rsidRPr="00CD69FF">
        <w:rPr>
          <w:rtl/>
        </w:rPr>
        <w:t>-</w:t>
      </w:r>
      <w:r w:rsidRPr="00CD69FF">
        <w:rPr>
          <w:rtl/>
        </w:rPr>
        <w:t xml:space="preserve"> تقديم المساعدة التقنية الخاصة إلى فلسطين؛</w:t>
      </w:r>
    </w:p>
    <w:p w14:paraId="1B452677" w14:textId="63AA6591" w:rsidR="00CD69FF" w:rsidRPr="00CD69FF" w:rsidRDefault="00CD69FF" w:rsidP="00CD69FF">
      <w:pPr>
        <w:pStyle w:val="enumlev1"/>
        <w:rPr>
          <w:lang w:val="ar-SA" w:bidi="ar-EG"/>
        </w:rPr>
      </w:pPr>
      <w:r w:rsidRPr="00CD69FF">
        <w:rPr>
          <w:rtl/>
          <w:lang w:val="ar-SA" w:bidi="ar-EG"/>
        </w:rPr>
        <w:noBreakHyphen/>
      </w:r>
      <w:r w:rsidRPr="00CD69FF">
        <w:rPr>
          <w:lang w:val="ar-SA" w:bidi="ar-EG"/>
        </w:rPr>
        <w:tab/>
      </w:r>
      <w:r w:rsidRPr="00CD69FF">
        <w:rPr>
          <w:rtl/>
        </w:rPr>
        <w:t xml:space="preserve">القـرار 25 (المراجَع في كيغالي، 2022) للمؤتمر العالمي لتنمية الاتصالات </w:t>
      </w:r>
      <w:r w:rsidR="00AB5434" w:rsidRPr="00CD69FF">
        <w:rPr>
          <w:rtl/>
        </w:rPr>
        <w:t>-</w:t>
      </w:r>
      <w:r w:rsidRPr="00CD69FF">
        <w:rPr>
          <w:rtl/>
        </w:rPr>
        <w:t xml:space="preserve"> تقديم المساعدة للبلدان ذات الاحتياجات الخاصة: أفغانستان، بوروندي، جمهورية إفريقيا الوسطى، جمهورية الكونغو الديمقراطية، إريتريا، إثيوبيا، غينيا، </w:t>
      </w:r>
      <w:r w:rsidR="009F7F42" w:rsidRPr="009F7F42">
        <w:rPr>
          <w:rtl/>
        </w:rPr>
        <w:t>غينيا-بيساو</w:t>
      </w:r>
      <w:r w:rsidRPr="00CD69FF">
        <w:rPr>
          <w:rtl/>
        </w:rPr>
        <w:t xml:space="preserve">، هايتي، ليبيريا، رواندا، سيراليون، الصومال، جنوب السودان، </w:t>
      </w:r>
      <w:r w:rsidR="009F7F42" w:rsidRPr="009F7F42">
        <w:rPr>
          <w:rtl/>
        </w:rPr>
        <w:t>تيمور-ليشتي</w:t>
      </w:r>
      <w:r w:rsidRPr="00CD69FF">
        <w:rPr>
          <w:rtl/>
        </w:rPr>
        <w:t>.</w:t>
      </w:r>
    </w:p>
    <w:p w14:paraId="46E1726E" w14:textId="20FA81C4" w:rsidR="00CD69FF" w:rsidRPr="00CD69FF" w:rsidRDefault="00CD69FF" w:rsidP="00CD69FF">
      <w:pPr>
        <w:pStyle w:val="Heading1"/>
        <w:rPr>
          <w:lang w:val="ar-SA" w:bidi="ar-EG"/>
        </w:rPr>
      </w:pPr>
      <w:r>
        <w:t>2</w:t>
      </w:r>
      <w:r w:rsidRPr="00CD69FF">
        <w:rPr>
          <w:rtl/>
        </w:rPr>
        <w:tab/>
        <w:t>معلومات محدَّثة عن الإجراءات المتخذة</w:t>
      </w:r>
    </w:p>
    <w:p w14:paraId="51EFCDF6" w14:textId="4F3CC04D" w:rsidR="00CD69FF" w:rsidRPr="00807EE1" w:rsidRDefault="00CD69FF" w:rsidP="00CD69FF">
      <w:pPr>
        <w:rPr>
          <w:spacing w:val="-6"/>
          <w:lang w:val="ar-SA" w:bidi="ar-EG"/>
        </w:rPr>
      </w:pPr>
      <w:r w:rsidRPr="00807EE1">
        <w:rPr>
          <w:spacing w:val="-6"/>
          <w:rtl/>
        </w:rPr>
        <w:t xml:space="preserve">تستفيد جميع البلدان المعنية من منتجات الاتحاد وخدماته، ولا سيما تلك التي يجري تطويرها وتقديمها في إطار </w:t>
      </w:r>
      <w:hyperlink r:id="rId13" w:history="1">
        <w:r w:rsidRPr="00807EE1">
          <w:rPr>
            <w:rStyle w:val="Hyperlink"/>
            <w:rFonts w:ascii="Dubai" w:eastAsiaTheme="minorEastAsia" w:hAnsi="Dubai" w:cs="Dubai"/>
            <w:noProof w:val="0"/>
            <w:spacing w:val="-6"/>
            <w:sz w:val="22"/>
            <w:rtl/>
            <w:lang w:val="en-US" w:eastAsia="zh-CN"/>
          </w:rPr>
          <w:t>الأولوية 1 لقطاع تنمية الاتصالات: التوصيلية الميسورة التكلفة</w:t>
        </w:r>
      </w:hyperlink>
      <w:r w:rsidRPr="00807EE1">
        <w:rPr>
          <w:spacing w:val="-6"/>
          <w:rtl/>
        </w:rPr>
        <w:t>، و</w:t>
      </w:r>
      <w:hyperlink r:id="rId14" w:history="1">
        <w:r w:rsidRPr="00807EE1">
          <w:rPr>
            <w:rStyle w:val="Hyperlink"/>
            <w:rFonts w:ascii="Dubai" w:eastAsiaTheme="minorEastAsia" w:hAnsi="Dubai" w:cs="Dubai"/>
            <w:noProof w:val="0"/>
            <w:spacing w:val="-6"/>
            <w:sz w:val="22"/>
            <w:rtl/>
            <w:lang w:val="en-US" w:eastAsia="zh-CN"/>
          </w:rPr>
          <w:t>الأولوية 3 لقطاع تنمية الاتصالات: البيئة التمكينية السياساتية والتنظيمية</w:t>
        </w:r>
      </w:hyperlink>
      <w:r w:rsidR="002C6FD8" w:rsidRPr="00807EE1">
        <w:rPr>
          <w:rFonts w:hint="cs"/>
          <w:spacing w:val="-6"/>
          <w:rtl/>
        </w:rPr>
        <w:t>.</w:t>
      </w:r>
    </w:p>
    <w:p w14:paraId="77BD34B3" w14:textId="1B074E5C" w:rsidR="00CD69FF" w:rsidRPr="00CD69FF" w:rsidRDefault="00CD69FF" w:rsidP="00CD69FF">
      <w:pPr>
        <w:rPr>
          <w:lang w:val="ar-SA" w:bidi="ar-EG"/>
        </w:rPr>
      </w:pPr>
      <w:r w:rsidRPr="00CD69FF">
        <w:rPr>
          <w:rtl/>
        </w:rPr>
        <w:t>ومن بين المنتجات والخدمات التي تشملها القائمة رسم خرائط البنية التحتية وتحليلها، والدراسات التقييمية، والمنشورات، وورش العمل، والمبادئ التوجيهية، وأفضل الممارسات بشأن البنية التحتية للاتصالات/تكنولوجيا المعلومات والاتصالات، بما في ذلك النطاق العريض اللاسلكي والثابت، وتوصيل المناطق الريفية والمناطق النائية، والمطابقة وقابلية التشغيل البيني، وإدارة الطيف، والانتقال إلى الإذاعة الرقمية، وإدارة موارد الاتصالات بفعالية وكفاءة واستعمالها على النحو السليم في إطار ولاية الاتحاد.</w:t>
      </w:r>
    </w:p>
    <w:p w14:paraId="309BAB2B" w14:textId="32CD649D" w:rsidR="00CD69FF" w:rsidRPr="00CD69FF" w:rsidRDefault="00CD69FF" w:rsidP="00CD69FF">
      <w:pPr>
        <w:rPr>
          <w:lang w:val="ar-SA" w:bidi="ar-EG"/>
        </w:rPr>
      </w:pPr>
      <w:r w:rsidRPr="00CD69FF">
        <w:rPr>
          <w:rtl/>
        </w:rPr>
        <w:t>وتشمل القائمة أيضاً وضع خطط وطنية للاتصالات في حالات الطوارئ، وبناء القدرات في مجال استخدام تكنولوجيا المعلومات والاتصالات لأغراض إدارة الكوارث وإعداد تمارين المحاكاة، وتنفيذ أنظمة الإنذار المبكر بالأخطار المتعددة، بما في ذلك بروتوكول الإنذار المشترك، واستعادة التوصيلية في البلدان المتضررة من الكوارث، وتوفير خرائط التوصيلية في</w:t>
      </w:r>
      <w:r w:rsidR="00DF574E">
        <w:rPr>
          <w:rFonts w:hint="cs"/>
          <w:rtl/>
        </w:rPr>
        <w:t> </w:t>
      </w:r>
      <w:r w:rsidRPr="00CD69FF">
        <w:rPr>
          <w:rtl/>
        </w:rPr>
        <w:t>حالات الكوارث، وبناء القدرات البشرية الوطنية في مجال الحد من مخاطر الكوارث وإدارتها.</w:t>
      </w:r>
    </w:p>
    <w:p w14:paraId="5F025913" w14:textId="3FC890AE" w:rsidR="00CD69FF" w:rsidRPr="00CD69FF" w:rsidRDefault="00CD69FF" w:rsidP="00CD69FF">
      <w:pPr>
        <w:rPr>
          <w:lang w:val="ar-SA" w:bidi="ar-EG"/>
        </w:rPr>
      </w:pPr>
      <w:r w:rsidRPr="00CD69FF">
        <w:rPr>
          <w:rtl/>
        </w:rPr>
        <w:t>وبناءً على ذلك، يوفر الاتحاد منصات وأدوات</w:t>
      </w:r>
      <w:r w:rsidR="00416D7C">
        <w:rPr>
          <w:rFonts w:hint="cs"/>
          <w:rtl/>
        </w:rPr>
        <w:t>ٍ</w:t>
      </w:r>
      <w:r w:rsidRPr="00CD69FF">
        <w:rPr>
          <w:rtl/>
        </w:rPr>
        <w:t xml:space="preserve"> لوضع أطر سياساتية وقانونية وتنظيمية فع</w:t>
      </w:r>
      <w:r w:rsidR="00416D7C">
        <w:rPr>
          <w:rFonts w:hint="cs"/>
          <w:rtl/>
        </w:rPr>
        <w:t>ّ</w:t>
      </w:r>
      <w:r w:rsidRPr="00CD69FF">
        <w:rPr>
          <w:rtl/>
        </w:rPr>
        <w:t>الة تدعم المنظمين وواضعي السياسات في تعزيز تطوير التوصيلية الشاملة والهادفة. وتشمل المنتجات: منصة التنظيم الرقمي، والتنظيم التعاوني، و</w:t>
      </w:r>
      <w:hyperlink r:id="rId15" w:history="1">
        <w:r w:rsidRPr="00CD69FF">
          <w:rPr>
            <w:rStyle w:val="Hyperlink"/>
            <w:rFonts w:ascii="Dubai" w:eastAsiaTheme="minorEastAsia" w:hAnsi="Dubai" w:cs="Dubai"/>
            <w:noProof w:val="0"/>
            <w:sz w:val="22"/>
            <w:rtl/>
            <w:lang w:val="en-US" w:eastAsia="zh-CN"/>
          </w:rPr>
          <w:t>المعيار المرجعي للجيل الخامس</w:t>
        </w:r>
      </w:hyperlink>
      <w:r w:rsidRPr="00CD69FF">
        <w:rPr>
          <w:rtl/>
        </w:rPr>
        <w:t>، والندوة العالمية لمنظمي الاتصالات، والمبادئ التوجيهية لأفضل الممارسات، ودراسات الأثر الاقتصادي، ومختبر أثر سياسات تكنولوجيا المعلومات والاتصالات.</w:t>
      </w:r>
    </w:p>
    <w:p w14:paraId="7820208A" w14:textId="0C99AF1C" w:rsidR="00CD69FF" w:rsidRPr="00CD69FF" w:rsidRDefault="00CD69FF" w:rsidP="00CD69FF">
      <w:pPr>
        <w:rPr>
          <w:lang w:val="ar-SA" w:bidi="ar-EG"/>
        </w:rPr>
      </w:pPr>
      <w:r w:rsidRPr="00CD69FF">
        <w:rPr>
          <w:rtl/>
        </w:rPr>
        <w:t xml:space="preserve">وترد في </w:t>
      </w:r>
      <w:hyperlink r:id="rId16" w:history="1">
        <w:r w:rsidRPr="00CD69FF">
          <w:rPr>
            <w:rStyle w:val="Hyperlink"/>
            <w:rFonts w:ascii="Dubai" w:eastAsiaTheme="minorEastAsia" w:hAnsi="Dubai" w:cs="Dubai"/>
            <w:noProof w:val="0"/>
            <w:sz w:val="22"/>
            <w:rtl/>
            <w:lang w:val="en-US" w:eastAsia="zh-CN"/>
          </w:rPr>
          <w:t>الوثيقة TDAG-25/2</w:t>
        </w:r>
      </w:hyperlink>
      <w:r w:rsidRPr="00CD69FF">
        <w:rPr>
          <w:rtl/>
        </w:rPr>
        <w:t xml:space="preserve"> تقارير مفصلة عن جميع الإجراءات ذات الصلة بتطوير البنية التحتية في الميدان، ويغطي التقرير الفترة من مايو 2024 إلى أبريل 2025. ويمكن الاطلاع على الإجراءات المتخذة في الفترة من يونيو 2023 إلى</w:t>
      </w:r>
      <w:r w:rsidR="00584568">
        <w:rPr>
          <w:rFonts w:hint="cs"/>
          <w:rtl/>
        </w:rPr>
        <w:t> </w:t>
      </w:r>
      <w:r w:rsidRPr="00CD69FF">
        <w:rPr>
          <w:rtl/>
        </w:rPr>
        <w:t>أبريل</w:t>
      </w:r>
      <w:r w:rsidR="00807EE1">
        <w:rPr>
          <w:rFonts w:hint="cs"/>
          <w:rtl/>
        </w:rPr>
        <w:t> </w:t>
      </w:r>
      <w:r w:rsidRPr="00CD69FF">
        <w:rPr>
          <w:rtl/>
        </w:rPr>
        <w:t xml:space="preserve">2024 في </w:t>
      </w:r>
      <w:hyperlink r:id="rId17" w:history="1">
        <w:r w:rsidRPr="00CD69FF">
          <w:rPr>
            <w:rStyle w:val="Hyperlink"/>
            <w:rFonts w:ascii="Dubai" w:eastAsiaTheme="minorEastAsia" w:hAnsi="Dubai" w:cs="Dubai"/>
            <w:noProof w:val="0"/>
            <w:sz w:val="22"/>
            <w:rtl/>
            <w:lang w:val="en-US" w:eastAsia="zh-CN"/>
          </w:rPr>
          <w:t>الوثيقة TDAG-24/2</w:t>
        </w:r>
      </w:hyperlink>
      <w:r w:rsidRPr="00CD69FF">
        <w:rPr>
          <w:u w:val="single"/>
          <w:rtl/>
        </w:rPr>
        <w:t>.</w:t>
      </w:r>
    </w:p>
    <w:p w14:paraId="038D4AE4" w14:textId="75CD5C11" w:rsidR="00CD69FF" w:rsidRPr="00CD69FF" w:rsidRDefault="00CD69FF" w:rsidP="00CD69FF">
      <w:pPr>
        <w:rPr>
          <w:lang w:val="ar-SA" w:bidi="ar-EG"/>
        </w:rPr>
      </w:pPr>
      <w:r w:rsidRPr="00CD69FF">
        <w:rPr>
          <w:rtl/>
        </w:rPr>
        <w:t>وأتيحت تقارير مفصلة عن الإجراءات المتخذة استجابة</w:t>
      </w:r>
      <w:r w:rsidR="00846636">
        <w:rPr>
          <w:rFonts w:hint="cs"/>
          <w:rtl/>
        </w:rPr>
        <w:t>ً</w:t>
      </w:r>
      <w:r w:rsidRPr="00CD69FF">
        <w:rPr>
          <w:rtl/>
        </w:rPr>
        <w:t xml:space="preserve"> لقرار مجلس الاتحاد 1408 بشأن أوكرانيا وقرار مجلس الاتحاد</w:t>
      </w:r>
      <w:r w:rsidR="00807EE1">
        <w:rPr>
          <w:rFonts w:hint="cs"/>
          <w:rtl/>
        </w:rPr>
        <w:t> </w:t>
      </w:r>
      <w:r w:rsidRPr="00CD69FF">
        <w:rPr>
          <w:rtl/>
        </w:rPr>
        <w:t xml:space="preserve">1424 بشأن فلسطين في وثيقتي الأمانة </w:t>
      </w:r>
      <w:hyperlink r:id="rId18" w:history="1">
        <w:r w:rsidRPr="00CD69FF">
          <w:rPr>
            <w:rStyle w:val="Hyperlink"/>
            <w:rFonts w:ascii="Dubai" w:eastAsiaTheme="minorEastAsia" w:hAnsi="Dubai" w:cs="Dubai"/>
            <w:noProof w:val="0"/>
            <w:sz w:val="22"/>
            <w:rtl/>
            <w:lang w:val="en-US" w:eastAsia="zh-CN"/>
          </w:rPr>
          <w:t>C25/68</w:t>
        </w:r>
      </w:hyperlink>
      <w:r w:rsidRPr="00CD69FF">
        <w:rPr>
          <w:rtl/>
        </w:rPr>
        <w:t xml:space="preserve"> و</w:t>
      </w:r>
      <w:hyperlink r:id="rId19" w:history="1">
        <w:r w:rsidRPr="00CD69FF">
          <w:rPr>
            <w:rStyle w:val="Hyperlink"/>
            <w:rFonts w:ascii="Dubai" w:eastAsiaTheme="minorEastAsia" w:hAnsi="Dubai" w:cs="Dubai"/>
            <w:noProof w:val="0"/>
            <w:sz w:val="22"/>
            <w:rtl/>
            <w:lang w:val="en-US" w:eastAsia="zh-CN"/>
          </w:rPr>
          <w:t>C25/71</w:t>
        </w:r>
      </w:hyperlink>
      <w:r w:rsidRPr="00CD69FF">
        <w:rPr>
          <w:rtl/>
        </w:rPr>
        <w:t xml:space="preserve"> على التوالي.</w:t>
      </w:r>
    </w:p>
    <w:p w14:paraId="5E7ED0F0" w14:textId="50B3AD98" w:rsidR="00CD69FF" w:rsidRPr="00CD69FF" w:rsidRDefault="00CD69FF" w:rsidP="00CD69FF">
      <w:pPr>
        <w:pStyle w:val="Heading1"/>
        <w:rPr>
          <w:lang w:val="ar-SA" w:bidi="ar-EG"/>
        </w:rPr>
      </w:pPr>
      <w:r>
        <w:lastRenderedPageBreak/>
        <w:t>3</w:t>
      </w:r>
      <w:r w:rsidRPr="00CD69FF">
        <w:rPr>
          <w:rtl/>
        </w:rPr>
        <w:tab/>
        <w:t>الاستنتاجات</w:t>
      </w:r>
    </w:p>
    <w:p w14:paraId="4222654C" w14:textId="7EDF8801" w:rsidR="00CD69FF" w:rsidRPr="00CD69FF" w:rsidRDefault="00CD69FF" w:rsidP="00CD69FF">
      <w:pPr>
        <w:rPr>
          <w:lang w:val="ar-SA" w:bidi="ar-EG"/>
        </w:rPr>
      </w:pPr>
      <w:r w:rsidRPr="00CD69FF">
        <w:rPr>
          <w:rtl/>
        </w:rPr>
        <w:t>واصل الاتحاد تعزيز عروضه للمنتجات والخدمات ذات الصلة بجهود الدول الأعضاء المكرسة لتطوير البنية التحتية لتكنولوجيا المعلومات والاتصالات و/أو إعادة بنائها و/أو إعادة تأهيلها. وقد استفادت بلدان كثيرة من عروض الاتحاد ومساعدته المباشرة بما يتماشى مع القرارات المذكورة أعلاه.</w:t>
      </w:r>
    </w:p>
    <w:p w14:paraId="3C94F3D8" w14:textId="60718F77" w:rsidR="00CD69FF" w:rsidRPr="00807EE1" w:rsidRDefault="00CD69FF" w:rsidP="00CD69FF">
      <w:pPr>
        <w:rPr>
          <w:spacing w:val="-2"/>
          <w:lang w:val="ar-SA" w:bidi="ar-EG"/>
        </w:rPr>
      </w:pPr>
      <w:r w:rsidRPr="00807EE1">
        <w:rPr>
          <w:spacing w:val="-2"/>
          <w:rtl/>
        </w:rPr>
        <w:t>وتشجَّع جميع الدول الأعضاء المهتمة بتعزيز الدعم لإعادة بناء البنية التحتية لتكنولوجيا المعلومات والاتصالات و/أو إعادة تأهيلها على استخدام منتجات الاتحاد وخدماته ذات الصلة، وعلى التواصل مع الاتحاد عند الحاجة إلى المساعدة التقنية.</w:t>
      </w:r>
    </w:p>
    <w:p w14:paraId="045A593C" w14:textId="395B7A23" w:rsidR="00F50E3F" w:rsidRDefault="00CD69FF" w:rsidP="00CD69FF">
      <w:pPr>
        <w:rPr>
          <w:rtl/>
          <w:lang w:bidi="ar-EG"/>
        </w:rPr>
      </w:pPr>
      <w:r w:rsidRPr="00CD69FF">
        <w:rPr>
          <w:rtl/>
        </w:rPr>
        <w:t>ونظراً إلى أن إعادة بناء البنية التحتية لتكنولوجيا المعلومات والاتصالات وإعادة تأهيلها يتطلبان تخصيص موارد مالية كبيرة، يُدعى جميع أصحاب المصلحة إلى تقديم الدعم لضمان أن تكون مساعدة الاتحاد أكثر شمولاً.</w:t>
      </w:r>
    </w:p>
    <w:p w14:paraId="30CF3280"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20"/>
      <w:headerReference w:type="first" r:id="rId21"/>
      <w:footerReference w:type="first" r:id="rId22"/>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17AD1" w14:textId="77777777" w:rsidR="000B36B2" w:rsidRDefault="000B36B2" w:rsidP="006C3242">
      <w:pPr>
        <w:spacing w:before="0" w:line="240" w:lineRule="auto"/>
      </w:pPr>
      <w:r>
        <w:separator/>
      </w:r>
    </w:p>
  </w:endnote>
  <w:endnote w:type="continuationSeparator" w:id="0">
    <w:p w14:paraId="1315AFA9" w14:textId="77777777" w:rsidR="000B36B2" w:rsidRDefault="000B36B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5F2271CB" w14:textId="77777777" w:rsidTr="00A67F05">
      <w:trPr>
        <w:jc w:val="center"/>
      </w:trPr>
      <w:tc>
        <w:tcPr>
          <w:tcW w:w="868" w:type="pct"/>
          <w:vAlign w:val="center"/>
        </w:tcPr>
        <w:p w14:paraId="7ABF6E7B" w14:textId="02AD0548" w:rsidR="00F50E3F" w:rsidRPr="007B0AA0" w:rsidRDefault="00CD69FF"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CD69FF">
            <w:rPr>
              <w:rFonts w:ascii="Calibri" w:hAnsi="Calibri" w:cs="Arial"/>
              <w:sz w:val="18"/>
              <w:szCs w:val="14"/>
            </w:rPr>
            <w:t>2501255</w:t>
          </w:r>
        </w:p>
      </w:tc>
      <w:tc>
        <w:tcPr>
          <w:tcW w:w="3912" w:type="pct"/>
        </w:tcPr>
        <w:p w14:paraId="1CFE6FFA" w14:textId="3C35255E"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CD69FF">
            <w:rPr>
              <w:rFonts w:ascii="Calibri" w:hAnsi="Calibri" w:cs="Arial"/>
              <w:bCs/>
              <w:color w:val="7F7F7F"/>
              <w:sz w:val="18"/>
            </w:rPr>
            <w:t>72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81A9712"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77453EF"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2257D038" w14:textId="77777777" w:rsidTr="00A67F05">
      <w:trPr>
        <w:jc w:val="center"/>
      </w:trPr>
      <w:tc>
        <w:tcPr>
          <w:tcW w:w="1013" w:type="pct"/>
          <w:vAlign w:val="center"/>
        </w:tcPr>
        <w:p w14:paraId="689539CC"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3FD74643" w14:textId="3532A6BD"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CD69FF">
            <w:rPr>
              <w:rFonts w:ascii="Calibri" w:hAnsi="Calibri" w:cs="Arial"/>
              <w:bCs/>
              <w:color w:val="7F7F7F"/>
              <w:sz w:val="18"/>
            </w:rPr>
            <w:t>72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0AF5B8C"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DDBBD54"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51564" w14:textId="77777777" w:rsidR="000B36B2" w:rsidRDefault="000B36B2" w:rsidP="006C3242">
      <w:pPr>
        <w:spacing w:before="0" w:line="240" w:lineRule="auto"/>
      </w:pPr>
      <w:r>
        <w:separator/>
      </w:r>
    </w:p>
  </w:footnote>
  <w:footnote w:type="continuationSeparator" w:id="0">
    <w:p w14:paraId="7146000C" w14:textId="77777777" w:rsidR="000B36B2" w:rsidRDefault="000B36B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94AE"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3377CE5" wp14:editId="62BF420B">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91D29"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5E558C91" wp14:editId="12FE7816">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9023261">
    <w:abstractNumId w:val="9"/>
  </w:num>
  <w:num w:numId="2" w16cid:durableId="1286616866">
    <w:abstractNumId w:val="7"/>
  </w:num>
  <w:num w:numId="3" w16cid:durableId="1151752520">
    <w:abstractNumId w:val="6"/>
  </w:num>
  <w:num w:numId="4" w16cid:durableId="878008852">
    <w:abstractNumId w:val="5"/>
  </w:num>
  <w:num w:numId="5" w16cid:durableId="1987775885">
    <w:abstractNumId w:val="4"/>
  </w:num>
  <w:num w:numId="6" w16cid:durableId="447630851">
    <w:abstractNumId w:val="8"/>
  </w:num>
  <w:num w:numId="7" w16cid:durableId="1676611363">
    <w:abstractNumId w:val="3"/>
  </w:num>
  <w:num w:numId="8" w16cid:durableId="1172261623">
    <w:abstractNumId w:val="2"/>
  </w:num>
  <w:num w:numId="9" w16cid:durableId="1013604147">
    <w:abstractNumId w:val="1"/>
  </w:num>
  <w:num w:numId="10" w16cid:durableId="157815157">
    <w:abstractNumId w:val="0"/>
  </w:num>
  <w:num w:numId="11" w16cid:durableId="2010324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D4"/>
    <w:rsid w:val="000214D4"/>
    <w:rsid w:val="00040EFE"/>
    <w:rsid w:val="0006468A"/>
    <w:rsid w:val="00090574"/>
    <w:rsid w:val="00094D9E"/>
    <w:rsid w:val="000B36B2"/>
    <w:rsid w:val="000C1C0E"/>
    <w:rsid w:val="000C548A"/>
    <w:rsid w:val="00191059"/>
    <w:rsid w:val="001B6E2B"/>
    <w:rsid w:val="001C0169"/>
    <w:rsid w:val="001C0C21"/>
    <w:rsid w:val="001D1D50"/>
    <w:rsid w:val="001D64C7"/>
    <w:rsid w:val="001D6745"/>
    <w:rsid w:val="001E446E"/>
    <w:rsid w:val="001F58D7"/>
    <w:rsid w:val="002154EE"/>
    <w:rsid w:val="002276D2"/>
    <w:rsid w:val="0023283D"/>
    <w:rsid w:val="00234A0E"/>
    <w:rsid w:val="00246A39"/>
    <w:rsid w:val="00254393"/>
    <w:rsid w:val="0026373E"/>
    <w:rsid w:val="00271C43"/>
    <w:rsid w:val="00290728"/>
    <w:rsid w:val="002978F4"/>
    <w:rsid w:val="002B028D"/>
    <w:rsid w:val="002C3F32"/>
    <w:rsid w:val="002C6FD8"/>
    <w:rsid w:val="002E6541"/>
    <w:rsid w:val="00334924"/>
    <w:rsid w:val="003409BC"/>
    <w:rsid w:val="00357185"/>
    <w:rsid w:val="00383829"/>
    <w:rsid w:val="003A1065"/>
    <w:rsid w:val="003A2A00"/>
    <w:rsid w:val="003F4B29"/>
    <w:rsid w:val="004154B5"/>
    <w:rsid w:val="00416D7C"/>
    <w:rsid w:val="00420F8A"/>
    <w:rsid w:val="0042686F"/>
    <w:rsid w:val="00427D37"/>
    <w:rsid w:val="004317D8"/>
    <w:rsid w:val="0043260A"/>
    <w:rsid w:val="00434183"/>
    <w:rsid w:val="00443869"/>
    <w:rsid w:val="00447F32"/>
    <w:rsid w:val="00491BA9"/>
    <w:rsid w:val="004A4701"/>
    <w:rsid w:val="004B7334"/>
    <w:rsid w:val="004B75AC"/>
    <w:rsid w:val="004D2339"/>
    <w:rsid w:val="004E11DC"/>
    <w:rsid w:val="005130DE"/>
    <w:rsid w:val="00513157"/>
    <w:rsid w:val="00525DDD"/>
    <w:rsid w:val="005409AC"/>
    <w:rsid w:val="005434E0"/>
    <w:rsid w:val="005546CF"/>
    <w:rsid w:val="0055516A"/>
    <w:rsid w:val="00584568"/>
    <w:rsid w:val="0058491B"/>
    <w:rsid w:val="00592EA5"/>
    <w:rsid w:val="005A3170"/>
    <w:rsid w:val="00612E60"/>
    <w:rsid w:val="00660DEA"/>
    <w:rsid w:val="00677396"/>
    <w:rsid w:val="0069200F"/>
    <w:rsid w:val="006A65CB"/>
    <w:rsid w:val="006B12E5"/>
    <w:rsid w:val="006C3242"/>
    <w:rsid w:val="006C7CC0"/>
    <w:rsid w:val="006F363C"/>
    <w:rsid w:val="006F3CD6"/>
    <w:rsid w:val="006F63F7"/>
    <w:rsid w:val="006F7561"/>
    <w:rsid w:val="007025C7"/>
    <w:rsid w:val="00706D7A"/>
    <w:rsid w:val="00722F0D"/>
    <w:rsid w:val="0074420E"/>
    <w:rsid w:val="0074492E"/>
    <w:rsid w:val="007648A6"/>
    <w:rsid w:val="0077110E"/>
    <w:rsid w:val="00783E26"/>
    <w:rsid w:val="007A0451"/>
    <w:rsid w:val="007A6684"/>
    <w:rsid w:val="007B0AA0"/>
    <w:rsid w:val="007C3BC7"/>
    <w:rsid w:val="007C3BCD"/>
    <w:rsid w:val="007D4ACF"/>
    <w:rsid w:val="007F0787"/>
    <w:rsid w:val="00807EE1"/>
    <w:rsid w:val="00810B7B"/>
    <w:rsid w:val="0082358A"/>
    <w:rsid w:val="008235CD"/>
    <w:rsid w:val="008247DE"/>
    <w:rsid w:val="008339C0"/>
    <w:rsid w:val="0083697C"/>
    <w:rsid w:val="00840B10"/>
    <w:rsid w:val="00846636"/>
    <w:rsid w:val="008513CB"/>
    <w:rsid w:val="00874E9F"/>
    <w:rsid w:val="0089064F"/>
    <w:rsid w:val="00896EF9"/>
    <w:rsid w:val="008A29F9"/>
    <w:rsid w:val="008A7F84"/>
    <w:rsid w:val="00906F1E"/>
    <w:rsid w:val="0091702E"/>
    <w:rsid w:val="00923B0C"/>
    <w:rsid w:val="00924F46"/>
    <w:rsid w:val="00935AAC"/>
    <w:rsid w:val="0094021C"/>
    <w:rsid w:val="00950B5B"/>
    <w:rsid w:val="00952F86"/>
    <w:rsid w:val="00982B28"/>
    <w:rsid w:val="009D313F"/>
    <w:rsid w:val="009F7F42"/>
    <w:rsid w:val="00A47A5A"/>
    <w:rsid w:val="00A63AE6"/>
    <w:rsid w:val="00A6683B"/>
    <w:rsid w:val="00A67F05"/>
    <w:rsid w:val="00A95E52"/>
    <w:rsid w:val="00A97F94"/>
    <w:rsid w:val="00AA7EA2"/>
    <w:rsid w:val="00AB5434"/>
    <w:rsid w:val="00AC167A"/>
    <w:rsid w:val="00B03099"/>
    <w:rsid w:val="00B05BC8"/>
    <w:rsid w:val="00B17B6F"/>
    <w:rsid w:val="00B30F5E"/>
    <w:rsid w:val="00B64B47"/>
    <w:rsid w:val="00B95654"/>
    <w:rsid w:val="00B97F32"/>
    <w:rsid w:val="00BA04B2"/>
    <w:rsid w:val="00BE04C0"/>
    <w:rsid w:val="00C002DE"/>
    <w:rsid w:val="00C01220"/>
    <w:rsid w:val="00C0602B"/>
    <w:rsid w:val="00C224DA"/>
    <w:rsid w:val="00C36645"/>
    <w:rsid w:val="00C53BF8"/>
    <w:rsid w:val="00C66157"/>
    <w:rsid w:val="00C674FE"/>
    <w:rsid w:val="00C67501"/>
    <w:rsid w:val="00C67847"/>
    <w:rsid w:val="00C75633"/>
    <w:rsid w:val="00CC143A"/>
    <w:rsid w:val="00CC68C7"/>
    <w:rsid w:val="00CD0A1F"/>
    <w:rsid w:val="00CD69FF"/>
    <w:rsid w:val="00CE2EE1"/>
    <w:rsid w:val="00CE3349"/>
    <w:rsid w:val="00CE36E5"/>
    <w:rsid w:val="00CE4360"/>
    <w:rsid w:val="00CF27F5"/>
    <w:rsid w:val="00CF3FFD"/>
    <w:rsid w:val="00D10CCF"/>
    <w:rsid w:val="00D13941"/>
    <w:rsid w:val="00D23F5F"/>
    <w:rsid w:val="00D43F7D"/>
    <w:rsid w:val="00D63735"/>
    <w:rsid w:val="00D77D0F"/>
    <w:rsid w:val="00DA1CF0"/>
    <w:rsid w:val="00DC1E02"/>
    <w:rsid w:val="00DC24B4"/>
    <w:rsid w:val="00DC5FB0"/>
    <w:rsid w:val="00DF16DC"/>
    <w:rsid w:val="00DF574E"/>
    <w:rsid w:val="00E43F16"/>
    <w:rsid w:val="00E45211"/>
    <w:rsid w:val="00E473C5"/>
    <w:rsid w:val="00E61BE8"/>
    <w:rsid w:val="00E83FF1"/>
    <w:rsid w:val="00E92863"/>
    <w:rsid w:val="00E979B2"/>
    <w:rsid w:val="00EB796D"/>
    <w:rsid w:val="00F058DC"/>
    <w:rsid w:val="00F24FC4"/>
    <w:rsid w:val="00F2676C"/>
    <w:rsid w:val="00F363FE"/>
    <w:rsid w:val="00F50E3F"/>
    <w:rsid w:val="00F84366"/>
    <w:rsid w:val="00F85089"/>
    <w:rsid w:val="00F974C5"/>
    <w:rsid w:val="00FA3763"/>
    <w:rsid w:val="00FA6F46"/>
    <w:rsid w:val="00FC0E94"/>
    <w:rsid w:val="00FC4592"/>
    <w:rsid w:val="00FD527F"/>
    <w:rsid w:val="00FD701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01F79"/>
  <w15:chartTrackingRefBased/>
  <w15:docId w15:val="{D140A99D-F581-4C99-925C-B33947EF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D701A"/>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C67847"/>
    <w:rPr>
      <w:color w:val="954F72" w:themeColor="followedHyperlink"/>
      <w:u w:val="single"/>
    </w:rPr>
  </w:style>
  <w:style w:type="paragraph" w:styleId="Revision">
    <w:name w:val="Revision"/>
    <w:hidden/>
    <w:uiPriority w:val="99"/>
    <w:semiHidden/>
    <w:rsid w:val="0074492E"/>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25-A.pdf" TargetMode="External"/><Relationship Id="rId13" Type="http://schemas.openxmlformats.org/officeDocument/2006/relationships/hyperlink" Target="https://www.itu.int/itu-d/sites/priorities/ar/affordable-connectivity/" TargetMode="External"/><Relationship Id="rId18" Type="http://schemas.openxmlformats.org/officeDocument/2006/relationships/hyperlink" Target="https://www.itu.int/md/S25-CL-C-0068/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3-CL-C-0122/en" TargetMode="External"/><Relationship Id="rId17" Type="http://schemas.openxmlformats.org/officeDocument/2006/relationships/hyperlink" Target="https://www.itu.int/md/D22-TDAG31-C-0002/" TargetMode="External"/><Relationship Id="rId2" Type="http://schemas.openxmlformats.org/officeDocument/2006/relationships/numbering" Target="numbering.xml"/><Relationship Id="rId16" Type="http://schemas.openxmlformats.org/officeDocument/2006/relationships/hyperlink" Target="https://www.itu.int/md/D22-TDAG32-C-0002/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D-RES-D.25-20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gen5.digital/benchmark/about" TargetMode="External"/><Relationship Id="rId23" Type="http://schemas.openxmlformats.org/officeDocument/2006/relationships/fontTable" Target="fontTable.xml"/><Relationship Id="rId10" Type="http://schemas.openxmlformats.org/officeDocument/2006/relationships/hyperlink" Target="https://www.itu.int/pub/D-RES-D.18-2022" TargetMode="External"/><Relationship Id="rId19" Type="http://schemas.openxmlformats.org/officeDocument/2006/relationships/hyperlink" Target="https://www.itu.int/md/S25-CL-C-0071/en" TargetMode="External"/><Relationship Id="rId4" Type="http://schemas.openxmlformats.org/officeDocument/2006/relationships/settings" Target="settings.xml"/><Relationship Id="rId9" Type="http://schemas.openxmlformats.org/officeDocument/2006/relationships/hyperlink" Target="https://www.itu.int/en/council/Documents/basic-texts-2023/RES-193-A.pdf" TargetMode="External"/><Relationship Id="rId14" Type="http://schemas.openxmlformats.org/officeDocument/2006/relationships/hyperlink" Target="https://www.itu.int/itu-d/sites/priorities/ar/enabling-policy-and-regulatory-environmen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5%20May\22-23\2501255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3</Pages>
  <Words>749</Words>
  <Characters>4469</Characters>
  <Application>Microsoft Office Word</Application>
  <DocSecurity>0</DocSecurity>
  <Lines>74</Lines>
  <Paragraphs>38</Paragraphs>
  <ScaleCrop>false</ScaleCrop>
  <HeadingPairs>
    <vt:vector size="2" baseType="variant">
      <vt:variant>
        <vt:lpstr>Title</vt:lpstr>
      </vt:variant>
      <vt:variant>
        <vt:i4>1</vt:i4>
      </vt:variant>
    </vt:vector>
  </HeadingPairs>
  <TitlesOfParts>
    <vt:vector size="1" baseType="lpstr">
      <vt:lpstr>Activities supporting the reconstruction of infrastructure in concerned countries</vt:lpstr>
    </vt:vector>
  </TitlesOfParts>
  <Company>International Telecommunication Union</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 supporting the reconstruction of infrastructure in concerned countries</dc:title>
  <dc:subject>ITU Council 2025</dc:subject>
  <cp:keywords>C2025, C25, Council-25</cp:keywords>
  <dc:description/>
  <dcterms:created xsi:type="dcterms:W3CDTF">2025-06-09T15:37:00Z</dcterms:created>
  <dcterms:modified xsi:type="dcterms:W3CDTF">2025-06-09T15:37:00Z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