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text" w:tblpY="1"/>
        <w:tblOverlap w:val="never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EB6006" w14:paraId="6A1EBDE4" w14:textId="77777777" w:rsidTr="00DA770A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E7C537A" w14:textId="3CD02102" w:rsidR="00796BD3" w:rsidRPr="00EB6006" w:rsidRDefault="0033025A" w:rsidP="00DA770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EB6006">
              <w:rPr>
                <w:b/>
                <w:lang w:val="ru-RU"/>
              </w:rPr>
              <w:t>Пункт повестки дня:</w:t>
            </w:r>
            <w:r w:rsidR="00100079" w:rsidRPr="00EB6006">
              <w:rPr>
                <w:b/>
                <w:lang w:val="ru-RU"/>
              </w:rPr>
              <w:t xml:space="preserve"> </w:t>
            </w:r>
            <w:proofErr w:type="spellStart"/>
            <w:r w:rsidR="00E02C1E" w:rsidRPr="00EB6006">
              <w:rPr>
                <w:b/>
                <w:lang w:val="ru-RU"/>
              </w:rPr>
              <w:t>ADM</w:t>
            </w:r>
            <w:proofErr w:type="spellEnd"/>
            <w:r w:rsidR="00E02C1E" w:rsidRPr="00EB6006">
              <w:rPr>
                <w:b/>
                <w:lang w:val="ru-RU"/>
              </w:rPr>
              <w:t xml:space="preserve"> 1</w:t>
            </w:r>
          </w:p>
        </w:tc>
        <w:tc>
          <w:tcPr>
            <w:tcW w:w="5245" w:type="dxa"/>
          </w:tcPr>
          <w:p w14:paraId="129B47D0" w14:textId="24F0E2D4" w:rsidR="00796BD3" w:rsidRPr="00EB6006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EB6006">
              <w:rPr>
                <w:b/>
                <w:lang w:val="ru-RU"/>
              </w:rPr>
              <w:t xml:space="preserve">Документ </w:t>
            </w:r>
            <w:proofErr w:type="spellStart"/>
            <w:r w:rsidR="00796BD3" w:rsidRPr="00EB6006">
              <w:rPr>
                <w:b/>
                <w:lang w:val="ru-RU"/>
              </w:rPr>
              <w:t>C2</w:t>
            </w:r>
            <w:r w:rsidR="00D631AA" w:rsidRPr="00EB6006">
              <w:rPr>
                <w:b/>
                <w:lang w:val="ru-RU"/>
              </w:rPr>
              <w:t>5</w:t>
            </w:r>
            <w:proofErr w:type="spellEnd"/>
            <w:r w:rsidR="00796BD3" w:rsidRPr="00EB6006">
              <w:rPr>
                <w:b/>
                <w:lang w:val="ru-RU"/>
              </w:rPr>
              <w:t>/</w:t>
            </w:r>
            <w:r w:rsidR="00E02C1E" w:rsidRPr="00EB6006">
              <w:rPr>
                <w:b/>
                <w:lang w:val="ru-RU"/>
              </w:rPr>
              <w:t>71</w:t>
            </w:r>
            <w:r w:rsidR="00796BD3" w:rsidRPr="00EB6006">
              <w:rPr>
                <w:b/>
                <w:lang w:val="ru-RU"/>
              </w:rPr>
              <w:t>-R</w:t>
            </w:r>
          </w:p>
        </w:tc>
      </w:tr>
      <w:tr w:rsidR="00796BD3" w:rsidRPr="00EB6006" w14:paraId="65DB6387" w14:textId="77777777" w:rsidTr="00DA770A">
        <w:trPr>
          <w:cantSplit/>
        </w:trPr>
        <w:tc>
          <w:tcPr>
            <w:tcW w:w="3969" w:type="dxa"/>
            <w:vMerge/>
          </w:tcPr>
          <w:p w14:paraId="3867D109" w14:textId="77777777" w:rsidR="00796BD3" w:rsidRPr="00EB6006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01CB0DC1" w14:textId="0AA836B9" w:rsidR="00796BD3" w:rsidRPr="00EB6006" w:rsidRDefault="00100079" w:rsidP="00DA770A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EB6006">
              <w:rPr>
                <w:b/>
                <w:lang w:val="ru-RU"/>
              </w:rPr>
              <w:t>1</w:t>
            </w:r>
            <w:r w:rsidR="00E02C1E" w:rsidRPr="00EB6006">
              <w:rPr>
                <w:b/>
                <w:lang w:val="ru-RU"/>
              </w:rPr>
              <w:t>9</w:t>
            </w:r>
            <w:r w:rsidRPr="00EB6006">
              <w:rPr>
                <w:b/>
                <w:lang w:val="ru-RU"/>
              </w:rPr>
              <w:t xml:space="preserve"> мая 2025 года</w:t>
            </w:r>
          </w:p>
        </w:tc>
      </w:tr>
      <w:tr w:rsidR="00796BD3" w:rsidRPr="00EB6006" w14:paraId="2E192474" w14:textId="77777777" w:rsidTr="00DA770A">
        <w:trPr>
          <w:cantSplit/>
          <w:trHeight w:val="23"/>
        </w:trPr>
        <w:tc>
          <w:tcPr>
            <w:tcW w:w="3969" w:type="dxa"/>
            <w:vMerge/>
          </w:tcPr>
          <w:p w14:paraId="2C8617A6" w14:textId="77777777" w:rsidR="00796BD3" w:rsidRPr="00EB6006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2F461179" w14:textId="77777777" w:rsidR="00796BD3" w:rsidRPr="00EB6006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EB6006">
              <w:rPr>
                <w:b/>
                <w:lang w:val="ru-RU"/>
              </w:rPr>
              <w:t>Оригинал: английский</w:t>
            </w:r>
          </w:p>
        </w:tc>
      </w:tr>
      <w:tr w:rsidR="00EB6006" w:rsidRPr="00EB6006" w14:paraId="7D4C06F6" w14:textId="77777777" w:rsidTr="00DA770A">
        <w:trPr>
          <w:cantSplit/>
          <w:trHeight w:val="23"/>
        </w:trPr>
        <w:tc>
          <w:tcPr>
            <w:tcW w:w="3969" w:type="dxa"/>
          </w:tcPr>
          <w:p w14:paraId="081474FD" w14:textId="77777777" w:rsidR="00EB6006" w:rsidRPr="00EB6006" w:rsidRDefault="00EB6006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13D8C00A" w14:textId="77777777" w:rsidR="00EB6006" w:rsidRPr="00EB6006" w:rsidRDefault="00EB6006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EB6006" w14:paraId="2419614B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0157E5D9" w14:textId="77777777" w:rsidR="00796BD3" w:rsidRPr="00EB6006" w:rsidRDefault="0033025A" w:rsidP="003F734C">
            <w:pPr>
              <w:pStyle w:val="Source"/>
              <w:spacing w:before="360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EB6006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AF6890" w14:paraId="760A5819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CB63B35" w14:textId="709CE66C" w:rsidR="00796BD3" w:rsidRPr="00EB6006" w:rsidRDefault="00E02C1E" w:rsidP="00DA770A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EB6006">
              <w:rPr>
                <w:rFonts w:cstheme="minorHAnsi"/>
                <w:sz w:val="32"/>
                <w:szCs w:val="18"/>
                <w:lang w:val="ru-RU"/>
              </w:rPr>
              <w:t>Отчет о состоянии дел с оказанием помощи и поддержки Палестине</w:t>
            </w:r>
          </w:p>
        </w:tc>
      </w:tr>
      <w:tr w:rsidR="00796BD3" w:rsidRPr="00AF6890" w14:paraId="36F19C7D" w14:textId="77777777" w:rsidTr="00DA770A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5E2B8A3" w14:textId="77777777" w:rsidR="00796BD3" w:rsidRPr="00EB6006" w:rsidRDefault="0033025A" w:rsidP="003F734C">
            <w:pPr>
              <w:pStyle w:val="Headingb"/>
              <w:spacing w:before="120"/>
              <w:rPr>
                <w:lang w:val="ru-RU"/>
              </w:rPr>
            </w:pPr>
            <w:r w:rsidRPr="00EB6006">
              <w:rPr>
                <w:lang w:val="ru-RU"/>
              </w:rPr>
              <w:t>Назначение</w:t>
            </w:r>
          </w:p>
          <w:p w14:paraId="65D1FAF0" w14:textId="22D13F53" w:rsidR="00796BD3" w:rsidRPr="00EB6006" w:rsidRDefault="00E02C1E" w:rsidP="004D6EB1">
            <w:pPr>
              <w:rPr>
                <w:szCs w:val="22"/>
                <w:lang w:val="ru-RU"/>
              </w:rPr>
            </w:pPr>
            <w:r w:rsidRPr="00EB6006">
              <w:rPr>
                <w:szCs w:val="22"/>
                <w:lang w:val="ru-RU" w:bidi="ru-RU"/>
              </w:rPr>
              <w:t>В настоящем документе содержится отчет о выполнении Резолюции 1424 Совета.</w:t>
            </w:r>
          </w:p>
          <w:p w14:paraId="4394AC18" w14:textId="77777777" w:rsidR="00796BD3" w:rsidRPr="00EB6006" w:rsidRDefault="0033025A" w:rsidP="003F734C">
            <w:pPr>
              <w:pStyle w:val="Headingb"/>
              <w:spacing w:before="120"/>
              <w:rPr>
                <w:lang w:val="ru-RU"/>
              </w:rPr>
            </w:pPr>
            <w:r w:rsidRPr="00EB6006">
              <w:rPr>
                <w:lang w:val="ru-RU"/>
              </w:rPr>
              <w:t>Необходимые действия Совета</w:t>
            </w:r>
          </w:p>
          <w:p w14:paraId="399AE591" w14:textId="36E93946" w:rsidR="00796BD3" w:rsidRPr="00EB6006" w:rsidRDefault="00E02C1E" w:rsidP="004D6EB1">
            <w:pPr>
              <w:rPr>
                <w:lang w:val="ru-RU"/>
              </w:rPr>
            </w:pPr>
            <w:r w:rsidRPr="00EB6006">
              <w:rPr>
                <w:szCs w:val="22"/>
                <w:lang w:val="ru-RU" w:bidi="ru-RU"/>
              </w:rPr>
              <w:t xml:space="preserve">Совету предлагается </w:t>
            </w:r>
            <w:r w:rsidRPr="00EB6006">
              <w:rPr>
                <w:b/>
                <w:bCs/>
                <w:szCs w:val="22"/>
                <w:lang w:val="ru-RU" w:bidi="ru-RU"/>
              </w:rPr>
              <w:t>рассмотреть</w:t>
            </w:r>
            <w:r w:rsidRPr="00EB6006">
              <w:rPr>
                <w:szCs w:val="22"/>
                <w:lang w:val="ru-RU" w:bidi="ru-RU"/>
              </w:rPr>
              <w:t xml:space="preserve"> настоящий отчет.</w:t>
            </w:r>
          </w:p>
          <w:p w14:paraId="0665C525" w14:textId="77777777" w:rsidR="00796BD3" w:rsidRPr="00EB6006" w:rsidRDefault="0033025A" w:rsidP="003F734C">
            <w:pPr>
              <w:pStyle w:val="Headingb"/>
              <w:spacing w:before="120"/>
              <w:rPr>
                <w:lang w:val="ru-RU"/>
              </w:rPr>
            </w:pPr>
            <w:r w:rsidRPr="00EB6006">
              <w:rPr>
                <w:lang w:val="ru-RU"/>
              </w:rPr>
              <w:t>Соответствующая увязка со Стратегическим планом</w:t>
            </w:r>
          </w:p>
          <w:p w14:paraId="0948CB46" w14:textId="09E5ED90" w:rsidR="00796BD3" w:rsidRPr="00EB6006" w:rsidRDefault="00E02C1E" w:rsidP="004D6EB1">
            <w:pPr>
              <w:rPr>
                <w:lang w:val="ru-RU"/>
              </w:rPr>
            </w:pPr>
            <w:r w:rsidRPr="00EB6006">
              <w:rPr>
                <w:szCs w:val="22"/>
                <w:lang w:val="ru-RU" w:bidi="ru-RU"/>
              </w:rPr>
              <w:t>Предоставление технической помощи.</w:t>
            </w:r>
          </w:p>
          <w:p w14:paraId="48AB0410" w14:textId="77777777" w:rsidR="00796BD3" w:rsidRPr="00EB6006" w:rsidRDefault="0033025A" w:rsidP="003F734C">
            <w:pPr>
              <w:pStyle w:val="Headingb"/>
              <w:spacing w:before="120"/>
              <w:rPr>
                <w:lang w:val="ru-RU"/>
              </w:rPr>
            </w:pPr>
            <w:r w:rsidRPr="00EB6006">
              <w:rPr>
                <w:lang w:val="ru-RU"/>
              </w:rPr>
              <w:t>Финансовые последствия</w:t>
            </w:r>
          </w:p>
          <w:p w14:paraId="7AD53EAB" w14:textId="019E4F26" w:rsidR="00A90B1C" w:rsidRPr="00EB6006" w:rsidRDefault="00E02C1E" w:rsidP="004D6EB1">
            <w:pPr>
              <w:rPr>
                <w:sz w:val="20"/>
                <w:lang w:val="ru-RU" w:bidi="ru-RU"/>
              </w:rPr>
            </w:pPr>
            <w:r w:rsidRPr="00EB6006">
              <w:rPr>
                <w:lang w:val="ru-RU" w:bidi="ru-RU"/>
              </w:rPr>
              <w:t xml:space="preserve">В рамках выделенного бюджета на </w:t>
            </w:r>
            <w:proofErr w:type="gramStart"/>
            <w:r w:rsidRPr="00EB6006">
              <w:rPr>
                <w:lang w:val="ru-RU" w:bidi="ru-RU"/>
              </w:rPr>
              <w:t>2024−2025</w:t>
            </w:r>
            <w:proofErr w:type="gramEnd"/>
            <w:r w:rsidRPr="00EB6006">
              <w:rPr>
                <w:lang w:val="ru-RU" w:bidi="ru-RU"/>
              </w:rPr>
              <w:t xml:space="preserve"> годы.</w:t>
            </w:r>
          </w:p>
          <w:p w14:paraId="7D3E769D" w14:textId="77777777" w:rsidR="00796BD3" w:rsidRPr="00EB6006" w:rsidRDefault="00796BD3" w:rsidP="00F478D5">
            <w:pPr>
              <w:rPr>
                <w:caps/>
                <w:sz w:val="20"/>
                <w:szCs w:val="18"/>
                <w:lang w:val="ru-RU"/>
              </w:rPr>
            </w:pPr>
            <w:r w:rsidRPr="00EB6006">
              <w:rPr>
                <w:sz w:val="20"/>
                <w:szCs w:val="18"/>
                <w:lang w:val="ru-RU"/>
              </w:rPr>
              <w:t>__________________</w:t>
            </w:r>
          </w:p>
          <w:p w14:paraId="605971AD" w14:textId="77777777" w:rsidR="00796BD3" w:rsidRPr="00EB6006" w:rsidRDefault="0033025A" w:rsidP="003F734C">
            <w:pPr>
              <w:pStyle w:val="Headingb"/>
              <w:spacing w:before="120"/>
              <w:rPr>
                <w:sz w:val="26"/>
                <w:szCs w:val="26"/>
                <w:lang w:val="ru-RU"/>
              </w:rPr>
            </w:pPr>
            <w:r w:rsidRPr="00EB6006">
              <w:rPr>
                <w:lang w:val="ru-RU"/>
              </w:rPr>
              <w:t>Справочные материалы</w:t>
            </w:r>
          </w:p>
          <w:p w14:paraId="626AD170" w14:textId="432B243C" w:rsidR="00796BD3" w:rsidRPr="00EB6006" w:rsidRDefault="00E02C1E" w:rsidP="004D6EB1">
            <w:pPr>
              <w:spacing w:after="120"/>
              <w:rPr>
                <w:i/>
                <w:iCs/>
                <w:lang w:val="ru-RU"/>
              </w:rPr>
            </w:pPr>
            <w:hyperlink r:id="rId8" w:history="1">
              <w:r w:rsidRPr="00EB6006">
                <w:rPr>
                  <w:rStyle w:val="Hyperlink"/>
                  <w:i/>
                  <w:iCs/>
                  <w:lang w:val="ru-RU"/>
                </w:rPr>
                <w:t>Резолюция 1424 (</w:t>
              </w:r>
              <w:proofErr w:type="spellStart"/>
              <w:r w:rsidRPr="00EB6006">
                <w:rPr>
                  <w:rStyle w:val="Hyperlink"/>
                  <w:i/>
                  <w:iCs/>
                  <w:lang w:val="ru-RU"/>
                </w:rPr>
                <w:t>С24</w:t>
              </w:r>
              <w:proofErr w:type="spellEnd"/>
              <w:r w:rsidRPr="00EB6006">
                <w:rPr>
                  <w:rStyle w:val="Hyperlink"/>
                  <w:i/>
                  <w:iCs/>
                  <w:lang w:val="ru-RU"/>
                </w:rPr>
                <w:t>)</w:t>
              </w:r>
            </w:hyperlink>
            <w:r w:rsidRPr="00EB6006">
              <w:rPr>
                <w:i/>
                <w:iCs/>
                <w:lang w:val="ru-RU"/>
              </w:rPr>
              <w:t xml:space="preserve"> Совета</w:t>
            </w:r>
          </w:p>
        </w:tc>
      </w:tr>
      <w:bookmarkEnd w:id="2"/>
      <w:bookmarkEnd w:id="6"/>
    </w:tbl>
    <w:p w14:paraId="0EC377F5" w14:textId="77777777" w:rsidR="00165D06" w:rsidRPr="00EB6006" w:rsidRDefault="00165D06" w:rsidP="00E02C1E">
      <w:pPr>
        <w:rPr>
          <w:lang w:val="ru-RU"/>
        </w:rPr>
      </w:pPr>
      <w:r w:rsidRPr="00EB6006">
        <w:rPr>
          <w:lang w:val="ru-RU"/>
        </w:rPr>
        <w:br w:type="page"/>
      </w:r>
    </w:p>
    <w:p w14:paraId="78577CD5" w14:textId="77777777" w:rsidR="004D6EB1" w:rsidRPr="004D6EB1" w:rsidRDefault="004D6EB1" w:rsidP="00EB6006">
      <w:pPr>
        <w:pStyle w:val="Headingb"/>
        <w:rPr>
          <w:lang w:val="ru-RU" w:bidi="ru-RU"/>
        </w:rPr>
      </w:pPr>
      <w:r w:rsidRPr="004D6EB1">
        <w:rPr>
          <w:lang w:val="ru-RU" w:bidi="ru-RU"/>
        </w:rPr>
        <w:lastRenderedPageBreak/>
        <w:t>Базовая информация</w:t>
      </w:r>
    </w:p>
    <w:p w14:paraId="4F5D00CC" w14:textId="6F39CDF9" w:rsidR="004D6EB1" w:rsidRPr="004D6EB1" w:rsidRDefault="004D6EB1" w:rsidP="00E538B4">
      <w:pPr>
        <w:jc w:val="both"/>
        <w:rPr>
          <w:lang w:val="ru-RU" w:bidi="ru-RU"/>
        </w:rPr>
      </w:pPr>
      <w:r w:rsidRPr="004D6EB1">
        <w:rPr>
          <w:lang w:val="ru-RU" w:bidi="ru-RU"/>
        </w:rPr>
        <w:t>В настоящем документе содержится отчет о выполнении Резолюции 1424 (</w:t>
      </w:r>
      <w:proofErr w:type="spellStart"/>
      <w:r w:rsidRPr="004D6EB1">
        <w:rPr>
          <w:lang w:val="ru-RU" w:bidi="ru-RU"/>
        </w:rPr>
        <w:t>С24</w:t>
      </w:r>
      <w:proofErr w:type="spellEnd"/>
      <w:r w:rsidRPr="004D6EB1">
        <w:rPr>
          <w:lang w:val="ru-RU" w:bidi="ru-RU"/>
        </w:rPr>
        <w:t>) Совета МСЭ, в</w:t>
      </w:r>
      <w:r w:rsidR="003146DF">
        <w:rPr>
          <w:lang w:val="ru-RU" w:bidi="ru-RU"/>
        </w:rPr>
        <w:t> </w:t>
      </w:r>
      <w:r w:rsidRPr="004D6EB1">
        <w:rPr>
          <w:lang w:val="ru-RU" w:bidi="ru-RU"/>
        </w:rPr>
        <w:t>соответствии с которой Генеральному секретарю предлагается координировать деятельность трех Секторов Союза и представить отчет по этому вопросу на сессии Совета 2025 года.</w:t>
      </w:r>
    </w:p>
    <w:p w14:paraId="3DF4710B" w14:textId="77777777" w:rsidR="004D6EB1" w:rsidRPr="004D6EB1" w:rsidRDefault="004D6EB1" w:rsidP="00EB6006">
      <w:pPr>
        <w:pStyle w:val="Headingb"/>
        <w:rPr>
          <w:lang w:val="ru-RU" w:bidi="ru-RU"/>
        </w:rPr>
      </w:pPr>
      <w:r w:rsidRPr="004D6EB1">
        <w:rPr>
          <w:lang w:val="ru-RU" w:bidi="ru-RU"/>
        </w:rPr>
        <w:t>Контекст</w:t>
      </w:r>
    </w:p>
    <w:p w14:paraId="65A19227" w14:textId="77777777" w:rsidR="004D6EB1" w:rsidRPr="004D6EB1" w:rsidRDefault="004D6EB1" w:rsidP="00E538B4">
      <w:pPr>
        <w:jc w:val="both"/>
        <w:rPr>
          <w:lang w:val="ru-RU" w:bidi="ru-RU"/>
        </w:rPr>
      </w:pPr>
      <w:r w:rsidRPr="004D6EB1">
        <w:rPr>
          <w:lang w:val="ru-RU" w:bidi="ru-RU"/>
        </w:rPr>
        <w:t>Согласно обновленной информации Тематического блока по вопросам электросвязи в чрезвычайных ситуациях (</w:t>
      </w:r>
      <w:proofErr w:type="spellStart"/>
      <w:r w:rsidRPr="004D6EB1">
        <w:rPr>
          <w:lang w:val="ru-RU" w:bidi="ru-RU"/>
        </w:rPr>
        <w:t>ETC</w:t>
      </w:r>
      <w:proofErr w:type="spellEnd"/>
      <w:r w:rsidRPr="004D6EB1">
        <w:rPr>
          <w:lang w:val="ru-RU" w:bidi="ru-RU"/>
        </w:rPr>
        <w:t>), сектор ИКТ в Палестине продолжает испытывать значительные трудности в области развития и инфраструктуры, при этом особенно страдает подвижная широкополосная связь. В настоящее время услуги передачи данных по сетям подвижной связи в Газе недоступны, а возможность установления голосовых соединений ограничена спутниковыми сетями и частично действующими сетями. Доступ в интернет также ограничен, что влияет на гуманитарные операции и сети связи общего пользования.</w:t>
      </w:r>
    </w:p>
    <w:p w14:paraId="0270D63C" w14:textId="7CEB6B32" w:rsidR="004D6EB1" w:rsidRPr="004D6EB1" w:rsidRDefault="004D6EB1" w:rsidP="00E538B4">
      <w:pPr>
        <w:jc w:val="both"/>
        <w:rPr>
          <w:lang w:val="ru-RU" w:bidi="ru-RU"/>
        </w:rPr>
      </w:pPr>
      <w:r w:rsidRPr="004D6EB1">
        <w:rPr>
          <w:lang w:val="ru-RU" w:bidi="ru-RU"/>
        </w:rPr>
        <w:t>По данным Всемирного банка, ущерб, нанесенный инфраструктуре ИКТ, достиг 164 </w:t>
      </w:r>
      <w:proofErr w:type="gramStart"/>
      <w:r w:rsidRPr="004D6EB1">
        <w:rPr>
          <w:lang w:val="ru-RU" w:bidi="ru-RU"/>
        </w:rPr>
        <w:t>млн.</w:t>
      </w:r>
      <w:proofErr w:type="gramEnd"/>
      <w:r w:rsidRPr="004D6EB1">
        <w:rPr>
          <w:lang w:val="ru-RU" w:bidi="ru-RU"/>
        </w:rPr>
        <w:t> долларов США</w:t>
      </w:r>
      <w:r w:rsidRPr="00EB6006">
        <w:rPr>
          <w:rStyle w:val="FootnoteReference"/>
        </w:rPr>
        <w:footnoteReference w:id="1"/>
      </w:r>
      <w:r w:rsidRPr="004D6EB1">
        <w:rPr>
          <w:lang w:val="ru-RU" w:bidi="ru-RU"/>
        </w:rPr>
        <w:t>. Сообщается, что 74% пострадавших объектов уничтожены, 16%</w:t>
      </w:r>
      <w:r w:rsidR="00EB6006">
        <w:rPr>
          <w:lang w:val="ru-RU" w:bidi="ru-RU"/>
        </w:rPr>
        <w:t> </w:t>
      </w:r>
      <w:r w:rsidRPr="004D6EB1">
        <w:rPr>
          <w:lang w:val="ru-RU" w:bidi="ru-RU"/>
        </w:rPr>
        <w:t>частично повреждены и 10% получили небольшие повреждения</w:t>
      </w:r>
      <w:r w:rsidRPr="00EB6006">
        <w:rPr>
          <w:rStyle w:val="FootnoteReference"/>
        </w:rPr>
        <w:footnoteReference w:id="2"/>
      </w:r>
      <w:r w:rsidRPr="004D6EB1">
        <w:rPr>
          <w:lang w:val="ru-RU" w:bidi="ru-RU"/>
        </w:rPr>
        <w:t>. Кроме того, согласно прогнозам Всемирного банка, на реконструкцию и восстановление потребуется 460</w:t>
      </w:r>
      <w:r w:rsidR="00EB6006">
        <w:rPr>
          <w:lang w:val="ru-RU" w:bidi="ru-RU"/>
        </w:rPr>
        <w:t> </w:t>
      </w:r>
      <w:proofErr w:type="gramStart"/>
      <w:r w:rsidRPr="004D6EB1">
        <w:rPr>
          <w:lang w:val="ru-RU" w:bidi="ru-RU"/>
        </w:rPr>
        <w:t>млн.</w:t>
      </w:r>
      <w:proofErr w:type="gramEnd"/>
      <w:r w:rsidR="00EB6006">
        <w:rPr>
          <w:lang w:val="ru-RU" w:bidi="ru-RU"/>
        </w:rPr>
        <w:t> </w:t>
      </w:r>
      <w:r w:rsidRPr="004D6EB1">
        <w:rPr>
          <w:lang w:val="ru-RU" w:bidi="ru-RU"/>
        </w:rPr>
        <w:t>долларов США: 116</w:t>
      </w:r>
      <w:r w:rsidR="003146DF">
        <w:rPr>
          <w:lang w:val="ru-RU" w:bidi="ru-RU"/>
        </w:rPr>
        <w:t> </w:t>
      </w:r>
      <w:proofErr w:type="gramStart"/>
      <w:r w:rsidRPr="004D6EB1">
        <w:rPr>
          <w:lang w:val="ru-RU" w:bidi="ru-RU"/>
        </w:rPr>
        <w:t>млн.</w:t>
      </w:r>
      <w:proofErr w:type="gramEnd"/>
      <w:r w:rsidR="003146DF">
        <w:rPr>
          <w:lang w:val="ru-RU" w:bidi="ru-RU"/>
        </w:rPr>
        <w:t> </w:t>
      </w:r>
      <w:r w:rsidRPr="004D6EB1">
        <w:rPr>
          <w:lang w:val="ru-RU" w:bidi="ru-RU"/>
        </w:rPr>
        <w:t>долларов США на немедленное восстановление вышек подвижной связи, волоконно-оптических систем и основных служб, а также 344</w:t>
      </w:r>
      <w:r w:rsidR="00EB6006">
        <w:rPr>
          <w:lang w:val="ru-RU" w:bidi="ru-RU"/>
        </w:rPr>
        <w:t> </w:t>
      </w:r>
      <w:proofErr w:type="gramStart"/>
      <w:r w:rsidRPr="004D6EB1">
        <w:rPr>
          <w:lang w:val="ru-RU" w:bidi="ru-RU"/>
        </w:rPr>
        <w:t>млн.</w:t>
      </w:r>
      <w:proofErr w:type="gramEnd"/>
      <w:r w:rsidR="00EB6006">
        <w:rPr>
          <w:lang w:val="ru-RU" w:bidi="ru-RU"/>
        </w:rPr>
        <w:t> </w:t>
      </w:r>
      <w:r w:rsidRPr="004D6EB1">
        <w:rPr>
          <w:lang w:val="ru-RU" w:bidi="ru-RU"/>
        </w:rPr>
        <w:t>долларов США на долгосрочную деятельность по обеспечению устойчивости и восстановлению</w:t>
      </w:r>
      <w:r w:rsidRPr="00EB6006">
        <w:rPr>
          <w:rStyle w:val="FootnoteReference"/>
        </w:rPr>
        <w:footnoteReference w:id="3"/>
      </w:r>
      <w:r w:rsidRPr="004D6EB1">
        <w:rPr>
          <w:lang w:val="ru-RU" w:bidi="ru-RU"/>
        </w:rPr>
        <w:t>. Текущие проблемы, с которыми сталкивается сектор электросвязи, включают доступ к</w:t>
      </w:r>
      <w:r w:rsidR="00EB6006">
        <w:rPr>
          <w:lang w:val="ru-RU" w:bidi="ru-RU"/>
        </w:rPr>
        <w:t> </w:t>
      </w:r>
      <w:r w:rsidRPr="004D6EB1">
        <w:rPr>
          <w:lang w:val="ru-RU" w:bidi="ru-RU"/>
        </w:rPr>
        <w:t>запасным частям и постоянную нехватку топлива, которые имеют первостепенное значение для работы башен и резервных систем.</w:t>
      </w:r>
    </w:p>
    <w:p w14:paraId="3DD77D23" w14:textId="77777777" w:rsidR="004D6EB1" w:rsidRPr="004D6EB1" w:rsidRDefault="004D6EB1" w:rsidP="00EB6006">
      <w:pPr>
        <w:pStyle w:val="Headingb"/>
        <w:rPr>
          <w:lang w:val="ru-RU" w:bidi="ru-RU"/>
        </w:rPr>
      </w:pPr>
      <w:r w:rsidRPr="004D6EB1">
        <w:rPr>
          <w:lang w:val="ru-RU" w:bidi="ru-RU"/>
        </w:rPr>
        <w:t>Действия МСЭ</w:t>
      </w:r>
    </w:p>
    <w:p w14:paraId="0EE86A2F" w14:textId="77777777" w:rsidR="004D6EB1" w:rsidRPr="004D6EB1" w:rsidRDefault="004D6EB1" w:rsidP="00E538B4">
      <w:pPr>
        <w:jc w:val="both"/>
        <w:rPr>
          <w:lang w:val="ru-RU" w:bidi="ru-RU"/>
        </w:rPr>
      </w:pPr>
      <w:r w:rsidRPr="004D6EB1">
        <w:rPr>
          <w:lang w:val="ru-RU" w:bidi="ru-RU"/>
        </w:rPr>
        <w:t>Несмотря на изложенные выше проблемы, в течение последнего года МСЭ продолжал предпринимать усилия по выполнению этой Резолюции. Был достигнут прогресс в решении следующих вопросов:</w:t>
      </w:r>
    </w:p>
    <w:p w14:paraId="053E359D" w14:textId="77777777" w:rsidR="004D6EB1" w:rsidRPr="004D6EB1" w:rsidRDefault="004D6EB1" w:rsidP="00E538B4">
      <w:pPr>
        <w:pStyle w:val="enumlev1"/>
        <w:jc w:val="both"/>
        <w:rPr>
          <w:lang w:val="ru-RU" w:bidi="ru-RU"/>
        </w:rPr>
      </w:pPr>
      <w:r w:rsidRPr="004D6EB1">
        <w:rPr>
          <w:lang w:val="ru-RU" w:bidi="ru-RU"/>
        </w:rPr>
        <w:t>1)</w:t>
      </w:r>
      <w:r w:rsidRPr="004D6EB1">
        <w:rPr>
          <w:lang w:val="ru-RU" w:bidi="ru-RU"/>
        </w:rPr>
        <w:tab/>
        <w:t>Координация</w:t>
      </w:r>
    </w:p>
    <w:p w14:paraId="3E9B85C7" w14:textId="77777777" w:rsidR="004D6EB1" w:rsidRPr="004D6EB1" w:rsidRDefault="004D6EB1" w:rsidP="00E538B4">
      <w:pPr>
        <w:pStyle w:val="enumlev1"/>
        <w:jc w:val="both"/>
        <w:rPr>
          <w:lang w:val="ru-RU" w:bidi="ru-RU"/>
        </w:rPr>
      </w:pPr>
      <w:r w:rsidRPr="004D6EB1">
        <w:rPr>
          <w:lang w:val="ru-RU" w:bidi="ru-RU"/>
        </w:rPr>
        <w:tab/>
        <w:t xml:space="preserve">Была создана </w:t>
      </w:r>
      <w:proofErr w:type="spellStart"/>
      <w:r w:rsidRPr="004D6EB1">
        <w:rPr>
          <w:lang w:val="ru-RU" w:bidi="ru-RU"/>
        </w:rPr>
        <w:t>Межсекторальная</w:t>
      </w:r>
      <w:proofErr w:type="spellEnd"/>
      <w:r w:rsidRPr="004D6EB1">
        <w:rPr>
          <w:lang w:val="ru-RU" w:bidi="ru-RU"/>
        </w:rPr>
        <w:t xml:space="preserve"> целевая группа для обеспечения скоординированного и эффективного выполнения Резолюции 1424 в рамках МСЭ. Целевая группа сосредоточила свое внимание на трех ключевых задачах:</w:t>
      </w:r>
    </w:p>
    <w:p w14:paraId="6F67F08B" w14:textId="35E29C34" w:rsidR="004D6EB1" w:rsidRPr="004D6EB1" w:rsidRDefault="004D6EB1" w:rsidP="00E538B4">
      <w:pPr>
        <w:pStyle w:val="enumlev2"/>
        <w:jc w:val="both"/>
        <w:rPr>
          <w:lang w:val="ru-RU" w:bidi="ru-RU"/>
        </w:rPr>
      </w:pPr>
      <w:r w:rsidRPr="004D6EB1">
        <w:rPr>
          <w:lang w:val="ru-RU" w:bidi="ru-RU"/>
        </w:rPr>
        <w:t>i</w:t>
      </w:r>
      <w:r w:rsidR="00EB6006">
        <w:rPr>
          <w:lang w:val="ru-RU" w:bidi="ru-RU"/>
        </w:rPr>
        <w:t>)</w:t>
      </w:r>
      <w:r w:rsidRPr="004D6EB1">
        <w:rPr>
          <w:lang w:val="ru-RU" w:bidi="ru-RU"/>
        </w:rPr>
        <w:tab/>
        <w:t>оценка воздействия конфликта в Палестине на программы и деятельность МСЭ в</w:t>
      </w:r>
      <w:r w:rsidR="003146DF">
        <w:rPr>
          <w:lang w:val="ru-RU" w:bidi="ru-RU"/>
        </w:rPr>
        <w:t> </w:t>
      </w:r>
      <w:r w:rsidRPr="004D6EB1">
        <w:rPr>
          <w:lang w:val="ru-RU" w:bidi="ru-RU"/>
        </w:rPr>
        <w:t>регионе;</w:t>
      </w:r>
    </w:p>
    <w:p w14:paraId="0183E8C1" w14:textId="0201E8A5" w:rsidR="004D6EB1" w:rsidRPr="004D6EB1" w:rsidRDefault="004D6EB1" w:rsidP="00E538B4">
      <w:pPr>
        <w:pStyle w:val="enumlev2"/>
        <w:jc w:val="both"/>
        <w:rPr>
          <w:lang w:val="ru-RU" w:bidi="ru-RU"/>
        </w:rPr>
      </w:pPr>
      <w:proofErr w:type="spellStart"/>
      <w:r w:rsidRPr="004D6EB1">
        <w:rPr>
          <w:lang w:val="ru-RU" w:bidi="ru-RU"/>
        </w:rPr>
        <w:t>ii</w:t>
      </w:r>
      <w:proofErr w:type="spellEnd"/>
      <w:r w:rsidR="00EB6006">
        <w:rPr>
          <w:lang w:val="ru-RU" w:bidi="ru-RU"/>
        </w:rPr>
        <w:t>)</w:t>
      </w:r>
      <w:r w:rsidRPr="004D6EB1">
        <w:rPr>
          <w:lang w:val="ru-RU" w:bidi="ru-RU"/>
        </w:rPr>
        <w:tab/>
        <w:t>мобилизация необходимых финансовых, технических и людских ресурсов для</w:t>
      </w:r>
      <w:r w:rsidR="003146DF">
        <w:rPr>
          <w:lang w:val="ru-RU" w:bidi="ru-RU"/>
        </w:rPr>
        <w:t> </w:t>
      </w:r>
      <w:r w:rsidRPr="004D6EB1">
        <w:rPr>
          <w:lang w:val="ru-RU" w:bidi="ru-RU"/>
        </w:rPr>
        <w:t xml:space="preserve">поддержки усилий по восстановлению; </w:t>
      </w:r>
    </w:p>
    <w:p w14:paraId="3C84E917" w14:textId="18CA65A3" w:rsidR="004D6EB1" w:rsidRPr="004D6EB1" w:rsidRDefault="004D6EB1" w:rsidP="00E538B4">
      <w:pPr>
        <w:pStyle w:val="enumlev2"/>
        <w:jc w:val="both"/>
        <w:rPr>
          <w:lang w:val="ru-RU" w:bidi="ru-RU"/>
        </w:rPr>
      </w:pPr>
      <w:proofErr w:type="spellStart"/>
      <w:r w:rsidRPr="004D6EB1">
        <w:rPr>
          <w:lang w:val="ru-RU" w:bidi="ru-RU"/>
        </w:rPr>
        <w:t>iii</w:t>
      </w:r>
      <w:proofErr w:type="spellEnd"/>
      <w:r w:rsidR="00EB6006">
        <w:rPr>
          <w:lang w:val="ru-RU" w:bidi="ru-RU"/>
        </w:rPr>
        <w:t>)</w:t>
      </w:r>
      <w:r w:rsidRPr="004D6EB1">
        <w:rPr>
          <w:lang w:val="ru-RU" w:bidi="ru-RU"/>
        </w:rPr>
        <w:tab/>
        <w:t>отслеживание и координация прогресса в выполнении этой Резолюции при</w:t>
      </w:r>
      <w:r w:rsidR="003146DF">
        <w:rPr>
          <w:lang w:val="ru-RU" w:bidi="ru-RU"/>
        </w:rPr>
        <w:t> </w:t>
      </w:r>
      <w:r w:rsidRPr="004D6EB1">
        <w:rPr>
          <w:lang w:val="ru-RU" w:bidi="ru-RU"/>
        </w:rPr>
        <w:t>обеспечении прозрачности и согласованности с общими задачами МСЭ.</w:t>
      </w:r>
    </w:p>
    <w:p w14:paraId="51EEDAF1" w14:textId="38AD672C" w:rsidR="004D6EB1" w:rsidRPr="004D6EB1" w:rsidRDefault="004D6EB1" w:rsidP="00E538B4">
      <w:pPr>
        <w:pStyle w:val="enumlev1"/>
        <w:jc w:val="both"/>
        <w:rPr>
          <w:lang w:val="ru-RU" w:bidi="ru-RU"/>
        </w:rPr>
      </w:pPr>
      <w:r w:rsidRPr="004D6EB1">
        <w:rPr>
          <w:lang w:val="ru-RU" w:bidi="ru-RU"/>
        </w:rPr>
        <w:tab/>
        <w:t>В состав Целевой группы под председательством заместителя Генерального секретаря вошли Директор Регионального отделения МСЭ для арабских государств и</w:t>
      </w:r>
      <w:r w:rsidR="003146DF">
        <w:rPr>
          <w:lang w:val="ru-RU" w:bidi="ru-RU"/>
        </w:rPr>
        <w:t> </w:t>
      </w:r>
      <w:r w:rsidRPr="004D6EB1">
        <w:rPr>
          <w:lang w:val="ru-RU" w:bidi="ru-RU"/>
        </w:rPr>
        <w:t>представители всех Секторов Союза.</w:t>
      </w:r>
    </w:p>
    <w:p w14:paraId="53522EB5" w14:textId="77777777" w:rsidR="004D6EB1" w:rsidRPr="004D6EB1" w:rsidRDefault="004D6EB1" w:rsidP="00E538B4">
      <w:pPr>
        <w:pStyle w:val="enumlev1"/>
        <w:jc w:val="both"/>
        <w:rPr>
          <w:lang w:val="ru-RU" w:bidi="ru-RU"/>
        </w:rPr>
      </w:pPr>
      <w:r w:rsidRPr="004D6EB1">
        <w:rPr>
          <w:lang w:val="ru-RU" w:bidi="ru-RU"/>
        </w:rPr>
        <w:lastRenderedPageBreak/>
        <w:t>2)</w:t>
      </w:r>
      <w:r w:rsidRPr="004D6EB1">
        <w:rPr>
          <w:lang w:val="ru-RU" w:bidi="ru-RU"/>
        </w:rPr>
        <w:tab/>
        <w:t>Деятельность Тематического блока по вопросам электросвязи в чрезвычайных ситуациях (</w:t>
      </w:r>
      <w:proofErr w:type="spellStart"/>
      <w:r w:rsidRPr="004D6EB1">
        <w:rPr>
          <w:lang w:val="ru-RU" w:bidi="ru-RU"/>
        </w:rPr>
        <w:t>ETC</w:t>
      </w:r>
      <w:proofErr w:type="spellEnd"/>
      <w:r w:rsidRPr="004D6EB1">
        <w:rPr>
          <w:lang w:val="ru-RU" w:bidi="ru-RU"/>
        </w:rPr>
        <w:t>)</w:t>
      </w:r>
    </w:p>
    <w:p w14:paraId="12D6C9D2" w14:textId="3122489D" w:rsidR="004D6EB1" w:rsidRPr="004D6EB1" w:rsidRDefault="004D6EB1" w:rsidP="00E538B4">
      <w:pPr>
        <w:pStyle w:val="enumlev1"/>
        <w:jc w:val="both"/>
        <w:rPr>
          <w:lang w:val="ru-RU" w:bidi="ru-RU"/>
        </w:rPr>
      </w:pPr>
      <w:r w:rsidRPr="004D6EB1">
        <w:rPr>
          <w:lang w:val="ru-RU" w:bidi="ru-RU"/>
        </w:rPr>
        <w:tab/>
        <w:t>МСЭ в тесной координации с Тематическим блоком по вопросам электросвязи в</w:t>
      </w:r>
      <w:r w:rsidR="003146DF">
        <w:rPr>
          <w:lang w:val="ru-RU" w:bidi="ru-RU"/>
        </w:rPr>
        <w:t> </w:t>
      </w:r>
      <w:r w:rsidRPr="004D6EB1">
        <w:rPr>
          <w:lang w:val="ru-RU" w:bidi="ru-RU"/>
        </w:rPr>
        <w:t>чрезвычайных ситуациях (</w:t>
      </w:r>
      <w:proofErr w:type="spellStart"/>
      <w:r w:rsidRPr="004D6EB1">
        <w:rPr>
          <w:lang w:val="ru-RU" w:bidi="ru-RU"/>
        </w:rPr>
        <w:t>ETC</w:t>
      </w:r>
      <w:proofErr w:type="spellEnd"/>
      <w:r w:rsidRPr="004D6EB1">
        <w:rPr>
          <w:lang w:val="ru-RU" w:bidi="ru-RU"/>
        </w:rPr>
        <w:t>) Организации Объединенных Наций и при взаимодействии со стороны Всемирной продовольственной программы ведет работу по упрощению доставки спутниковых телефонов в сектор Газа, Палестина. Эта крайне необходимая инициатива поддерживает непрерывность предоставления важнейших услуг связи в регионе и способствует тому, чтобы учреждения ООН и гуманитарные организации располагали надежными сетями связи для эффективного проведения операций по оказанию помощи.</w:t>
      </w:r>
    </w:p>
    <w:p w14:paraId="55093EA0" w14:textId="77777777" w:rsidR="004D6EB1" w:rsidRPr="004D6EB1" w:rsidRDefault="004D6EB1" w:rsidP="00E538B4">
      <w:pPr>
        <w:pStyle w:val="enumlev1"/>
        <w:jc w:val="both"/>
        <w:rPr>
          <w:lang w:val="ru-RU" w:bidi="ru-RU"/>
        </w:rPr>
      </w:pPr>
      <w:r w:rsidRPr="004D6EB1">
        <w:rPr>
          <w:lang w:val="ru-RU" w:bidi="ru-RU"/>
        </w:rPr>
        <w:t>3)</w:t>
      </w:r>
      <w:r w:rsidRPr="004D6EB1">
        <w:rPr>
          <w:lang w:val="ru-RU" w:bidi="ru-RU"/>
        </w:rPr>
        <w:tab/>
        <w:t>Промежуточная оценка ущерба</w:t>
      </w:r>
    </w:p>
    <w:p w14:paraId="5EB468F3" w14:textId="77777777" w:rsidR="004D6EB1" w:rsidRPr="004D6EB1" w:rsidRDefault="004D6EB1" w:rsidP="00E538B4">
      <w:pPr>
        <w:pStyle w:val="enumlev1"/>
        <w:jc w:val="both"/>
        <w:rPr>
          <w:lang w:val="ru-RU" w:bidi="ru-RU"/>
        </w:rPr>
      </w:pPr>
      <w:r w:rsidRPr="004D6EB1">
        <w:rPr>
          <w:lang w:val="ru-RU" w:bidi="ru-RU"/>
        </w:rPr>
        <w:tab/>
        <w:t>МСЭ создал механизмы регулярной координации и сотрудничал с различными международными организациями, включая Всемирный банк и Организацию Объединенных Наций, в проведении комплексной оценки ущерба, нанесенного инфраструктуре электросвязи в Палестине. Такие оценки основаны на дистанционном сборе данных об ущербе по секторам и предварительной оценке как материального ущерба, так и финансовых убытков. Полученные результаты будут использованы при разработке более общего плана восстановления, в том числе для сектора ИКТ.</w:t>
      </w:r>
    </w:p>
    <w:p w14:paraId="4A2B1089" w14:textId="77777777" w:rsidR="004D6EB1" w:rsidRPr="004D6EB1" w:rsidRDefault="004D6EB1" w:rsidP="00E538B4">
      <w:pPr>
        <w:pStyle w:val="enumlev1"/>
        <w:jc w:val="both"/>
        <w:rPr>
          <w:lang w:val="ru-RU" w:bidi="ru-RU"/>
        </w:rPr>
      </w:pPr>
      <w:r w:rsidRPr="004D6EB1">
        <w:rPr>
          <w:lang w:val="ru-RU" w:bidi="ru-RU"/>
        </w:rPr>
        <w:tab/>
        <w:t>После принятия Резолюции 1424 заместитель Генерального секретаря МСЭ в координации с Региональным отделением МСЭ для арабских государств провел серию консультативных и координационных собраний с Министерством электросвязи и информационных технологий Палестины, а также с другими ключевыми заинтересованными сторонами, такими как операторы сетей подвижной связи и представители Управления Организации Объединенных Наций по координации гуманитарных вопросов (</w:t>
      </w:r>
      <w:proofErr w:type="spellStart"/>
      <w:r w:rsidRPr="004D6EB1">
        <w:rPr>
          <w:lang w:val="ru-RU" w:bidi="ru-RU"/>
        </w:rPr>
        <w:t>УКГВООН</w:t>
      </w:r>
      <w:proofErr w:type="spellEnd"/>
      <w:r w:rsidRPr="004D6EB1">
        <w:rPr>
          <w:lang w:val="ru-RU" w:bidi="ru-RU"/>
        </w:rPr>
        <w:t>). Цель этих собраний заключалась в оценке текущей ситуации на местах и определении оптимального формата и времени оказания поддержки в выполнении этой Резолюции со стороны МСЭ.</w:t>
      </w:r>
    </w:p>
    <w:p w14:paraId="712644F0" w14:textId="77777777" w:rsidR="004D6EB1" w:rsidRPr="004D6EB1" w:rsidRDefault="004D6EB1" w:rsidP="00E538B4">
      <w:pPr>
        <w:pStyle w:val="enumlev1"/>
        <w:jc w:val="both"/>
        <w:rPr>
          <w:lang w:val="ru-RU" w:bidi="ru-RU"/>
        </w:rPr>
      </w:pPr>
      <w:r w:rsidRPr="004D6EB1">
        <w:rPr>
          <w:lang w:val="ru-RU" w:bidi="ru-RU"/>
        </w:rPr>
        <w:t>4)</w:t>
      </w:r>
      <w:r w:rsidRPr="004D6EB1">
        <w:rPr>
          <w:lang w:val="ru-RU" w:bidi="ru-RU"/>
        </w:rPr>
        <w:tab/>
        <w:t xml:space="preserve">Инициативы, относящиеся к выполнению Резолюции </w:t>
      </w:r>
      <w:r w:rsidRPr="004D6EB1">
        <w:rPr>
          <w:b/>
          <w:bCs/>
          <w:lang w:val="ru-RU" w:bidi="ru-RU"/>
        </w:rPr>
        <w:t>12 (</w:t>
      </w:r>
      <w:proofErr w:type="spellStart"/>
      <w:r w:rsidRPr="004D6EB1">
        <w:rPr>
          <w:b/>
          <w:bCs/>
          <w:lang w:val="ru-RU" w:bidi="ru-RU"/>
        </w:rPr>
        <w:t>Пересм</w:t>
      </w:r>
      <w:proofErr w:type="spellEnd"/>
      <w:r w:rsidRPr="004D6EB1">
        <w:rPr>
          <w:b/>
          <w:bCs/>
          <w:lang w:val="ru-RU" w:bidi="ru-RU"/>
        </w:rPr>
        <w:t>. ВКР-19)</w:t>
      </w:r>
    </w:p>
    <w:p w14:paraId="642F9DFA" w14:textId="77777777" w:rsidR="004D6EB1" w:rsidRPr="004D6EB1" w:rsidRDefault="004D6EB1" w:rsidP="00E538B4">
      <w:pPr>
        <w:pStyle w:val="enumlev1"/>
        <w:jc w:val="both"/>
        <w:rPr>
          <w:lang w:val="ru-RU" w:bidi="ru-RU"/>
        </w:rPr>
      </w:pPr>
      <w:r w:rsidRPr="004D6EB1">
        <w:rPr>
          <w:lang w:val="ru-RU" w:bidi="ru-RU"/>
        </w:rPr>
        <w:tab/>
        <w:t xml:space="preserve">В октябре 2023 года в соответствии с Резолюцией </w:t>
      </w:r>
      <w:r w:rsidRPr="004D6EB1">
        <w:rPr>
          <w:b/>
          <w:bCs/>
          <w:lang w:val="ru-RU" w:bidi="ru-RU"/>
        </w:rPr>
        <w:t>12 (</w:t>
      </w:r>
      <w:proofErr w:type="spellStart"/>
      <w:r w:rsidRPr="004D6EB1">
        <w:rPr>
          <w:b/>
          <w:bCs/>
          <w:lang w:val="ru-RU" w:bidi="ru-RU"/>
        </w:rPr>
        <w:t>Пересм</w:t>
      </w:r>
      <w:proofErr w:type="spellEnd"/>
      <w:r w:rsidRPr="004D6EB1">
        <w:rPr>
          <w:b/>
          <w:bCs/>
          <w:lang w:val="ru-RU" w:bidi="ru-RU"/>
        </w:rPr>
        <w:t>. ВКР-19)</w:t>
      </w:r>
      <w:r w:rsidRPr="004D6EB1">
        <w:rPr>
          <w:lang w:val="ru-RU" w:bidi="ru-RU"/>
        </w:rPr>
        <w:t xml:space="preserve"> Бюро радиосвязи МСЭ в тесном сотрудничестве с Региональным отделением МСЭ для арабских государств рассмотрело и рекомендовало внести поправки в национальную таблицу распределения и применения частот (</w:t>
      </w:r>
      <w:proofErr w:type="spellStart"/>
      <w:r w:rsidRPr="004D6EB1">
        <w:rPr>
          <w:lang w:val="ru-RU" w:bidi="ru-RU"/>
        </w:rPr>
        <w:t>TNFAA</w:t>
      </w:r>
      <w:proofErr w:type="spellEnd"/>
      <w:r w:rsidRPr="004D6EB1">
        <w:rPr>
          <w:lang w:val="ru-RU" w:bidi="ru-RU"/>
        </w:rPr>
        <w:t xml:space="preserve">) Палестины. После пересмотра </w:t>
      </w:r>
      <w:proofErr w:type="spellStart"/>
      <w:r w:rsidRPr="004D6EB1">
        <w:rPr>
          <w:lang w:val="ru-RU" w:bidi="ru-RU"/>
        </w:rPr>
        <w:t>TNFAA</w:t>
      </w:r>
      <w:proofErr w:type="spellEnd"/>
      <w:r w:rsidRPr="004D6EB1">
        <w:rPr>
          <w:lang w:val="ru-RU" w:bidi="ru-RU"/>
        </w:rPr>
        <w:t xml:space="preserve"> в Бюро радиосвязи МСЭ не поступало запросов об оказании помощи Палестине.</w:t>
      </w:r>
    </w:p>
    <w:p w14:paraId="11CC6427" w14:textId="5A56280D" w:rsidR="004D6EB1" w:rsidRPr="004D6EB1" w:rsidRDefault="004D6EB1" w:rsidP="00E538B4">
      <w:pPr>
        <w:pStyle w:val="enumlev1"/>
        <w:jc w:val="both"/>
        <w:rPr>
          <w:lang w:val="ru-RU" w:bidi="ru-RU"/>
        </w:rPr>
      </w:pPr>
      <w:r w:rsidRPr="004D6EB1">
        <w:rPr>
          <w:lang w:val="ru-RU" w:bidi="ru-RU"/>
        </w:rPr>
        <w:tab/>
        <w:t>Всемирная конференция радиосвязи (Дубай, 2023 г.) утвердила изменение Резолюции</w:t>
      </w:r>
      <w:r w:rsidR="003146DF">
        <w:rPr>
          <w:lang w:val="ru-RU" w:bidi="ru-RU"/>
        </w:rPr>
        <w:t> </w:t>
      </w:r>
      <w:r w:rsidRPr="004D6EB1">
        <w:rPr>
          <w:b/>
          <w:bCs/>
          <w:lang w:val="ru-RU" w:bidi="ru-RU"/>
        </w:rPr>
        <w:t>12 (</w:t>
      </w:r>
      <w:proofErr w:type="spellStart"/>
      <w:r w:rsidRPr="004D6EB1">
        <w:rPr>
          <w:b/>
          <w:bCs/>
          <w:lang w:val="ru-RU" w:bidi="ru-RU"/>
        </w:rPr>
        <w:t>Пересм</w:t>
      </w:r>
      <w:proofErr w:type="spellEnd"/>
      <w:r w:rsidRPr="004D6EB1">
        <w:rPr>
          <w:b/>
          <w:bCs/>
          <w:lang w:val="ru-RU" w:bidi="ru-RU"/>
        </w:rPr>
        <w:t>. ВКР-19)</w:t>
      </w:r>
      <w:r w:rsidRPr="004D6EB1">
        <w:rPr>
          <w:lang w:val="ru-RU" w:bidi="ru-RU"/>
        </w:rPr>
        <w:t xml:space="preserve">, постановив, что Палестина должна иметь право на получение необходимых частот для микроволновых линий связи, необходимых для эксплуатации услуг </w:t>
      </w:r>
      <w:proofErr w:type="spellStart"/>
      <w:r w:rsidRPr="004D6EB1">
        <w:rPr>
          <w:lang w:val="ru-RU" w:bidi="ru-RU"/>
        </w:rPr>
        <w:t>4G</w:t>
      </w:r>
      <w:proofErr w:type="spellEnd"/>
      <w:r w:rsidRPr="004D6EB1">
        <w:rPr>
          <w:lang w:val="ru-RU" w:bidi="ru-RU"/>
        </w:rPr>
        <w:t xml:space="preserve"> и </w:t>
      </w:r>
      <w:proofErr w:type="spellStart"/>
      <w:r w:rsidRPr="004D6EB1">
        <w:rPr>
          <w:lang w:val="ru-RU" w:bidi="ru-RU"/>
        </w:rPr>
        <w:t>5G</w:t>
      </w:r>
      <w:proofErr w:type="spellEnd"/>
      <w:r w:rsidRPr="004D6EB1">
        <w:rPr>
          <w:lang w:val="ru-RU" w:bidi="ru-RU"/>
        </w:rPr>
        <w:t xml:space="preserve">, использование дополнительных полос частот, необходимых для новых современных сетей подвижной связи, таких как IMT-2020, незамедлительное расширение и установку волоконно-оптических широкополосных сетей электросвязи, а также владение, управление ими и их эксплуатацию, получение частот </w:t>
      </w:r>
      <w:proofErr w:type="spellStart"/>
      <w:r w:rsidRPr="004D6EB1">
        <w:rPr>
          <w:lang w:val="ru-RU" w:bidi="ru-RU"/>
        </w:rPr>
        <w:t>ОВЧ</w:t>
      </w:r>
      <w:proofErr w:type="spellEnd"/>
      <w:r w:rsidRPr="004D6EB1">
        <w:rPr>
          <w:lang w:val="ru-RU" w:bidi="ru-RU"/>
        </w:rPr>
        <w:t xml:space="preserve"> и УВЧ для служб фиксированной и подвижной электросвязи, а также </w:t>
      </w:r>
      <w:proofErr w:type="spellStart"/>
      <w:r w:rsidRPr="004D6EB1">
        <w:rPr>
          <w:lang w:val="ru-RU" w:bidi="ru-RU"/>
        </w:rPr>
        <w:t>ЧM</w:t>
      </w:r>
      <w:proofErr w:type="spellEnd"/>
      <w:r w:rsidR="003146DF">
        <w:rPr>
          <w:lang w:val="ru-RU" w:bidi="ru-RU"/>
        </w:rPr>
        <w:noBreakHyphen/>
      </w:r>
      <w:r w:rsidRPr="004D6EB1">
        <w:rPr>
          <w:lang w:val="ru-RU" w:bidi="ru-RU"/>
        </w:rPr>
        <w:t>частот для радиовещательной службы.</w:t>
      </w:r>
    </w:p>
    <w:p w14:paraId="692AE7F5" w14:textId="77777777" w:rsidR="004D6EB1" w:rsidRPr="004D6EB1" w:rsidRDefault="004D6EB1" w:rsidP="00E538B4">
      <w:pPr>
        <w:jc w:val="both"/>
        <w:rPr>
          <w:lang w:val="ru-RU" w:bidi="ru-RU"/>
        </w:rPr>
      </w:pPr>
      <w:r w:rsidRPr="004D6EB1">
        <w:rPr>
          <w:lang w:val="ru-RU" w:bidi="ru-RU"/>
        </w:rPr>
        <w:t xml:space="preserve">Для достижения поставленных целей Генеральный секретарь, заместитель Генерального секретаря и директор Бюро радиосвязи продолжают взаимодействовать с властями Израиля и Палестины по вопросу выполнения положений Резолюции </w:t>
      </w:r>
      <w:r w:rsidRPr="004D6EB1">
        <w:rPr>
          <w:b/>
          <w:bCs/>
          <w:lang w:val="ru-RU" w:bidi="ru-RU"/>
        </w:rPr>
        <w:t>12 (</w:t>
      </w:r>
      <w:proofErr w:type="spellStart"/>
      <w:r w:rsidRPr="004D6EB1">
        <w:rPr>
          <w:b/>
          <w:bCs/>
          <w:lang w:val="ru-RU" w:bidi="ru-RU"/>
        </w:rPr>
        <w:t>Пересм</w:t>
      </w:r>
      <w:proofErr w:type="spellEnd"/>
      <w:r w:rsidRPr="004D6EB1">
        <w:rPr>
          <w:b/>
          <w:bCs/>
          <w:lang w:val="ru-RU" w:bidi="ru-RU"/>
        </w:rPr>
        <w:t>. ВКР-19)</w:t>
      </w:r>
      <w:r w:rsidRPr="004D6EB1">
        <w:rPr>
          <w:lang w:val="ru-RU" w:bidi="ru-RU"/>
        </w:rPr>
        <w:t>, в том числе в части реализации дорожной карты, предусматривающей предоставление Палестине доступа к большему количеству частот для IMT и радиовещания.</w:t>
      </w:r>
    </w:p>
    <w:p w14:paraId="3ECF03BB" w14:textId="77777777" w:rsidR="00796BD3" w:rsidRPr="00EB6006" w:rsidRDefault="00C462C5" w:rsidP="00EB6006">
      <w:pPr>
        <w:spacing w:before="240"/>
        <w:jc w:val="center"/>
        <w:rPr>
          <w:lang w:val="ru-RU"/>
        </w:rPr>
      </w:pPr>
      <w:r w:rsidRPr="00EB6006">
        <w:rPr>
          <w:lang w:val="ru-RU"/>
        </w:rPr>
        <w:t>______________</w:t>
      </w:r>
    </w:p>
    <w:sectPr w:rsidR="00796BD3" w:rsidRPr="00EB6006" w:rsidSect="00796BD3">
      <w:footerReference w:type="default" r:id="rId9"/>
      <w:headerReference w:type="first" r:id="rId10"/>
      <w:footerReference w:type="first" r:id="rId11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8CC76" w14:textId="77777777" w:rsidR="003E2849" w:rsidRDefault="003E2849">
      <w:r>
        <w:separator/>
      </w:r>
    </w:p>
  </w:endnote>
  <w:endnote w:type="continuationSeparator" w:id="0">
    <w:p w14:paraId="7A4D7AF7" w14:textId="77777777" w:rsidR="003E2849" w:rsidRDefault="003E2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Segoe Print"/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421B9109" w14:textId="77777777" w:rsidTr="00E31DCE">
      <w:trPr>
        <w:jc w:val="center"/>
      </w:trPr>
      <w:tc>
        <w:tcPr>
          <w:tcW w:w="1803" w:type="dxa"/>
          <w:vAlign w:val="center"/>
        </w:tcPr>
        <w:p w14:paraId="7F82C2F5" w14:textId="46F38DE6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567E309B" w14:textId="1278DD68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proofErr w:type="spellEnd"/>
          <w:r w:rsidRPr="00623AE3">
            <w:rPr>
              <w:bCs/>
            </w:rPr>
            <w:t>/</w:t>
          </w:r>
          <w:r w:rsidR="00E02C1E">
            <w:rPr>
              <w:bCs/>
              <w:lang w:val="ru-RU"/>
            </w:rPr>
            <w:t>71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697E13C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0F6C5D7B" w14:textId="77777777" w:rsidTr="00E31DCE">
      <w:trPr>
        <w:jc w:val="center"/>
      </w:trPr>
      <w:tc>
        <w:tcPr>
          <w:tcW w:w="1803" w:type="dxa"/>
          <w:vAlign w:val="center"/>
        </w:tcPr>
        <w:p w14:paraId="2279558D" w14:textId="77777777" w:rsidR="00672F8A" w:rsidRDefault="00D631AA" w:rsidP="00672F8A">
          <w:pPr>
            <w:pStyle w:val="Header"/>
            <w:jc w:val="left"/>
            <w:rPr>
              <w:noProof/>
            </w:rPr>
          </w:pPr>
          <w:r w:rsidRPr="00D631AA">
            <w:rPr>
              <w:color w:val="0563C1"/>
              <w:szCs w:val="14"/>
            </w:rPr>
            <w:t>council.itu.int/2025</w:t>
          </w:r>
        </w:p>
      </w:tc>
      <w:tc>
        <w:tcPr>
          <w:tcW w:w="8261" w:type="dxa"/>
        </w:tcPr>
        <w:p w14:paraId="23D3CD01" w14:textId="1CB11C97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proofErr w:type="spellEnd"/>
          <w:r w:rsidRPr="00623AE3">
            <w:rPr>
              <w:bCs/>
            </w:rPr>
            <w:t>/</w:t>
          </w:r>
          <w:r w:rsidR="00E02C1E">
            <w:rPr>
              <w:bCs/>
              <w:lang w:val="ru-RU"/>
            </w:rPr>
            <w:t>71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B4B016A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BC983" w14:textId="77777777" w:rsidR="003E2849" w:rsidRDefault="003E2849">
      <w:r>
        <w:t>____________________</w:t>
      </w:r>
    </w:p>
  </w:footnote>
  <w:footnote w:type="continuationSeparator" w:id="0">
    <w:p w14:paraId="47D43747" w14:textId="77777777" w:rsidR="003E2849" w:rsidRDefault="003E2849">
      <w:r>
        <w:continuationSeparator/>
      </w:r>
    </w:p>
  </w:footnote>
  <w:footnote w:id="1">
    <w:p w14:paraId="2E11A042" w14:textId="26D7752A" w:rsidR="004D6EB1" w:rsidRPr="00CE7F48" w:rsidRDefault="004D6EB1" w:rsidP="00E538B4">
      <w:pPr>
        <w:pStyle w:val="FootnoteText"/>
        <w:jc w:val="both"/>
        <w:rPr>
          <w:lang w:val="ru-RU"/>
        </w:rPr>
      </w:pPr>
      <w:r>
        <w:rPr>
          <w:rStyle w:val="FootnoteReference"/>
          <w:lang w:val="ru-RU"/>
        </w:rPr>
        <w:footnoteRef/>
      </w:r>
      <w:r>
        <w:rPr>
          <w:lang w:val="ru-RU"/>
        </w:rPr>
        <w:tab/>
      </w:r>
      <w:hyperlink r:id="rId1" w:history="1">
        <w:r w:rsidRPr="00445678">
          <w:rPr>
            <w:rStyle w:val="Hyperlink"/>
            <w:lang w:val="ru-RU"/>
          </w:rPr>
          <w:t xml:space="preserve">Промежуточная </w:t>
        </w:r>
        <w:r w:rsidRPr="00F50462">
          <w:rPr>
            <w:rStyle w:val="Hyperlink"/>
            <w:lang w:val="ru-RU"/>
          </w:rPr>
          <w:t>экспресс-оценка</w:t>
        </w:r>
        <w:r w:rsidRPr="00445678">
          <w:rPr>
            <w:rStyle w:val="Hyperlink"/>
            <w:lang w:val="ru-RU"/>
          </w:rPr>
          <w:t xml:space="preserve"> ущерба и потребностей в Газе и на Западном берегу (февраль</w:t>
        </w:r>
        <w:r w:rsidR="00EB6006">
          <w:rPr>
            <w:rStyle w:val="Hyperlink"/>
            <w:lang w:val="ru-RU"/>
          </w:rPr>
          <w:t> </w:t>
        </w:r>
        <w:r w:rsidRPr="00445678">
          <w:rPr>
            <w:rStyle w:val="Hyperlink"/>
            <w:lang w:val="ru-RU"/>
          </w:rPr>
          <w:t>2025</w:t>
        </w:r>
        <w:r w:rsidR="00EB6006">
          <w:rPr>
            <w:rStyle w:val="Hyperlink"/>
            <w:lang w:val="ru-RU"/>
          </w:rPr>
          <w:t> </w:t>
        </w:r>
        <w:r w:rsidRPr="00445678">
          <w:rPr>
            <w:rStyle w:val="Hyperlink"/>
            <w:lang w:val="ru-RU"/>
          </w:rPr>
          <w:t>г.)</w:t>
        </w:r>
      </w:hyperlink>
      <w:r w:rsidRPr="00222C16">
        <w:rPr>
          <w:lang w:val="ru-RU"/>
        </w:rPr>
        <w:t>.</w:t>
      </w:r>
    </w:p>
  </w:footnote>
  <w:footnote w:id="2">
    <w:p w14:paraId="753DE049" w14:textId="240EDEC2" w:rsidR="004D6EB1" w:rsidRPr="00CE7F48" w:rsidRDefault="004D6EB1" w:rsidP="00E538B4">
      <w:pPr>
        <w:pStyle w:val="FootnoteText"/>
        <w:jc w:val="both"/>
        <w:rPr>
          <w:lang w:val="ru-RU"/>
        </w:rPr>
      </w:pPr>
      <w:r>
        <w:rPr>
          <w:rStyle w:val="FootnoteReference"/>
          <w:lang w:val="ru-RU"/>
        </w:rPr>
        <w:footnoteRef/>
      </w:r>
      <w:r>
        <w:rPr>
          <w:lang w:val="ru-RU"/>
        </w:rPr>
        <w:tab/>
      </w:r>
      <w:hyperlink r:id="rId2" w:history="1">
        <w:r w:rsidRPr="00445678">
          <w:rPr>
            <w:rStyle w:val="Hyperlink"/>
            <w:lang w:val="ru-RU"/>
          </w:rPr>
          <w:t xml:space="preserve">Промежуточная </w:t>
        </w:r>
        <w:r w:rsidRPr="00F50462">
          <w:rPr>
            <w:rStyle w:val="Hyperlink"/>
            <w:lang w:val="ru-RU"/>
          </w:rPr>
          <w:t>экспресс-оценка</w:t>
        </w:r>
        <w:r w:rsidRPr="00445678">
          <w:rPr>
            <w:rStyle w:val="Hyperlink"/>
            <w:lang w:val="ru-RU"/>
          </w:rPr>
          <w:t xml:space="preserve"> ущерба и потребностей в Газе и на Западном берегу (февраль</w:t>
        </w:r>
        <w:r w:rsidR="00EB6006">
          <w:rPr>
            <w:rStyle w:val="Hyperlink"/>
            <w:lang w:val="ru-RU"/>
          </w:rPr>
          <w:t> </w:t>
        </w:r>
        <w:r w:rsidRPr="00445678">
          <w:rPr>
            <w:rStyle w:val="Hyperlink"/>
            <w:lang w:val="ru-RU"/>
          </w:rPr>
          <w:t>2025</w:t>
        </w:r>
        <w:r w:rsidR="00EB6006">
          <w:rPr>
            <w:rStyle w:val="Hyperlink"/>
            <w:lang w:val="ru-RU"/>
          </w:rPr>
          <w:t> </w:t>
        </w:r>
        <w:r w:rsidRPr="00445678">
          <w:rPr>
            <w:rStyle w:val="Hyperlink"/>
            <w:lang w:val="ru-RU"/>
          </w:rPr>
          <w:t>г.)</w:t>
        </w:r>
      </w:hyperlink>
      <w:r>
        <w:rPr>
          <w:lang w:val="ru-RU"/>
        </w:rPr>
        <w:t>.</w:t>
      </w:r>
    </w:p>
  </w:footnote>
  <w:footnote w:id="3">
    <w:p w14:paraId="61D24854" w14:textId="181D0217" w:rsidR="004D6EB1" w:rsidRPr="00CE7F48" w:rsidRDefault="004D6EB1" w:rsidP="00E538B4">
      <w:pPr>
        <w:pStyle w:val="FootnoteText"/>
        <w:jc w:val="both"/>
        <w:rPr>
          <w:lang w:val="ru-RU"/>
        </w:rPr>
      </w:pPr>
      <w:r>
        <w:rPr>
          <w:rStyle w:val="FootnoteReference"/>
          <w:lang w:val="ru-RU"/>
        </w:rPr>
        <w:footnoteRef/>
      </w:r>
      <w:r>
        <w:rPr>
          <w:lang w:val="ru-RU"/>
        </w:rPr>
        <w:tab/>
      </w:r>
      <w:hyperlink r:id="rId3" w:history="1">
        <w:r w:rsidRPr="00445678">
          <w:rPr>
            <w:rStyle w:val="Hyperlink"/>
            <w:lang w:val="ru-RU"/>
          </w:rPr>
          <w:t xml:space="preserve">Промежуточная </w:t>
        </w:r>
        <w:r w:rsidRPr="00F50462">
          <w:rPr>
            <w:rStyle w:val="Hyperlink"/>
            <w:lang w:val="ru-RU"/>
          </w:rPr>
          <w:t>экспресс-оценка</w:t>
        </w:r>
        <w:r w:rsidRPr="00445678">
          <w:rPr>
            <w:rStyle w:val="Hyperlink"/>
            <w:lang w:val="ru-RU"/>
          </w:rPr>
          <w:t xml:space="preserve"> ущерба и потребностей в Газе и на Западном берегу (февраль</w:t>
        </w:r>
        <w:r w:rsidR="00EB6006">
          <w:rPr>
            <w:rStyle w:val="Hyperlink"/>
            <w:lang w:val="ru-RU"/>
          </w:rPr>
          <w:t> </w:t>
        </w:r>
        <w:r w:rsidRPr="00445678">
          <w:rPr>
            <w:rStyle w:val="Hyperlink"/>
            <w:lang w:val="ru-RU"/>
          </w:rPr>
          <w:t>2025</w:t>
        </w:r>
        <w:r w:rsidR="00EB6006">
          <w:rPr>
            <w:rStyle w:val="Hyperlink"/>
            <w:lang w:val="ru-RU"/>
          </w:rPr>
          <w:t> </w:t>
        </w:r>
        <w:r w:rsidRPr="00445678">
          <w:rPr>
            <w:rStyle w:val="Hyperlink"/>
            <w:lang w:val="ru-RU"/>
          </w:rPr>
          <w:t>г.)</w:t>
        </w:r>
      </w:hyperlink>
      <w:r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59"/>
      <w:gridCol w:w="3661"/>
    </w:tblGrid>
    <w:tr w:rsidR="00156890" w:rsidRPr="00784011" w14:paraId="626A2817" w14:textId="77777777" w:rsidTr="00156890">
      <w:trPr>
        <w:trHeight w:val="1104"/>
        <w:jc w:val="center"/>
      </w:trPr>
      <w:tc>
        <w:tcPr>
          <w:tcW w:w="6359" w:type="dxa"/>
          <w:vAlign w:val="center"/>
        </w:tcPr>
        <w:p w14:paraId="0A8C6339" w14:textId="77777777" w:rsidR="00156890" w:rsidRDefault="00156890" w:rsidP="00796BD3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68AFE79F" wp14:editId="3F55A6D6">
                <wp:extent cx="3901233" cy="612000"/>
                <wp:effectExtent l="0" t="0" r="0" b="0"/>
                <wp:docPr id="1838873251" name="Picture 2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8873251" name="Picture 2" descr="A black background with blue letters and numbers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1233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1" w:type="dxa"/>
        </w:tcPr>
        <w:p w14:paraId="46C72F30" w14:textId="77777777" w:rsidR="00156890" w:rsidRDefault="00156890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1D90EA87" w14:textId="77777777" w:rsidR="0014229E" w:rsidRDefault="00796BD3" w:rsidP="0014229E">
    <w:pPr>
      <w:pStyle w:val="Header"/>
      <w:spacing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EE450B" wp14:editId="76DBA703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C69126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C490D92"/>
    <w:multiLevelType w:val="hybridMultilevel"/>
    <w:tmpl w:val="F5E030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693786">
    <w:abstractNumId w:val="0"/>
  </w:num>
  <w:num w:numId="2" w16cid:durableId="980188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734"/>
    <w:rsid w:val="00005BE0"/>
    <w:rsid w:val="0002183E"/>
    <w:rsid w:val="000569B4"/>
    <w:rsid w:val="0006007D"/>
    <w:rsid w:val="00080E82"/>
    <w:rsid w:val="00091E41"/>
    <w:rsid w:val="000B2DE7"/>
    <w:rsid w:val="000E568E"/>
    <w:rsid w:val="00100079"/>
    <w:rsid w:val="00102D31"/>
    <w:rsid w:val="0014229E"/>
    <w:rsid w:val="0014734F"/>
    <w:rsid w:val="0014736E"/>
    <w:rsid w:val="00156245"/>
    <w:rsid w:val="00156890"/>
    <w:rsid w:val="0015710D"/>
    <w:rsid w:val="00163A32"/>
    <w:rsid w:val="00165D06"/>
    <w:rsid w:val="00192B41"/>
    <w:rsid w:val="001B78E7"/>
    <w:rsid w:val="001B7B09"/>
    <w:rsid w:val="001E58A6"/>
    <w:rsid w:val="001E6719"/>
    <w:rsid w:val="001E7F50"/>
    <w:rsid w:val="00225368"/>
    <w:rsid w:val="00227FF0"/>
    <w:rsid w:val="0023710F"/>
    <w:rsid w:val="00285E00"/>
    <w:rsid w:val="00291EB6"/>
    <w:rsid w:val="002B0A95"/>
    <w:rsid w:val="002C3F32"/>
    <w:rsid w:val="002D2F57"/>
    <w:rsid w:val="002D48C5"/>
    <w:rsid w:val="003014D6"/>
    <w:rsid w:val="003146DF"/>
    <w:rsid w:val="0033025A"/>
    <w:rsid w:val="00345D2A"/>
    <w:rsid w:val="003E2849"/>
    <w:rsid w:val="003F099E"/>
    <w:rsid w:val="003F235E"/>
    <w:rsid w:val="003F734C"/>
    <w:rsid w:val="00401FD7"/>
    <w:rsid w:val="004023E0"/>
    <w:rsid w:val="00403DD8"/>
    <w:rsid w:val="00442515"/>
    <w:rsid w:val="0045686C"/>
    <w:rsid w:val="004918C4"/>
    <w:rsid w:val="00497703"/>
    <w:rsid w:val="004A0374"/>
    <w:rsid w:val="004A45B5"/>
    <w:rsid w:val="004D0129"/>
    <w:rsid w:val="004D6EB1"/>
    <w:rsid w:val="00515795"/>
    <w:rsid w:val="005402F0"/>
    <w:rsid w:val="005A64D5"/>
    <w:rsid w:val="005B3DEC"/>
    <w:rsid w:val="00601994"/>
    <w:rsid w:val="00660449"/>
    <w:rsid w:val="00672F8A"/>
    <w:rsid w:val="006E2D42"/>
    <w:rsid w:val="006F7C3B"/>
    <w:rsid w:val="00703676"/>
    <w:rsid w:val="00707304"/>
    <w:rsid w:val="00732269"/>
    <w:rsid w:val="00762555"/>
    <w:rsid w:val="0077110E"/>
    <w:rsid w:val="00785ABD"/>
    <w:rsid w:val="00791E7F"/>
    <w:rsid w:val="00796BD3"/>
    <w:rsid w:val="007A2DD4"/>
    <w:rsid w:val="007C0730"/>
    <w:rsid w:val="007D38B5"/>
    <w:rsid w:val="007E2537"/>
    <w:rsid w:val="007E7EA0"/>
    <w:rsid w:val="00807255"/>
    <w:rsid w:val="0081023E"/>
    <w:rsid w:val="00812B99"/>
    <w:rsid w:val="008173AA"/>
    <w:rsid w:val="00840A14"/>
    <w:rsid w:val="008B62B4"/>
    <w:rsid w:val="008D2D7B"/>
    <w:rsid w:val="008E0737"/>
    <w:rsid w:val="008E7F18"/>
    <w:rsid w:val="008F588C"/>
    <w:rsid w:val="008F7C2C"/>
    <w:rsid w:val="00940E96"/>
    <w:rsid w:val="00950A82"/>
    <w:rsid w:val="00981C50"/>
    <w:rsid w:val="009923D5"/>
    <w:rsid w:val="009B0BAE"/>
    <w:rsid w:val="009C1C89"/>
    <w:rsid w:val="009C58A5"/>
    <w:rsid w:val="009F3448"/>
    <w:rsid w:val="00A01CF9"/>
    <w:rsid w:val="00A027A7"/>
    <w:rsid w:val="00A20B63"/>
    <w:rsid w:val="00A71773"/>
    <w:rsid w:val="00A71CCB"/>
    <w:rsid w:val="00A90671"/>
    <w:rsid w:val="00A90B1C"/>
    <w:rsid w:val="00AD4D59"/>
    <w:rsid w:val="00AD707A"/>
    <w:rsid w:val="00AE2C85"/>
    <w:rsid w:val="00AF35C3"/>
    <w:rsid w:val="00AF6890"/>
    <w:rsid w:val="00B0107F"/>
    <w:rsid w:val="00B12A37"/>
    <w:rsid w:val="00B21FC7"/>
    <w:rsid w:val="00B41837"/>
    <w:rsid w:val="00B63EF2"/>
    <w:rsid w:val="00B661E4"/>
    <w:rsid w:val="00BA7D89"/>
    <w:rsid w:val="00BC0D39"/>
    <w:rsid w:val="00BC7BC0"/>
    <w:rsid w:val="00BD57B7"/>
    <w:rsid w:val="00BE63E2"/>
    <w:rsid w:val="00C355F0"/>
    <w:rsid w:val="00C4440D"/>
    <w:rsid w:val="00C462C5"/>
    <w:rsid w:val="00CD2009"/>
    <w:rsid w:val="00CF24BF"/>
    <w:rsid w:val="00CF629C"/>
    <w:rsid w:val="00D5375D"/>
    <w:rsid w:val="00D631AA"/>
    <w:rsid w:val="00D63420"/>
    <w:rsid w:val="00D92596"/>
    <w:rsid w:val="00D92EEA"/>
    <w:rsid w:val="00DA5D4E"/>
    <w:rsid w:val="00DA770A"/>
    <w:rsid w:val="00E02C1E"/>
    <w:rsid w:val="00E05752"/>
    <w:rsid w:val="00E176BA"/>
    <w:rsid w:val="00E423EC"/>
    <w:rsid w:val="00E538B4"/>
    <w:rsid w:val="00E55121"/>
    <w:rsid w:val="00E724E0"/>
    <w:rsid w:val="00E85734"/>
    <w:rsid w:val="00EB4FCB"/>
    <w:rsid w:val="00EB6006"/>
    <w:rsid w:val="00EC6BC5"/>
    <w:rsid w:val="00F348D0"/>
    <w:rsid w:val="00F35898"/>
    <w:rsid w:val="00F3599E"/>
    <w:rsid w:val="00F478D5"/>
    <w:rsid w:val="00F5225B"/>
    <w:rsid w:val="00FE5701"/>
    <w:rsid w:val="00FF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13BB2B0"/>
  <w15:docId w15:val="{D8B2D5E9-D14C-452C-BFB3-BCE93BA9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791E7F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qFormat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AF6890"/>
    <w:rPr>
      <w:color w:val="0070C0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D631AA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100079"/>
    <w:rPr>
      <w:color w:val="605E5C"/>
      <w:shd w:val="clear" w:color="auto" w:fill="E1DFDD"/>
    </w:rPr>
  </w:style>
  <w:style w:type="paragraph" w:customStyle="1" w:styleId="DecNo">
    <w:name w:val="Dec_No"/>
    <w:basedOn w:val="RecNo"/>
    <w:next w:val="Dectitle"/>
    <w:qFormat/>
    <w:rsid w:val="0023710F"/>
    <w:rPr>
      <w:lang w:val="ru-RU" w:bidi="ru-RU"/>
    </w:rPr>
  </w:style>
  <w:style w:type="paragraph" w:customStyle="1" w:styleId="Dectitle">
    <w:name w:val="Dec_title"/>
    <w:basedOn w:val="Rectitle"/>
    <w:next w:val="Normalaftertitle"/>
    <w:qFormat/>
    <w:rsid w:val="0023710F"/>
    <w:rPr>
      <w:lang w:val="ru-RU"/>
    </w:rPr>
  </w:style>
  <w:style w:type="paragraph" w:styleId="ListParagraph">
    <w:name w:val="List Paragraph"/>
    <w:basedOn w:val="Normal"/>
    <w:uiPriority w:val="34"/>
    <w:qFormat/>
    <w:rsid w:val="006F7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4-CL-C-0127/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thedocs.worldbank.org/en/doc/133c3304e29086819c1119fe8e85366b-0280012025/original/Gaza-RDNA-final-med.pdf" TargetMode="External"/><Relationship Id="rId2" Type="http://schemas.openxmlformats.org/officeDocument/2006/relationships/hyperlink" Target="https://thedocs.worldbank.org/en/doc/133c3304e29086819c1119fe8e85366b-0280012025/original/Gaza-RDNA-final-med.pdf" TargetMode="External"/><Relationship Id="rId1" Type="http://schemas.openxmlformats.org/officeDocument/2006/relationships/hyperlink" Target="https://thedocs.worldbank.org/en/doc/133c3304e29086819c1119fe8e85366b-0280012025/original/Gaza-RDNA-final-med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GS\PR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6EE0B-ECB2-4858-86F0-E83999CE1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PR_Council25.dotx</Template>
  <TotalTime>0</TotalTime>
  <Pages>3</Pages>
  <Words>815</Words>
  <Characters>5727</Characters>
  <Application>Microsoft Office Word</Application>
  <DocSecurity>0</DocSecurity>
  <Lines>112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6496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assistance and support to Palestine</dc:title>
  <dc:subject>ITU Council 2025</dc:subject>
  <cp:keywords>C2025, C25, Council-25</cp:keywords>
  <dc:description/>
  <cp:lastPrinted>2006-03-28T16:12:00Z</cp:lastPrinted>
  <dcterms:created xsi:type="dcterms:W3CDTF">2025-06-19T09:15:00Z</dcterms:created>
  <dcterms:modified xsi:type="dcterms:W3CDTF">2025-06-19T09:15:00Z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GrammarlyDocumentId">
    <vt:lpwstr>9788a1e2cff90a8b0a0b89c964e56f6e6a612f9769bc84c067c7d1a91603ee22</vt:lpwstr>
  </property>
</Properties>
</file>