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74DBD713" w14:textId="77777777" w:rsidTr="0588DD0D">
        <w:trPr>
          <w:cantSplit/>
          <w:trHeight w:val="23"/>
        </w:trPr>
        <w:tc>
          <w:tcPr>
            <w:tcW w:w="3969" w:type="dxa"/>
            <w:vMerge w:val="restart"/>
            <w:tcMar>
              <w:left w:w="0" w:type="dxa"/>
            </w:tcMar>
          </w:tcPr>
          <w:p w14:paraId="4BDAEE7F" w14:textId="25EEB83E"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272B89">
              <w:rPr>
                <w:b/>
              </w:rPr>
              <w:t>ADM 1</w:t>
            </w:r>
          </w:p>
        </w:tc>
        <w:tc>
          <w:tcPr>
            <w:tcW w:w="5245" w:type="dxa"/>
          </w:tcPr>
          <w:p w14:paraId="28FC5F2C" w14:textId="3BF98DB1" w:rsidR="00AD3606" w:rsidRPr="00C0458D" w:rsidRDefault="004905C1" w:rsidP="00472BAD">
            <w:pPr>
              <w:tabs>
                <w:tab w:val="left" w:pos="851"/>
              </w:tabs>
              <w:spacing w:before="0" w:line="240" w:lineRule="atLeast"/>
              <w:jc w:val="right"/>
              <w:rPr>
                <w:b/>
              </w:rPr>
            </w:pPr>
            <w:r>
              <w:rPr>
                <w:b/>
              </w:rPr>
              <w:t>Document C25</w:t>
            </w:r>
            <w:r w:rsidR="00142DD9">
              <w:rPr>
                <w:b/>
              </w:rPr>
              <w:t>/</w:t>
            </w:r>
            <w:r>
              <w:rPr>
                <w:b/>
              </w:rPr>
              <w:t>71-E</w:t>
            </w:r>
          </w:p>
        </w:tc>
      </w:tr>
      <w:tr w:rsidR="00AD3606" w:rsidRPr="00C0458D" w14:paraId="06515B19" w14:textId="77777777" w:rsidTr="0588DD0D">
        <w:trPr>
          <w:cantSplit/>
        </w:trPr>
        <w:tc>
          <w:tcPr>
            <w:tcW w:w="3969" w:type="dxa"/>
            <w:vMerge/>
          </w:tcPr>
          <w:p w14:paraId="30D6E7AB"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3F825706" w14:textId="5C3478B5" w:rsidR="00AD3606" w:rsidRPr="00C0458D" w:rsidRDefault="004905C1" w:rsidP="00AD3606">
            <w:pPr>
              <w:tabs>
                <w:tab w:val="left" w:pos="851"/>
              </w:tabs>
              <w:spacing w:before="0"/>
              <w:jc w:val="right"/>
              <w:rPr>
                <w:b/>
              </w:rPr>
            </w:pPr>
            <w:r>
              <w:rPr>
                <w:b/>
              </w:rPr>
              <w:t>1</w:t>
            </w:r>
            <w:r w:rsidR="0010792B">
              <w:rPr>
                <w:b/>
              </w:rPr>
              <w:t>9</w:t>
            </w:r>
            <w:r>
              <w:rPr>
                <w:b/>
              </w:rPr>
              <w:t xml:space="preserve"> May </w:t>
            </w:r>
            <w:r w:rsidR="00AD2FC8">
              <w:rPr>
                <w:b/>
              </w:rPr>
              <w:t>2025</w:t>
            </w:r>
          </w:p>
        </w:tc>
      </w:tr>
      <w:tr w:rsidR="00AD3606" w:rsidRPr="00C0458D" w14:paraId="494B3B0D" w14:textId="77777777" w:rsidTr="0588DD0D">
        <w:trPr>
          <w:cantSplit/>
          <w:trHeight w:val="23"/>
        </w:trPr>
        <w:tc>
          <w:tcPr>
            <w:tcW w:w="3969" w:type="dxa"/>
            <w:vMerge/>
          </w:tcPr>
          <w:p w14:paraId="7A20805B"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4BE91EB1"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2AFF5C4C" w14:textId="77777777" w:rsidTr="0588DD0D">
        <w:trPr>
          <w:cantSplit/>
          <w:trHeight w:val="23"/>
        </w:trPr>
        <w:tc>
          <w:tcPr>
            <w:tcW w:w="3969" w:type="dxa"/>
          </w:tcPr>
          <w:p w14:paraId="662537E3" w14:textId="77777777" w:rsidR="00472BAD" w:rsidRPr="00C0458D" w:rsidRDefault="00472BAD" w:rsidP="00AD3606">
            <w:pPr>
              <w:tabs>
                <w:tab w:val="left" w:pos="851"/>
              </w:tabs>
              <w:spacing w:line="240" w:lineRule="atLeast"/>
              <w:rPr>
                <w:b/>
              </w:rPr>
            </w:pPr>
          </w:p>
        </w:tc>
        <w:tc>
          <w:tcPr>
            <w:tcW w:w="5245" w:type="dxa"/>
          </w:tcPr>
          <w:p w14:paraId="3CDDFB52" w14:textId="77777777" w:rsidR="00472BAD" w:rsidRPr="00C0458D" w:rsidRDefault="00472BAD" w:rsidP="00AD3606">
            <w:pPr>
              <w:tabs>
                <w:tab w:val="left" w:pos="851"/>
              </w:tabs>
              <w:spacing w:before="0" w:line="240" w:lineRule="atLeast"/>
              <w:jc w:val="right"/>
              <w:rPr>
                <w:b/>
              </w:rPr>
            </w:pPr>
          </w:p>
        </w:tc>
      </w:tr>
      <w:tr w:rsidR="007B5C8D" w:rsidRPr="00C0458D" w14:paraId="74E7A62D" w14:textId="77777777" w:rsidTr="0588DD0D">
        <w:trPr>
          <w:cantSplit/>
        </w:trPr>
        <w:tc>
          <w:tcPr>
            <w:tcW w:w="9214" w:type="dxa"/>
            <w:gridSpan w:val="2"/>
            <w:tcMar>
              <w:left w:w="0" w:type="dxa"/>
            </w:tcMar>
          </w:tcPr>
          <w:p w14:paraId="21848B7B" w14:textId="77367901" w:rsidR="007B5C8D" w:rsidRPr="00C0458D" w:rsidRDefault="007B5C8D" w:rsidP="007B5C8D">
            <w:pPr>
              <w:pStyle w:val="Source"/>
              <w:framePr w:hSpace="0" w:wrap="auto" w:vAnchor="margin" w:hAnchor="text" w:yAlign="inline"/>
            </w:pPr>
            <w:bookmarkStart w:id="8" w:name="dsource" w:colFirst="0" w:colLast="0"/>
            <w:bookmarkEnd w:id="7"/>
            <w:r w:rsidRPr="00E869F6">
              <w:t>Report by the Secretary-General</w:t>
            </w:r>
          </w:p>
        </w:tc>
      </w:tr>
      <w:tr w:rsidR="007B5C8D" w:rsidRPr="00C0458D" w14:paraId="08B211D1" w14:textId="77777777" w:rsidTr="0588DD0D">
        <w:trPr>
          <w:cantSplit/>
        </w:trPr>
        <w:tc>
          <w:tcPr>
            <w:tcW w:w="9214" w:type="dxa"/>
            <w:gridSpan w:val="2"/>
            <w:tcMar>
              <w:left w:w="0" w:type="dxa"/>
            </w:tcMar>
          </w:tcPr>
          <w:p w14:paraId="75DF0AE6" w14:textId="3D4582B5" w:rsidR="007B5C8D" w:rsidRPr="00176F47" w:rsidRDefault="004905C1" w:rsidP="007B5C8D">
            <w:pPr>
              <w:pStyle w:val="Subtitle"/>
              <w:framePr w:hSpace="0" w:wrap="auto" w:hAnchor="text" w:xAlign="left" w:yAlign="inline"/>
            </w:pPr>
            <w:bookmarkStart w:id="9" w:name="_Hlk164937547"/>
            <w:bookmarkStart w:id="10" w:name="dtitle1" w:colFirst="0" w:colLast="0"/>
            <w:bookmarkEnd w:id="8"/>
            <w:r>
              <w:t xml:space="preserve">STATUS REPORT ON </w:t>
            </w:r>
            <w:r w:rsidRPr="00E869F6">
              <w:t>ASSISTANCE AND SUPPORT TO PALESTINE</w:t>
            </w:r>
            <w:bookmarkEnd w:id="9"/>
          </w:p>
        </w:tc>
      </w:tr>
      <w:tr w:rsidR="007B5C8D" w:rsidRPr="00C0458D" w14:paraId="04CEEF05" w14:textId="77777777" w:rsidTr="0588DD0D">
        <w:trPr>
          <w:cantSplit/>
        </w:trPr>
        <w:tc>
          <w:tcPr>
            <w:tcW w:w="9214" w:type="dxa"/>
            <w:gridSpan w:val="2"/>
            <w:tcBorders>
              <w:top w:val="single" w:sz="4" w:space="0" w:color="auto"/>
              <w:bottom w:val="single" w:sz="4" w:space="0" w:color="auto"/>
            </w:tcBorders>
            <w:tcMar>
              <w:left w:w="0" w:type="dxa"/>
            </w:tcMar>
          </w:tcPr>
          <w:p w14:paraId="43E8EF43" w14:textId="77777777" w:rsidR="007B5C8D" w:rsidRPr="00E869F6" w:rsidRDefault="007B5C8D" w:rsidP="007B5C8D">
            <w:pPr>
              <w:spacing w:before="160"/>
              <w:rPr>
                <w:b/>
                <w:bCs/>
                <w:sz w:val="26"/>
                <w:szCs w:val="26"/>
              </w:rPr>
            </w:pPr>
            <w:r w:rsidRPr="00E869F6">
              <w:rPr>
                <w:b/>
                <w:bCs/>
                <w:sz w:val="26"/>
                <w:szCs w:val="26"/>
              </w:rPr>
              <w:t>Purpose</w:t>
            </w:r>
          </w:p>
          <w:p w14:paraId="5A2FA652" w14:textId="77777777" w:rsidR="007B5C8D" w:rsidRPr="00E869F6" w:rsidRDefault="007B5C8D" w:rsidP="007B5C8D">
            <w:pPr>
              <w:jc w:val="both"/>
            </w:pPr>
            <w:r w:rsidRPr="004C6E62">
              <w:rPr>
                <w:spacing w:val="-2"/>
              </w:rPr>
              <w:t>This document reports on the implementation of Resolution 1</w:t>
            </w:r>
            <w:r>
              <w:rPr>
                <w:spacing w:val="-2"/>
              </w:rPr>
              <w:t xml:space="preserve">424 of the Council. </w:t>
            </w:r>
          </w:p>
          <w:p w14:paraId="710C857B" w14:textId="77777777" w:rsidR="007B5C8D" w:rsidRPr="00E869F6" w:rsidRDefault="007B5C8D" w:rsidP="007B5C8D">
            <w:pPr>
              <w:spacing w:before="160"/>
              <w:rPr>
                <w:b/>
                <w:bCs/>
                <w:sz w:val="26"/>
                <w:szCs w:val="26"/>
              </w:rPr>
            </w:pPr>
            <w:r w:rsidRPr="00E869F6">
              <w:rPr>
                <w:b/>
                <w:bCs/>
                <w:sz w:val="26"/>
                <w:szCs w:val="26"/>
              </w:rPr>
              <w:t>Action required by the Council</w:t>
            </w:r>
          </w:p>
          <w:p w14:paraId="0869BCE4" w14:textId="66499347" w:rsidR="007B5C8D" w:rsidRPr="00E869F6" w:rsidRDefault="007B5C8D" w:rsidP="007B5C8D">
            <w:r>
              <w:t xml:space="preserve">The Council is invited to </w:t>
            </w:r>
            <w:r w:rsidR="1BD38634" w:rsidRPr="1E12DFF1">
              <w:rPr>
                <w:b/>
                <w:bCs/>
              </w:rPr>
              <w:t>consider</w:t>
            </w:r>
            <w:r w:rsidR="1BD38634">
              <w:t xml:space="preserve"> </w:t>
            </w:r>
            <w:r>
              <w:t>this report.</w:t>
            </w:r>
          </w:p>
          <w:p w14:paraId="5B803E62" w14:textId="77777777" w:rsidR="007B5C8D" w:rsidRPr="00E869F6" w:rsidRDefault="007B5C8D" w:rsidP="007B5C8D">
            <w:pPr>
              <w:spacing w:before="160"/>
              <w:rPr>
                <w:b/>
                <w:bCs/>
                <w:sz w:val="26"/>
                <w:szCs w:val="26"/>
              </w:rPr>
            </w:pPr>
            <w:r w:rsidRPr="00E869F6">
              <w:rPr>
                <w:b/>
                <w:bCs/>
                <w:sz w:val="26"/>
                <w:szCs w:val="26"/>
              </w:rPr>
              <w:t>Relevant link(s) with the Strategic Plan</w:t>
            </w:r>
          </w:p>
          <w:p w14:paraId="61E62159" w14:textId="77777777" w:rsidR="007B5C8D" w:rsidRPr="00E869F6" w:rsidRDefault="007B5C8D" w:rsidP="007B5C8D">
            <w:r w:rsidRPr="00E869F6">
              <w:t>Provision of Technical Assistance.</w:t>
            </w:r>
          </w:p>
          <w:p w14:paraId="549A34D0" w14:textId="77777777" w:rsidR="007B5C8D" w:rsidRPr="00E869F6" w:rsidRDefault="007B5C8D" w:rsidP="007B5C8D">
            <w:pPr>
              <w:spacing w:before="160"/>
              <w:rPr>
                <w:b/>
                <w:bCs/>
                <w:sz w:val="26"/>
                <w:szCs w:val="26"/>
              </w:rPr>
            </w:pPr>
            <w:r w:rsidRPr="00E869F6">
              <w:rPr>
                <w:b/>
                <w:bCs/>
                <w:sz w:val="26"/>
                <w:szCs w:val="26"/>
              </w:rPr>
              <w:t>Financial implications</w:t>
            </w:r>
          </w:p>
          <w:p w14:paraId="3AE8F577" w14:textId="45621A4D" w:rsidR="007B5C8D" w:rsidRPr="00E869F6" w:rsidRDefault="007B5C8D" w:rsidP="007B5C8D">
            <w:pPr>
              <w:spacing w:before="160"/>
            </w:pPr>
            <w:r>
              <w:t>Within the allocated budget 202</w:t>
            </w:r>
            <w:r w:rsidR="7088DB20">
              <w:t>4</w:t>
            </w:r>
            <w:r>
              <w:t>-202</w:t>
            </w:r>
            <w:r w:rsidR="7FD4104D">
              <w:t>5</w:t>
            </w:r>
            <w:r>
              <w:t>.</w:t>
            </w:r>
          </w:p>
          <w:p w14:paraId="161DB145" w14:textId="77777777" w:rsidR="007B5C8D" w:rsidRPr="00E869F6" w:rsidRDefault="007B5C8D" w:rsidP="007B5C8D">
            <w:pPr>
              <w:spacing w:before="160"/>
              <w:rPr>
                <w:caps/>
                <w:sz w:val="22"/>
              </w:rPr>
            </w:pPr>
            <w:r w:rsidRPr="00E869F6">
              <w:rPr>
                <w:sz w:val="22"/>
              </w:rPr>
              <w:t>__________________</w:t>
            </w:r>
          </w:p>
          <w:p w14:paraId="0C267225" w14:textId="77777777" w:rsidR="007B5C8D" w:rsidRPr="00E869F6" w:rsidRDefault="007B5C8D" w:rsidP="007B5C8D">
            <w:pPr>
              <w:spacing w:before="160"/>
              <w:rPr>
                <w:b/>
                <w:bCs/>
                <w:sz w:val="26"/>
                <w:szCs w:val="26"/>
              </w:rPr>
            </w:pPr>
            <w:r w:rsidRPr="00E869F6">
              <w:rPr>
                <w:b/>
                <w:bCs/>
                <w:sz w:val="26"/>
                <w:szCs w:val="26"/>
              </w:rPr>
              <w:t>References</w:t>
            </w:r>
          </w:p>
          <w:p w14:paraId="2253D2E9" w14:textId="184F73AB" w:rsidR="007B5C8D" w:rsidRPr="00577C3F" w:rsidRDefault="007A595C" w:rsidP="007B5C8D">
            <w:pPr>
              <w:spacing w:after="160"/>
              <w:rPr>
                <w:i/>
                <w:iCs/>
                <w:sz w:val="22"/>
                <w:szCs w:val="22"/>
              </w:rPr>
            </w:pPr>
            <w:hyperlink r:id="rId11" w:history="1">
              <w:r w:rsidRPr="00577C3F">
                <w:rPr>
                  <w:rStyle w:val="Hyperlink"/>
                  <w:i/>
                  <w:iCs/>
                  <w:sz w:val="22"/>
                  <w:szCs w:val="22"/>
                </w:rPr>
                <w:t>Resolution 1424 (C24)</w:t>
              </w:r>
            </w:hyperlink>
            <w:r w:rsidRPr="00577C3F">
              <w:rPr>
                <w:i/>
                <w:iCs/>
                <w:sz w:val="22"/>
                <w:szCs w:val="22"/>
              </w:rPr>
              <w:t xml:space="preserve"> of the Council</w:t>
            </w:r>
          </w:p>
        </w:tc>
      </w:tr>
    </w:tbl>
    <w:p w14:paraId="11B4330A"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4916BE28"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1"/>
    <w:p w14:paraId="5AF081DB" w14:textId="77777777" w:rsidR="007B5C8D" w:rsidRPr="002070D5" w:rsidRDefault="007B5C8D" w:rsidP="0010792B">
      <w:pPr>
        <w:pStyle w:val="Headingb"/>
        <w:spacing w:before="120" w:after="120"/>
      </w:pPr>
      <w:r w:rsidRPr="002070D5">
        <w:lastRenderedPageBreak/>
        <w:t>Background</w:t>
      </w:r>
    </w:p>
    <w:p w14:paraId="33C2F175" w14:textId="69890480" w:rsidR="00444C4D" w:rsidRDefault="007B5C8D" w:rsidP="0010792B">
      <w:pPr>
        <w:spacing w:after="120"/>
        <w:jc w:val="both"/>
      </w:pPr>
      <w:r w:rsidRPr="002070D5">
        <w:t>This document reports on the implementation of</w:t>
      </w:r>
      <w:r w:rsidR="002070D5">
        <w:t xml:space="preserve"> </w:t>
      </w:r>
      <w:r w:rsidRPr="002070D5">
        <w:t xml:space="preserve">Resolution 1424 </w:t>
      </w:r>
      <w:r w:rsidR="00444453">
        <w:t xml:space="preserve">(C24) </w:t>
      </w:r>
      <w:r w:rsidRPr="002070D5">
        <w:t>of the ITU Council</w:t>
      </w:r>
      <w:r w:rsidR="004905C1">
        <w:t>,</w:t>
      </w:r>
      <w:r w:rsidRPr="002070D5">
        <w:t xml:space="preserve"> which called for </w:t>
      </w:r>
      <w:r w:rsidR="00444C4D" w:rsidRPr="002070D5">
        <w:t xml:space="preserve">the Secretary-General to coordinate the activities of the three Sectors of the Union and to provide a report on the </w:t>
      </w:r>
      <w:r w:rsidR="00717C4B" w:rsidRPr="002070D5">
        <w:t xml:space="preserve">matter </w:t>
      </w:r>
      <w:r w:rsidR="00444C4D" w:rsidRPr="002070D5">
        <w:t>to the Council session in 2025</w:t>
      </w:r>
      <w:r w:rsidR="00CB192A">
        <w:t xml:space="preserve">. </w:t>
      </w:r>
    </w:p>
    <w:p w14:paraId="0BFB3394" w14:textId="46453DAD" w:rsidR="00AF104E" w:rsidRPr="0010792B" w:rsidRDefault="00AF104E" w:rsidP="0010792B">
      <w:pPr>
        <w:spacing w:after="120"/>
        <w:jc w:val="both"/>
        <w:rPr>
          <w:b/>
          <w:bCs/>
        </w:rPr>
      </w:pPr>
      <w:r w:rsidRPr="0010792B">
        <w:rPr>
          <w:b/>
          <w:bCs/>
        </w:rPr>
        <w:t>The Context</w:t>
      </w:r>
    </w:p>
    <w:p w14:paraId="0D2959AD" w14:textId="14E9E5AE" w:rsidR="00AF104E" w:rsidRPr="00CF4689" w:rsidRDefault="00016CFB" w:rsidP="0010792B">
      <w:pPr>
        <w:spacing w:after="120"/>
        <w:jc w:val="both"/>
      </w:pPr>
      <w:r w:rsidRPr="00016CFB">
        <w:t xml:space="preserve">As per the updates of the Emergency Telecommunications Cluster, </w:t>
      </w:r>
      <w:r>
        <w:t>t</w:t>
      </w:r>
      <w:r w:rsidR="00AF104E" w:rsidRPr="00CF4689">
        <w:t xml:space="preserve">he ICT sector in Palestine, continues to face </w:t>
      </w:r>
      <w:r w:rsidR="00DD053E">
        <w:t>significant</w:t>
      </w:r>
      <w:r w:rsidR="00FB2415">
        <w:t xml:space="preserve"> </w:t>
      </w:r>
      <w:r w:rsidR="00AF104E" w:rsidRPr="00CF4689">
        <w:t xml:space="preserve">developmental and infrastructural challenges, with mobile broadband being </w:t>
      </w:r>
      <w:r w:rsidR="009C6CBA">
        <w:t xml:space="preserve">particularly </w:t>
      </w:r>
      <w:r w:rsidR="00AF104E" w:rsidRPr="00CF4689">
        <w:t xml:space="preserve">affected. At present, mobile data services in Gaza are unavailable, and voice connectivity is limited to satellite and partially operational networks. Internet access </w:t>
      </w:r>
      <w:r w:rsidR="00AF104E">
        <w:t>is</w:t>
      </w:r>
      <w:r w:rsidR="000E476B">
        <w:t xml:space="preserve"> also</w:t>
      </w:r>
      <w:r w:rsidR="00AF104E">
        <w:t xml:space="preserve"> limited</w:t>
      </w:r>
      <w:r w:rsidR="00C24713">
        <w:t>,</w:t>
      </w:r>
      <w:r w:rsidR="00AF104E">
        <w:t xml:space="preserve"> impacting </w:t>
      </w:r>
      <w:r w:rsidR="00AF104E" w:rsidRPr="00CF4689">
        <w:t>humanitarian operations and public communication.</w:t>
      </w:r>
    </w:p>
    <w:p w14:paraId="7A8B3A9A" w14:textId="6C1D0F5D" w:rsidR="00AF104E" w:rsidRDefault="00AF104E" w:rsidP="0010792B">
      <w:pPr>
        <w:spacing w:after="120"/>
        <w:jc w:val="both"/>
      </w:pPr>
      <w:r>
        <w:t>According to the World Bank, damage to ICT infrastructure has reached U</w:t>
      </w:r>
      <w:r w:rsidRPr="00CF4689">
        <w:t>S</w:t>
      </w:r>
      <w:r w:rsidR="0010792B">
        <w:t>D </w:t>
      </w:r>
      <w:r w:rsidRPr="00CF4689">
        <w:t>164 million.</w:t>
      </w:r>
      <w:r w:rsidR="00335A96">
        <w:rPr>
          <w:rStyle w:val="FootnoteReference"/>
        </w:rPr>
        <w:footnoteReference w:id="2"/>
      </w:r>
      <w:r w:rsidRPr="00CF4689">
        <w:t xml:space="preserve"> Of the affected assets, 74% are reported destroyed, 16% partially damaged, and 10% minimally impacted.</w:t>
      </w:r>
      <w:r w:rsidR="000E476B">
        <w:rPr>
          <w:rStyle w:val="FootnoteReference"/>
        </w:rPr>
        <w:footnoteReference w:id="3"/>
      </w:r>
      <w:r w:rsidRPr="00CF4689">
        <w:t xml:space="preserve"> </w:t>
      </w:r>
      <w:r>
        <w:t xml:space="preserve">Further, the World Bank projects </w:t>
      </w:r>
      <w:r w:rsidRPr="00CF4689">
        <w:t xml:space="preserve">reconstruction, and recovery needs </w:t>
      </w:r>
      <w:r>
        <w:t xml:space="preserve">to be </w:t>
      </w:r>
      <w:r w:rsidRPr="00CF4689">
        <w:t>US</w:t>
      </w:r>
      <w:r w:rsidR="0010792B">
        <w:t>D </w:t>
      </w:r>
      <w:r w:rsidRPr="00CF4689">
        <w:t>460 million</w:t>
      </w:r>
      <w:r>
        <w:t xml:space="preserve"> </w:t>
      </w:r>
      <w:r w:rsidRPr="00CF4689">
        <w:t>comprising US</w:t>
      </w:r>
      <w:r w:rsidR="0010792B">
        <w:t>D </w:t>
      </w:r>
      <w:r w:rsidRPr="00CF4689">
        <w:t xml:space="preserve">116 million for immediate restoration of mobile towers, </w:t>
      </w:r>
      <w:proofErr w:type="spellStart"/>
      <w:r w:rsidRPr="00CF4689">
        <w:t>fiber</w:t>
      </w:r>
      <w:proofErr w:type="spellEnd"/>
      <w:r w:rsidRPr="00CF4689">
        <w:t xml:space="preserve"> optics, and essential services, and US</w:t>
      </w:r>
      <w:r w:rsidR="0010792B">
        <w:t>D </w:t>
      </w:r>
      <w:r w:rsidRPr="00CF4689">
        <w:t>344 million for long-term resilience and rebuilding efforts.</w:t>
      </w:r>
      <w:r w:rsidR="00C44B67">
        <w:rPr>
          <w:rStyle w:val="FootnoteReference"/>
        </w:rPr>
        <w:footnoteReference w:id="4"/>
      </w:r>
      <w:r w:rsidR="00C24713">
        <w:t xml:space="preserve"> </w:t>
      </w:r>
      <w:r>
        <w:t xml:space="preserve">Ongoing challenges faced </w:t>
      </w:r>
      <w:r w:rsidR="00C24713">
        <w:t xml:space="preserve">by the telecommunication sector </w:t>
      </w:r>
      <w:r>
        <w:t>are</w:t>
      </w:r>
      <w:r w:rsidRPr="00CF4689">
        <w:t xml:space="preserve"> access to spare parts and ongoing fuel shortages, which are critical for </w:t>
      </w:r>
      <w:r>
        <w:t xml:space="preserve">running towers and </w:t>
      </w:r>
      <w:r w:rsidRPr="00CF4689">
        <w:t>backup systems</w:t>
      </w:r>
      <w:r>
        <w:t xml:space="preserve">. </w:t>
      </w:r>
    </w:p>
    <w:p w14:paraId="2896EB9B" w14:textId="31B5B8AA" w:rsidR="007B5C8D" w:rsidRPr="002070D5" w:rsidRDefault="007B5C8D" w:rsidP="0010792B">
      <w:pPr>
        <w:pStyle w:val="Headingb"/>
        <w:spacing w:before="120" w:after="120"/>
      </w:pPr>
      <w:r w:rsidRPr="002070D5">
        <w:t>Actions taken by ITU</w:t>
      </w:r>
    </w:p>
    <w:p w14:paraId="3A104238" w14:textId="77777777" w:rsidR="00505A9B" w:rsidRDefault="00505A9B" w:rsidP="0010792B">
      <w:pPr>
        <w:spacing w:after="120"/>
      </w:pPr>
      <w:r>
        <w:t xml:space="preserve">Despite the challenges </w:t>
      </w:r>
      <w:r w:rsidRPr="00CD3263">
        <w:t xml:space="preserve">outlined above, the ITU has continued its efforts over the past year toward the implementation of the resolution. </w:t>
      </w:r>
      <w:r>
        <w:t>P</w:t>
      </w:r>
      <w:r w:rsidRPr="00CD3263">
        <w:t>rogress has been made in addressing the following areas:</w:t>
      </w:r>
    </w:p>
    <w:p w14:paraId="721EF396" w14:textId="788205C0" w:rsidR="007A37F0" w:rsidRPr="004905C1" w:rsidRDefault="004905C1" w:rsidP="0010792B">
      <w:pPr>
        <w:pStyle w:val="enumlev1"/>
        <w:spacing w:before="120" w:after="120"/>
        <w:jc w:val="both"/>
      </w:pPr>
      <w:r w:rsidRPr="002070D5">
        <w:rPr>
          <w:rFonts w:asciiTheme="minorHAnsi" w:eastAsiaTheme="minorHAnsi" w:hAnsiTheme="minorHAnsi"/>
          <w:kern w:val="2"/>
          <w:szCs w:val="24"/>
          <w14:ligatures w14:val="standardContextual"/>
        </w:rPr>
        <w:t>1)</w:t>
      </w:r>
      <w:r w:rsidRPr="002070D5">
        <w:rPr>
          <w:rFonts w:asciiTheme="minorHAnsi" w:eastAsiaTheme="minorHAnsi" w:hAnsiTheme="minorHAnsi"/>
          <w:kern w:val="2"/>
          <w:szCs w:val="24"/>
          <w14:ligatures w14:val="standardContextual"/>
        </w:rPr>
        <w:tab/>
      </w:r>
      <w:r w:rsidR="007A37F0" w:rsidRPr="004905C1">
        <w:t>Coordination</w:t>
      </w:r>
    </w:p>
    <w:p w14:paraId="409DE065" w14:textId="5C956D92" w:rsidR="002070D5" w:rsidRPr="002070D5" w:rsidRDefault="00444453" w:rsidP="0010792B">
      <w:pPr>
        <w:pStyle w:val="enumlev1"/>
        <w:spacing w:before="120" w:after="120"/>
        <w:jc w:val="both"/>
      </w:pPr>
      <w:r>
        <w:tab/>
      </w:r>
      <w:r w:rsidR="00DE4257" w:rsidRPr="00DE4257">
        <w:t>An Inter-Sectoral Task Force was established to ensure a coordinated and effective implementation of Resolution 1424 across the ITU. The Task Force focused on three key objectives:</w:t>
      </w:r>
    </w:p>
    <w:p w14:paraId="654E8EC8" w14:textId="58D3B487" w:rsidR="002070D5" w:rsidRPr="004905C1" w:rsidRDefault="004905C1" w:rsidP="0010792B">
      <w:pPr>
        <w:pStyle w:val="enumlev2"/>
        <w:spacing w:before="120" w:after="60"/>
        <w:jc w:val="both"/>
      </w:pPr>
      <w:r w:rsidRPr="002070D5">
        <w:rPr>
          <w:rFonts w:asciiTheme="minorHAnsi" w:eastAsiaTheme="minorHAnsi" w:hAnsiTheme="minorHAnsi"/>
          <w:kern w:val="2"/>
          <w:szCs w:val="24"/>
          <w14:ligatures w14:val="standardContextual"/>
        </w:rPr>
        <w:t>i.</w:t>
      </w:r>
      <w:r w:rsidRPr="002070D5">
        <w:rPr>
          <w:rFonts w:asciiTheme="minorHAnsi" w:eastAsiaTheme="minorHAnsi" w:hAnsiTheme="minorHAnsi"/>
          <w:kern w:val="2"/>
          <w:szCs w:val="24"/>
          <w14:ligatures w14:val="standardContextual"/>
        </w:rPr>
        <w:tab/>
      </w:r>
      <w:r w:rsidR="00EF5947">
        <w:t>e</w:t>
      </w:r>
      <w:r w:rsidR="00DE4257" w:rsidRPr="004905C1">
        <w:t>valuating the impact of the conflict in Palestine on ITU program</w:t>
      </w:r>
      <w:r w:rsidR="00EF5947">
        <w:t>me</w:t>
      </w:r>
      <w:r w:rsidR="00DE4257" w:rsidRPr="004905C1">
        <w:t xml:space="preserve">s and activities in the </w:t>
      </w:r>
      <w:proofErr w:type="gramStart"/>
      <w:r w:rsidR="00DE4257" w:rsidRPr="004905C1">
        <w:t>region;</w:t>
      </w:r>
      <w:proofErr w:type="gramEnd"/>
    </w:p>
    <w:p w14:paraId="28C36051" w14:textId="39A85556" w:rsidR="002070D5" w:rsidRPr="004905C1" w:rsidRDefault="004905C1" w:rsidP="0010792B">
      <w:pPr>
        <w:pStyle w:val="enumlev2"/>
        <w:spacing w:before="60" w:after="60"/>
        <w:jc w:val="both"/>
      </w:pPr>
      <w:r w:rsidRPr="002070D5">
        <w:rPr>
          <w:rFonts w:asciiTheme="minorHAnsi" w:eastAsiaTheme="minorHAnsi" w:hAnsiTheme="minorHAnsi"/>
          <w:kern w:val="2"/>
          <w:szCs w:val="24"/>
          <w14:ligatures w14:val="standardContextual"/>
        </w:rPr>
        <w:t>ii.</w:t>
      </w:r>
      <w:r w:rsidRPr="002070D5">
        <w:rPr>
          <w:rFonts w:asciiTheme="minorHAnsi" w:eastAsiaTheme="minorHAnsi" w:hAnsiTheme="minorHAnsi"/>
          <w:kern w:val="2"/>
          <w:szCs w:val="24"/>
          <w14:ligatures w14:val="standardContextual"/>
        </w:rPr>
        <w:tab/>
      </w:r>
      <w:r w:rsidR="00EF5947">
        <w:t>m</w:t>
      </w:r>
      <w:r w:rsidR="00DE4257" w:rsidRPr="004905C1">
        <w:t>obilizing the necessary financial, technical, and human resources to support recovery efforts; and</w:t>
      </w:r>
    </w:p>
    <w:p w14:paraId="12F0195A" w14:textId="3CED5718" w:rsidR="00DE4257" w:rsidRPr="004905C1" w:rsidRDefault="004905C1" w:rsidP="0010792B">
      <w:pPr>
        <w:pStyle w:val="enumlev2"/>
        <w:spacing w:before="60" w:after="120"/>
        <w:jc w:val="both"/>
      </w:pPr>
      <w:r w:rsidRPr="002070D5">
        <w:rPr>
          <w:rFonts w:asciiTheme="minorHAnsi" w:eastAsiaTheme="minorHAnsi" w:hAnsiTheme="minorHAnsi"/>
          <w:kern w:val="2"/>
          <w:szCs w:val="24"/>
          <w14:ligatures w14:val="standardContextual"/>
        </w:rPr>
        <w:t>iii.</w:t>
      </w:r>
      <w:r w:rsidRPr="002070D5">
        <w:rPr>
          <w:rFonts w:asciiTheme="minorHAnsi" w:eastAsiaTheme="minorHAnsi" w:hAnsiTheme="minorHAnsi"/>
          <w:kern w:val="2"/>
          <w:szCs w:val="24"/>
          <w14:ligatures w14:val="standardContextual"/>
        </w:rPr>
        <w:tab/>
      </w:r>
      <w:r w:rsidR="00EF5947">
        <w:t>t</w:t>
      </w:r>
      <w:r w:rsidR="00DE4257" w:rsidRPr="004905C1">
        <w:t>racking and coordinating progress in the implementation of the resolution, ensuring transparency and alignment with ITU’s overall objectives.</w:t>
      </w:r>
    </w:p>
    <w:p w14:paraId="20093FDA" w14:textId="6E8B53BF" w:rsidR="00DE4257" w:rsidRPr="00DE4257" w:rsidRDefault="00257747" w:rsidP="0010792B">
      <w:pPr>
        <w:pStyle w:val="enumlev1"/>
        <w:spacing w:before="120" w:after="120"/>
        <w:jc w:val="both"/>
      </w:pPr>
      <w:r>
        <w:tab/>
      </w:r>
      <w:r w:rsidR="00DE4257" w:rsidRPr="00DE4257">
        <w:t xml:space="preserve">Chaired by the Deputy Secretary-General, the Task Force included the Director of the ITU Regional Office for the Arab States and representatives from each </w:t>
      </w:r>
      <w:r w:rsidR="00EF5947">
        <w:t>S</w:t>
      </w:r>
      <w:r w:rsidR="00DE4257" w:rsidRPr="00DE4257">
        <w:t xml:space="preserve">ector of the </w:t>
      </w:r>
      <w:r w:rsidR="00EF5947">
        <w:t>Union</w:t>
      </w:r>
      <w:r w:rsidR="00DE4257" w:rsidRPr="00DE4257">
        <w:t>.</w:t>
      </w:r>
    </w:p>
    <w:p w14:paraId="56EF337E" w14:textId="14FC12C3" w:rsidR="007B5C8D" w:rsidRPr="004905C1" w:rsidRDefault="004905C1" w:rsidP="0010792B">
      <w:pPr>
        <w:pStyle w:val="enumlev1"/>
        <w:keepNext/>
        <w:keepLines/>
        <w:spacing w:before="120" w:after="120"/>
      </w:pPr>
      <w:r w:rsidRPr="002070D5">
        <w:rPr>
          <w:rFonts w:asciiTheme="minorHAnsi" w:eastAsiaTheme="minorHAnsi" w:hAnsiTheme="minorHAnsi"/>
          <w:kern w:val="2"/>
          <w:szCs w:val="24"/>
          <w14:ligatures w14:val="standardContextual"/>
        </w:rPr>
        <w:lastRenderedPageBreak/>
        <w:t>2)</w:t>
      </w:r>
      <w:r w:rsidRPr="002070D5">
        <w:rPr>
          <w:rFonts w:asciiTheme="minorHAnsi" w:eastAsiaTheme="minorHAnsi" w:hAnsiTheme="minorHAnsi"/>
          <w:kern w:val="2"/>
          <w:szCs w:val="24"/>
          <w14:ligatures w14:val="standardContextual"/>
        </w:rPr>
        <w:tab/>
      </w:r>
      <w:r w:rsidR="007B5C8D" w:rsidRPr="004905C1">
        <w:t xml:space="preserve">Emergency Telecommunications Cluster (ETC) </w:t>
      </w:r>
      <w:r w:rsidR="00257747" w:rsidRPr="004905C1">
        <w:t>activities</w:t>
      </w:r>
    </w:p>
    <w:p w14:paraId="16CBA5B4" w14:textId="445981B7" w:rsidR="007B5C8D" w:rsidRDefault="00257747" w:rsidP="0010792B">
      <w:pPr>
        <w:pStyle w:val="enumlev1"/>
        <w:keepNext/>
        <w:keepLines/>
        <w:spacing w:before="120" w:after="120"/>
        <w:jc w:val="both"/>
        <w:rPr>
          <w:rFonts w:cstheme="minorBidi"/>
        </w:rPr>
      </w:pPr>
      <w:r>
        <w:rPr>
          <w:rFonts w:cstheme="minorHAnsi"/>
        </w:rPr>
        <w:tab/>
      </w:r>
      <w:r w:rsidR="00CE7D32" w:rsidRPr="231A727C">
        <w:rPr>
          <w:rFonts w:cstheme="minorBidi"/>
        </w:rPr>
        <w:t>In close coordination with the Emergency Telecommunications Cluster (ETC) of the United Nations</w:t>
      </w:r>
      <w:r w:rsidR="28F1594C" w:rsidRPr="231A727C">
        <w:rPr>
          <w:rFonts w:cstheme="minorBidi"/>
        </w:rPr>
        <w:t>, coordinated by</w:t>
      </w:r>
      <w:r w:rsidR="00CE7D32" w:rsidRPr="231A727C">
        <w:rPr>
          <w:rFonts w:cstheme="minorBidi"/>
        </w:rPr>
        <w:t xml:space="preserve"> the World Food Programme, ITU has been working to facilitate the delivery of satellite </w:t>
      </w:r>
      <w:r w:rsidR="00CE7D32" w:rsidRPr="00444453">
        <w:t>phones</w:t>
      </w:r>
      <w:r w:rsidR="00CE7D32" w:rsidRPr="231A727C">
        <w:rPr>
          <w:rFonts w:cstheme="minorBidi"/>
        </w:rPr>
        <w:t xml:space="preserve"> to Gaza, Palestine. This critical initiative supports the continuity of essential communication services in the region, helping to ensure that UN agencies and humanitarian organizations have reliable communication networks to carry out their relief operations effectively.</w:t>
      </w:r>
    </w:p>
    <w:p w14:paraId="6A08DFCB" w14:textId="6DC14DA8" w:rsidR="007B5C8D" w:rsidRPr="004905C1" w:rsidRDefault="003E2935" w:rsidP="0010792B">
      <w:pPr>
        <w:pStyle w:val="enumlev1"/>
        <w:spacing w:before="120" w:after="120"/>
      </w:pPr>
      <w:r>
        <w:rPr>
          <w:rFonts w:asciiTheme="minorHAnsi" w:eastAsiaTheme="minorHAnsi" w:hAnsiTheme="minorHAnsi"/>
          <w:kern w:val="2"/>
          <w:szCs w:val="24"/>
          <w14:ligatures w14:val="standardContextual"/>
        </w:rPr>
        <w:t>3</w:t>
      </w:r>
      <w:r w:rsidR="004905C1" w:rsidRPr="002070D5">
        <w:rPr>
          <w:rFonts w:asciiTheme="minorHAnsi" w:eastAsiaTheme="minorHAnsi" w:hAnsiTheme="minorHAnsi"/>
          <w:kern w:val="2"/>
          <w:szCs w:val="24"/>
          <w14:ligatures w14:val="standardContextual"/>
        </w:rPr>
        <w:t>)</w:t>
      </w:r>
      <w:r w:rsidR="004905C1" w:rsidRPr="002070D5">
        <w:rPr>
          <w:rFonts w:asciiTheme="minorHAnsi" w:eastAsiaTheme="minorHAnsi" w:hAnsiTheme="minorHAnsi"/>
          <w:kern w:val="2"/>
          <w:szCs w:val="24"/>
          <w14:ligatures w14:val="standardContextual"/>
        </w:rPr>
        <w:tab/>
      </w:r>
      <w:r w:rsidR="007B5C8D" w:rsidRPr="004905C1">
        <w:t xml:space="preserve">Interim </w:t>
      </w:r>
      <w:r w:rsidR="00257747" w:rsidRPr="004905C1">
        <w:t>damage assessment</w:t>
      </w:r>
    </w:p>
    <w:p w14:paraId="7ADB48C7" w14:textId="352D5124" w:rsidR="00972DAB" w:rsidRPr="002070D5" w:rsidRDefault="00257747" w:rsidP="0010792B">
      <w:pPr>
        <w:pStyle w:val="enumlev1"/>
        <w:spacing w:before="120" w:after="120"/>
        <w:jc w:val="both"/>
        <w:rPr>
          <w:rFonts w:cstheme="minorHAnsi"/>
          <w:lang w:eastAsia="en-GB"/>
        </w:rPr>
      </w:pPr>
      <w:r>
        <w:rPr>
          <w:rFonts w:cstheme="minorHAnsi"/>
          <w:lang w:eastAsia="en-GB"/>
        </w:rPr>
        <w:tab/>
      </w:r>
      <w:r w:rsidR="00972DAB" w:rsidRPr="002070D5">
        <w:rPr>
          <w:rFonts w:cstheme="minorHAnsi"/>
          <w:lang w:eastAsia="en-GB"/>
        </w:rPr>
        <w:t>ITU has</w:t>
      </w:r>
      <w:r w:rsidR="00B9052D">
        <w:rPr>
          <w:rFonts w:cstheme="minorHAnsi"/>
          <w:lang w:eastAsia="en-GB"/>
        </w:rPr>
        <w:t xml:space="preserve"> established mechanisms for </w:t>
      </w:r>
      <w:r w:rsidR="00584DBC">
        <w:rPr>
          <w:rFonts w:cstheme="minorHAnsi"/>
          <w:lang w:eastAsia="en-GB"/>
        </w:rPr>
        <w:t>regular coordination and</w:t>
      </w:r>
      <w:r w:rsidR="00972DAB" w:rsidRPr="002070D5">
        <w:rPr>
          <w:rFonts w:cstheme="minorHAnsi"/>
          <w:lang w:eastAsia="en-GB"/>
        </w:rPr>
        <w:t xml:space="preserve"> collaborated with various international organizations, including the World Bank and the United Nations, to support comprehensive damage assessments of </w:t>
      </w:r>
      <w:r w:rsidR="00972DAB" w:rsidRPr="00444453">
        <w:t>telecommunication</w:t>
      </w:r>
      <w:r w:rsidR="00972DAB" w:rsidRPr="002070D5">
        <w:rPr>
          <w:rFonts w:cstheme="minorHAnsi"/>
          <w:lang w:eastAsia="en-GB"/>
        </w:rPr>
        <w:t xml:space="preserve"> infrastructure in Palestine. These assessments rely on remote data collection to evaluate damage across sectors, providing preliminary estimates of both physical and financial losses. The findings will inform the development of a broader reconstruction plan, including </w:t>
      </w:r>
      <w:r w:rsidR="00B9052D">
        <w:rPr>
          <w:rFonts w:cstheme="minorHAnsi"/>
          <w:lang w:eastAsia="en-GB"/>
        </w:rPr>
        <w:t xml:space="preserve">for </w:t>
      </w:r>
      <w:r w:rsidR="00972DAB" w:rsidRPr="002070D5">
        <w:rPr>
          <w:rFonts w:cstheme="minorHAnsi"/>
          <w:lang w:eastAsia="en-GB"/>
        </w:rPr>
        <w:t xml:space="preserve">the </w:t>
      </w:r>
      <w:r w:rsidR="00475085" w:rsidRPr="002070D5">
        <w:rPr>
          <w:rFonts w:cstheme="minorHAnsi"/>
          <w:lang w:eastAsia="en-GB"/>
        </w:rPr>
        <w:t xml:space="preserve">ICT </w:t>
      </w:r>
      <w:r w:rsidR="00972DAB" w:rsidRPr="002070D5">
        <w:rPr>
          <w:rFonts w:cstheme="minorHAnsi"/>
          <w:lang w:eastAsia="en-GB"/>
        </w:rPr>
        <w:t>sector.</w:t>
      </w:r>
    </w:p>
    <w:p w14:paraId="4983EB5C" w14:textId="71D1B923" w:rsidR="00972DAB" w:rsidRPr="002070D5" w:rsidRDefault="00257747" w:rsidP="0010792B">
      <w:pPr>
        <w:pStyle w:val="enumlev1"/>
        <w:spacing w:before="120" w:after="120"/>
        <w:jc w:val="both"/>
        <w:rPr>
          <w:rFonts w:cstheme="minorHAnsi"/>
          <w:lang w:eastAsia="en-GB"/>
        </w:rPr>
      </w:pPr>
      <w:r>
        <w:rPr>
          <w:rFonts w:cstheme="minorHAnsi"/>
          <w:lang w:eastAsia="en-GB"/>
        </w:rPr>
        <w:tab/>
      </w:r>
      <w:r w:rsidR="00972DAB" w:rsidRPr="002070D5">
        <w:rPr>
          <w:rFonts w:cstheme="minorHAnsi"/>
          <w:lang w:eastAsia="en-GB"/>
        </w:rPr>
        <w:t xml:space="preserve">Following the adoption of Resolution 1424, the ITU Deputy Secretary-General, in coordination with the ITU Regional Office for the Arab States, held a series of consultation and coordination meetings with the Palestinian Ministry of Telecommunications and Information </w:t>
      </w:r>
      <w:r w:rsidR="00972DAB" w:rsidRPr="00444453">
        <w:t>Technology</w:t>
      </w:r>
      <w:r w:rsidR="00972DAB" w:rsidRPr="002070D5">
        <w:rPr>
          <w:rFonts w:cstheme="minorHAnsi"/>
          <w:lang w:eastAsia="en-GB"/>
        </w:rPr>
        <w:t xml:space="preserve">, as well as other key stakeholders such as mobile network operators and representatives from </w:t>
      </w:r>
      <w:r w:rsidR="00197273" w:rsidRPr="002070D5">
        <w:rPr>
          <w:rFonts w:cstheme="minorHAnsi"/>
          <w:lang w:eastAsia="en-GB"/>
        </w:rPr>
        <w:t>United Nations Office for the Coordination of Humanitarian Affairs (</w:t>
      </w:r>
      <w:r w:rsidR="00972DAB" w:rsidRPr="002070D5">
        <w:rPr>
          <w:rFonts w:cstheme="minorHAnsi"/>
          <w:lang w:eastAsia="en-GB"/>
        </w:rPr>
        <w:t>UNOCHA</w:t>
      </w:r>
      <w:r w:rsidR="00197273" w:rsidRPr="002070D5">
        <w:rPr>
          <w:rFonts w:cstheme="minorHAnsi"/>
          <w:lang w:eastAsia="en-GB"/>
        </w:rPr>
        <w:t>)</w:t>
      </w:r>
      <w:r w:rsidR="00972DAB" w:rsidRPr="002070D5">
        <w:rPr>
          <w:rFonts w:cstheme="minorHAnsi"/>
          <w:lang w:eastAsia="en-GB"/>
        </w:rPr>
        <w:t>. These meetings aimed to assess the current situation on the ground and to identify how and when ITU can best support the implementation of the resolution.</w:t>
      </w:r>
    </w:p>
    <w:p w14:paraId="083D82D0" w14:textId="2BCD1168" w:rsidR="007B5C8D" w:rsidRPr="00533950" w:rsidRDefault="003E2935" w:rsidP="0010792B">
      <w:pPr>
        <w:pStyle w:val="enumlev1"/>
        <w:spacing w:before="120" w:after="120"/>
      </w:pPr>
      <w:r>
        <w:rPr>
          <w:rFonts w:asciiTheme="minorHAnsi" w:eastAsiaTheme="minorHAnsi" w:hAnsiTheme="minorHAnsi"/>
          <w:kern w:val="2"/>
          <w:szCs w:val="24"/>
          <w14:ligatures w14:val="standardContextual"/>
        </w:rPr>
        <w:t>4</w:t>
      </w:r>
      <w:r w:rsidR="004905C1" w:rsidRPr="002070D5">
        <w:rPr>
          <w:rFonts w:asciiTheme="minorHAnsi" w:eastAsiaTheme="minorHAnsi" w:hAnsiTheme="minorHAnsi"/>
          <w:kern w:val="2"/>
          <w:szCs w:val="24"/>
          <w14:ligatures w14:val="standardContextual"/>
        </w:rPr>
        <w:t>)</w:t>
      </w:r>
      <w:r w:rsidR="004905C1" w:rsidRPr="002070D5">
        <w:rPr>
          <w:rFonts w:asciiTheme="minorHAnsi" w:eastAsiaTheme="minorHAnsi" w:hAnsiTheme="minorHAnsi"/>
          <w:kern w:val="2"/>
          <w:szCs w:val="24"/>
          <w14:ligatures w14:val="standardContextual"/>
        </w:rPr>
        <w:tab/>
      </w:r>
      <w:r w:rsidR="007B5C8D" w:rsidRPr="004905C1">
        <w:t>Initiatives related to implementing</w:t>
      </w:r>
      <w:r w:rsidR="00257747">
        <w:t xml:space="preserve"> </w:t>
      </w:r>
      <w:r w:rsidR="00257747" w:rsidRPr="00533950">
        <w:t>Resolution</w:t>
      </w:r>
      <w:r w:rsidR="007B5C8D" w:rsidRPr="00533950">
        <w:t xml:space="preserve"> </w:t>
      </w:r>
      <w:r w:rsidR="00257747" w:rsidRPr="00533950">
        <w:rPr>
          <w:rFonts w:asciiTheme="minorHAnsi" w:hAnsiTheme="minorHAnsi" w:cstheme="minorHAnsi"/>
        </w:rPr>
        <w:t>12 (Rev.</w:t>
      </w:r>
      <w:r w:rsidR="00533950" w:rsidRPr="00533950">
        <w:rPr>
          <w:rFonts w:asciiTheme="minorHAnsi" w:hAnsiTheme="minorHAnsi" w:cstheme="minorHAnsi"/>
        </w:rPr>
        <w:t xml:space="preserve"> </w:t>
      </w:r>
      <w:r w:rsidR="00257747" w:rsidRPr="00533950">
        <w:rPr>
          <w:rFonts w:asciiTheme="minorHAnsi" w:hAnsiTheme="minorHAnsi" w:cstheme="minorHAnsi"/>
        </w:rPr>
        <w:t>WRC-19)</w:t>
      </w:r>
    </w:p>
    <w:p w14:paraId="3AD008C8" w14:textId="5EF40FF7" w:rsidR="007B5C8D" w:rsidRPr="00533950" w:rsidRDefault="00444453" w:rsidP="0010792B">
      <w:pPr>
        <w:pStyle w:val="enumlev1"/>
        <w:spacing w:before="120" w:after="120"/>
        <w:jc w:val="both"/>
        <w:rPr>
          <w:rFonts w:asciiTheme="minorHAnsi" w:hAnsiTheme="minorHAnsi" w:cstheme="minorHAnsi"/>
        </w:rPr>
      </w:pPr>
      <w:r w:rsidRPr="00533950">
        <w:rPr>
          <w:rFonts w:asciiTheme="minorHAnsi" w:hAnsiTheme="minorHAnsi" w:cstheme="minorHAnsi"/>
        </w:rPr>
        <w:tab/>
      </w:r>
      <w:r w:rsidR="007B5C8D" w:rsidRPr="00533950">
        <w:rPr>
          <w:rFonts w:asciiTheme="minorHAnsi" w:hAnsiTheme="minorHAnsi" w:cstheme="minorHAnsi"/>
        </w:rPr>
        <w:t>In October 2023, under Resolution 12 (Rev.</w:t>
      </w:r>
      <w:r w:rsidR="00533950" w:rsidRPr="00533950">
        <w:rPr>
          <w:rFonts w:asciiTheme="minorHAnsi" w:hAnsiTheme="minorHAnsi" w:cstheme="minorHAnsi"/>
        </w:rPr>
        <w:t xml:space="preserve"> </w:t>
      </w:r>
      <w:r w:rsidR="007B5C8D" w:rsidRPr="00533950">
        <w:rPr>
          <w:rFonts w:asciiTheme="minorHAnsi" w:hAnsiTheme="minorHAnsi" w:cstheme="minorHAnsi"/>
        </w:rPr>
        <w:t xml:space="preserve">WRC-19), the ITU’s Radiocommunication Bureau, in close coordination with the ITU’s Regional Office for the Arab States, reviewed and recommended revisions to the Table of National Frequency Allocations and </w:t>
      </w:r>
      <w:r w:rsidR="007B5C8D" w:rsidRPr="00533950">
        <w:t>Applications</w:t>
      </w:r>
      <w:r w:rsidR="007B5C8D" w:rsidRPr="00533950">
        <w:rPr>
          <w:rFonts w:asciiTheme="minorHAnsi" w:hAnsiTheme="minorHAnsi" w:cstheme="minorHAnsi"/>
        </w:rPr>
        <w:t xml:space="preserve"> (TNFAA) of Palestine. Since this revision of their TNFAA, there have been no requests made to the ITU Radiocommunication Bureau for assistance to Palestine.</w:t>
      </w:r>
    </w:p>
    <w:p w14:paraId="59EDA25E" w14:textId="15B860AA" w:rsidR="007B5C8D" w:rsidRPr="00533950" w:rsidRDefault="00444453" w:rsidP="0010792B">
      <w:pPr>
        <w:pStyle w:val="enumlev1"/>
        <w:spacing w:before="120" w:after="120"/>
        <w:jc w:val="both"/>
        <w:rPr>
          <w:rFonts w:asciiTheme="minorHAnsi" w:hAnsiTheme="minorHAnsi" w:cstheme="minorHAnsi"/>
          <w:lang w:eastAsia="zh-CN"/>
        </w:rPr>
      </w:pPr>
      <w:r w:rsidRPr="00533950">
        <w:rPr>
          <w:rFonts w:asciiTheme="minorHAnsi" w:hAnsiTheme="minorHAnsi" w:cstheme="minorHAnsi"/>
        </w:rPr>
        <w:tab/>
      </w:r>
      <w:r w:rsidR="007B5C8D" w:rsidRPr="00533950">
        <w:rPr>
          <w:rFonts w:asciiTheme="minorHAnsi" w:hAnsiTheme="minorHAnsi" w:cstheme="minorHAnsi"/>
        </w:rPr>
        <w:t xml:space="preserve">The World Radiocommunication Conference (Dubai, 2023) </w:t>
      </w:r>
      <w:r w:rsidR="007B5C8D" w:rsidRPr="00533950">
        <w:rPr>
          <w:rFonts w:asciiTheme="minorHAnsi" w:hAnsiTheme="minorHAnsi" w:cstheme="minorHAnsi"/>
          <w:lang w:eastAsia="zh-CN"/>
        </w:rPr>
        <w:t>approved the modification of Resolution 12 (Rev.</w:t>
      </w:r>
      <w:r w:rsidR="00533950" w:rsidRPr="00533950">
        <w:rPr>
          <w:rFonts w:asciiTheme="minorHAnsi" w:hAnsiTheme="minorHAnsi" w:cstheme="minorHAnsi"/>
          <w:lang w:eastAsia="zh-CN"/>
        </w:rPr>
        <w:t xml:space="preserve"> </w:t>
      </w:r>
      <w:r w:rsidR="007B5C8D" w:rsidRPr="00533950">
        <w:rPr>
          <w:rFonts w:asciiTheme="minorHAnsi" w:hAnsiTheme="minorHAnsi" w:cstheme="minorHAnsi"/>
          <w:lang w:eastAsia="zh-CN"/>
        </w:rPr>
        <w:t>WRC-19), resolving that Palestine should be empowered to obtain the necessary frequencies for microwave links, essential to the operation of 4G and 5G services, exploit the additional bands needed for new, modern mobile telecommunication networks, such as IMT-2020, to urgently extend, install, own, manage and operate optical fibre broadband telecommunication networks, obtain VHF and UHF frequencies for fixed and mobile telecommunication services, as well as FM frequencies for the broadcasting service.</w:t>
      </w:r>
    </w:p>
    <w:p w14:paraId="0C7AD574" w14:textId="7521817E" w:rsidR="007B5C8D" w:rsidRDefault="007B5C8D" w:rsidP="0010792B">
      <w:pPr>
        <w:spacing w:after="120"/>
        <w:jc w:val="both"/>
      </w:pPr>
      <w:r>
        <w:t xml:space="preserve">To facilitate </w:t>
      </w:r>
      <w:r w:rsidR="00444453">
        <w:t xml:space="preserve">the </w:t>
      </w:r>
      <w:r>
        <w:t>achievement of its objectives, the Secretary-General</w:t>
      </w:r>
      <w:r w:rsidR="028BD627">
        <w:t>, Deputy Secretary-General</w:t>
      </w:r>
      <w:r>
        <w:t xml:space="preserve"> and Director of the Radiocommunication Bureau </w:t>
      </w:r>
      <w:r w:rsidR="4A774AFC">
        <w:t xml:space="preserve">continue to </w:t>
      </w:r>
      <w:r>
        <w:t>engag</w:t>
      </w:r>
      <w:r w:rsidR="368FC1E8">
        <w:t xml:space="preserve">e </w:t>
      </w:r>
      <w:r>
        <w:t xml:space="preserve">the authorities of Israel and Palestine towards the implementation of Resolution </w:t>
      </w:r>
      <w:r w:rsidR="00257747" w:rsidRPr="231A727C">
        <w:rPr>
          <w:rFonts w:asciiTheme="minorHAnsi" w:hAnsiTheme="minorHAnsi" w:cstheme="minorBidi"/>
        </w:rPr>
        <w:t>12 (Rev.</w:t>
      </w:r>
      <w:r w:rsidR="00533950" w:rsidRPr="231A727C">
        <w:rPr>
          <w:rFonts w:asciiTheme="minorHAnsi" w:hAnsiTheme="minorHAnsi" w:cstheme="minorBidi"/>
        </w:rPr>
        <w:t xml:space="preserve"> </w:t>
      </w:r>
      <w:r w:rsidR="00257747" w:rsidRPr="231A727C">
        <w:rPr>
          <w:rFonts w:asciiTheme="minorHAnsi" w:hAnsiTheme="minorHAnsi" w:cstheme="minorBidi"/>
        </w:rPr>
        <w:t>WRC-19)</w:t>
      </w:r>
      <w:r>
        <w:t xml:space="preserve">, </w:t>
      </w:r>
      <w:proofErr w:type="gramStart"/>
      <w:r>
        <w:t>in particular in</w:t>
      </w:r>
      <w:proofErr w:type="gramEnd"/>
      <w:r>
        <w:t xml:space="preserve"> advancing the roadmap for Palestine to have access to more frequencies for IMT and broadcasting.</w:t>
      </w:r>
    </w:p>
    <w:p w14:paraId="2DA466CA" w14:textId="2F3C74D7" w:rsidR="004905C1" w:rsidRPr="002070D5" w:rsidRDefault="00444453" w:rsidP="0010792B">
      <w:pPr>
        <w:spacing w:after="120"/>
        <w:jc w:val="center"/>
      </w:pPr>
      <w:r>
        <w:t>______________</w:t>
      </w:r>
    </w:p>
    <w:sectPr w:rsidR="004905C1" w:rsidRPr="002070D5"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0159" w14:textId="77777777" w:rsidR="00F22211" w:rsidRDefault="00F22211">
      <w:r>
        <w:separator/>
      </w:r>
    </w:p>
  </w:endnote>
  <w:endnote w:type="continuationSeparator" w:id="0">
    <w:p w14:paraId="6C82B140" w14:textId="77777777" w:rsidR="00F22211" w:rsidRDefault="00F22211">
      <w:r>
        <w:continuationSeparator/>
      </w:r>
    </w:p>
  </w:endnote>
  <w:endnote w:type="continuationNotice" w:id="1">
    <w:p w14:paraId="0AC20AFF" w14:textId="77777777" w:rsidR="00F22211" w:rsidRDefault="00F222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6364726" w14:textId="77777777" w:rsidTr="005F622C">
      <w:trPr>
        <w:jc w:val="center"/>
      </w:trPr>
      <w:tc>
        <w:tcPr>
          <w:tcW w:w="1803" w:type="dxa"/>
          <w:vAlign w:val="center"/>
        </w:tcPr>
        <w:p w14:paraId="53052598" w14:textId="77777777" w:rsidR="00EE49E8" w:rsidRDefault="00C6520B" w:rsidP="00EE49E8">
          <w:pPr>
            <w:pStyle w:val="Header"/>
            <w:jc w:val="left"/>
            <w:rPr>
              <w:noProof/>
            </w:rPr>
          </w:pPr>
          <w:r>
            <w:rPr>
              <w:noProof/>
            </w:rPr>
            <w:t>gDoc #</w:t>
          </w:r>
        </w:p>
      </w:tc>
      <w:tc>
        <w:tcPr>
          <w:tcW w:w="8261" w:type="dxa"/>
        </w:tcPr>
        <w:p w14:paraId="07800B18" w14:textId="13A39B5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004905C1">
            <w:rPr>
              <w:bCs/>
            </w:rPr>
            <w:t>C25/71-E</w:t>
          </w:r>
          <w:r>
            <w:rPr>
              <w:bCs/>
            </w:rPr>
            <w:tab/>
          </w:r>
          <w:r>
            <w:fldChar w:fldCharType="begin"/>
          </w:r>
          <w:r>
            <w:instrText>PAGE</w:instrText>
          </w:r>
          <w:r>
            <w:fldChar w:fldCharType="separate"/>
          </w:r>
          <w:r>
            <w:t>1</w:t>
          </w:r>
          <w:r>
            <w:rPr>
              <w:noProof/>
            </w:rPr>
            <w:fldChar w:fldCharType="end"/>
          </w:r>
        </w:p>
      </w:tc>
    </w:tr>
  </w:tbl>
  <w:p w14:paraId="7B5455D1"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0E6ECBEE" w14:textId="77777777" w:rsidTr="006B77F1">
      <w:trPr>
        <w:jc w:val="center"/>
      </w:trPr>
      <w:tc>
        <w:tcPr>
          <w:tcW w:w="1803" w:type="dxa"/>
          <w:vAlign w:val="center"/>
        </w:tcPr>
        <w:p w14:paraId="274B1EF6"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07EF9D36" w14:textId="4E1441D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004905C1">
            <w:rPr>
              <w:bCs/>
            </w:rPr>
            <w:t>C25/71-E</w:t>
          </w:r>
          <w:r>
            <w:rPr>
              <w:bCs/>
            </w:rPr>
            <w:tab/>
          </w:r>
          <w:r>
            <w:fldChar w:fldCharType="begin"/>
          </w:r>
          <w:r>
            <w:instrText>PAGE</w:instrText>
          </w:r>
          <w:r>
            <w:fldChar w:fldCharType="separate"/>
          </w:r>
          <w:r>
            <w:t>1</w:t>
          </w:r>
          <w:r>
            <w:rPr>
              <w:noProof/>
            </w:rPr>
            <w:fldChar w:fldCharType="end"/>
          </w:r>
        </w:p>
      </w:tc>
    </w:tr>
  </w:tbl>
  <w:p w14:paraId="4B921C7D"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74EF" w14:textId="77777777" w:rsidR="00F22211" w:rsidRDefault="00F22211">
      <w:r>
        <w:t>____________________</w:t>
      </w:r>
    </w:p>
  </w:footnote>
  <w:footnote w:type="continuationSeparator" w:id="0">
    <w:p w14:paraId="4991C943" w14:textId="77777777" w:rsidR="00F22211" w:rsidRDefault="00F22211">
      <w:r>
        <w:continuationSeparator/>
      </w:r>
    </w:p>
  </w:footnote>
  <w:footnote w:type="continuationNotice" w:id="1">
    <w:p w14:paraId="348B5636" w14:textId="77777777" w:rsidR="00F22211" w:rsidRDefault="00F22211">
      <w:pPr>
        <w:spacing w:before="0"/>
      </w:pPr>
    </w:p>
  </w:footnote>
  <w:footnote w:id="2">
    <w:p w14:paraId="2EA33AF9" w14:textId="68E87D8D" w:rsidR="00335A96" w:rsidRPr="00335A96" w:rsidRDefault="00335A96" w:rsidP="0010792B">
      <w:pPr>
        <w:tabs>
          <w:tab w:val="left" w:pos="284"/>
        </w:tabs>
        <w:spacing w:before="60"/>
      </w:pPr>
      <w:r>
        <w:rPr>
          <w:rStyle w:val="FootnoteReference"/>
        </w:rPr>
        <w:footnoteRef/>
      </w:r>
      <w:r w:rsidR="0010792B">
        <w:tab/>
      </w:r>
      <w:hyperlink r:id="rId1" w:history="1">
        <w:r w:rsidRPr="0010792B">
          <w:rPr>
            <w:rStyle w:val="Hyperlink"/>
            <w:sz w:val="20"/>
          </w:rPr>
          <w:t>Gaza and West Bank Interim Rapid Damage and Needs Assessment (February 2025)</w:t>
        </w:r>
      </w:hyperlink>
      <w:r w:rsidR="000E476B" w:rsidRPr="0010792B">
        <w:rPr>
          <w:sz w:val="20"/>
        </w:rPr>
        <w:t>.</w:t>
      </w:r>
    </w:p>
  </w:footnote>
  <w:footnote w:id="3">
    <w:p w14:paraId="5CBE31BC" w14:textId="4BA41BA2" w:rsidR="000E476B" w:rsidRPr="000E476B" w:rsidRDefault="000E476B" w:rsidP="0010792B">
      <w:pPr>
        <w:pStyle w:val="FootnoteText"/>
        <w:spacing w:before="60"/>
      </w:pPr>
      <w:r>
        <w:rPr>
          <w:rStyle w:val="FootnoteReference"/>
        </w:rPr>
        <w:footnoteRef/>
      </w:r>
      <w:r w:rsidR="0010792B">
        <w:tab/>
      </w:r>
      <w:hyperlink r:id="rId2" w:history="1">
        <w:r w:rsidRPr="0010792B">
          <w:rPr>
            <w:rStyle w:val="Hyperlink"/>
            <w:sz w:val="20"/>
          </w:rPr>
          <w:t>Gaza and West Bank Interim Rapid Damage and Needs Assessment (February 2025)</w:t>
        </w:r>
      </w:hyperlink>
      <w:r w:rsidRPr="0010792B">
        <w:rPr>
          <w:sz w:val="20"/>
        </w:rPr>
        <w:t>.</w:t>
      </w:r>
    </w:p>
  </w:footnote>
  <w:footnote w:id="4">
    <w:p w14:paraId="3415C5ED" w14:textId="4294B670" w:rsidR="00C44B67" w:rsidRPr="0010792B" w:rsidRDefault="00C44B67" w:rsidP="0010792B">
      <w:pPr>
        <w:pStyle w:val="FootnoteText"/>
        <w:spacing w:before="60"/>
        <w:rPr>
          <w:lang w:val="en-US"/>
        </w:rPr>
      </w:pPr>
      <w:r>
        <w:rPr>
          <w:rStyle w:val="FootnoteReference"/>
        </w:rPr>
        <w:footnoteRef/>
      </w:r>
      <w:r w:rsidR="0010792B">
        <w:tab/>
      </w:r>
      <w:hyperlink r:id="rId3" w:history="1">
        <w:r w:rsidRPr="0010792B">
          <w:rPr>
            <w:rStyle w:val="Hyperlink"/>
            <w:sz w:val="20"/>
          </w:rPr>
          <w:t>Gaza and West Bank Interim Rapid Damage and Needs Assessment (February 2025)</w:t>
        </w:r>
      </w:hyperlink>
      <w:r w:rsidR="000E476B" w:rsidRPr="0010792B">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7D37743A" w14:textId="77777777" w:rsidTr="005F622C">
      <w:trPr>
        <w:trHeight w:val="1104"/>
        <w:jc w:val="center"/>
      </w:trPr>
      <w:tc>
        <w:tcPr>
          <w:tcW w:w="4390" w:type="dxa"/>
          <w:vAlign w:val="center"/>
        </w:tcPr>
        <w:p w14:paraId="1018D8B5" w14:textId="77777777" w:rsidR="00AD3606" w:rsidRPr="009621F8" w:rsidRDefault="003936D3" w:rsidP="00CF4A2B">
          <w:pPr>
            <w:pStyle w:val="Header"/>
            <w:jc w:val="left"/>
            <w:rPr>
              <w:rFonts w:ascii="Arial" w:hAnsi="Arial" w:cs="Arial"/>
              <w:b/>
              <w:bCs/>
              <w:color w:val="009CD6"/>
              <w:sz w:val="36"/>
              <w:szCs w:val="36"/>
            </w:rPr>
          </w:pPr>
          <w:bookmarkStart w:id="12" w:name="_Hlk133422111"/>
          <w:r>
            <w:rPr>
              <w:rFonts w:ascii="Arial" w:hAnsi="Arial" w:cs="Arial"/>
              <w:b/>
              <w:bCs/>
              <w:noProof/>
              <w:color w:val="009CD6"/>
              <w:sz w:val="36"/>
              <w:szCs w:val="36"/>
            </w:rPr>
            <w:drawing>
              <wp:inline distT="0" distB="0" distL="0" distR="0" wp14:anchorId="7CA96B11" wp14:editId="0A7D726D">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43E428A" w14:textId="77777777" w:rsidR="00AD3606" w:rsidRDefault="00AD3606" w:rsidP="00AD3606">
          <w:pPr>
            <w:pStyle w:val="Header"/>
            <w:jc w:val="right"/>
            <w:rPr>
              <w:rFonts w:ascii="Arial" w:hAnsi="Arial" w:cs="Arial"/>
              <w:b/>
              <w:bCs/>
              <w:color w:val="009CD6"/>
              <w:szCs w:val="18"/>
            </w:rPr>
          </w:pPr>
        </w:p>
        <w:p w14:paraId="038B771C" w14:textId="77777777" w:rsidR="00AD3606" w:rsidRDefault="00AD3606" w:rsidP="00AD3606">
          <w:pPr>
            <w:pStyle w:val="Header"/>
            <w:jc w:val="right"/>
            <w:rPr>
              <w:rFonts w:ascii="Arial" w:hAnsi="Arial" w:cs="Arial"/>
              <w:b/>
              <w:bCs/>
              <w:color w:val="009CD6"/>
              <w:szCs w:val="18"/>
            </w:rPr>
          </w:pPr>
        </w:p>
        <w:p w14:paraId="186531E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5372E010"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99B6DD5" wp14:editId="2AD13AA1">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6C361"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16631C"/>
    <w:multiLevelType w:val="multilevel"/>
    <w:tmpl w:val="C6CC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687DB4"/>
    <w:multiLevelType w:val="hybridMultilevel"/>
    <w:tmpl w:val="51244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0B4717"/>
    <w:multiLevelType w:val="hybridMultilevel"/>
    <w:tmpl w:val="19F2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340AF"/>
    <w:multiLevelType w:val="hybridMultilevel"/>
    <w:tmpl w:val="8328F6F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1355366"/>
    <w:multiLevelType w:val="hybridMultilevel"/>
    <w:tmpl w:val="73E2323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A6270C"/>
    <w:multiLevelType w:val="multilevel"/>
    <w:tmpl w:val="6684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816267">
    <w:abstractNumId w:val="0"/>
  </w:num>
  <w:num w:numId="2" w16cid:durableId="640378985">
    <w:abstractNumId w:val="2"/>
  </w:num>
  <w:num w:numId="3" w16cid:durableId="2101635777">
    <w:abstractNumId w:val="5"/>
  </w:num>
  <w:num w:numId="4" w16cid:durableId="233325156">
    <w:abstractNumId w:val="6"/>
  </w:num>
  <w:num w:numId="5" w16cid:durableId="788166515">
    <w:abstractNumId w:val="3"/>
  </w:num>
  <w:num w:numId="6" w16cid:durableId="2141413025">
    <w:abstractNumId w:val="1"/>
  </w:num>
  <w:num w:numId="7" w16cid:durableId="843130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D6"/>
    <w:rsid w:val="00003460"/>
    <w:rsid w:val="00005257"/>
    <w:rsid w:val="00012DFF"/>
    <w:rsid w:val="00016CFB"/>
    <w:rsid w:val="000210D4"/>
    <w:rsid w:val="00031762"/>
    <w:rsid w:val="0006007D"/>
    <w:rsid w:val="00060156"/>
    <w:rsid w:val="00063016"/>
    <w:rsid w:val="00066795"/>
    <w:rsid w:val="00076AF6"/>
    <w:rsid w:val="00085CF2"/>
    <w:rsid w:val="000B1705"/>
    <w:rsid w:val="000C00C1"/>
    <w:rsid w:val="000D75B2"/>
    <w:rsid w:val="000D75B6"/>
    <w:rsid w:val="000E16A8"/>
    <w:rsid w:val="000E476B"/>
    <w:rsid w:val="000F5DDB"/>
    <w:rsid w:val="000F799D"/>
    <w:rsid w:val="0010792B"/>
    <w:rsid w:val="001121F5"/>
    <w:rsid w:val="001400DC"/>
    <w:rsid w:val="00140CE1"/>
    <w:rsid w:val="00142DD9"/>
    <w:rsid w:val="001534C1"/>
    <w:rsid w:val="0015749B"/>
    <w:rsid w:val="00157B2E"/>
    <w:rsid w:val="0017539C"/>
    <w:rsid w:val="00175AC2"/>
    <w:rsid w:val="0017609F"/>
    <w:rsid w:val="00176F47"/>
    <w:rsid w:val="00197273"/>
    <w:rsid w:val="001A3154"/>
    <w:rsid w:val="001A450D"/>
    <w:rsid w:val="001A7D1D"/>
    <w:rsid w:val="001B51DD"/>
    <w:rsid w:val="001C2983"/>
    <w:rsid w:val="001C628E"/>
    <w:rsid w:val="001D3145"/>
    <w:rsid w:val="001E0F7B"/>
    <w:rsid w:val="001F5569"/>
    <w:rsid w:val="002070D5"/>
    <w:rsid w:val="0021169F"/>
    <w:rsid w:val="002119FD"/>
    <w:rsid w:val="002130E0"/>
    <w:rsid w:val="00217611"/>
    <w:rsid w:val="00221F46"/>
    <w:rsid w:val="00237548"/>
    <w:rsid w:val="00257747"/>
    <w:rsid w:val="00264425"/>
    <w:rsid w:val="00265875"/>
    <w:rsid w:val="00271D03"/>
    <w:rsid w:val="00272B89"/>
    <w:rsid w:val="0027303B"/>
    <w:rsid w:val="00276F39"/>
    <w:rsid w:val="0028109B"/>
    <w:rsid w:val="002A2188"/>
    <w:rsid w:val="002B1F58"/>
    <w:rsid w:val="002C1C7A"/>
    <w:rsid w:val="002C3F32"/>
    <w:rsid w:val="002C54E2"/>
    <w:rsid w:val="002D095C"/>
    <w:rsid w:val="002F2AE7"/>
    <w:rsid w:val="002F53DC"/>
    <w:rsid w:val="0030160F"/>
    <w:rsid w:val="00320223"/>
    <w:rsid w:val="00322D0D"/>
    <w:rsid w:val="00332A61"/>
    <w:rsid w:val="00335A96"/>
    <w:rsid w:val="00361465"/>
    <w:rsid w:val="00365436"/>
    <w:rsid w:val="003877F5"/>
    <w:rsid w:val="003936D3"/>
    <w:rsid w:val="003942D4"/>
    <w:rsid w:val="003958A8"/>
    <w:rsid w:val="003A225D"/>
    <w:rsid w:val="003A6E56"/>
    <w:rsid w:val="003B0113"/>
    <w:rsid w:val="003B17B2"/>
    <w:rsid w:val="003B29C2"/>
    <w:rsid w:val="003B4FAF"/>
    <w:rsid w:val="003C2533"/>
    <w:rsid w:val="003D440B"/>
    <w:rsid w:val="003D5A7F"/>
    <w:rsid w:val="003D623C"/>
    <w:rsid w:val="003D6C26"/>
    <w:rsid w:val="003E2935"/>
    <w:rsid w:val="003F2B66"/>
    <w:rsid w:val="004027E0"/>
    <w:rsid w:val="0040435A"/>
    <w:rsid w:val="00404BC6"/>
    <w:rsid w:val="0041636E"/>
    <w:rsid w:val="00416A24"/>
    <w:rsid w:val="00431D9E"/>
    <w:rsid w:val="00433CE8"/>
    <w:rsid w:val="00434A5C"/>
    <w:rsid w:val="00444453"/>
    <w:rsid w:val="00444C4D"/>
    <w:rsid w:val="00453079"/>
    <w:rsid w:val="004544D9"/>
    <w:rsid w:val="00465688"/>
    <w:rsid w:val="00472BAD"/>
    <w:rsid w:val="00475085"/>
    <w:rsid w:val="00476EC8"/>
    <w:rsid w:val="00484009"/>
    <w:rsid w:val="004905C1"/>
    <w:rsid w:val="00490E72"/>
    <w:rsid w:val="00491157"/>
    <w:rsid w:val="00491457"/>
    <w:rsid w:val="00491BA9"/>
    <w:rsid w:val="004921C8"/>
    <w:rsid w:val="00495B0B"/>
    <w:rsid w:val="004A1B8B"/>
    <w:rsid w:val="004A5B1E"/>
    <w:rsid w:val="004C5C64"/>
    <w:rsid w:val="004D1851"/>
    <w:rsid w:val="004D599D"/>
    <w:rsid w:val="004E2EA5"/>
    <w:rsid w:val="004E3AEB"/>
    <w:rsid w:val="0050223C"/>
    <w:rsid w:val="00505A9B"/>
    <w:rsid w:val="005243FF"/>
    <w:rsid w:val="00526453"/>
    <w:rsid w:val="00533950"/>
    <w:rsid w:val="00564FBC"/>
    <w:rsid w:val="00577C3F"/>
    <w:rsid w:val="005800BC"/>
    <w:rsid w:val="00582442"/>
    <w:rsid w:val="00584DBC"/>
    <w:rsid w:val="00597CEA"/>
    <w:rsid w:val="005A00FC"/>
    <w:rsid w:val="005A28F4"/>
    <w:rsid w:val="005A697E"/>
    <w:rsid w:val="005D1ABA"/>
    <w:rsid w:val="005D698E"/>
    <w:rsid w:val="005E4FC9"/>
    <w:rsid w:val="005E7B86"/>
    <w:rsid w:val="005F3269"/>
    <w:rsid w:val="005F622C"/>
    <w:rsid w:val="00600F0E"/>
    <w:rsid w:val="0061318C"/>
    <w:rsid w:val="00623AE3"/>
    <w:rsid w:val="0064737F"/>
    <w:rsid w:val="00651A10"/>
    <w:rsid w:val="006535F1"/>
    <w:rsid w:val="0065557D"/>
    <w:rsid w:val="00657DC7"/>
    <w:rsid w:val="00660D50"/>
    <w:rsid w:val="00662984"/>
    <w:rsid w:val="006716BB"/>
    <w:rsid w:val="00686E7D"/>
    <w:rsid w:val="00695199"/>
    <w:rsid w:val="006B1859"/>
    <w:rsid w:val="006B6680"/>
    <w:rsid w:val="006B6DCC"/>
    <w:rsid w:val="006B77F1"/>
    <w:rsid w:val="006C4EB2"/>
    <w:rsid w:val="006F161D"/>
    <w:rsid w:val="006F4E8C"/>
    <w:rsid w:val="00702DEF"/>
    <w:rsid w:val="00706861"/>
    <w:rsid w:val="00716DEC"/>
    <w:rsid w:val="00717C4B"/>
    <w:rsid w:val="00722551"/>
    <w:rsid w:val="0075051B"/>
    <w:rsid w:val="0077110E"/>
    <w:rsid w:val="00793188"/>
    <w:rsid w:val="00794D34"/>
    <w:rsid w:val="007A37F0"/>
    <w:rsid w:val="007A3FCD"/>
    <w:rsid w:val="007A4DD6"/>
    <w:rsid w:val="007A595C"/>
    <w:rsid w:val="007B19CF"/>
    <w:rsid w:val="007B2B07"/>
    <w:rsid w:val="007B5C8D"/>
    <w:rsid w:val="007D01AF"/>
    <w:rsid w:val="007E66C3"/>
    <w:rsid w:val="0080025B"/>
    <w:rsid w:val="00802987"/>
    <w:rsid w:val="00813E5E"/>
    <w:rsid w:val="00825FFB"/>
    <w:rsid w:val="0083563E"/>
    <w:rsid w:val="0083581B"/>
    <w:rsid w:val="00841827"/>
    <w:rsid w:val="00843AFC"/>
    <w:rsid w:val="00863874"/>
    <w:rsid w:val="00864AFF"/>
    <w:rsid w:val="00865925"/>
    <w:rsid w:val="008B377F"/>
    <w:rsid w:val="008B4A6A"/>
    <w:rsid w:val="008C7E27"/>
    <w:rsid w:val="008F7448"/>
    <w:rsid w:val="0090147A"/>
    <w:rsid w:val="00913E10"/>
    <w:rsid w:val="009173EF"/>
    <w:rsid w:val="00922505"/>
    <w:rsid w:val="00932906"/>
    <w:rsid w:val="00961B0B"/>
    <w:rsid w:val="00962D33"/>
    <w:rsid w:val="00972DAB"/>
    <w:rsid w:val="009B38C3"/>
    <w:rsid w:val="009C0F28"/>
    <w:rsid w:val="009C6CBA"/>
    <w:rsid w:val="009D6421"/>
    <w:rsid w:val="009E17BD"/>
    <w:rsid w:val="009E485A"/>
    <w:rsid w:val="00A04CEC"/>
    <w:rsid w:val="00A27F92"/>
    <w:rsid w:val="00A32257"/>
    <w:rsid w:val="00A36D20"/>
    <w:rsid w:val="00A40B64"/>
    <w:rsid w:val="00A514A4"/>
    <w:rsid w:val="00A55622"/>
    <w:rsid w:val="00A65DD1"/>
    <w:rsid w:val="00A83502"/>
    <w:rsid w:val="00A94BAB"/>
    <w:rsid w:val="00AD15B3"/>
    <w:rsid w:val="00AD2FC8"/>
    <w:rsid w:val="00AD3606"/>
    <w:rsid w:val="00AD4A3D"/>
    <w:rsid w:val="00AF104E"/>
    <w:rsid w:val="00AF6E49"/>
    <w:rsid w:val="00B0460E"/>
    <w:rsid w:val="00B04A67"/>
    <w:rsid w:val="00B0583C"/>
    <w:rsid w:val="00B36824"/>
    <w:rsid w:val="00B40A81"/>
    <w:rsid w:val="00B44910"/>
    <w:rsid w:val="00B72267"/>
    <w:rsid w:val="00B768AF"/>
    <w:rsid w:val="00B76EB6"/>
    <w:rsid w:val="00B7737B"/>
    <w:rsid w:val="00B824C8"/>
    <w:rsid w:val="00B84B9D"/>
    <w:rsid w:val="00B9052D"/>
    <w:rsid w:val="00B9131F"/>
    <w:rsid w:val="00BA4407"/>
    <w:rsid w:val="00BA5A31"/>
    <w:rsid w:val="00BB0646"/>
    <w:rsid w:val="00BC251A"/>
    <w:rsid w:val="00BC4A20"/>
    <w:rsid w:val="00BD032B"/>
    <w:rsid w:val="00BD33C4"/>
    <w:rsid w:val="00BE01C6"/>
    <w:rsid w:val="00BE2640"/>
    <w:rsid w:val="00BF1FDE"/>
    <w:rsid w:val="00C01189"/>
    <w:rsid w:val="00C0458D"/>
    <w:rsid w:val="00C22C49"/>
    <w:rsid w:val="00C23C94"/>
    <w:rsid w:val="00C24713"/>
    <w:rsid w:val="00C35C2F"/>
    <w:rsid w:val="00C374DE"/>
    <w:rsid w:val="00C44B67"/>
    <w:rsid w:val="00C47AD4"/>
    <w:rsid w:val="00C52D81"/>
    <w:rsid w:val="00C55198"/>
    <w:rsid w:val="00C6520B"/>
    <w:rsid w:val="00CA42CC"/>
    <w:rsid w:val="00CA6393"/>
    <w:rsid w:val="00CA7995"/>
    <w:rsid w:val="00CB18FF"/>
    <w:rsid w:val="00CB192A"/>
    <w:rsid w:val="00CB21E6"/>
    <w:rsid w:val="00CC0B60"/>
    <w:rsid w:val="00CC1D4F"/>
    <w:rsid w:val="00CD0C08"/>
    <w:rsid w:val="00CE03FB"/>
    <w:rsid w:val="00CE0A08"/>
    <w:rsid w:val="00CE433C"/>
    <w:rsid w:val="00CE7D32"/>
    <w:rsid w:val="00CF0161"/>
    <w:rsid w:val="00CF33F3"/>
    <w:rsid w:val="00CF4A2B"/>
    <w:rsid w:val="00D024CA"/>
    <w:rsid w:val="00D06183"/>
    <w:rsid w:val="00D12946"/>
    <w:rsid w:val="00D13920"/>
    <w:rsid w:val="00D13E22"/>
    <w:rsid w:val="00D22C42"/>
    <w:rsid w:val="00D57043"/>
    <w:rsid w:val="00D65041"/>
    <w:rsid w:val="00D91C9B"/>
    <w:rsid w:val="00DB1936"/>
    <w:rsid w:val="00DB384B"/>
    <w:rsid w:val="00DC6EE1"/>
    <w:rsid w:val="00DD053E"/>
    <w:rsid w:val="00DE1DD6"/>
    <w:rsid w:val="00DE4257"/>
    <w:rsid w:val="00DF0189"/>
    <w:rsid w:val="00E0347C"/>
    <w:rsid w:val="00E06FD5"/>
    <w:rsid w:val="00E102F0"/>
    <w:rsid w:val="00E10E80"/>
    <w:rsid w:val="00E124F0"/>
    <w:rsid w:val="00E227F3"/>
    <w:rsid w:val="00E27B18"/>
    <w:rsid w:val="00E35B2F"/>
    <w:rsid w:val="00E545C6"/>
    <w:rsid w:val="00E56FBF"/>
    <w:rsid w:val="00E60F04"/>
    <w:rsid w:val="00E64CB2"/>
    <w:rsid w:val="00E65B24"/>
    <w:rsid w:val="00E6615B"/>
    <w:rsid w:val="00E75AA1"/>
    <w:rsid w:val="00E854E4"/>
    <w:rsid w:val="00E86DBF"/>
    <w:rsid w:val="00E969AF"/>
    <w:rsid w:val="00EB08DC"/>
    <w:rsid w:val="00EB0D6F"/>
    <w:rsid w:val="00EB2232"/>
    <w:rsid w:val="00EB569A"/>
    <w:rsid w:val="00EC5337"/>
    <w:rsid w:val="00ED4738"/>
    <w:rsid w:val="00EE49E8"/>
    <w:rsid w:val="00EF0464"/>
    <w:rsid w:val="00EF5947"/>
    <w:rsid w:val="00EF5ABC"/>
    <w:rsid w:val="00F16BAB"/>
    <w:rsid w:val="00F2150A"/>
    <w:rsid w:val="00F22211"/>
    <w:rsid w:val="00F231D8"/>
    <w:rsid w:val="00F357BF"/>
    <w:rsid w:val="00F44C00"/>
    <w:rsid w:val="00F45D2C"/>
    <w:rsid w:val="00F46C5F"/>
    <w:rsid w:val="00F632C0"/>
    <w:rsid w:val="00F641E1"/>
    <w:rsid w:val="00F7143B"/>
    <w:rsid w:val="00F94A63"/>
    <w:rsid w:val="00FA1C28"/>
    <w:rsid w:val="00FB1279"/>
    <w:rsid w:val="00FB2415"/>
    <w:rsid w:val="00FB4717"/>
    <w:rsid w:val="00FB6B76"/>
    <w:rsid w:val="00FB7596"/>
    <w:rsid w:val="00FC141D"/>
    <w:rsid w:val="00FE4077"/>
    <w:rsid w:val="00FE500D"/>
    <w:rsid w:val="00FE77D2"/>
    <w:rsid w:val="00FF39B1"/>
    <w:rsid w:val="028BD627"/>
    <w:rsid w:val="0588DD0D"/>
    <w:rsid w:val="0B9D050C"/>
    <w:rsid w:val="0C1293D4"/>
    <w:rsid w:val="0F326BA2"/>
    <w:rsid w:val="1606AAEF"/>
    <w:rsid w:val="190AA22D"/>
    <w:rsid w:val="1BD38634"/>
    <w:rsid w:val="1E12DFF1"/>
    <w:rsid w:val="1E8559AE"/>
    <w:rsid w:val="20CB60FC"/>
    <w:rsid w:val="231A727C"/>
    <w:rsid w:val="28F1594C"/>
    <w:rsid w:val="2CAF11D6"/>
    <w:rsid w:val="368FC1E8"/>
    <w:rsid w:val="3727C9EA"/>
    <w:rsid w:val="372EBE59"/>
    <w:rsid w:val="40D8E12A"/>
    <w:rsid w:val="448FA3E2"/>
    <w:rsid w:val="48E352C4"/>
    <w:rsid w:val="4A774AFC"/>
    <w:rsid w:val="4E885681"/>
    <w:rsid w:val="53AFE45E"/>
    <w:rsid w:val="53B42D7F"/>
    <w:rsid w:val="627D9526"/>
    <w:rsid w:val="652DD0F3"/>
    <w:rsid w:val="6553888D"/>
    <w:rsid w:val="691C8192"/>
    <w:rsid w:val="7088DB20"/>
    <w:rsid w:val="76BC12F6"/>
    <w:rsid w:val="7D53E7B1"/>
    <w:rsid w:val="7E38B503"/>
    <w:rsid w:val="7FD410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864C7"/>
  <w15:docId w15:val="{5C04C4E3-61D8-4712-805B-E47B766E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aliases w:val="List Paragraph1,Recommendation,List Paragraph11,NUMBERED PARAGRAPH,List Paragraph 1,References,ReferencesCxSpLast,lp1,List Paragraph (numbered (a)),Use Case List Paragraph,Bullets,Numbered List Paragraph,List Paragraph nowy,Liste 1,Body"/>
    <w:basedOn w:val="Normal"/>
    <w:link w:val="ListParagraphChar"/>
    <w:uiPriority w:val="34"/>
    <w:qFormat/>
    <w:rsid w:val="007E66C3"/>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customStyle="1" w:styleId="normaltextrun">
    <w:name w:val="normaltextrun"/>
    <w:basedOn w:val="DefaultParagraphFont"/>
    <w:uiPriority w:val="1"/>
    <w:rsid w:val="007E66C3"/>
    <w:rPr>
      <w:rFonts w:ascii="CG Times" w:eastAsia="Times New Roman" w:hAnsi="CG Times" w:cs="Times New Roman"/>
    </w:rPr>
  </w:style>
  <w:style w:type="paragraph" w:customStyle="1" w:styleId="Tablefin">
    <w:name w:val="Table_fin"/>
    <w:basedOn w:val="Tabletext"/>
    <w:rsid w:val="005E4FC9"/>
    <w:pPr>
      <w:spacing w:before="0" w:after="0"/>
    </w:pPr>
  </w:style>
  <w:style w:type="paragraph" w:customStyle="1" w:styleId="NormalAsianBodyCalibri">
    <w:name w:val="Normal + (Asian) +Body (Calibri)"/>
    <w:aliases w:val="(Complex) +Body CS (Arial),(Complex) 11 pt..."/>
    <w:basedOn w:val="Normal"/>
    <w:rsid w:val="00C23C94"/>
    <w:pPr>
      <w:jc w:val="both"/>
    </w:pPr>
    <w:rPr>
      <w:rFonts w:eastAsiaTheme="minorHAnsi" w:cstheme="minorBidi"/>
      <w:szCs w:val="22"/>
    </w:rPr>
  </w:style>
  <w:style w:type="character" w:customStyle="1" w:styleId="ListParagraphChar">
    <w:name w:val="List Paragraph Char"/>
    <w:aliases w:val="List Paragraph1 Char,Recommendation Char,List Paragraph11 Char,NUMBERED PARAGRAPH Char,List Paragraph 1 Char,References Char,ReferencesCxSpLast Char,lp1 Char,List Paragraph (numbered (a)) Char,Use Case List Paragraph Char,Body Char"/>
    <w:basedOn w:val="DefaultParagraphFont"/>
    <w:link w:val="ListParagraph"/>
    <w:uiPriority w:val="34"/>
    <w:qFormat/>
    <w:locked/>
    <w:rsid w:val="007B5C8D"/>
    <w:rPr>
      <w:rFonts w:asciiTheme="minorHAnsi" w:eastAsiaTheme="minorHAnsi" w:hAnsiTheme="minorHAnsi" w:cstheme="minorBidi"/>
      <w:kern w:val="2"/>
      <w:sz w:val="24"/>
      <w:szCs w:val="24"/>
      <w:lang w:val="en-GB" w:eastAsia="en-US"/>
      <w14:ligatures w14:val="standardContextual"/>
    </w:rPr>
  </w:style>
  <w:style w:type="paragraph" w:styleId="Revision">
    <w:name w:val="Revision"/>
    <w:hidden/>
    <w:uiPriority w:val="99"/>
    <w:semiHidden/>
    <w:rsid w:val="006F161D"/>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A5A31"/>
    <w:rPr>
      <w:b/>
      <w:bCs/>
    </w:rPr>
  </w:style>
  <w:style w:type="character" w:customStyle="1" w:styleId="CommentSubjectChar">
    <w:name w:val="Comment Subject Char"/>
    <w:basedOn w:val="CommentTextChar"/>
    <w:link w:val="CommentSubject"/>
    <w:semiHidden/>
    <w:rsid w:val="00BA5A31"/>
    <w:rPr>
      <w:rFonts w:ascii="Calibri" w:hAnsi="Calibri"/>
      <w:b/>
      <w:bCs/>
      <w:lang w:val="en-GB" w:eastAsia="en-US"/>
    </w:rPr>
  </w:style>
  <w:style w:type="character" w:styleId="Mention">
    <w:name w:val="Mention"/>
    <w:basedOn w:val="DefaultParagraphFont"/>
    <w:uiPriority w:val="99"/>
    <w:unhideWhenUsed/>
    <w:rsid w:val="00BA5A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9538">
      <w:bodyDiv w:val="1"/>
      <w:marLeft w:val="0"/>
      <w:marRight w:val="0"/>
      <w:marTop w:val="0"/>
      <w:marBottom w:val="0"/>
      <w:divBdr>
        <w:top w:val="none" w:sz="0" w:space="0" w:color="auto"/>
        <w:left w:val="none" w:sz="0" w:space="0" w:color="auto"/>
        <w:bottom w:val="none" w:sz="0" w:space="0" w:color="auto"/>
        <w:right w:val="none" w:sz="0" w:space="0" w:color="auto"/>
      </w:divBdr>
    </w:div>
    <w:div w:id="916522371">
      <w:bodyDiv w:val="1"/>
      <w:marLeft w:val="0"/>
      <w:marRight w:val="0"/>
      <w:marTop w:val="0"/>
      <w:marBottom w:val="0"/>
      <w:divBdr>
        <w:top w:val="none" w:sz="0" w:space="0" w:color="auto"/>
        <w:left w:val="none" w:sz="0" w:space="0" w:color="auto"/>
        <w:bottom w:val="none" w:sz="0" w:space="0" w:color="auto"/>
        <w:right w:val="none" w:sz="0" w:space="0" w:color="auto"/>
      </w:divBdr>
    </w:div>
    <w:div w:id="1648901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127/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hedocs.worldbank.org/en/doc/133c3304e29086819c1119fe8e85366b-0280012025/original/Gaza-RDNA-final-med.pdf" TargetMode="External"/><Relationship Id="rId2" Type="http://schemas.openxmlformats.org/officeDocument/2006/relationships/hyperlink" Target="https://thedocs.worldbank.org/en/doc/133c3304e29086819c1119fe8e85366b-0280012025/original/Gaza-RDNA-final-med.pdf" TargetMode="External"/><Relationship Id="rId1" Type="http://schemas.openxmlformats.org/officeDocument/2006/relationships/hyperlink" Target="https://thedocs.worldbank.org/en/doc/133c3304e29086819c1119fe8e85366b-0280012025/original/Gaza-RDNA-final-m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8" ma:contentTypeDescription="Crear nuevo documento." ma:contentTypeScope="" ma:versionID="c2c2f485b5c056a560ec1111beebbd3b">
  <xsd:schema xmlns:xsd="http://www.w3.org/2001/XMLSchema" xmlns:xs="http://www.w3.org/2001/XMLSchema" xmlns:p="http://schemas.microsoft.com/office/2006/metadata/properties" xmlns:ns2="a1cf676c-2816-4389-ad5d-0f2e7c7e67c4" targetNamespace="http://schemas.microsoft.com/office/2006/metadata/properties" ma:root="true" ma:fieldsID="5236e9d7d5fcf3dc960c2645a60fa07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17803-7FC5-45E6-8399-6A6F429D2107}">
  <ds:schemaRefs>
    <ds:schemaRef ds:uri="http://schemas.microsoft.com/sharepoint/v3/contenttype/forms"/>
  </ds:schemaRefs>
</ds:datastoreItem>
</file>

<file path=customXml/itemProps2.xml><?xml version="1.0" encoding="utf-8"?>
<ds:datastoreItem xmlns:ds="http://schemas.openxmlformats.org/officeDocument/2006/customXml" ds:itemID="{A94D9E4A-47DC-4527-91DB-BD7DE12C7618}">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a1cf676c-2816-4389-ad5d-0f2e7c7e67c4"/>
    <ds:schemaRef ds:uri="http://schemas.microsoft.com/office/2006/metadata/propertie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9AAECB5A-5486-46D9-AADF-13DAC084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PE_Council25.dotx</Template>
  <TotalTime>7</TotalTime>
  <Pages>3</Pages>
  <Words>853</Words>
  <Characters>5232</Characters>
  <Application>Microsoft Office Word</Application>
  <DocSecurity>0</DocSecurity>
  <Lines>43</Lines>
  <Paragraphs>12</Paragraphs>
  <ScaleCrop>false</ScaleCrop>
  <Manager>General Secretariat</Manager>
  <Company>International Telecommunication Union (ITU)</Company>
  <LinksUpToDate>false</LinksUpToDate>
  <CharactersWithSpaces>6073</CharactersWithSpaces>
  <SharedDoc>false</SharedDoc>
  <HLinks>
    <vt:vector size="36" baseType="variant">
      <vt:variant>
        <vt:i4>7340094</vt:i4>
      </vt:variant>
      <vt:variant>
        <vt:i4>0</vt:i4>
      </vt:variant>
      <vt:variant>
        <vt:i4>0</vt:i4>
      </vt:variant>
      <vt:variant>
        <vt:i4>5</vt:i4>
      </vt:variant>
      <vt:variant>
        <vt:lpwstr>https://www.itu.int/md/S24-CL-C-0127/en</vt:lpwstr>
      </vt:variant>
      <vt:variant>
        <vt:lpwstr/>
      </vt:variant>
      <vt:variant>
        <vt:i4>4390996</vt:i4>
      </vt:variant>
      <vt:variant>
        <vt:i4>6</vt:i4>
      </vt:variant>
      <vt:variant>
        <vt:i4>0</vt:i4>
      </vt:variant>
      <vt:variant>
        <vt:i4>5</vt:i4>
      </vt:variant>
      <vt:variant>
        <vt:lpwstr>https://thedocs.worldbank.org/en/doc/133c3304e29086819c1119fe8e85366b-0280012025/original/Gaza-RDNA-final-med.pdf</vt:lpwstr>
      </vt:variant>
      <vt:variant>
        <vt:lpwstr/>
      </vt:variant>
      <vt:variant>
        <vt:i4>4390996</vt:i4>
      </vt:variant>
      <vt:variant>
        <vt:i4>3</vt:i4>
      </vt:variant>
      <vt:variant>
        <vt:i4>0</vt:i4>
      </vt:variant>
      <vt:variant>
        <vt:i4>5</vt:i4>
      </vt:variant>
      <vt:variant>
        <vt:lpwstr>https://thedocs.worldbank.org/en/doc/133c3304e29086819c1119fe8e85366b-0280012025/original/Gaza-RDNA-final-med.pdf</vt:lpwstr>
      </vt:variant>
      <vt:variant>
        <vt:lpwstr/>
      </vt:variant>
      <vt:variant>
        <vt:i4>4390996</vt:i4>
      </vt:variant>
      <vt:variant>
        <vt:i4>0</vt:i4>
      </vt:variant>
      <vt:variant>
        <vt:i4>0</vt:i4>
      </vt:variant>
      <vt:variant>
        <vt:i4>5</vt:i4>
      </vt:variant>
      <vt:variant>
        <vt:lpwstr>https://thedocs.worldbank.org/en/doc/133c3304e29086819c1119fe8e85366b-0280012025/original/Gaza-RDNA-final-med.pdf</vt:lpwstr>
      </vt:variant>
      <vt:variant>
        <vt:lpwstr/>
      </vt:variant>
      <vt:variant>
        <vt:i4>196633</vt:i4>
      </vt:variant>
      <vt:variant>
        <vt:i4>3</vt:i4>
      </vt:variant>
      <vt:variant>
        <vt:i4>0</vt:i4>
      </vt:variant>
      <vt:variant>
        <vt:i4>5</vt:i4>
      </vt:variant>
      <vt:variant>
        <vt:lpwstr>https://council.itu.int/2025/en/</vt:lpwstr>
      </vt:variant>
      <vt:variant>
        <vt:lpwstr/>
      </vt:variant>
      <vt:variant>
        <vt:i4>5898303</vt:i4>
      </vt:variant>
      <vt:variant>
        <vt:i4>0</vt:i4>
      </vt:variant>
      <vt:variant>
        <vt:i4>0</vt:i4>
      </vt:variant>
      <vt:variant>
        <vt:i4>5</vt:i4>
      </vt:variant>
      <vt:variant>
        <vt:lpwstr>mailto:selemani.kinyunyu@itu.int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on assistance and support to Palestine</dc:title>
  <dc:subject>ITU Council 2025</dc:subject>
  <dc:creator>LRT</dc:creator>
  <cp:keywords>C25; C2025; Council 2025; ITU160</cp:keywords>
  <dc:description/>
  <cp:lastModifiedBy>GBS</cp:lastModifiedBy>
  <cp:revision>4</cp:revision>
  <cp:lastPrinted>2000-07-18T22:30:00Z</cp:lastPrinted>
  <dcterms:created xsi:type="dcterms:W3CDTF">2025-05-19T17:11:00Z</dcterms:created>
  <dcterms:modified xsi:type="dcterms:W3CDTF">2025-05-19T17:37:00Z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