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  <w:gridCol w:w="2966"/>
      </w:tblGrid>
      <w:tr w:rsidR="007B0AA0" w14:paraId="6024C3EB" w14:textId="77777777" w:rsidTr="00F363FE">
        <w:tc>
          <w:tcPr>
            <w:tcW w:w="6512" w:type="dxa"/>
          </w:tcPr>
          <w:p w14:paraId="49532342" w14:textId="20E4A975" w:rsidR="007B0AA0" w:rsidRPr="00D90811" w:rsidRDefault="007B0AA0" w:rsidP="00D90811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D9081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90811" w:rsidRPr="00D90811">
              <w:rPr>
                <w:b/>
                <w:bCs/>
                <w:lang w:val="en-GB" w:bidi="ar-EG"/>
              </w:rPr>
              <w:t>ADM 1</w:t>
            </w:r>
          </w:p>
        </w:tc>
        <w:tc>
          <w:tcPr>
            <w:tcW w:w="3117" w:type="dxa"/>
          </w:tcPr>
          <w:p w14:paraId="157C6469" w14:textId="5A6E700C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6F363C">
              <w:rPr>
                <w:b/>
                <w:bCs/>
                <w:lang w:bidi="ar-EG"/>
              </w:rPr>
              <w:t>5</w:t>
            </w:r>
            <w:r w:rsidRPr="007B0AA0">
              <w:rPr>
                <w:b/>
                <w:bCs/>
                <w:lang w:bidi="ar-EG"/>
              </w:rPr>
              <w:t>/</w:t>
            </w:r>
            <w:r w:rsidR="00D90811">
              <w:rPr>
                <w:b/>
                <w:bCs/>
                <w:lang w:bidi="ar-EG"/>
              </w:rPr>
              <w:t>71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2CF78698" w14:textId="77777777" w:rsidTr="00F363FE">
        <w:tc>
          <w:tcPr>
            <w:tcW w:w="6512" w:type="dxa"/>
          </w:tcPr>
          <w:p w14:paraId="7D7CFBEA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ED92F47" w14:textId="3337406F" w:rsidR="007B0AA0" w:rsidRPr="007B0AA0" w:rsidRDefault="00D90811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D90811">
              <w:rPr>
                <w:b/>
                <w:bCs/>
                <w:rtl/>
                <w:lang w:bidi="ar-EG"/>
              </w:rPr>
              <w:t>19 مايو 2025</w:t>
            </w:r>
          </w:p>
        </w:tc>
      </w:tr>
      <w:tr w:rsidR="007B0AA0" w14:paraId="3395A398" w14:textId="77777777" w:rsidTr="00F363FE">
        <w:tc>
          <w:tcPr>
            <w:tcW w:w="6512" w:type="dxa"/>
          </w:tcPr>
          <w:p w14:paraId="2EF339D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3FF48B8" w14:textId="77777777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04D1335F" w14:textId="77777777" w:rsidTr="00F363FE">
        <w:tc>
          <w:tcPr>
            <w:tcW w:w="6512" w:type="dxa"/>
          </w:tcPr>
          <w:p w14:paraId="0EB1D583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5758CD84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3D772166" w14:textId="77777777" w:rsidTr="00EE7446">
        <w:tc>
          <w:tcPr>
            <w:tcW w:w="9629" w:type="dxa"/>
            <w:gridSpan w:val="2"/>
          </w:tcPr>
          <w:p w14:paraId="68AC84FF" w14:textId="77777777" w:rsidR="007B0AA0" w:rsidRDefault="001D64C7" w:rsidP="007B0AA0">
            <w:pPr>
              <w:pStyle w:val="Source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14:paraId="75C6CC75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1E491C13" w14:textId="76797F27" w:rsidR="007B0AA0" w:rsidRPr="005546CF" w:rsidRDefault="00D90811" w:rsidP="00D90811">
            <w:pPr>
              <w:pStyle w:val="Subtitle0"/>
              <w:rPr>
                <w:sz w:val="32"/>
                <w:szCs w:val="32"/>
              </w:rPr>
            </w:pPr>
            <w:r w:rsidRPr="00D90811">
              <w:rPr>
                <w:rFonts w:hint="cs"/>
                <w:sz w:val="32"/>
                <w:szCs w:val="32"/>
                <w:rtl/>
                <w:lang w:bidi="ar-SA"/>
              </w:rPr>
              <w:t>تقرير حالة عن المساعدة والدعم المقدمين إلى فلسطين</w:t>
            </w:r>
          </w:p>
        </w:tc>
      </w:tr>
      <w:tr w:rsidR="007B0AA0" w14:paraId="4B094681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9E9040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494119">
              <w:rPr>
                <w:rFonts w:hint="cs"/>
                <w:b/>
                <w:bCs/>
                <w:rtl/>
              </w:rPr>
              <w:t>الغرض</w:t>
            </w:r>
          </w:p>
          <w:p w14:paraId="6C10C8E1" w14:textId="6E55A088" w:rsidR="007B0AA0" w:rsidRDefault="00D90811" w:rsidP="00D90811">
            <w:pPr>
              <w:rPr>
                <w:rtl/>
              </w:rPr>
            </w:pPr>
            <w:r w:rsidRPr="00D90811">
              <w:rPr>
                <w:rFonts w:hint="cs"/>
                <w:rtl/>
              </w:rPr>
              <w:t xml:space="preserve">تقدم هذه الوثيقة تقريراً عن تنفيذ قرار المجلس </w:t>
            </w:r>
            <w:r w:rsidRPr="00D90811">
              <w:t>1424</w:t>
            </w:r>
            <w:r w:rsidRPr="00D90811">
              <w:rPr>
                <w:rFonts w:hint="cs"/>
                <w:rtl/>
                <w:lang w:bidi="ar-EG"/>
              </w:rPr>
              <w:t>.</w:t>
            </w:r>
          </w:p>
          <w:p w14:paraId="5AF75393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5D4E27B6" w14:textId="162646F9" w:rsidR="007B0AA0" w:rsidRDefault="00D90811" w:rsidP="00D90811">
            <w:pPr>
              <w:rPr>
                <w:rtl/>
              </w:rPr>
            </w:pPr>
            <w:r w:rsidRPr="00D90811">
              <w:rPr>
                <w:rFonts w:hint="cs"/>
                <w:rtl/>
              </w:rPr>
              <w:t xml:space="preserve">يُدعى المجلس إلى </w:t>
            </w:r>
            <w:r w:rsidRPr="00D90811">
              <w:rPr>
                <w:rFonts w:hint="cs"/>
                <w:b/>
                <w:bCs/>
                <w:rtl/>
              </w:rPr>
              <w:t>النظر</w:t>
            </w:r>
            <w:r w:rsidRPr="00D90811">
              <w:rPr>
                <w:rFonts w:hint="cs"/>
                <w:rtl/>
              </w:rPr>
              <w:t xml:space="preserve"> في هذا التقرير.</w:t>
            </w:r>
          </w:p>
          <w:p w14:paraId="1A564DE2" w14:textId="77777777" w:rsidR="007B0AA0" w:rsidRPr="007B0AA0" w:rsidRDefault="00494119" w:rsidP="007B0A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الصلة</w:t>
            </w:r>
            <w:r w:rsidR="007B0AA0" w:rsidRPr="007B0AA0">
              <w:rPr>
                <w:b/>
                <w:bCs/>
                <w:rtl/>
              </w:rPr>
              <w:t xml:space="preserve"> بالخطة ال</w:t>
            </w:r>
            <w:r w:rsidR="007B0AA0" w:rsidRPr="007B0AA0">
              <w:rPr>
                <w:rFonts w:hint="cs"/>
                <w:b/>
                <w:bCs/>
                <w:rtl/>
              </w:rPr>
              <w:t>ا</w:t>
            </w:r>
            <w:r w:rsidR="007B0AA0" w:rsidRPr="007B0AA0">
              <w:rPr>
                <w:b/>
                <w:bCs/>
                <w:rtl/>
              </w:rPr>
              <w:t>ستراتيجية</w:t>
            </w:r>
          </w:p>
          <w:p w14:paraId="7BF685A1" w14:textId="3FD36952" w:rsidR="007B0AA0" w:rsidRDefault="00D90811" w:rsidP="00D90811">
            <w:pPr>
              <w:rPr>
                <w:rtl/>
              </w:rPr>
            </w:pPr>
            <w:r w:rsidRPr="00D90811">
              <w:rPr>
                <w:rFonts w:hint="cs"/>
                <w:rtl/>
              </w:rPr>
              <w:t>تقديم المساعدة التقنية.</w:t>
            </w:r>
          </w:p>
          <w:p w14:paraId="3B7169F9" w14:textId="77777777" w:rsidR="007B0AA0" w:rsidRDefault="007B0AA0" w:rsidP="00B97F32">
            <w:pPr>
              <w:rPr>
                <w:b/>
                <w:bCs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08FB524C" w14:textId="617C321F" w:rsidR="006F363C" w:rsidRPr="005546CF" w:rsidRDefault="00D90811" w:rsidP="00D90811">
            <w:pPr>
              <w:rPr>
                <w:rtl/>
              </w:rPr>
            </w:pPr>
            <w:r w:rsidRPr="00D90811">
              <w:rPr>
                <w:rFonts w:hint="cs"/>
                <w:rtl/>
              </w:rPr>
              <w:t xml:space="preserve">لا تتجاوز حدود ميزانية الفترة </w:t>
            </w:r>
            <w:r w:rsidRPr="00D90811">
              <w:t>2025-2024</w:t>
            </w:r>
            <w:r w:rsidRPr="00D90811">
              <w:rPr>
                <w:rFonts w:hint="cs"/>
                <w:rtl/>
                <w:lang w:bidi="ar-EG"/>
              </w:rPr>
              <w:t>.</w:t>
            </w:r>
          </w:p>
          <w:p w14:paraId="2C90E31C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4D65772C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4899B032" w14:textId="34EA0C8F" w:rsidR="007B0AA0" w:rsidRPr="00564674" w:rsidRDefault="00564674" w:rsidP="00D90811">
            <w:pPr>
              <w:rPr>
                <w:i/>
                <w:iCs/>
                <w:rtl/>
              </w:rPr>
            </w:pPr>
            <w:hyperlink r:id="rId8" w:history="1">
              <w:r w:rsidRPr="00564674">
                <w:rPr>
                  <w:rStyle w:val="Hyperlink"/>
                  <w:rFonts w:ascii="Dubai" w:hAnsi="Dubai" w:cs="Dubai"/>
                  <w:i/>
                  <w:iCs/>
                  <w:rtl/>
                  <w:lang w:bidi="ar-EG"/>
                </w:rPr>
                <w:t xml:space="preserve">القرار </w:t>
              </w:r>
              <w:r w:rsidR="00D90811" w:rsidRPr="00564674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val="en-US" w:eastAsia="zh-CN"/>
                </w:rPr>
                <w:t>1424</w:t>
              </w:r>
              <w:r w:rsidR="00D90811" w:rsidRPr="00564674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 xml:space="preserve"> </w:t>
              </w:r>
              <w:r w:rsidRPr="00564674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/>
                </w:rPr>
                <w:t>ا</w:t>
              </w:r>
              <w:r w:rsidRPr="00564674">
                <w:rPr>
                  <w:rStyle w:val="Hyperlink"/>
                  <w:rFonts w:ascii="Dubai" w:hAnsi="Dubai" w:cs="Dubai"/>
                  <w:i/>
                  <w:iCs/>
                  <w:rtl/>
                </w:rPr>
                <w:t>لصادر</w:t>
              </w:r>
            </w:hyperlink>
            <w:r w:rsidRPr="00564674">
              <w:rPr>
                <w:rStyle w:val="Hyperlink"/>
                <w:rFonts w:ascii="Dubai" w:eastAsiaTheme="minorEastAsia" w:hAnsi="Dubai" w:cs="Dubai"/>
                <w:i/>
                <w:iCs/>
                <w:noProof w:val="0"/>
                <w:sz w:val="22"/>
                <w:rtl/>
                <w:lang w:val="en-US" w:eastAsia="zh-CN"/>
              </w:rPr>
              <w:t xml:space="preserve"> </w:t>
            </w:r>
            <w:r w:rsidRPr="00564674">
              <w:rPr>
                <w:rStyle w:val="Hyperlink"/>
                <w:rFonts w:ascii="Dubai" w:hAnsi="Dubai" w:cs="Dubai"/>
                <w:i/>
                <w:iCs/>
                <w:rtl/>
              </w:rPr>
              <w:t>عن مجلس الاتحاد لعام 2024</w:t>
            </w:r>
          </w:p>
        </w:tc>
      </w:tr>
    </w:tbl>
    <w:p w14:paraId="3A858CD9" w14:textId="77777777" w:rsidR="00F50E3F" w:rsidRDefault="00F50E3F" w:rsidP="0043260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DADCA5F" w14:textId="594B2BAA" w:rsidR="00D90811" w:rsidRPr="00D90811" w:rsidRDefault="005B12EE" w:rsidP="00EA6AAE">
      <w:pPr>
        <w:pStyle w:val="Headingb"/>
        <w:rPr>
          <w:lang w:bidi="ar-EG"/>
        </w:rPr>
      </w:pPr>
      <w:r>
        <w:rPr>
          <w:rFonts w:hint="cs"/>
          <w:rtl/>
        </w:rPr>
        <w:lastRenderedPageBreak/>
        <w:t>معلومات أساسية</w:t>
      </w:r>
    </w:p>
    <w:p w14:paraId="0F39A131" w14:textId="6048E50E" w:rsidR="00D90811" w:rsidRPr="00D90811" w:rsidRDefault="00D90811" w:rsidP="00D90811">
      <w:pPr>
        <w:rPr>
          <w:lang w:bidi="ar-EG"/>
        </w:rPr>
      </w:pPr>
      <w:r w:rsidRPr="00D90811">
        <w:rPr>
          <w:rtl/>
        </w:rPr>
        <w:t>تقدم هذه الوثيقة تقريرا</w:t>
      </w:r>
      <w:r w:rsidRPr="00D90811">
        <w:rPr>
          <w:rFonts w:hint="cs"/>
          <w:rtl/>
        </w:rPr>
        <w:t>ً</w:t>
      </w:r>
      <w:r w:rsidRPr="00D90811">
        <w:rPr>
          <w:rtl/>
        </w:rPr>
        <w:t xml:space="preserve"> عن تنفيذ </w:t>
      </w:r>
      <w:r w:rsidR="00564674" w:rsidRPr="00564674">
        <w:rPr>
          <w:rtl/>
        </w:rPr>
        <w:t>القرار 1424 الصادر عن مجلس الاتحاد لعام 2024</w:t>
      </w:r>
      <w:r w:rsidRPr="00D90811">
        <w:rPr>
          <w:rtl/>
        </w:rPr>
        <w:t xml:space="preserve">، الذي </w:t>
      </w:r>
      <w:r w:rsidRPr="00D90811">
        <w:rPr>
          <w:rFonts w:hint="cs"/>
          <w:rtl/>
        </w:rPr>
        <w:t>يدعو</w:t>
      </w:r>
      <w:r w:rsidRPr="00D90811">
        <w:rPr>
          <w:rtl/>
        </w:rPr>
        <w:t xml:space="preserve"> الأمينة العامة إلى تنسيق أنشطة قطاعات الاتحاد الثلاثة وتقديم تقرير عن هذه المسألة إلى دورة المجلس في عام </w:t>
      </w:r>
      <w:r w:rsidRPr="00D90811">
        <w:t>2025</w:t>
      </w:r>
      <w:r w:rsidRPr="00D90811">
        <w:rPr>
          <w:rtl/>
        </w:rPr>
        <w:t>.</w:t>
      </w:r>
    </w:p>
    <w:p w14:paraId="30E97FE3" w14:textId="77777777" w:rsidR="00D90811" w:rsidRPr="00D90811" w:rsidRDefault="00D90811" w:rsidP="00EA6AAE">
      <w:pPr>
        <w:pStyle w:val="Headingb"/>
        <w:rPr>
          <w:lang w:bidi="ar-EG"/>
        </w:rPr>
      </w:pPr>
      <w:r w:rsidRPr="00D90811">
        <w:rPr>
          <w:rtl/>
        </w:rPr>
        <w:t>السياق</w:t>
      </w:r>
    </w:p>
    <w:p w14:paraId="08DBEBF4" w14:textId="77777777" w:rsidR="00D90811" w:rsidRPr="00D90811" w:rsidRDefault="00D90811" w:rsidP="00D90811">
      <w:pPr>
        <w:rPr>
          <w:lang w:bidi="ar-EG"/>
        </w:rPr>
      </w:pPr>
      <w:r w:rsidRPr="00D90811">
        <w:rPr>
          <w:rtl/>
        </w:rPr>
        <w:t>وفقا</w:t>
      </w:r>
      <w:r w:rsidRPr="00D90811">
        <w:rPr>
          <w:rFonts w:hint="cs"/>
          <w:rtl/>
        </w:rPr>
        <w:t>ً</w:t>
      </w:r>
      <w:r w:rsidRPr="00D90811">
        <w:rPr>
          <w:rtl/>
        </w:rPr>
        <w:t xml:space="preserve"> </w:t>
      </w:r>
      <w:r w:rsidRPr="00D90811">
        <w:rPr>
          <w:rFonts w:hint="cs"/>
          <w:rtl/>
          <w:lang w:bidi="ar-EG"/>
        </w:rPr>
        <w:t>للمعلومات المحدَّثة المقدمة من ا</w:t>
      </w:r>
      <w:r w:rsidRPr="00D90811">
        <w:rPr>
          <w:rtl/>
        </w:rPr>
        <w:t>لمجموعة المعنية بالاتصالات في حالات الطوارئ، لا يزال قطاع تكنولوجيا المعلومات والاتصالات</w:t>
      </w:r>
      <w:r w:rsidRPr="00D90811">
        <w:rPr>
          <w:rFonts w:hint="cs"/>
          <w:rtl/>
        </w:rPr>
        <w:t xml:space="preserve"> </w:t>
      </w:r>
      <w:r w:rsidRPr="00D90811">
        <w:rPr>
          <w:lang w:bidi="ar-EG"/>
        </w:rPr>
        <w:t>(ICT)</w:t>
      </w:r>
      <w:r w:rsidRPr="00D90811">
        <w:rPr>
          <w:rtl/>
        </w:rPr>
        <w:t xml:space="preserve"> </w:t>
      </w:r>
      <w:r w:rsidRPr="00D90811">
        <w:rPr>
          <w:rFonts w:hint="cs"/>
          <w:rtl/>
          <w:lang w:bidi="ar-EG"/>
        </w:rPr>
        <w:t xml:space="preserve">في </w:t>
      </w:r>
      <w:r w:rsidRPr="00D90811">
        <w:rPr>
          <w:rtl/>
        </w:rPr>
        <w:t xml:space="preserve">فلسطين يواجه تحديات </w:t>
      </w:r>
      <w:r w:rsidRPr="00D90811">
        <w:rPr>
          <w:rFonts w:hint="cs"/>
          <w:rtl/>
          <w:lang w:bidi="ar-EG"/>
        </w:rPr>
        <w:t>بالغة في مجالي التنمية والبنية التحتية</w:t>
      </w:r>
      <w:r w:rsidRPr="00D90811">
        <w:rPr>
          <w:rtl/>
        </w:rPr>
        <w:t xml:space="preserve">، </w:t>
      </w:r>
      <w:r w:rsidRPr="00D90811">
        <w:rPr>
          <w:rFonts w:hint="cs"/>
          <w:rtl/>
        </w:rPr>
        <w:t xml:space="preserve">يشتد تأثيرها على </w:t>
      </w:r>
      <w:r w:rsidRPr="00D90811">
        <w:rPr>
          <w:rtl/>
        </w:rPr>
        <w:t>النطاق العريض</w:t>
      </w:r>
      <w:r w:rsidRPr="00D90811">
        <w:rPr>
          <w:rFonts w:hint="cs"/>
          <w:rtl/>
        </w:rPr>
        <w:t xml:space="preserve"> المتنقل</w:t>
      </w:r>
      <w:r w:rsidRPr="00D90811">
        <w:rPr>
          <w:rtl/>
        </w:rPr>
        <w:t xml:space="preserve">. </w:t>
      </w:r>
      <w:r w:rsidRPr="00D90811">
        <w:rPr>
          <w:rFonts w:hint="cs"/>
          <w:rtl/>
          <w:lang w:bidi="ar-EG"/>
        </w:rPr>
        <w:t xml:space="preserve">إذ لا تتوفر في الوقت الحاضر </w:t>
      </w:r>
      <w:r w:rsidRPr="00D90811">
        <w:rPr>
          <w:rtl/>
        </w:rPr>
        <w:t>خدمات البيانات المتنقلة</w:t>
      </w:r>
      <w:r w:rsidRPr="00D90811">
        <w:rPr>
          <w:rFonts w:hint="cs"/>
          <w:rtl/>
        </w:rPr>
        <w:t xml:space="preserve"> في غزة</w:t>
      </w:r>
      <w:r w:rsidRPr="00D90811">
        <w:rPr>
          <w:rtl/>
        </w:rPr>
        <w:t>، و</w:t>
      </w:r>
      <w:r w:rsidRPr="00D90811">
        <w:rPr>
          <w:rFonts w:hint="cs"/>
          <w:rtl/>
        </w:rPr>
        <w:t>ت</w:t>
      </w:r>
      <w:r w:rsidRPr="00D90811">
        <w:rPr>
          <w:rtl/>
        </w:rPr>
        <w:t xml:space="preserve">قتصر </w:t>
      </w:r>
      <w:r w:rsidRPr="00D90811">
        <w:rPr>
          <w:rFonts w:hint="cs"/>
          <w:rtl/>
        </w:rPr>
        <w:t>التوصيلية الصوتية</w:t>
      </w:r>
      <w:r w:rsidRPr="00D90811">
        <w:rPr>
          <w:rtl/>
        </w:rPr>
        <w:t xml:space="preserve"> على الشبكات الساتلية و</w:t>
      </w:r>
      <w:r w:rsidRPr="00D90811">
        <w:rPr>
          <w:rFonts w:hint="cs"/>
          <w:rtl/>
        </w:rPr>
        <w:t>الشبكات المشغلة</w:t>
      </w:r>
      <w:r w:rsidRPr="00D90811">
        <w:rPr>
          <w:rtl/>
        </w:rPr>
        <w:t xml:space="preserve"> جزئيا</w:t>
      </w:r>
      <w:r w:rsidRPr="00D90811">
        <w:rPr>
          <w:rFonts w:hint="cs"/>
          <w:rtl/>
        </w:rPr>
        <w:t>ً</w:t>
      </w:r>
      <w:r w:rsidRPr="00D90811">
        <w:rPr>
          <w:rtl/>
        </w:rPr>
        <w:t>. كما أن</w:t>
      </w:r>
      <w:r w:rsidRPr="00D90811">
        <w:rPr>
          <w:rFonts w:hint="cs"/>
          <w:rtl/>
        </w:rPr>
        <w:t xml:space="preserve"> إمكانية</w:t>
      </w:r>
      <w:r w:rsidRPr="00D90811">
        <w:rPr>
          <w:rFonts w:hint="cs"/>
          <w:rtl/>
          <w:lang w:bidi="ar-EG"/>
        </w:rPr>
        <w:t xml:space="preserve"> النفاذ</w:t>
      </w:r>
      <w:r w:rsidRPr="00D90811">
        <w:rPr>
          <w:rtl/>
        </w:rPr>
        <w:t xml:space="preserve"> إلى الإنترنت محدود</w:t>
      </w:r>
      <w:r w:rsidRPr="00D90811">
        <w:rPr>
          <w:rFonts w:hint="cs"/>
          <w:rtl/>
        </w:rPr>
        <w:t>ة</w:t>
      </w:r>
      <w:r w:rsidRPr="00D90811">
        <w:rPr>
          <w:rtl/>
        </w:rPr>
        <w:t>،</w:t>
      </w:r>
      <w:r w:rsidRPr="00D90811">
        <w:rPr>
          <w:rFonts w:hint="cs"/>
          <w:rtl/>
        </w:rPr>
        <w:t xml:space="preserve"> وهو ما </w:t>
      </w:r>
      <w:r w:rsidRPr="00D90811">
        <w:rPr>
          <w:rtl/>
        </w:rPr>
        <w:t xml:space="preserve">يؤثر على عمليات </w:t>
      </w:r>
      <w:r w:rsidRPr="00D90811">
        <w:rPr>
          <w:rFonts w:hint="cs"/>
          <w:rtl/>
        </w:rPr>
        <w:t xml:space="preserve">المساعدة </w:t>
      </w:r>
      <w:r w:rsidRPr="00D90811">
        <w:rPr>
          <w:rtl/>
        </w:rPr>
        <w:t>الإنسانية والاتصالات العامة.</w:t>
      </w:r>
    </w:p>
    <w:p w14:paraId="77F7A3DD" w14:textId="3E714911" w:rsidR="00D90811" w:rsidRPr="00D90811" w:rsidRDefault="00D90811" w:rsidP="00D90811">
      <w:pPr>
        <w:rPr>
          <w:lang w:bidi="ar-EG"/>
        </w:rPr>
      </w:pPr>
      <w:r w:rsidRPr="00D90811">
        <w:rPr>
          <w:rtl/>
        </w:rPr>
        <w:t>ووفقا</w:t>
      </w:r>
      <w:r w:rsidRPr="00D90811">
        <w:rPr>
          <w:rFonts w:hint="cs"/>
          <w:rtl/>
        </w:rPr>
        <w:t>ً</w:t>
      </w:r>
      <w:r w:rsidRPr="00D90811">
        <w:rPr>
          <w:rtl/>
        </w:rPr>
        <w:t xml:space="preserve"> للبنك الدولي، </w:t>
      </w:r>
      <w:r w:rsidRPr="00D90811">
        <w:rPr>
          <w:rFonts w:hint="cs"/>
          <w:rtl/>
        </w:rPr>
        <w:t xml:space="preserve">فقد </w:t>
      </w:r>
      <w:r w:rsidRPr="00D90811">
        <w:rPr>
          <w:rtl/>
        </w:rPr>
        <w:t>بلغت</w:t>
      </w:r>
      <w:r w:rsidRPr="00D90811">
        <w:rPr>
          <w:rFonts w:hint="cs"/>
          <w:rtl/>
        </w:rPr>
        <w:t xml:space="preserve"> قيمة</w:t>
      </w:r>
      <w:r w:rsidRPr="00D90811">
        <w:rPr>
          <w:rtl/>
        </w:rPr>
        <w:t xml:space="preserve"> الأضرار التي لحقت بالبنية التحتية لتكنولوجيا المعلومات والاتصالات </w:t>
      </w:r>
      <w:r w:rsidRPr="00D90811">
        <w:t>164</w:t>
      </w:r>
      <w:r w:rsidRPr="00D90811">
        <w:rPr>
          <w:rtl/>
        </w:rPr>
        <w:t xml:space="preserve"> مليون دولار أمريكي</w:t>
      </w:r>
      <w:r w:rsidR="002D4DD6">
        <w:rPr>
          <w:rStyle w:val="FootnoteReference"/>
          <w:rtl/>
        </w:rPr>
        <w:footnoteReference w:customMarkFollows="1" w:id="1"/>
        <w:t>1</w:t>
      </w:r>
      <w:r w:rsidR="006A5AB1" w:rsidRPr="00564674">
        <w:rPr>
          <w:rtl/>
        </w:rPr>
        <w:t>.</w:t>
      </w:r>
      <w:r w:rsidRPr="00D90811">
        <w:rPr>
          <w:rtl/>
        </w:rPr>
        <w:t xml:space="preserve"> ومن بين الأصول المتضررة،</w:t>
      </w:r>
      <w:r w:rsidRPr="00D90811">
        <w:rPr>
          <w:rFonts w:hint="cs"/>
          <w:rtl/>
        </w:rPr>
        <w:t xml:space="preserve"> أُفيد بأن نسبة</w:t>
      </w:r>
      <w:r w:rsidRPr="00D90811">
        <w:rPr>
          <w:rtl/>
        </w:rPr>
        <w:t xml:space="preserve"> </w:t>
      </w:r>
      <w:r w:rsidR="007E6DF6">
        <w:t>%74</w:t>
      </w:r>
      <w:r w:rsidRPr="00D90811">
        <w:rPr>
          <w:rtl/>
        </w:rPr>
        <w:t xml:space="preserve"> منها</w:t>
      </w:r>
      <w:r w:rsidRPr="00D90811">
        <w:rPr>
          <w:rFonts w:hint="cs"/>
          <w:rtl/>
        </w:rPr>
        <w:t xml:space="preserve"> قد دُمرت</w:t>
      </w:r>
      <w:r w:rsidRPr="00D90811">
        <w:rPr>
          <w:rtl/>
        </w:rPr>
        <w:t>،</w:t>
      </w:r>
      <w:r w:rsidRPr="00D90811">
        <w:rPr>
          <w:rFonts w:hint="cs"/>
          <w:rtl/>
        </w:rPr>
        <w:t xml:space="preserve"> ونسبة</w:t>
      </w:r>
      <w:r w:rsidRPr="00D90811">
        <w:rPr>
          <w:rtl/>
        </w:rPr>
        <w:t xml:space="preserve"> </w:t>
      </w:r>
      <w:r w:rsidR="00DB4152">
        <w:t>%16</w:t>
      </w:r>
      <w:r w:rsidRPr="00D90811">
        <w:rPr>
          <w:rtl/>
        </w:rPr>
        <w:t xml:space="preserve"> </w:t>
      </w:r>
      <w:r w:rsidRPr="00D90811">
        <w:rPr>
          <w:rFonts w:hint="cs"/>
          <w:rtl/>
        </w:rPr>
        <w:t xml:space="preserve">قد تضررت </w:t>
      </w:r>
      <w:r w:rsidRPr="00D90811">
        <w:rPr>
          <w:rtl/>
        </w:rPr>
        <w:t>جزئيا</w:t>
      </w:r>
      <w:r w:rsidRPr="00D90811">
        <w:rPr>
          <w:rFonts w:hint="cs"/>
          <w:rtl/>
        </w:rPr>
        <w:t>ً</w:t>
      </w:r>
      <w:r w:rsidRPr="00D90811">
        <w:rPr>
          <w:rtl/>
        </w:rPr>
        <w:t xml:space="preserve">، </w:t>
      </w:r>
      <w:r w:rsidRPr="00D90811">
        <w:rPr>
          <w:rFonts w:hint="cs"/>
          <w:rtl/>
        </w:rPr>
        <w:t xml:space="preserve">بينما سُجل أدنى تأثير في نسبة </w:t>
      </w:r>
      <w:r w:rsidR="007E6DF6">
        <w:t>%10</w:t>
      </w:r>
      <w:r w:rsidRPr="00D90811">
        <w:rPr>
          <w:rtl/>
        </w:rPr>
        <w:t xml:space="preserve"> </w:t>
      </w:r>
      <w:r w:rsidRPr="00D90811">
        <w:rPr>
          <w:rFonts w:hint="cs"/>
          <w:rtl/>
        </w:rPr>
        <w:t>منها</w:t>
      </w:r>
      <w:r w:rsidR="002D4DD6">
        <w:rPr>
          <w:rStyle w:val="FootnoteReference"/>
          <w:rtl/>
        </w:rPr>
        <w:footnoteReference w:customMarkFollows="1" w:id="2"/>
        <w:t>2</w:t>
      </w:r>
      <w:r w:rsidR="00375F3D">
        <w:rPr>
          <w:rFonts w:hint="cs"/>
          <w:rtl/>
        </w:rPr>
        <w:t>.</w:t>
      </w:r>
      <w:r w:rsidRPr="00D90811">
        <w:rPr>
          <w:rtl/>
        </w:rPr>
        <w:t xml:space="preserve"> علاوة</w:t>
      </w:r>
      <w:r w:rsidRPr="00D90811">
        <w:rPr>
          <w:rFonts w:hint="cs"/>
          <w:rtl/>
        </w:rPr>
        <w:t>ً</w:t>
      </w:r>
      <w:r w:rsidRPr="00D90811">
        <w:rPr>
          <w:rtl/>
        </w:rPr>
        <w:t xml:space="preserve"> على ذلك، ي</w:t>
      </w:r>
      <w:r w:rsidRPr="00D90811">
        <w:rPr>
          <w:rFonts w:hint="cs"/>
          <w:rtl/>
          <w:lang w:bidi="ar-EG"/>
        </w:rPr>
        <w:t>قدِّر</w:t>
      </w:r>
      <w:r w:rsidRPr="00D90811">
        <w:rPr>
          <w:rtl/>
        </w:rPr>
        <w:t xml:space="preserve"> البنك الدولي </w:t>
      </w:r>
      <w:r w:rsidRPr="00D90811">
        <w:rPr>
          <w:rFonts w:hint="cs"/>
          <w:rtl/>
        </w:rPr>
        <w:t>التكلفة اللازمة لإ</w:t>
      </w:r>
      <w:r w:rsidRPr="00D90811">
        <w:rPr>
          <w:rtl/>
        </w:rPr>
        <w:t>عادة الإعمار والتعافي</w:t>
      </w:r>
      <w:r w:rsidRPr="00D90811">
        <w:rPr>
          <w:rFonts w:hint="cs"/>
          <w:rtl/>
        </w:rPr>
        <w:t xml:space="preserve"> بـنحو</w:t>
      </w:r>
      <w:r w:rsidR="000E1ED0">
        <w:rPr>
          <w:rFonts w:hint="cs"/>
          <w:rtl/>
        </w:rPr>
        <w:t> </w:t>
      </w:r>
      <w:r w:rsidRPr="00D90811">
        <w:t>460</w:t>
      </w:r>
      <w:r w:rsidR="000E1ED0">
        <w:rPr>
          <w:rFonts w:hint="cs"/>
          <w:rtl/>
        </w:rPr>
        <w:t> </w:t>
      </w:r>
      <w:r w:rsidRPr="00D90811">
        <w:rPr>
          <w:rtl/>
        </w:rPr>
        <w:t xml:space="preserve">مليون دولار أمريكي، منها </w:t>
      </w:r>
      <w:r w:rsidRPr="00D90811">
        <w:t>116</w:t>
      </w:r>
      <w:r w:rsidRPr="00D90811">
        <w:rPr>
          <w:rtl/>
        </w:rPr>
        <w:t xml:space="preserve"> مليون دولار أمريكي </w:t>
      </w:r>
      <w:r w:rsidRPr="00D90811">
        <w:rPr>
          <w:rFonts w:hint="cs"/>
          <w:rtl/>
        </w:rPr>
        <w:t>للاستعادة</w:t>
      </w:r>
      <w:r w:rsidRPr="00D90811">
        <w:rPr>
          <w:rtl/>
        </w:rPr>
        <w:t xml:space="preserve"> </w:t>
      </w:r>
      <w:r w:rsidRPr="00D90811">
        <w:rPr>
          <w:rFonts w:hint="cs"/>
          <w:rtl/>
        </w:rPr>
        <w:t xml:space="preserve">الفورية </w:t>
      </w:r>
      <w:r w:rsidRPr="00D90811">
        <w:rPr>
          <w:rtl/>
        </w:rPr>
        <w:t xml:space="preserve">لأبراج </w:t>
      </w:r>
      <w:r w:rsidRPr="00D90811">
        <w:rPr>
          <w:rFonts w:hint="cs"/>
          <w:rtl/>
        </w:rPr>
        <w:t>الاتصالات المتنقلة،</w:t>
      </w:r>
      <w:r w:rsidRPr="00D90811">
        <w:rPr>
          <w:rtl/>
        </w:rPr>
        <w:t xml:space="preserve"> </w:t>
      </w:r>
      <w:proofErr w:type="spellStart"/>
      <w:r w:rsidRPr="00D90811">
        <w:rPr>
          <w:rtl/>
        </w:rPr>
        <w:t>و</w:t>
      </w:r>
      <w:r w:rsidRPr="00D90811">
        <w:rPr>
          <w:rFonts w:hint="cs"/>
          <w:rtl/>
        </w:rPr>
        <w:t>كبلات</w:t>
      </w:r>
      <w:proofErr w:type="spellEnd"/>
      <w:r w:rsidRPr="00D90811">
        <w:rPr>
          <w:rFonts w:hint="cs"/>
          <w:rtl/>
        </w:rPr>
        <w:t xml:space="preserve"> </w:t>
      </w:r>
      <w:r w:rsidRPr="00D90811">
        <w:rPr>
          <w:rtl/>
        </w:rPr>
        <w:t>الألياف البصرية، والخدمات الأساسية، و</w:t>
      </w:r>
      <w:r w:rsidRPr="00D90811">
        <w:t>344</w:t>
      </w:r>
      <w:r w:rsidRPr="00D90811">
        <w:rPr>
          <w:rtl/>
        </w:rPr>
        <w:t xml:space="preserve"> مليون دولار أمريكي لجهود</w:t>
      </w:r>
      <w:r w:rsidRPr="00D90811">
        <w:rPr>
          <w:rFonts w:hint="cs"/>
          <w:rtl/>
        </w:rPr>
        <w:t xml:space="preserve"> تأسيس المرونة</w:t>
      </w:r>
      <w:r w:rsidRPr="00D90811">
        <w:rPr>
          <w:rtl/>
        </w:rPr>
        <w:t xml:space="preserve"> وإعادة البناء على المدى الطويل</w:t>
      </w:r>
      <w:r w:rsidR="002D4DD6">
        <w:rPr>
          <w:rStyle w:val="FootnoteReference"/>
          <w:rtl/>
        </w:rPr>
        <w:footnoteReference w:customMarkFollows="1" w:id="3"/>
        <w:t>3</w:t>
      </w:r>
      <w:r w:rsidR="00375F3D">
        <w:rPr>
          <w:rFonts w:hint="cs"/>
          <w:rtl/>
        </w:rPr>
        <w:t>.</w:t>
      </w:r>
      <w:r w:rsidRPr="00D90811">
        <w:rPr>
          <w:rtl/>
        </w:rPr>
        <w:t xml:space="preserve"> </w:t>
      </w:r>
      <w:r w:rsidRPr="00D90811">
        <w:rPr>
          <w:rFonts w:hint="cs"/>
          <w:rtl/>
        </w:rPr>
        <w:t>و</w:t>
      </w:r>
      <w:r w:rsidRPr="00D90811">
        <w:rPr>
          <w:rtl/>
        </w:rPr>
        <w:t>التحديا</w:t>
      </w:r>
      <w:r w:rsidRPr="00D90811">
        <w:rPr>
          <w:rFonts w:hint="cs"/>
          <w:rtl/>
        </w:rPr>
        <w:t>ن</w:t>
      </w:r>
      <w:r w:rsidRPr="00D90811">
        <w:rPr>
          <w:rtl/>
        </w:rPr>
        <w:t xml:space="preserve"> </w:t>
      </w:r>
      <w:r w:rsidRPr="00D90811">
        <w:rPr>
          <w:rFonts w:hint="cs"/>
          <w:rtl/>
        </w:rPr>
        <w:t>اللذان لا يزال</w:t>
      </w:r>
      <w:r w:rsidRPr="00D90811">
        <w:rPr>
          <w:rtl/>
        </w:rPr>
        <w:t xml:space="preserve"> قطاع الاتصالات</w:t>
      </w:r>
      <w:r w:rsidRPr="00D90811">
        <w:rPr>
          <w:rFonts w:hint="cs"/>
          <w:rtl/>
        </w:rPr>
        <w:t xml:space="preserve"> </w:t>
      </w:r>
      <w:proofErr w:type="spellStart"/>
      <w:r w:rsidRPr="00D90811">
        <w:rPr>
          <w:rFonts w:hint="cs"/>
          <w:rtl/>
        </w:rPr>
        <w:t>يواجههما</w:t>
      </w:r>
      <w:proofErr w:type="spellEnd"/>
      <w:r w:rsidRPr="00D90811">
        <w:rPr>
          <w:rtl/>
        </w:rPr>
        <w:t xml:space="preserve"> </w:t>
      </w:r>
      <w:r w:rsidRPr="00D90811">
        <w:rPr>
          <w:rFonts w:hint="cs"/>
          <w:rtl/>
        </w:rPr>
        <w:t xml:space="preserve">هما إمكانية </w:t>
      </w:r>
      <w:r w:rsidRPr="00D90811">
        <w:rPr>
          <w:rtl/>
        </w:rPr>
        <w:t xml:space="preserve">الحصول على قطع الغيار </w:t>
      </w:r>
      <w:r w:rsidRPr="00D90811">
        <w:rPr>
          <w:rFonts w:hint="cs"/>
          <w:rtl/>
          <w:lang w:bidi="ar-EG"/>
        </w:rPr>
        <w:t>واستمرار نقص</w:t>
      </w:r>
      <w:r w:rsidRPr="00D90811">
        <w:rPr>
          <w:rtl/>
        </w:rPr>
        <w:t xml:space="preserve"> الوقود، </w:t>
      </w:r>
      <w:r w:rsidRPr="00D90811">
        <w:rPr>
          <w:rFonts w:hint="cs"/>
          <w:rtl/>
        </w:rPr>
        <w:t>وهما حرجان لتشغيل أبراج الاتصالات وأنظمة الدعم الاحتياطي.</w:t>
      </w:r>
    </w:p>
    <w:p w14:paraId="72564646" w14:textId="77777777" w:rsidR="00D90811" w:rsidRPr="00D90811" w:rsidRDefault="00D90811" w:rsidP="00EA6AAE">
      <w:pPr>
        <w:pStyle w:val="Headingb"/>
        <w:rPr>
          <w:lang w:bidi="ar-EG"/>
        </w:rPr>
      </w:pPr>
      <w:r w:rsidRPr="00D90811">
        <w:rPr>
          <w:rtl/>
        </w:rPr>
        <w:t>الإجراءات التي اتخذها الاتحاد</w:t>
      </w:r>
      <w:r w:rsidRPr="00D90811">
        <w:rPr>
          <w:rFonts w:hint="cs"/>
          <w:rtl/>
        </w:rPr>
        <w:t xml:space="preserve"> الدولي للاتصالات</w:t>
      </w:r>
    </w:p>
    <w:p w14:paraId="72D2E855" w14:textId="77777777" w:rsidR="00D90811" w:rsidRPr="00D90811" w:rsidRDefault="00D90811" w:rsidP="00D90811">
      <w:pPr>
        <w:rPr>
          <w:lang w:bidi="ar-EG"/>
        </w:rPr>
      </w:pPr>
      <w:r w:rsidRPr="00D90811">
        <w:rPr>
          <w:rFonts w:hint="cs"/>
          <w:rtl/>
        </w:rPr>
        <w:t>ب</w:t>
      </w:r>
      <w:r w:rsidRPr="00D90811">
        <w:rPr>
          <w:rtl/>
        </w:rPr>
        <w:t xml:space="preserve">الرغم من التحديات </w:t>
      </w:r>
      <w:r w:rsidRPr="00D90811">
        <w:rPr>
          <w:rFonts w:hint="cs"/>
          <w:rtl/>
        </w:rPr>
        <w:t>الموجزة</w:t>
      </w:r>
      <w:r w:rsidRPr="00D90811">
        <w:rPr>
          <w:rtl/>
        </w:rPr>
        <w:t xml:space="preserve"> أعلاه، </w:t>
      </w:r>
      <w:r w:rsidRPr="00D90811">
        <w:rPr>
          <w:rFonts w:hint="cs"/>
          <w:rtl/>
        </w:rPr>
        <w:t xml:space="preserve">فقد </w:t>
      </w:r>
      <w:r w:rsidRPr="00D90811">
        <w:rPr>
          <w:rtl/>
        </w:rPr>
        <w:t xml:space="preserve">واصل الاتحاد جهوده </w:t>
      </w:r>
      <w:r w:rsidRPr="00D90811">
        <w:rPr>
          <w:rFonts w:hint="cs"/>
          <w:rtl/>
        </w:rPr>
        <w:t>طوال</w:t>
      </w:r>
      <w:r w:rsidRPr="00D90811">
        <w:rPr>
          <w:rtl/>
        </w:rPr>
        <w:t xml:space="preserve"> العام الماضي </w:t>
      </w:r>
      <w:r w:rsidRPr="00D90811">
        <w:rPr>
          <w:rFonts w:hint="cs"/>
          <w:rtl/>
        </w:rPr>
        <w:t>في سبيل</w:t>
      </w:r>
      <w:r w:rsidRPr="00D90811">
        <w:rPr>
          <w:rtl/>
        </w:rPr>
        <w:t xml:space="preserve"> تنفيذ القرار</w:t>
      </w:r>
      <w:r w:rsidRPr="00D90811">
        <w:rPr>
          <w:rFonts w:hint="cs"/>
          <w:rtl/>
        </w:rPr>
        <w:t xml:space="preserve"> المشار إليه، فأ</w:t>
      </w:r>
      <w:r w:rsidRPr="00D90811">
        <w:rPr>
          <w:rtl/>
        </w:rPr>
        <w:t>حرز تقدم</w:t>
      </w:r>
      <w:r w:rsidRPr="00D90811">
        <w:rPr>
          <w:rFonts w:hint="cs"/>
          <w:rtl/>
        </w:rPr>
        <w:t xml:space="preserve">اً </w:t>
      </w:r>
      <w:r w:rsidRPr="00D90811">
        <w:rPr>
          <w:rtl/>
        </w:rPr>
        <w:t>في معالجة المجالات التالية:</w:t>
      </w:r>
    </w:p>
    <w:p w14:paraId="2027FD4A" w14:textId="77777777" w:rsidR="00D90811" w:rsidRPr="00D90811" w:rsidRDefault="00D90811" w:rsidP="00EA6AAE">
      <w:pPr>
        <w:pStyle w:val="enumlev1"/>
        <w:rPr>
          <w:lang w:bidi="ar-EG"/>
        </w:rPr>
      </w:pPr>
      <w:r w:rsidRPr="00D90811">
        <w:rPr>
          <w:rtl/>
        </w:rPr>
        <w:t>1)</w:t>
      </w:r>
      <w:r w:rsidRPr="00D90811">
        <w:rPr>
          <w:rtl/>
        </w:rPr>
        <w:tab/>
        <w:t>التنسيق</w:t>
      </w:r>
    </w:p>
    <w:p w14:paraId="392CD5D4" w14:textId="77777777" w:rsidR="00D90811" w:rsidRPr="00D90811" w:rsidRDefault="00D90811" w:rsidP="00EA6AAE">
      <w:pPr>
        <w:pStyle w:val="enumlev1"/>
        <w:rPr>
          <w:lang w:bidi="ar-EG"/>
        </w:rPr>
      </w:pPr>
      <w:r w:rsidRPr="00D90811">
        <w:rPr>
          <w:rtl/>
        </w:rPr>
        <w:tab/>
        <w:t>أنشئ فريق مهام مشترك بين القطاعات لضمان</w:t>
      </w:r>
      <w:r w:rsidRPr="00D90811">
        <w:rPr>
          <w:rFonts w:hint="cs"/>
          <w:rtl/>
        </w:rPr>
        <w:t xml:space="preserve"> التنسيق والفعالية في</w:t>
      </w:r>
      <w:r w:rsidRPr="00D90811">
        <w:rPr>
          <w:rtl/>
        </w:rPr>
        <w:t xml:space="preserve"> </w:t>
      </w:r>
      <w:r w:rsidRPr="00D90811">
        <w:rPr>
          <w:rFonts w:hint="cs"/>
          <w:rtl/>
        </w:rPr>
        <w:t>تنفيذ ا</w:t>
      </w:r>
      <w:r w:rsidRPr="00D90811">
        <w:rPr>
          <w:rtl/>
        </w:rPr>
        <w:t xml:space="preserve">لقرار </w:t>
      </w:r>
      <w:r w:rsidRPr="00D90811">
        <w:t>1424</w:t>
      </w:r>
      <w:r w:rsidRPr="00D90811">
        <w:rPr>
          <w:rtl/>
        </w:rPr>
        <w:t xml:space="preserve"> على نطاق الاتحاد. وركز</w:t>
      </w:r>
      <w:r w:rsidRPr="00D90811">
        <w:rPr>
          <w:rFonts w:hint="cs"/>
          <w:rtl/>
        </w:rPr>
        <w:t xml:space="preserve"> فريق المهام </w:t>
      </w:r>
      <w:r w:rsidRPr="00D90811">
        <w:rPr>
          <w:rtl/>
        </w:rPr>
        <w:t>على</w:t>
      </w:r>
      <w:r w:rsidRPr="00D90811">
        <w:rPr>
          <w:rFonts w:hint="cs"/>
          <w:rtl/>
        </w:rPr>
        <w:t xml:space="preserve"> تحقيق</w:t>
      </w:r>
      <w:r w:rsidRPr="00D90811">
        <w:rPr>
          <w:rtl/>
        </w:rPr>
        <w:t xml:space="preserve"> ثلاثة أهداف رئيسية</w:t>
      </w:r>
      <w:r w:rsidRPr="00D90811">
        <w:rPr>
          <w:rFonts w:hint="cs"/>
          <w:rtl/>
        </w:rPr>
        <w:t>، هي</w:t>
      </w:r>
      <w:r w:rsidRPr="00D90811">
        <w:rPr>
          <w:rtl/>
        </w:rPr>
        <w:t>:</w:t>
      </w:r>
    </w:p>
    <w:p w14:paraId="0813E69C" w14:textId="77777777" w:rsidR="00D90811" w:rsidRPr="00D90811" w:rsidRDefault="00D90811" w:rsidP="00EA6AAE">
      <w:pPr>
        <w:pStyle w:val="enumlev2"/>
        <w:rPr>
          <w:lang w:bidi="ar-EG"/>
        </w:rPr>
      </w:pPr>
      <w:r w:rsidRPr="00D90811">
        <w:rPr>
          <w:rFonts w:hint="cs"/>
          <w:rtl/>
        </w:rPr>
        <w:t>’1‘</w:t>
      </w:r>
      <w:r w:rsidRPr="00D90811">
        <w:rPr>
          <w:rtl/>
        </w:rPr>
        <w:tab/>
        <w:t>تقييم أثر النزاع في فلسطين على برامج الاتحاد وأنشطته في المنطقة؛</w:t>
      </w:r>
    </w:p>
    <w:p w14:paraId="7E8291CF" w14:textId="1B0CD42A" w:rsidR="00D90811" w:rsidRPr="00D90811" w:rsidRDefault="00D90811" w:rsidP="00EA6AAE">
      <w:pPr>
        <w:pStyle w:val="enumlev2"/>
        <w:rPr>
          <w:lang w:bidi="ar-EG"/>
        </w:rPr>
      </w:pPr>
      <w:r w:rsidRPr="00D90811">
        <w:rPr>
          <w:rFonts w:hint="cs"/>
          <w:rtl/>
        </w:rPr>
        <w:t>’2‘</w:t>
      </w:r>
      <w:r w:rsidRPr="00D90811">
        <w:rPr>
          <w:rtl/>
        </w:rPr>
        <w:tab/>
        <w:t>تعبئة الموارد المالية والتقنية والبشرية اللازمة لدعم جهود التعافي؛</w:t>
      </w:r>
    </w:p>
    <w:p w14:paraId="7220B9AB" w14:textId="77777777" w:rsidR="00D90811" w:rsidRPr="00D90811" w:rsidRDefault="00D90811" w:rsidP="00EA6AAE">
      <w:pPr>
        <w:pStyle w:val="enumlev2"/>
        <w:rPr>
          <w:lang w:bidi="ar-EG"/>
        </w:rPr>
      </w:pPr>
      <w:r w:rsidRPr="00D90811">
        <w:rPr>
          <w:rFonts w:hint="cs"/>
          <w:rtl/>
        </w:rPr>
        <w:t>’3‘</w:t>
      </w:r>
      <w:r w:rsidRPr="00D90811">
        <w:rPr>
          <w:rtl/>
        </w:rPr>
        <w:tab/>
        <w:t>تتبع وتنسيق التقدم المحرز في تنفيذ القرار، وضمان الشفافية والاتساق مع</w:t>
      </w:r>
      <w:r w:rsidRPr="00D90811">
        <w:rPr>
          <w:rFonts w:hint="cs"/>
          <w:rtl/>
        </w:rPr>
        <w:t xml:space="preserve"> أهداف الاتحاد العامة</w:t>
      </w:r>
      <w:r w:rsidRPr="00D90811">
        <w:rPr>
          <w:rtl/>
        </w:rPr>
        <w:t>.</w:t>
      </w:r>
    </w:p>
    <w:p w14:paraId="7BBDCA36" w14:textId="76955816" w:rsidR="00D90811" w:rsidRPr="00D90811" w:rsidRDefault="00EA6AAE" w:rsidP="00EA6AAE">
      <w:pPr>
        <w:pStyle w:val="enumlev1"/>
        <w:rPr>
          <w:lang w:bidi="ar-EG"/>
        </w:rPr>
      </w:pPr>
      <w:r>
        <w:tab/>
      </w:r>
      <w:r w:rsidR="00D90811" w:rsidRPr="00D90811">
        <w:rPr>
          <w:rFonts w:hint="cs"/>
          <w:rtl/>
        </w:rPr>
        <w:t>ويضم فريق المهام</w:t>
      </w:r>
      <w:r w:rsidR="00D90811" w:rsidRPr="00D90811">
        <w:rPr>
          <w:rtl/>
        </w:rPr>
        <w:t xml:space="preserve">، </w:t>
      </w:r>
      <w:r w:rsidR="00D90811" w:rsidRPr="00D90811">
        <w:rPr>
          <w:rFonts w:hint="cs"/>
          <w:rtl/>
        </w:rPr>
        <w:t>الذي يرأسه</w:t>
      </w:r>
      <w:r w:rsidR="00D90811" w:rsidRPr="00D90811">
        <w:rPr>
          <w:rtl/>
        </w:rPr>
        <w:t xml:space="preserve"> نائب الأمينة العامة، مدير المكتب الإقليمي للاتحاد </w:t>
      </w:r>
      <w:r w:rsidR="00D90811" w:rsidRPr="00D90811">
        <w:rPr>
          <w:rFonts w:hint="cs"/>
          <w:rtl/>
        </w:rPr>
        <w:t>لمنطقة ا</w:t>
      </w:r>
      <w:r w:rsidR="00D90811" w:rsidRPr="00D90811">
        <w:rPr>
          <w:rtl/>
        </w:rPr>
        <w:t>لدول العربية وممثلين عن كل من قطاعات الاتحاد.</w:t>
      </w:r>
    </w:p>
    <w:p w14:paraId="3B03733A" w14:textId="77777777" w:rsidR="00D90811" w:rsidRPr="00D90811" w:rsidRDefault="00D90811" w:rsidP="00EA6AAE">
      <w:pPr>
        <w:pStyle w:val="enumlev1"/>
        <w:rPr>
          <w:lang w:bidi="ar-EG"/>
        </w:rPr>
      </w:pPr>
      <w:r w:rsidRPr="00D90811">
        <w:rPr>
          <w:rtl/>
        </w:rPr>
        <w:t>2)</w:t>
      </w:r>
      <w:r w:rsidRPr="00D90811">
        <w:rPr>
          <w:rtl/>
        </w:rPr>
        <w:tab/>
        <w:t xml:space="preserve">أنشطة </w:t>
      </w:r>
      <w:r w:rsidRPr="00D90811">
        <w:rPr>
          <w:rFonts w:hint="cs"/>
          <w:rtl/>
        </w:rPr>
        <w:t>ال</w:t>
      </w:r>
      <w:r w:rsidRPr="00D90811">
        <w:rPr>
          <w:rtl/>
        </w:rPr>
        <w:t>مجموعة</w:t>
      </w:r>
      <w:r w:rsidRPr="00D90811">
        <w:rPr>
          <w:rFonts w:hint="cs"/>
          <w:rtl/>
        </w:rPr>
        <w:t xml:space="preserve"> المعنية</w:t>
      </w:r>
      <w:r w:rsidRPr="00D90811">
        <w:rPr>
          <w:rtl/>
        </w:rPr>
        <w:t xml:space="preserve"> </w:t>
      </w:r>
      <w:r w:rsidRPr="00D90811">
        <w:rPr>
          <w:rFonts w:hint="cs"/>
          <w:rtl/>
        </w:rPr>
        <w:t>ب</w:t>
      </w:r>
      <w:r w:rsidRPr="00D90811">
        <w:rPr>
          <w:rtl/>
        </w:rPr>
        <w:t xml:space="preserve">الاتصالات في حالات الطوارئ </w:t>
      </w:r>
      <w:r w:rsidRPr="00D90811">
        <w:t>(ETC)</w:t>
      </w:r>
    </w:p>
    <w:p w14:paraId="0E684A6B" w14:textId="77777777" w:rsidR="00D90811" w:rsidRPr="00D90811" w:rsidRDefault="00D90811" w:rsidP="00EA6AAE">
      <w:pPr>
        <w:pStyle w:val="enumlev1"/>
        <w:rPr>
          <w:lang w:bidi="ar-EG"/>
        </w:rPr>
      </w:pPr>
      <w:r w:rsidRPr="00D90811">
        <w:rPr>
          <w:rtl/>
        </w:rPr>
        <w:tab/>
      </w:r>
      <w:r w:rsidRPr="00D90811">
        <w:rPr>
          <w:rFonts w:hint="cs"/>
          <w:rtl/>
        </w:rPr>
        <w:t>ما برح الاتحاد يعمل من أجل تيسير</w:t>
      </w:r>
      <w:r w:rsidRPr="00D90811">
        <w:rPr>
          <w:rtl/>
        </w:rPr>
        <w:t xml:space="preserve"> إيصال </w:t>
      </w:r>
      <w:r w:rsidRPr="00D90811">
        <w:rPr>
          <w:rFonts w:hint="cs"/>
          <w:rtl/>
        </w:rPr>
        <w:t>الهواتف الساتلية</w:t>
      </w:r>
      <w:r w:rsidRPr="00D90811">
        <w:rPr>
          <w:rtl/>
        </w:rPr>
        <w:t xml:space="preserve"> إلى غزة</w:t>
      </w:r>
      <w:r w:rsidRPr="00D90811">
        <w:rPr>
          <w:rFonts w:hint="cs"/>
          <w:rtl/>
        </w:rPr>
        <w:t xml:space="preserve"> ب</w:t>
      </w:r>
      <w:r w:rsidRPr="00D90811">
        <w:rPr>
          <w:rtl/>
        </w:rPr>
        <w:t>فلسطين</w:t>
      </w:r>
      <w:r w:rsidRPr="00D90811">
        <w:rPr>
          <w:rFonts w:hint="cs"/>
          <w:rtl/>
        </w:rPr>
        <w:t>،</w:t>
      </w:r>
      <w:r w:rsidRPr="00D90811">
        <w:rPr>
          <w:rtl/>
        </w:rPr>
        <w:t xml:space="preserve"> بالتنسيق </w:t>
      </w:r>
      <w:r w:rsidRPr="00D90811">
        <w:rPr>
          <w:rFonts w:hint="cs"/>
          <w:rtl/>
        </w:rPr>
        <w:t>عن كثب</w:t>
      </w:r>
      <w:r w:rsidRPr="00D90811">
        <w:rPr>
          <w:rtl/>
        </w:rPr>
        <w:t xml:space="preserve"> مع </w:t>
      </w:r>
      <w:r w:rsidRPr="00D90811">
        <w:rPr>
          <w:rFonts w:hint="cs"/>
          <w:rtl/>
        </w:rPr>
        <w:t>ال</w:t>
      </w:r>
      <w:r w:rsidRPr="00D90811">
        <w:rPr>
          <w:rtl/>
        </w:rPr>
        <w:t>مجموعة</w:t>
      </w:r>
      <w:r w:rsidRPr="00D90811">
        <w:rPr>
          <w:rFonts w:hint="cs"/>
          <w:rtl/>
        </w:rPr>
        <w:t xml:space="preserve"> المعنية</w:t>
      </w:r>
      <w:r w:rsidRPr="00D90811">
        <w:rPr>
          <w:rtl/>
        </w:rPr>
        <w:t xml:space="preserve"> </w:t>
      </w:r>
      <w:r w:rsidRPr="00D90811">
        <w:rPr>
          <w:rFonts w:hint="cs"/>
          <w:rtl/>
        </w:rPr>
        <w:t>ب</w:t>
      </w:r>
      <w:r w:rsidRPr="00D90811">
        <w:rPr>
          <w:rtl/>
        </w:rPr>
        <w:t xml:space="preserve">الاتصالات في حالات الطوارئ </w:t>
      </w:r>
      <w:r w:rsidRPr="00D90811">
        <w:t>(ETC)</w:t>
      </w:r>
      <w:r w:rsidRPr="00D90811">
        <w:rPr>
          <w:rtl/>
        </w:rPr>
        <w:t xml:space="preserve"> التابعة للأمم المتحدة، </w:t>
      </w:r>
      <w:r w:rsidRPr="00D90811">
        <w:rPr>
          <w:rFonts w:hint="cs"/>
          <w:rtl/>
        </w:rPr>
        <w:t>التي يتولى برنامج</w:t>
      </w:r>
      <w:r w:rsidRPr="00D90811">
        <w:rPr>
          <w:rtl/>
        </w:rPr>
        <w:t xml:space="preserve"> الأغذية العالمي</w:t>
      </w:r>
      <w:r w:rsidRPr="00D90811">
        <w:rPr>
          <w:rFonts w:hint="cs"/>
          <w:rtl/>
        </w:rPr>
        <w:t xml:space="preserve"> تنسيقها</w:t>
      </w:r>
      <w:r w:rsidRPr="00D90811">
        <w:rPr>
          <w:rtl/>
        </w:rPr>
        <w:t xml:space="preserve">. وتدعم هذه المبادرة </w:t>
      </w:r>
      <w:r w:rsidRPr="00D90811">
        <w:rPr>
          <w:rFonts w:hint="cs"/>
          <w:rtl/>
        </w:rPr>
        <w:t>الفائقة الأهمية</w:t>
      </w:r>
      <w:r w:rsidRPr="00D90811">
        <w:rPr>
          <w:rtl/>
        </w:rPr>
        <w:t xml:space="preserve"> استمرارية خدمات الاتصالات الأساسية في المنطقة، </w:t>
      </w:r>
      <w:r w:rsidRPr="00D90811">
        <w:rPr>
          <w:rFonts w:hint="cs"/>
          <w:rtl/>
        </w:rPr>
        <w:t xml:space="preserve">بما </w:t>
      </w:r>
      <w:r w:rsidRPr="00D90811">
        <w:rPr>
          <w:rtl/>
        </w:rPr>
        <w:t>يس</w:t>
      </w:r>
      <w:r w:rsidRPr="00D90811">
        <w:rPr>
          <w:rFonts w:hint="cs"/>
          <w:rtl/>
        </w:rPr>
        <w:t>هم</w:t>
      </w:r>
      <w:r w:rsidRPr="00D90811">
        <w:rPr>
          <w:rtl/>
        </w:rPr>
        <w:t xml:space="preserve"> </w:t>
      </w:r>
      <w:r w:rsidRPr="00D90811">
        <w:rPr>
          <w:rFonts w:hint="cs"/>
          <w:rtl/>
        </w:rPr>
        <w:t>في</w:t>
      </w:r>
      <w:r w:rsidRPr="00D90811">
        <w:rPr>
          <w:rtl/>
        </w:rPr>
        <w:t xml:space="preserve"> ضمان </w:t>
      </w:r>
      <w:r w:rsidRPr="00D90811">
        <w:rPr>
          <w:rFonts w:hint="cs"/>
          <w:rtl/>
        </w:rPr>
        <w:t>توفر شبكات اتصالات موثوقة</w:t>
      </w:r>
      <w:r w:rsidRPr="00D90811">
        <w:rPr>
          <w:rtl/>
        </w:rPr>
        <w:t xml:space="preserve"> </w:t>
      </w:r>
      <w:r w:rsidRPr="00D90811">
        <w:rPr>
          <w:rFonts w:hint="cs"/>
          <w:rtl/>
        </w:rPr>
        <w:t>ل</w:t>
      </w:r>
      <w:r w:rsidRPr="00D90811">
        <w:rPr>
          <w:rtl/>
        </w:rPr>
        <w:t>وكالات الأمم المتحدة والمنظمات الإنسانية لتنفذ عمليات</w:t>
      </w:r>
      <w:r w:rsidRPr="00D90811">
        <w:rPr>
          <w:rFonts w:hint="cs"/>
          <w:rtl/>
        </w:rPr>
        <w:t xml:space="preserve">ها الغوثية </w:t>
      </w:r>
      <w:r w:rsidRPr="00D90811">
        <w:rPr>
          <w:rtl/>
        </w:rPr>
        <w:t>بفعالية.</w:t>
      </w:r>
    </w:p>
    <w:p w14:paraId="51FBB640" w14:textId="77777777" w:rsidR="00D90811" w:rsidRPr="00D90811" w:rsidRDefault="00D90811" w:rsidP="004847E7">
      <w:pPr>
        <w:pStyle w:val="enumlev1"/>
        <w:keepNext/>
        <w:rPr>
          <w:lang w:bidi="ar-EG"/>
        </w:rPr>
      </w:pPr>
      <w:r w:rsidRPr="00D90811">
        <w:rPr>
          <w:rtl/>
        </w:rPr>
        <w:lastRenderedPageBreak/>
        <w:t>3)</w:t>
      </w:r>
      <w:r w:rsidRPr="00D90811">
        <w:rPr>
          <w:rtl/>
        </w:rPr>
        <w:tab/>
        <w:t>التقييم المؤقت للأضرار</w:t>
      </w:r>
    </w:p>
    <w:p w14:paraId="408B84C0" w14:textId="77777777" w:rsidR="00D90811" w:rsidRPr="00D90811" w:rsidRDefault="00D90811" w:rsidP="00EA6AAE">
      <w:pPr>
        <w:pStyle w:val="enumlev1"/>
        <w:rPr>
          <w:lang w:bidi="ar-EG"/>
        </w:rPr>
      </w:pPr>
      <w:r w:rsidRPr="00D90811">
        <w:rPr>
          <w:rtl/>
        </w:rPr>
        <w:tab/>
      </w:r>
      <w:r w:rsidRPr="00D90811">
        <w:rPr>
          <w:rFonts w:hint="cs"/>
          <w:rtl/>
          <w:lang w:bidi="ar-EG"/>
        </w:rPr>
        <w:t>ل</w:t>
      </w:r>
      <w:r w:rsidRPr="00D90811">
        <w:rPr>
          <w:rtl/>
        </w:rPr>
        <w:t xml:space="preserve">قد أنشأ الاتحاد آليات للتنسيق المنتظم وتعاون مع </w:t>
      </w:r>
      <w:r w:rsidRPr="00D90811">
        <w:rPr>
          <w:rFonts w:hint="cs"/>
          <w:rtl/>
        </w:rPr>
        <w:t>شتى</w:t>
      </w:r>
      <w:r w:rsidRPr="00D90811">
        <w:rPr>
          <w:rtl/>
        </w:rPr>
        <w:t xml:space="preserve"> المنظمات الدولية، </w:t>
      </w:r>
      <w:r w:rsidRPr="00D90811">
        <w:rPr>
          <w:rFonts w:hint="cs"/>
          <w:rtl/>
        </w:rPr>
        <w:t>ومنها</w:t>
      </w:r>
      <w:r w:rsidRPr="00D90811">
        <w:rPr>
          <w:rtl/>
        </w:rPr>
        <w:t xml:space="preserve"> البنك الدولي والأمم المتحدة، </w:t>
      </w:r>
      <w:r w:rsidRPr="00D90811">
        <w:rPr>
          <w:rFonts w:hint="cs"/>
          <w:rtl/>
        </w:rPr>
        <w:t>دعماً</w:t>
      </w:r>
      <w:r w:rsidRPr="00D90811">
        <w:rPr>
          <w:rtl/>
        </w:rPr>
        <w:t xml:space="preserve"> </w:t>
      </w:r>
      <w:r w:rsidRPr="00D90811">
        <w:rPr>
          <w:rFonts w:hint="cs"/>
          <w:rtl/>
        </w:rPr>
        <w:t xml:space="preserve">لإجراء </w:t>
      </w:r>
      <w:r w:rsidRPr="00D90811">
        <w:rPr>
          <w:rtl/>
        </w:rPr>
        <w:t xml:space="preserve">تقييمات شاملة للأضرار </w:t>
      </w:r>
      <w:r w:rsidRPr="00D90811">
        <w:rPr>
          <w:rFonts w:hint="cs"/>
          <w:rtl/>
        </w:rPr>
        <w:t>التي لحقت ب</w:t>
      </w:r>
      <w:r w:rsidRPr="00D90811">
        <w:rPr>
          <w:rtl/>
        </w:rPr>
        <w:t xml:space="preserve">البنية التحتية </w:t>
      </w:r>
      <w:r w:rsidRPr="00D90811">
        <w:rPr>
          <w:rFonts w:hint="cs"/>
          <w:rtl/>
        </w:rPr>
        <w:t xml:space="preserve">في </w:t>
      </w:r>
      <w:r w:rsidRPr="00D90811">
        <w:rPr>
          <w:rtl/>
        </w:rPr>
        <w:t>فلسطين. وتعتمد هذه التقييمات على جمع البيانات عن ب</w:t>
      </w:r>
      <w:r w:rsidRPr="00D90811">
        <w:rPr>
          <w:rFonts w:hint="cs"/>
          <w:rtl/>
        </w:rPr>
        <w:t>ُ</w:t>
      </w:r>
      <w:r w:rsidRPr="00D90811">
        <w:rPr>
          <w:rtl/>
        </w:rPr>
        <w:t>عد لتقييم الأضرار</w:t>
      </w:r>
      <w:r w:rsidRPr="00D90811">
        <w:rPr>
          <w:rFonts w:hint="cs"/>
          <w:rtl/>
        </w:rPr>
        <w:t xml:space="preserve"> الناجمة</w:t>
      </w:r>
      <w:r w:rsidRPr="00D90811">
        <w:rPr>
          <w:rtl/>
        </w:rPr>
        <w:t xml:space="preserve"> </w:t>
      </w:r>
      <w:r w:rsidRPr="00D90811">
        <w:rPr>
          <w:rFonts w:hint="cs"/>
          <w:rtl/>
        </w:rPr>
        <w:t xml:space="preserve">في كل </w:t>
      </w:r>
      <w:r w:rsidRPr="00D90811">
        <w:rPr>
          <w:rtl/>
        </w:rPr>
        <w:t xml:space="preserve">القطاعات، وتقديم تقديرات أولية </w:t>
      </w:r>
      <w:r w:rsidRPr="00D90811">
        <w:rPr>
          <w:rFonts w:hint="cs"/>
          <w:rtl/>
        </w:rPr>
        <w:t>ل</w:t>
      </w:r>
      <w:r w:rsidRPr="00D90811">
        <w:rPr>
          <w:rtl/>
        </w:rPr>
        <w:t>لخسائر المادية والمالية</w:t>
      </w:r>
      <w:r w:rsidRPr="00D90811">
        <w:rPr>
          <w:rFonts w:hint="cs"/>
          <w:rtl/>
        </w:rPr>
        <w:t xml:space="preserve"> على حد سواء</w:t>
      </w:r>
      <w:r w:rsidRPr="00D90811">
        <w:rPr>
          <w:rtl/>
        </w:rPr>
        <w:t xml:space="preserve">. </w:t>
      </w:r>
      <w:r w:rsidRPr="00D90811">
        <w:rPr>
          <w:rFonts w:hint="cs"/>
          <w:rtl/>
        </w:rPr>
        <w:t>وسيُسترشد با</w:t>
      </w:r>
      <w:r w:rsidRPr="00D90811">
        <w:rPr>
          <w:rtl/>
        </w:rPr>
        <w:t xml:space="preserve">لنتائج </w:t>
      </w:r>
      <w:r w:rsidRPr="00D90811">
        <w:rPr>
          <w:rFonts w:hint="cs"/>
          <w:rtl/>
        </w:rPr>
        <w:t>ل</w:t>
      </w:r>
      <w:r w:rsidRPr="00D90811">
        <w:rPr>
          <w:rtl/>
        </w:rPr>
        <w:t>وضع خطة أوسع</w:t>
      </w:r>
      <w:r w:rsidRPr="00D90811">
        <w:rPr>
          <w:rFonts w:hint="cs"/>
          <w:rtl/>
        </w:rPr>
        <w:t xml:space="preserve"> نطاقاً</w:t>
      </w:r>
      <w:r w:rsidRPr="00D90811">
        <w:rPr>
          <w:rtl/>
        </w:rPr>
        <w:t xml:space="preserve"> لإعادة الإعمار، </w:t>
      </w:r>
      <w:r w:rsidRPr="00D90811">
        <w:rPr>
          <w:rFonts w:hint="cs"/>
          <w:rtl/>
        </w:rPr>
        <w:t xml:space="preserve">تشمل قطاع </w:t>
      </w:r>
      <w:r w:rsidRPr="00D90811">
        <w:rPr>
          <w:rtl/>
        </w:rPr>
        <w:t>تكنولوجيا المعلومات والاتصالات.</w:t>
      </w:r>
    </w:p>
    <w:p w14:paraId="437088E0" w14:textId="77777777" w:rsidR="00D90811" w:rsidRPr="00D90811" w:rsidRDefault="00D90811" w:rsidP="00EA6AAE">
      <w:pPr>
        <w:pStyle w:val="enumlev1"/>
        <w:rPr>
          <w:lang w:bidi="ar-EG"/>
        </w:rPr>
      </w:pPr>
      <w:r w:rsidRPr="00D90811">
        <w:rPr>
          <w:rtl/>
        </w:rPr>
        <w:tab/>
      </w:r>
      <w:r w:rsidRPr="00D90811">
        <w:rPr>
          <w:rFonts w:hint="cs"/>
          <w:rtl/>
        </w:rPr>
        <w:t>وفي أعقاب</w:t>
      </w:r>
      <w:r w:rsidRPr="00D90811">
        <w:rPr>
          <w:rtl/>
        </w:rPr>
        <w:t xml:space="preserve"> اعتماد القرار </w:t>
      </w:r>
      <w:r w:rsidRPr="00D90811">
        <w:t>1424</w:t>
      </w:r>
      <w:r w:rsidRPr="00D90811">
        <w:rPr>
          <w:rtl/>
        </w:rPr>
        <w:t>، عقد نائب الأمينة العامة للاتحاد</w:t>
      </w:r>
      <w:r w:rsidRPr="00D90811">
        <w:rPr>
          <w:rFonts w:hint="cs"/>
          <w:rtl/>
        </w:rPr>
        <w:t xml:space="preserve">، </w:t>
      </w:r>
      <w:r w:rsidRPr="00D90811">
        <w:rPr>
          <w:rtl/>
        </w:rPr>
        <w:t xml:space="preserve">بالتنسيق مع المكتب الإقليمي للاتحاد </w:t>
      </w:r>
      <w:r w:rsidRPr="00D90811">
        <w:rPr>
          <w:rFonts w:hint="cs"/>
          <w:rtl/>
        </w:rPr>
        <w:t>لمنطقة ال</w:t>
      </w:r>
      <w:r w:rsidRPr="00D90811">
        <w:rPr>
          <w:rtl/>
        </w:rPr>
        <w:t>دول العربية</w:t>
      </w:r>
      <w:r w:rsidRPr="00D90811">
        <w:rPr>
          <w:rFonts w:hint="cs"/>
          <w:rtl/>
        </w:rPr>
        <w:t>،</w:t>
      </w:r>
      <w:r w:rsidRPr="00D90811">
        <w:rPr>
          <w:rtl/>
        </w:rPr>
        <w:t xml:space="preserve"> سلسلة</w:t>
      </w:r>
      <w:r w:rsidRPr="00D90811">
        <w:rPr>
          <w:rFonts w:hint="cs"/>
          <w:rtl/>
        </w:rPr>
        <w:t>ً</w:t>
      </w:r>
      <w:r w:rsidRPr="00D90811">
        <w:rPr>
          <w:rtl/>
        </w:rPr>
        <w:t xml:space="preserve"> من الاجتماعات التشاورية والتنسيقية مع وزارة الاتصالات و</w:t>
      </w:r>
      <w:r w:rsidRPr="00D90811">
        <w:rPr>
          <w:rFonts w:hint="cs"/>
          <w:rtl/>
        </w:rPr>
        <w:t xml:space="preserve">تكنولوجيا </w:t>
      </w:r>
      <w:r w:rsidRPr="00D90811">
        <w:rPr>
          <w:rtl/>
        </w:rPr>
        <w:t xml:space="preserve">المعلومات الفلسطينية، </w:t>
      </w:r>
      <w:r w:rsidRPr="00D90811">
        <w:rPr>
          <w:rFonts w:hint="cs"/>
          <w:rtl/>
        </w:rPr>
        <w:t>وكذلك مع سائر</w:t>
      </w:r>
      <w:r w:rsidRPr="00D90811">
        <w:rPr>
          <w:rtl/>
        </w:rPr>
        <w:t xml:space="preserve"> أصحاب المصلحة الرئيسيين مثل مشغلي </w:t>
      </w:r>
      <w:r w:rsidRPr="00D90811">
        <w:rPr>
          <w:rFonts w:hint="cs"/>
          <w:rtl/>
        </w:rPr>
        <w:t>ال</w:t>
      </w:r>
      <w:r w:rsidRPr="00D90811">
        <w:rPr>
          <w:rtl/>
        </w:rPr>
        <w:t>شبكات</w:t>
      </w:r>
      <w:r w:rsidRPr="00D90811">
        <w:rPr>
          <w:rFonts w:hint="cs"/>
          <w:rtl/>
        </w:rPr>
        <w:t xml:space="preserve"> المتنقلة،</w:t>
      </w:r>
      <w:r w:rsidRPr="00D90811">
        <w:rPr>
          <w:rtl/>
        </w:rPr>
        <w:t xml:space="preserve"> وممثلين عن مكتب الأمم المتحدة لتنسيق الشؤون الإنسانية </w:t>
      </w:r>
      <w:r w:rsidRPr="00D90811">
        <w:t>(UNOCHA)</w:t>
      </w:r>
      <w:r w:rsidRPr="00D90811">
        <w:rPr>
          <w:rtl/>
        </w:rPr>
        <w:t xml:space="preserve">. </w:t>
      </w:r>
      <w:r w:rsidRPr="00D90811">
        <w:rPr>
          <w:rFonts w:hint="cs"/>
          <w:rtl/>
        </w:rPr>
        <w:t>واستهدفت هذه</w:t>
      </w:r>
      <w:r w:rsidRPr="00D90811">
        <w:rPr>
          <w:rtl/>
        </w:rPr>
        <w:t xml:space="preserve"> الاجتماعات تقييم الوضع الراهن على </w:t>
      </w:r>
      <w:r w:rsidRPr="00D90811">
        <w:rPr>
          <w:rFonts w:hint="cs"/>
          <w:rtl/>
        </w:rPr>
        <w:t>الأرض</w:t>
      </w:r>
      <w:r w:rsidRPr="00D90811">
        <w:rPr>
          <w:rtl/>
        </w:rPr>
        <w:t xml:space="preserve"> </w:t>
      </w:r>
      <w:r w:rsidRPr="00D90811">
        <w:rPr>
          <w:rFonts w:hint="cs"/>
          <w:rtl/>
        </w:rPr>
        <w:t>والوقوف على</w:t>
      </w:r>
      <w:r w:rsidRPr="00D90811">
        <w:rPr>
          <w:rFonts w:hint="cs"/>
          <w:rtl/>
          <w:lang w:bidi="ar-EG"/>
        </w:rPr>
        <w:t xml:space="preserve"> </w:t>
      </w:r>
      <w:r w:rsidRPr="00D90811">
        <w:rPr>
          <w:rFonts w:hint="cs"/>
          <w:rtl/>
        </w:rPr>
        <w:t xml:space="preserve">الكيفية التي يمكن بها للاتحاد </w:t>
      </w:r>
      <w:r w:rsidRPr="00D90811">
        <w:rPr>
          <w:rtl/>
        </w:rPr>
        <w:t>تنفيذ القرار على أفضل وجه</w:t>
      </w:r>
      <w:r w:rsidRPr="00D90811">
        <w:rPr>
          <w:rFonts w:hint="cs"/>
          <w:rtl/>
        </w:rPr>
        <w:t xml:space="preserve"> وتوقيت ذلك.</w:t>
      </w:r>
    </w:p>
    <w:p w14:paraId="4F3FCC05" w14:textId="2A8797AD" w:rsidR="00D90811" w:rsidRPr="00D90811" w:rsidRDefault="00D90811" w:rsidP="0065406B">
      <w:pPr>
        <w:pStyle w:val="enumlev1"/>
        <w:rPr>
          <w:b/>
          <w:bCs/>
          <w:lang w:bidi="ar-EG"/>
        </w:rPr>
      </w:pPr>
      <w:r w:rsidRPr="00D90811">
        <w:rPr>
          <w:rtl/>
        </w:rPr>
        <w:t>4)</w:t>
      </w:r>
      <w:r w:rsidRPr="00D90811">
        <w:rPr>
          <w:rtl/>
        </w:rPr>
        <w:tab/>
        <w:t xml:space="preserve">المبادرات المتعلقة بتنفيذ القرار </w:t>
      </w:r>
      <w:r w:rsidR="0065406B" w:rsidRPr="0065406B">
        <w:rPr>
          <w:b/>
          <w:bCs/>
          <w:lang w:val="en-GB"/>
        </w:rPr>
        <w:t>12 (Rev.WRC-19)</w:t>
      </w:r>
    </w:p>
    <w:p w14:paraId="5D82C311" w14:textId="0CAD2FA7" w:rsidR="00D90811" w:rsidRPr="00D90811" w:rsidRDefault="00D90811" w:rsidP="0065406B">
      <w:pPr>
        <w:pStyle w:val="enumlev1"/>
        <w:rPr>
          <w:lang w:bidi="ar-EG"/>
        </w:rPr>
      </w:pPr>
      <w:r w:rsidRPr="00D90811">
        <w:rPr>
          <w:rtl/>
        </w:rPr>
        <w:tab/>
        <w:t xml:space="preserve">في أكتوبر 2023، </w:t>
      </w:r>
      <w:r w:rsidRPr="00D90811">
        <w:rPr>
          <w:rFonts w:hint="cs"/>
          <w:rtl/>
        </w:rPr>
        <w:t xml:space="preserve">عمد </w:t>
      </w:r>
      <w:r w:rsidRPr="00D90811">
        <w:rPr>
          <w:rtl/>
        </w:rPr>
        <w:t xml:space="preserve">مكتب الاتصالات الراديوية </w:t>
      </w:r>
      <w:r w:rsidRPr="00D90811">
        <w:rPr>
          <w:rFonts w:hint="cs"/>
          <w:rtl/>
        </w:rPr>
        <w:t>ب</w:t>
      </w:r>
      <w:r w:rsidRPr="00D90811">
        <w:rPr>
          <w:rtl/>
        </w:rPr>
        <w:t>الاتحاد،</w:t>
      </w:r>
      <w:r w:rsidRPr="00D90811">
        <w:rPr>
          <w:rFonts w:hint="cs"/>
          <w:rtl/>
        </w:rPr>
        <w:t xml:space="preserve"> </w:t>
      </w:r>
      <w:r w:rsidRPr="00D90811">
        <w:rPr>
          <w:rtl/>
        </w:rPr>
        <w:t>بموجب القرار</w:t>
      </w:r>
      <w:r w:rsidRPr="00D90811">
        <w:rPr>
          <w:b/>
          <w:bCs/>
          <w:rtl/>
        </w:rPr>
        <w:t xml:space="preserve"> </w:t>
      </w:r>
      <w:r w:rsidR="0065406B" w:rsidRPr="0065406B">
        <w:rPr>
          <w:b/>
          <w:bCs/>
          <w:lang w:val="en-GB"/>
        </w:rPr>
        <w:t>12 (Rev.WRC-19)</w:t>
      </w:r>
      <w:r w:rsidRPr="00D90811">
        <w:rPr>
          <w:rFonts w:hint="cs"/>
          <w:rtl/>
          <w:lang w:bidi="ar-EG"/>
        </w:rPr>
        <w:t>،</w:t>
      </w:r>
      <w:r w:rsidRPr="00D90811">
        <w:rPr>
          <w:rtl/>
        </w:rPr>
        <w:t xml:space="preserve"> </w:t>
      </w:r>
      <w:r w:rsidRPr="00D90811">
        <w:rPr>
          <w:rFonts w:hint="cs"/>
          <w:rtl/>
        </w:rPr>
        <w:t>و</w:t>
      </w:r>
      <w:r w:rsidRPr="00D90811">
        <w:rPr>
          <w:rtl/>
        </w:rPr>
        <w:t>بتنسيق وثيق مع المكتب الإقليمي للاتحاد ل</w:t>
      </w:r>
      <w:r w:rsidRPr="00D90811">
        <w:rPr>
          <w:rFonts w:hint="cs"/>
          <w:rtl/>
        </w:rPr>
        <w:t>منطقة ال</w:t>
      </w:r>
      <w:r w:rsidRPr="00D90811">
        <w:rPr>
          <w:rtl/>
        </w:rPr>
        <w:t xml:space="preserve">دول العربية، </w:t>
      </w:r>
      <w:r w:rsidRPr="00D90811">
        <w:rPr>
          <w:rFonts w:hint="cs"/>
          <w:rtl/>
        </w:rPr>
        <w:t xml:space="preserve">إلى </w:t>
      </w:r>
      <w:r w:rsidRPr="00D90811">
        <w:rPr>
          <w:rtl/>
        </w:rPr>
        <w:t>استعراض جدول توزيع الترددات الوطنية</w:t>
      </w:r>
      <w:r w:rsidRPr="00D90811">
        <w:rPr>
          <w:rFonts w:hint="cs"/>
          <w:rtl/>
        </w:rPr>
        <w:t xml:space="preserve"> وتطبيقاتها</w:t>
      </w:r>
      <w:r w:rsidR="007B4C30">
        <w:rPr>
          <w:rFonts w:hint="eastAsia"/>
          <w:rtl/>
        </w:rPr>
        <w:t> </w:t>
      </w:r>
      <w:r w:rsidRPr="00D90811">
        <w:t>(TNFAA)</w:t>
      </w:r>
      <w:r w:rsidRPr="00D90811">
        <w:rPr>
          <w:rtl/>
        </w:rPr>
        <w:t xml:space="preserve"> </w:t>
      </w:r>
      <w:r w:rsidRPr="00D90811">
        <w:rPr>
          <w:rFonts w:hint="cs"/>
          <w:rtl/>
        </w:rPr>
        <w:t>ل</w:t>
      </w:r>
      <w:r w:rsidRPr="00D90811">
        <w:rPr>
          <w:rtl/>
        </w:rPr>
        <w:t>فلسطين</w:t>
      </w:r>
      <w:r w:rsidRPr="00D90811">
        <w:rPr>
          <w:rFonts w:hint="cs"/>
          <w:rtl/>
        </w:rPr>
        <w:t xml:space="preserve"> وأوصى بتنقيحه</w:t>
      </w:r>
      <w:r w:rsidRPr="00D90811">
        <w:rPr>
          <w:rtl/>
        </w:rPr>
        <w:t xml:space="preserve">. ومنذ </w:t>
      </w:r>
      <w:r w:rsidRPr="00D90811">
        <w:rPr>
          <w:rFonts w:hint="cs"/>
          <w:rtl/>
        </w:rPr>
        <w:t xml:space="preserve">أن خضع الجدول لهذا التنقيح، </w:t>
      </w:r>
      <w:r w:rsidRPr="00D90811">
        <w:rPr>
          <w:rtl/>
        </w:rPr>
        <w:t>لم تقد</w:t>
      </w:r>
      <w:r w:rsidRPr="00D90811">
        <w:rPr>
          <w:rFonts w:hint="cs"/>
          <w:rtl/>
        </w:rPr>
        <w:t>َّ</w:t>
      </w:r>
      <w:r w:rsidRPr="00D90811">
        <w:rPr>
          <w:rtl/>
        </w:rPr>
        <w:t xml:space="preserve">م إلى مكتب الاتصالات الراديوية </w:t>
      </w:r>
      <w:r w:rsidRPr="00D90811">
        <w:rPr>
          <w:rFonts w:hint="cs"/>
          <w:rtl/>
        </w:rPr>
        <w:t>ب</w:t>
      </w:r>
      <w:r w:rsidRPr="00D90811">
        <w:rPr>
          <w:rtl/>
        </w:rPr>
        <w:t xml:space="preserve">الاتحاد </w:t>
      </w:r>
      <w:r w:rsidRPr="00D90811">
        <w:rPr>
          <w:rFonts w:hint="cs"/>
          <w:rtl/>
        </w:rPr>
        <w:t xml:space="preserve">أي طلبات </w:t>
      </w:r>
      <w:r w:rsidRPr="00D90811">
        <w:rPr>
          <w:rtl/>
        </w:rPr>
        <w:t>لتقديم المساعدة إلى فلسطين.</w:t>
      </w:r>
    </w:p>
    <w:p w14:paraId="7C82488D" w14:textId="2DC63B20" w:rsidR="00D90811" w:rsidRPr="00B1735E" w:rsidRDefault="00D90811" w:rsidP="0065406B">
      <w:pPr>
        <w:pStyle w:val="enumlev1"/>
        <w:rPr>
          <w:spacing w:val="-4"/>
          <w:lang w:bidi="ar-EG"/>
        </w:rPr>
      </w:pPr>
      <w:r w:rsidRPr="00D90811">
        <w:rPr>
          <w:rtl/>
        </w:rPr>
        <w:tab/>
      </w:r>
      <w:r w:rsidRPr="00D90811">
        <w:rPr>
          <w:rFonts w:hint="cs"/>
          <w:rtl/>
        </w:rPr>
        <w:t>و</w:t>
      </w:r>
      <w:r w:rsidRPr="00D90811">
        <w:rPr>
          <w:rFonts w:hint="cs"/>
          <w:rtl/>
          <w:lang w:bidi="ar-EG"/>
        </w:rPr>
        <w:t xml:space="preserve">قد </w:t>
      </w:r>
      <w:r w:rsidRPr="00D90811">
        <w:rPr>
          <w:rtl/>
        </w:rPr>
        <w:t xml:space="preserve">وافق المؤتمر العالمي للاتصالات الراديوية (دبي، </w:t>
      </w:r>
      <w:r w:rsidRPr="00D90811">
        <w:t>2023</w:t>
      </w:r>
      <w:r w:rsidRPr="00D90811">
        <w:rPr>
          <w:rtl/>
        </w:rPr>
        <w:t>) على تعديل القرار</w:t>
      </w:r>
      <w:r w:rsidRPr="00D90811">
        <w:rPr>
          <w:b/>
          <w:bCs/>
          <w:rtl/>
        </w:rPr>
        <w:t xml:space="preserve"> </w:t>
      </w:r>
      <w:r w:rsidR="0065406B" w:rsidRPr="0065406B">
        <w:rPr>
          <w:b/>
          <w:bCs/>
          <w:lang w:val="en-GB"/>
        </w:rPr>
        <w:t>12 (</w:t>
      </w:r>
      <w:proofErr w:type="spellStart"/>
      <w:r w:rsidR="0065406B" w:rsidRPr="0065406B">
        <w:rPr>
          <w:b/>
          <w:bCs/>
          <w:lang w:val="en-GB"/>
        </w:rPr>
        <w:t>Rev.WRC</w:t>
      </w:r>
      <w:proofErr w:type="spellEnd"/>
      <w:r w:rsidR="0065406B" w:rsidRPr="0065406B">
        <w:rPr>
          <w:b/>
          <w:bCs/>
          <w:lang w:val="en-GB"/>
        </w:rPr>
        <w:t>-19)</w:t>
      </w:r>
      <w:r w:rsidRPr="00D90811">
        <w:rPr>
          <w:rtl/>
        </w:rPr>
        <w:t xml:space="preserve">، </w:t>
      </w:r>
      <w:r w:rsidRPr="00D90811">
        <w:rPr>
          <w:rFonts w:hint="cs"/>
          <w:rtl/>
        </w:rPr>
        <w:t>بحيث يقرر فيه</w:t>
      </w:r>
      <w:r w:rsidRPr="00D90811">
        <w:rPr>
          <w:rtl/>
        </w:rPr>
        <w:t xml:space="preserve"> </w:t>
      </w:r>
      <w:r w:rsidRPr="00D90811">
        <w:rPr>
          <w:rFonts w:hint="cs"/>
          <w:rtl/>
        </w:rPr>
        <w:t xml:space="preserve">ضرورة </w:t>
      </w:r>
      <w:r w:rsidRPr="00D90811">
        <w:rPr>
          <w:rtl/>
        </w:rPr>
        <w:t xml:space="preserve">تمكين فلسطين من الحصول على الترددات اللازمة لوصلات الموجات الصغرية، </w:t>
      </w:r>
      <w:r w:rsidRPr="00D90811">
        <w:rPr>
          <w:rFonts w:hint="cs"/>
          <w:rtl/>
        </w:rPr>
        <w:t xml:space="preserve">التي لا غنى عنها </w:t>
      </w:r>
      <w:r w:rsidRPr="00D90811">
        <w:rPr>
          <w:rtl/>
        </w:rPr>
        <w:t>لتشغيل خدمات</w:t>
      </w:r>
      <w:r w:rsidRPr="00D90811">
        <w:rPr>
          <w:rFonts w:hint="cs"/>
          <w:rtl/>
        </w:rPr>
        <w:t xml:space="preserve"> اتصالات</w:t>
      </w:r>
      <w:r w:rsidRPr="00D90811">
        <w:rPr>
          <w:rtl/>
        </w:rPr>
        <w:t xml:space="preserve"> الجيل الرابع </w:t>
      </w:r>
      <w:r w:rsidRPr="00D90811">
        <w:t>(</w:t>
      </w:r>
      <w:proofErr w:type="spellStart"/>
      <w:r w:rsidRPr="00D90811">
        <w:t>4G</w:t>
      </w:r>
      <w:proofErr w:type="spellEnd"/>
      <w:r w:rsidRPr="00D90811">
        <w:t>)</w:t>
      </w:r>
      <w:r w:rsidRPr="00D90811">
        <w:rPr>
          <w:rtl/>
        </w:rPr>
        <w:t xml:space="preserve"> والجيل الخامس </w:t>
      </w:r>
      <w:r w:rsidRPr="00D90811">
        <w:t>(</w:t>
      </w:r>
      <w:proofErr w:type="spellStart"/>
      <w:r w:rsidRPr="00D90811">
        <w:t>5G</w:t>
      </w:r>
      <w:proofErr w:type="spellEnd"/>
      <w:r w:rsidRPr="00D90811">
        <w:t>)</w:t>
      </w:r>
      <w:r w:rsidRPr="00D90811">
        <w:rPr>
          <w:rtl/>
        </w:rPr>
        <w:t>، و</w:t>
      </w:r>
      <w:r w:rsidRPr="00D90811">
        <w:rPr>
          <w:rFonts w:hint="cs"/>
          <w:rtl/>
        </w:rPr>
        <w:t xml:space="preserve">من </w:t>
      </w:r>
      <w:r w:rsidRPr="00D90811">
        <w:rPr>
          <w:rtl/>
        </w:rPr>
        <w:t>استغلال النطاقات الإضافية اللازمة ل</w:t>
      </w:r>
      <w:r w:rsidRPr="00D90811">
        <w:rPr>
          <w:rFonts w:hint="cs"/>
          <w:rtl/>
          <w:lang w:bidi="ar-EG"/>
        </w:rPr>
        <w:t xml:space="preserve">تشغيل </w:t>
      </w:r>
      <w:r w:rsidRPr="00D90811">
        <w:rPr>
          <w:rtl/>
        </w:rPr>
        <w:t>شبكات الاتصالات المتنقلة الحديثة</w:t>
      </w:r>
      <w:r w:rsidRPr="00D90811">
        <w:rPr>
          <w:rFonts w:hint="cs"/>
          <w:rtl/>
        </w:rPr>
        <w:t xml:space="preserve"> المستجدة كشبكات </w:t>
      </w:r>
      <w:r w:rsidRPr="00D90811">
        <w:rPr>
          <w:rtl/>
        </w:rPr>
        <w:t>الاتصالات المتنقلة الدولية</w:t>
      </w:r>
      <w:r w:rsidR="00DB4152">
        <w:rPr>
          <w:rtl/>
        </w:rPr>
        <w:noBreakHyphen/>
      </w:r>
      <w:r w:rsidRPr="00D90811">
        <w:t>2020</w:t>
      </w:r>
      <w:r w:rsidR="00DB4152">
        <w:rPr>
          <w:rFonts w:hint="eastAsia"/>
          <w:rtl/>
        </w:rPr>
        <w:t> </w:t>
      </w:r>
      <w:r w:rsidRPr="00D90811">
        <w:rPr>
          <w:lang w:bidi="ar-EG"/>
        </w:rPr>
        <w:t>(IMT</w:t>
      </w:r>
      <w:r w:rsidR="00DB4152">
        <w:rPr>
          <w:lang w:bidi="ar-EG"/>
        </w:rPr>
        <w:noBreakHyphen/>
      </w:r>
      <w:r w:rsidRPr="00D90811">
        <w:rPr>
          <w:lang w:bidi="ar-EG"/>
        </w:rPr>
        <w:t>2020)</w:t>
      </w:r>
      <w:r w:rsidRPr="00D90811">
        <w:rPr>
          <w:rtl/>
        </w:rPr>
        <w:t xml:space="preserve"> </w:t>
      </w:r>
      <w:r w:rsidRPr="00D90811">
        <w:rPr>
          <w:rFonts w:hint="cs"/>
          <w:rtl/>
        </w:rPr>
        <w:t xml:space="preserve">بهدف </w:t>
      </w:r>
      <w:r w:rsidRPr="00D90811">
        <w:rPr>
          <w:rtl/>
        </w:rPr>
        <w:t>توسيع</w:t>
      </w:r>
      <w:r w:rsidRPr="00D90811">
        <w:rPr>
          <w:rFonts w:hint="cs"/>
          <w:rtl/>
        </w:rPr>
        <w:t xml:space="preserve"> شبكات</w:t>
      </w:r>
      <w:r w:rsidRPr="00D90811">
        <w:rPr>
          <w:rtl/>
        </w:rPr>
        <w:t xml:space="preserve"> </w:t>
      </w:r>
      <w:r w:rsidRPr="00D90811">
        <w:rPr>
          <w:rFonts w:hint="cs"/>
          <w:rtl/>
        </w:rPr>
        <w:t xml:space="preserve">اتصالات </w:t>
      </w:r>
      <w:r w:rsidRPr="00D90811">
        <w:rPr>
          <w:rtl/>
        </w:rPr>
        <w:t xml:space="preserve">النطاق العريض </w:t>
      </w:r>
      <w:r w:rsidRPr="00D90811">
        <w:rPr>
          <w:rFonts w:hint="cs"/>
          <w:rtl/>
        </w:rPr>
        <w:t>الليفي البصري</w:t>
      </w:r>
      <w:r w:rsidRPr="00D90811">
        <w:rPr>
          <w:rtl/>
        </w:rPr>
        <w:t xml:space="preserve"> وتركيبها وامتلاكها وإدارتها وتشغيلها</w:t>
      </w:r>
      <w:r w:rsidRPr="00D90811">
        <w:rPr>
          <w:rFonts w:hint="cs"/>
          <w:rtl/>
        </w:rPr>
        <w:t>،</w:t>
      </w:r>
      <w:r w:rsidRPr="00D90811">
        <w:rPr>
          <w:rtl/>
        </w:rPr>
        <w:t xml:space="preserve"> </w:t>
      </w:r>
      <w:r w:rsidRPr="00D90811">
        <w:rPr>
          <w:rFonts w:hint="cs"/>
          <w:rtl/>
        </w:rPr>
        <w:t xml:space="preserve">عاجلاً، </w:t>
      </w:r>
      <w:r w:rsidRPr="00D90811">
        <w:rPr>
          <w:rtl/>
        </w:rPr>
        <w:t>و</w:t>
      </w:r>
      <w:r w:rsidRPr="00D90811">
        <w:rPr>
          <w:rFonts w:hint="cs"/>
          <w:rtl/>
          <w:lang w:bidi="ar-EG"/>
        </w:rPr>
        <w:t xml:space="preserve">تمكين فلسطين أيضاً من </w:t>
      </w:r>
      <w:r w:rsidRPr="00D90811">
        <w:rPr>
          <w:rtl/>
        </w:rPr>
        <w:t>الحصول على ترددات الموجات المترية</w:t>
      </w:r>
      <w:r w:rsidR="00B1735E">
        <w:rPr>
          <w:rFonts w:hint="cs"/>
          <w:rtl/>
        </w:rPr>
        <w:t> </w:t>
      </w:r>
      <w:r w:rsidRPr="00D90811">
        <w:t>(VHF)</w:t>
      </w:r>
      <w:r w:rsidRPr="00D90811">
        <w:rPr>
          <w:rtl/>
        </w:rPr>
        <w:t xml:space="preserve"> </w:t>
      </w:r>
      <w:proofErr w:type="spellStart"/>
      <w:r w:rsidRPr="00B1735E">
        <w:rPr>
          <w:spacing w:val="-4"/>
          <w:rtl/>
        </w:rPr>
        <w:t>والديسيمترية</w:t>
      </w:r>
      <w:proofErr w:type="spellEnd"/>
      <w:r w:rsidRPr="00B1735E">
        <w:rPr>
          <w:spacing w:val="-4"/>
          <w:rtl/>
        </w:rPr>
        <w:t xml:space="preserve"> </w:t>
      </w:r>
      <w:r w:rsidRPr="00B1735E">
        <w:rPr>
          <w:spacing w:val="-4"/>
        </w:rPr>
        <w:t>(UHF)</w:t>
      </w:r>
      <w:r w:rsidRPr="00B1735E">
        <w:rPr>
          <w:spacing w:val="-4"/>
          <w:rtl/>
        </w:rPr>
        <w:t xml:space="preserve"> لخدمات الاتصالات الثابتة والمتنقلة، فضلا</w:t>
      </w:r>
      <w:r w:rsidRPr="00B1735E">
        <w:rPr>
          <w:rFonts w:hint="cs"/>
          <w:spacing w:val="-4"/>
          <w:rtl/>
        </w:rPr>
        <w:t>ً</w:t>
      </w:r>
      <w:r w:rsidRPr="00B1735E">
        <w:rPr>
          <w:spacing w:val="-4"/>
          <w:rtl/>
        </w:rPr>
        <w:t xml:space="preserve"> عن ترددات</w:t>
      </w:r>
      <w:r w:rsidRPr="00B1735E">
        <w:rPr>
          <w:rFonts w:hint="cs"/>
          <w:spacing w:val="-4"/>
          <w:rtl/>
          <w:lang w:bidi="ar-EG"/>
        </w:rPr>
        <w:t xml:space="preserve"> </w:t>
      </w:r>
      <w:r w:rsidRPr="00B1735E">
        <w:rPr>
          <w:rFonts w:hint="cs"/>
          <w:spacing w:val="-4"/>
          <w:rtl/>
        </w:rPr>
        <w:t>تشكيل التردد</w:t>
      </w:r>
      <w:r w:rsidRPr="00B1735E">
        <w:rPr>
          <w:rFonts w:hint="cs"/>
          <w:spacing w:val="-4"/>
          <w:rtl/>
          <w:lang w:bidi="ar-EG"/>
        </w:rPr>
        <w:t xml:space="preserve"> </w:t>
      </w:r>
      <w:r w:rsidRPr="00B1735E">
        <w:rPr>
          <w:spacing w:val="-4"/>
          <w:lang w:bidi="ar-EG"/>
        </w:rPr>
        <w:t>(FM)</w:t>
      </w:r>
      <w:r w:rsidRPr="00B1735E">
        <w:rPr>
          <w:spacing w:val="-4"/>
          <w:rtl/>
        </w:rPr>
        <w:t xml:space="preserve"> </w:t>
      </w:r>
      <w:r w:rsidRPr="00B1735E">
        <w:rPr>
          <w:rFonts w:hint="cs"/>
          <w:spacing w:val="-4"/>
          <w:rtl/>
        </w:rPr>
        <w:t xml:space="preserve">للخدمة </w:t>
      </w:r>
      <w:r w:rsidRPr="00B1735E">
        <w:rPr>
          <w:spacing w:val="-4"/>
          <w:rtl/>
        </w:rPr>
        <w:t>الإذاعية.</w:t>
      </w:r>
    </w:p>
    <w:p w14:paraId="2F851FCE" w14:textId="2B0F2B21" w:rsidR="00F50E3F" w:rsidRDefault="00D90811" w:rsidP="0065406B">
      <w:pPr>
        <w:rPr>
          <w:lang w:bidi="ar-EG"/>
        </w:rPr>
      </w:pPr>
      <w:r w:rsidRPr="00D90811">
        <w:rPr>
          <w:rtl/>
        </w:rPr>
        <w:t>وتيسيرا</w:t>
      </w:r>
      <w:r w:rsidRPr="00D90811">
        <w:rPr>
          <w:rFonts w:hint="cs"/>
          <w:rtl/>
        </w:rPr>
        <w:t xml:space="preserve">ً </w:t>
      </w:r>
      <w:r w:rsidRPr="00D90811">
        <w:rPr>
          <w:rtl/>
        </w:rPr>
        <w:t xml:space="preserve">لتحقيق </w:t>
      </w:r>
      <w:r w:rsidRPr="00D90811">
        <w:rPr>
          <w:rFonts w:hint="cs"/>
          <w:rtl/>
        </w:rPr>
        <w:t>أهداف الاتحاد،</w:t>
      </w:r>
      <w:r w:rsidRPr="00D90811">
        <w:rPr>
          <w:rtl/>
        </w:rPr>
        <w:t xml:space="preserve"> </w:t>
      </w:r>
      <w:r w:rsidRPr="00D90811">
        <w:rPr>
          <w:rFonts w:hint="cs"/>
          <w:rtl/>
        </w:rPr>
        <w:t xml:space="preserve">يواصل كل من </w:t>
      </w:r>
      <w:r w:rsidRPr="00D90811">
        <w:rPr>
          <w:rtl/>
        </w:rPr>
        <w:t>الأمينة العامة ونائب</w:t>
      </w:r>
      <w:r w:rsidRPr="00D90811">
        <w:rPr>
          <w:rFonts w:hint="cs"/>
          <w:rtl/>
        </w:rPr>
        <w:t xml:space="preserve">ها </w:t>
      </w:r>
      <w:r w:rsidRPr="00D90811">
        <w:rPr>
          <w:rtl/>
        </w:rPr>
        <w:t xml:space="preserve">ومدير مكتب الاتصالات الراديوية إشراك </w:t>
      </w:r>
      <w:r w:rsidRPr="00D90811">
        <w:rPr>
          <w:rFonts w:hint="cs"/>
          <w:rtl/>
        </w:rPr>
        <w:t>ال</w:t>
      </w:r>
      <w:r w:rsidRPr="00D90811">
        <w:rPr>
          <w:rtl/>
        </w:rPr>
        <w:t xml:space="preserve">سلطات </w:t>
      </w:r>
      <w:r w:rsidRPr="00D90811">
        <w:rPr>
          <w:rFonts w:hint="cs"/>
          <w:rtl/>
        </w:rPr>
        <w:t>الإسرائيلية والفلسطينية</w:t>
      </w:r>
      <w:r w:rsidRPr="00D90811">
        <w:rPr>
          <w:rtl/>
        </w:rPr>
        <w:t xml:space="preserve"> في تنفيذ القرار</w:t>
      </w:r>
      <w:r w:rsidRPr="00D90811">
        <w:rPr>
          <w:b/>
          <w:bCs/>
          <w:rtl/>
        </w:rPr>
        <w:t xml:space="preserve"> </w:t>
      </w:r>
      <w:r w:rsidR="0065406B" w:rsidRPr="0065406B">
        <w:rPr>
          <w:b/>
          <w:bCs/>
          <w:lang w:val="en-GB"/>
        </w:rPr>
        <w:t>12 (Rev.WRC-19)</w:t>
      </w:r>
      <w:r w:rsidRPr="00D90811">
        <w:rPr>
          <w:rtl/>
        </w:rPr>
        <w:t xml:space="preserve">، لا سيما في </w:t>
      </w:r>
      <w:r w:rsidRPr="00D90811">
        <w:rPr>
          <w:rFonts w:hint="cs"/>
          <w:rtl/>
          <w:lang w:bidi="ar-EG"/>
        </w:rPr>
        <w:t xml:space="preserve">التقدم في تنفيذ </w:t>
      </w:r>
      <w:r w:rsidRPr="00D90811">
        <w:rPr>
          <w:rFonts w:hint="cs"/>
          <w:rtl/>
        </w:rPr>
        <w:t>خارطة الطريق لفلسطين لتحصل على ا</w:t>
      </w:r>
      <w:r w:rsidRPr="00D90811">
        <w:rPr>
          <w:rtl/>
        </w:rPr>
        <w:t>لمزيد من</w:t>
      </w:r>
      <w:r w:rsidRPr="00D90811">
        <w:rPr>
          <w:rFonts w:hint="cs"/>
          <w:rtl/>
        </w:rPr>
        <w:t xml:space="preserve"> ت</w:t>
      </w:r>
      <w:r w:rsidRPr="00D90811">
        <w:rPr>
          <w:rtl/>
        </w:rPr>
        <w:t xml:space="preserve">رددات </w:t>
      </w:r>
      <w:r w:rsidRPr="00D90811">
        <w:rPr>
          <w:rFonts w:hint="cs"/>
          <w:rtl/>
        </w:rPr>
        <w:t>ا</w:t>
      </w:r>
      <w:r w:rsidRPr="00D90811">
        <w:rPr>
          <w:rtl/>
        </w:rPr>
        <w:t>لاتصالات المتنقلة الدولية والإذاعة.</w:t>
      </w:r>
      <w:r w:rsidR="00950D02">
        <w:rPr>
          <w:rFonts w:hint="cs"/>
          <w:rtl/>
        </w:rPr>
        <w:t xml:space="preserve"> </w:t>
      </w:r>
    </w:p>
    <w:p w14:paraId="2121DD42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F363C">
      <w:footerReference w:type="default" r:id="rId9"/>
      <w:headerReference w:type="first" r:id="rId10"/>
      <w:footerReference w:type="first" r:id="rId11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A6672" w14:textId="77777777" w:rsidR="009C47C3" w:rsidRDefault="009C47C3" w:rsidP="006C3242">
      <w:pPr>
        <w:spacing w:before="0" w:line="240" w:lineRule="auto"/>
      </w:pPr>
      <w:r>
        <w:separator/>
      </w:r>
    </w:p>
  </w:endnote>
  <w:endnote w:type="continuationSeparator" w:id="0">
    <w:p w14:paraId="7A420A93" w14:textId="77777777" w:rsidR="009C47C3" w:rsidRDefault="009C47C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Segoe Print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33CDFF24" w14:textId="77777777" w:rsidTr="00A67F05">
      <w:trPr>
        <w:jc w:val="center"/>
      </w:trPr>
      <w:tc>
        <w:tcPr>
          <w:tcW w:w="868" w:type="pct"/>
          <w:vAlign w:val="center"/>
        </w:tcPr>
        <w:p w14:paraId="632B102B" w14:textId="314AF98C" w:rsidR="00F50E3F" w:rsidRPr="007B0AA0" w:rsidRDefault="00D90811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D90811">
            <w:rPr>
              <w:rFonts w:ascii="Calibri" w:hAnsi="Calibri" w:cs="Arial"/>
              <w:sz w:val="18"/>
              <w:szCs w:val="14"/>
            </w:rPr>
            <w:t>2501254</w:t>
          </w:r>
        </w:p>
      </w:tc>
      <w:tc>
        <w:tcPr>
          <w:tcW w:w="3912" w:type="pct"/>
        </w:tcPr>
        <w:p w14:paraId="06182761" w14:textId="1A4EFB2E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D90811">
            <w:rPr>
              <w:rFonts w:ascii="Calibri" w:hAnsi="Calibri" w:cs="Arial"/>
              <w:bCs/>
              <w:color w:val="7F7F7F"/>
              <w:sz w:val="18"/>
            </w:rPr>
            <w:t>71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7AB5AF9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0C1C526" w14:textId="77777777" w:rsidR="006C3242" w:rsidRPr="0026373E" w:rsidRDefault="006C3242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7756D33F" w14:textId="77777777" w:rsidTr="00A67F05">
      <w:trPr>
        <w:jc w:val="center"/>
      </w:trPr>
      <w:tc>
        <w:tcPr>
          <w:tcW w:w="1013" w:type="pct"/>
          <w:vAlign w:val="center"/>
        </w:tcPr>
        <w:p w14:paraId="0BD97AF9" w14:textId="77777777" w:rsidR="007B0AA0" w:rsidRPr="00660DEA" w:rsidRDefault="00660DEA" w:rsidP="00A67F0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Pr="00660DEA">
              <w:rPr>
                <w:rStyle w:val="Hyperlink"/>
              </w:rPr>
              <w:t>council.itu.int/2025</w:t>
            </w:r>
          </w:hyperlink>
        </w:p>
      </w:tc>
      <w:tc>
        <w:tcPr>
          <w:tcW w:w="3768" w:type="pct"/>
        </w:tcPr>
        <w:p w14:paraId="314F61C6" w14:textId="56341191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A45A85">
            <w:rPr>
              <w:rFonts w:ascii="Calibri" w:hAnsi="Calibri" w:cs="Arial"/>
              <w:bCs/>
              <w:color w:val="7F7F7F"/>
              <w:sz w:val="18"/>
            </w:rPr>
            <w:t>71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D66AF10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8F3214E" w14:textId="77777777" w:rsidR="0006468A" w:rsidRPr="007B0AA0" w:rsidRDefault="0006468A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BF888" w14:textId="77777777" w:rsidR="009C47C3" w:rsidRDefault="009C47C3" w:rsidP="006C3242">
      <w:pPr>
        <w:spacing w:before="0" w:line="240" w:lineRule="auto"/>
      </w:pPr>
      <w:r>
        <w:separator/>
      </w:r>
    </w:p>
  </w:footnote>
  <w:footnote w:type="continuationSeparator" w:id="0">
    <w:p w14:paraId="5F2AB218" w14:textId="77777777" w:rsidR="009C47C3" w:rsidRDefault="009C47C3" w:rsidP="006C3242">
      <w:pPr>
        <w:spacing w:before="0" w:line="240" w:lineRule="auto"/>
      </w:pPr>
      <w:r>
        <w:continuationSeparator/>
      </w:r>
    </w:p>
  </w:footnote>
  <w:footnote w:id="1">
    <w:p w14:paraId="416B6D44" w14:textId="2692DE5D" w:rsidR="002D4DD6" w:rsidRPr="003C3F68" w:rsidRDefault="002D4DD6" w:rsidP="004847E7">
      <w:pPr>
        <w:pStyle w:val="FootnoteText"/>
        <w:tabs>
          <w:tab w:val="clear" w:pos="794"/>
          <w:tab w:val="left" w:pos="284"/>
        </w:tabs>
        <w:spacing w:after="0"/>
        <w:ind w:left="284" w:hanging="284"/>
        <w:rPr>
          <w:sz w:val="18"/>
          <w:szCs w:val="18"/>
          <w:rtl/>
          <w:lang w:bidi="ar-EG"/>
        </w:rPr>
      </w:pPr>
      <w:r w:rsidRPr="003C3F68">
        <w:rPr>
          <w:rStyle w:val="FootnoteReference"/>
          <w:rtl/>
        </w:rPr>
        <w:t>1</w:t>
      </w:r>
      <w:r w:rsidRPr="003C3F68">
        <w:rPr>
          <w:sz w:val="18"/>
          <w:szCs w:val="18"/>
        </w:rPr>
        <w:tab/>
      </w:r>
      <w:hyperlink r:id="rId1" w:history="1">
        <w:r w:rsidRPr="00564674">
          <w:rPr>
            <w:rStyle w:val="Hyperlink"/>
            <w:rFonts w:ascii="Dubai" w:eastAsiaTheme="minorEastAsia" w:hAnsi="Dubai" w:cs="Dubai"/>
            <w:noProof w:val="0"/>
            <w:szCs w:val="18"/>
            <w:lang w:eastAsia="zh-CN"/>
          </w:rPr>
          <w:t>Gaza and West Bank Interim Rapid Damage and Needs Assessment (February 2025)</w:t>
        </w:r>
      </w:hyperlink>
      <w:r w:rsidRPr="003C3F68">
        <w:rPr>
          <w:rFonts w:hint="cs"/>
          <w:sz w:val="18"/>
          <w:szCs w:val="18"/>
          <w:rtl/>
          <w:lang w:bidi="ar-EG"/>
        </w:rPr>
        <w:t>.</w:t>
      </w:r>
    </w:p>
  </w:footnote>
  <w:footnote w:id="2">
    <w:p w14:paraId="214AF5A6" w14:textId="6B6964D5" w:rsidR="002D4DD6" w:rsidRPr="003C3F68" w:rsidRDefault="002D4DD6" w:rsidP="004847E7">
      <w:pPr>
        <w:pStyle w:val="FootnoteText"/>
        <w:tabs>
          <w:tab w:val="clear" w:pos="794"/>
          <w:tab w:val="left" w:pos="284"/>
        </w:tabs>
        <w:spacing w:after="0"/>
        <w:ind w:left="284" w:hanging="284"/>
        <w:rPr>
          <w:sz w:val="18"/>
          <w:szCs w:val="18"/>
        </w:rPr>
      </w:pPr>
      <w:r w:rsidRPr="003C3F68">
        <w:rPr>
          <w:rStyle w:val="FootnoteReference"/>
          <w:rtl/>
        </w:rPr>
        <w:t>2</w:t>
      </w:r>
      <w:r w:rsidRPr="003C3F68">
        <w:rPr>
          <w:sz w:val="18"/>
          <w:szCs w:val="18"/>
          <w:rtl/>
        </w:rPr>
        <w:tab/>
      </w:r>
      <w:hyperlink r:id="rId2" w:history="1">
        <w:r w:rsidRPr="00564674">
          <w:rPr>
            <w:rStyle w:val="Hyperlink"/>
            <w:rFonts w:ascii="Dubai" w:eastAsiaTheme="minorEastAsia" w:hAnsi="Dubai" w:cs="Dubai"/>
            <w:noProof w:val="0"/>
            <w:szCs w:val="18"/>
            <w:lang w:eastAsia="zh-CN"/>
          </w:rPr>
          <w:t>Gaza and West Bank Interim Rapid Damage and Needs Assessment (February 2025)</w:t>
        </w:r>
      </w:hyperlink>
      <w:r w:rsidRPr="003C3F68">
        <w:rPr>
          <w:rFonts w:hint="cs"/>
          <w:sz w:val="18"/>
          <w:szCs w:val="18"/>
          <w:rtl/>
        </w:rPr>
        <w:t>.</w:t>
      </w:r>
    </w:p>
  </w:footnote>
  <w:footnote w:id="3">
    <w:p w14:paraId="0E995F4C" w14:textId="454E316B" w:rsidR="002D4DD6" w:rsidRPr="00CB7E18" w:rsidRDefault="002D4DD6" w:rsidP="004847E7">
      <w:pPr>
        <w:pStyle w:val="FootnoteText"/>
        <w:tabs>
          <w:tab w:val="clear" w:pos="794"/>
          <w:tab w:val="left" w:pos="284"/>
        </w:tabs>
        <w:spacing w:after="0"/>
        <w:ind w:left="284" w:hanging="284"/>
        <w:rPr>
          <w:sz w:val="18"/>
          <w:szCs w:val="18"/>
          <w:lang w:bidi="ar-EG"/>
        </w:rPr>
      </w:pPr>
      <w:r w:rsidRPr="003C3F68">
        <w:rPr>
          <w:rStyle w:val="FootnoteReference"/>
          <w:rtl/>
        </w:rPr>
        <w:t>3</w:t>
      </w:r>
      <w:r w:rsidRPr="003C3F68">
        <w:rPr>
          <w:sz w:val="18"/>
          <w:szCs w:val="18"/>
          <w:rtl/>
          <w:lang w:bidi="ar-EG"/>
        </w:rPr>
        <w:tab/>
      </w:r>
      <w:hyperlink r:id="rId3" w:history="1">
        <w:r w:rsidRPr="00564674">
          <w:rPr>
            <w:rStyle w:val="Hyperlink"/>
            <w:rFonts w:ascii="Dubai" w:eastAsiaTheme="minorEastAsia" w:hAnsi="Dubai" w:cs="Dubai"/>
            <w:noProof w:val="0"/>
            <w:szCs w:val="18"/>
            <w:lang w:eastAsia="zh-CN" w:bidi="ar-EG"/>
          </w:rPr>
          <w:t>Gaza and West Bank Interim Rapid Damage and Needs Assessment (February 2025)</w:t>
        </w:r>
      </w:hyperlink>
      <w:r w:rsidRPr="003C3F68">
        <w:rPr>
          <w:rFonts w:hint="cs"/>
          <w:sz w:val="18"/>
          <w:szCs w:val="18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F975F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EB08C6" wp14:editId="79BC6C44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831D6F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D/k3/B4gAAAA0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4C9272D3" wp14:editId="294BE7E3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32089166">
    <w:abstractNumId w:val="9"/>
  </w:num>
  <w:num w:numId="2" w16cid:durableId="187060355">
    <w:abstractNumId w:val="7"/>
  </w:num>
  <w:num w:numId="3" w16cid:durableId="1794396966">
    <w:abstractNumId w:val="6"/>
  </w:num>
  <w:num w:numId="4" w16cid:durableId="557395887">
    <w:abstractNumId w:val="5"/>
  </w:num>
  <w:num w:numId="5" w16cid:durableId="2119711078">
    <w:abstractNumId w:val="4"/>
  </w:num>
  <w:num w:numId="6" w16cid:durableId="35934863">
    <w:abstractNumId w:val="8"/>
  </w:num>
  <w:num w:numId="7" w16cid:durableId="265430966">
    <w:abstractNumId w:val="3"/>
  </w:num>
  <w:num w:numId="8" w16cid:durableId="1367213726">
    <w:abstractNumId w:val="2"/>
  </w:num>
  <w:num w:numId="9" w16cid:durableId="1352416078">
    <w:abstractNumId w:val="1"/>
  </w:num>
  <w:num w:numId="10" w16cid:durableId="209804986">
    <w:abstractNumId w:val="0"/>
  </w:num>
  <w:num w:numId="11" w16cid:durableId="1151024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5F"/>
    <w:rsid w:val="0006468A"/>
    <w:rsid w:val="00090574"/>
    <w:rsid w:val="000C1C0E"/>
    <w:rsid w:val="000C548A"/>
    <w:rsid w:val="000E11A2"/>
    <w:rsid w:val="000E1ED0"/>
    <w:rsid w:val="00191059"/>
    <w:rsid w:val="001B6E2B"/>
    <w:rsid w:val="001C0169"/>
    <w:rsid w:val="001C0C21"/>
    <w:rsid w:val="001D1D50"/>
    <w:rsid w:val="001D64C7"/>
    <w:rsid w:val="001D6745"/>
    <w:rsid w:val="001E446E"/>
    <w:rsid w:val="002154EE"/>
    <w:rsid w:val="002276D2"/>
    <w:rsid w:val="0023283D"/>
    <w:rsid w:val="002444C2"/>
    <w:rsid w:val="00254393"/>
    <w:rsid w:val="0026373E"/>
    <w:rsid w:val="00271C43"/>
    <w:rsid w:val="00290728"/>
    <w:rsid w:val="002978F4"/>
    <w:rsid w:val="002B028D"/>
    <w:rsid w:val="002C3F32"/>
    <w:rsid w:val="002D4DD6"/>
    <w:rsid w:val="002E6541"/>
    <w:rsid w:val="00334924"/>
    <w:rsid w:val="003409BC"/>
    <w:rsid w:val="00357185"/>
    <w:rsid w:val="00375F3D"/>
    <w:rsid w:val="00383829"/>
    <w:rsid w:val="003C3F68"/>
    <w:rsid w:val="003C5757"/>
    <w:rsid w:val="003F4B29"/>
    <w:rsid w:val="00420F8A"/>
    <w:rsid w:val="0042686F"/>
    <w:rsid w:val="004317D8"/>
    <w:rsid w:val="0043260A"/>
    <w:rsid w:val="00434183"/>
    <w:rsid w:val="00443869"/>
    <w:rsid w:val="00447F32"/>
    <w:rsid w:val="004847E7"/>
    <w:rsid w:val="00491BA9"/>
    <w:rsid w:val="00494119"/>
    <w:rsid w:val="004A4701"/>
    <w:rsid w:val="004B7334"/>
    <w:rsid w:val="004D4FA5"/>
    <w:rsid w:val="004E11DC"/>
    <w:rsid w:val="005130DE"/>
    <w:rsid w:val="00513157"/>
    <w:rsid w:val="00525DDD"/>
    <w:rsid w:val="005409AC"/>
    <w:rsid w:val="005434E0"/>
    <w:rsid w:val="00550D2C"/>
    <w:rsid w:val="005546CF"/>
    <w:rsid w:val="0055516A"/>
    <w:rsid w:val="00564674"/>
    <w:rsid w:val="0058491B"/>
    <w:rsid w:val="00592EA5"/>
    <w:rsid w:val="005A3170"/>
    <w:rsid w:val="005B12EE"/>
    <w:rsid w:val="005F3129"/>
    <w:rsid w:val="0065406B"/>
    <w:rsid w:val="00657019"/>
    <w:rsid w:val="00660DEA"/>
    <w:rsid w:val="00677396"/>
    <w:rsid w:val="0069200F"/>
    <w:rsid w:val="006A5AB1"/>
    <w:rsid w:val="006A65CB"/>
    <w:rsid w:val="006B12E5"/>
    <w:rsid w:val="006C3242"/>
    <w:rsid w:val="006C7CC0"/>
    <w:rsid w:val="006F363C"/>
    <w:rsid w:val="006F63F7"/>
    <w:rsid w:val="007025C7"/>
    <w:rsid w:val="00706D7A"/>
    <w:rsid w:val="00722F0D"/>
    <w:rsid w:val="00735081"/>
    <w:rsid w:val="0074420E"/>
    <w:rsid w:val="007648A6"/>
    <w:rsid w:val="0077110E"/>
    <w:rsid w:val="00783E26"/>
    <w:rsid w:val="007A6684"/>
    <w:rsid w:val="007B0AA0"/>
    <w:rsid w:val="007B4C30"/>
    <w:rsid w:val="007C1549"/>
    <w:rsid w:val="007C3BC7"/>
    <w:rsid w:val="007C3BCD"/>
    <w:rsid w:val="007D4ACF"/>
    <w:rsid w:val="007E6DF6"/>
    <w:rsid w:val="007F0787"/>
    <w:rsid w:val="00810B7B"/>
    <w:rsid w:val="0082358A"/>
    <w:rsid w:val="008235CD"/>
    <w:rsid w:val="008247DE"/>
    <w:rsid w:val="008339C0"/>
    <w:rsid w:val="00840B10"/>
    <w:rsid w:val="008513CB"/>
    <w:rsid w:val="00874E9F"/>
    <w:rsid w:val="008A7F84"/>
    <w:rsid w:val="008E3120"/>
    <w:rsid w:val="00901E1C"/>
    <w:rsid w:val="009103D5"/>
    <w:rsid w:val="0091702E"/>
    <w:rsid w:val="00923B0C"/>
    <w:rsid w:val="00924F46"/>
    <w:rsid w:val="00935AAC"/>
    <w:rsid w:val="0094021C"/>
    <w:rsid w:val="00950D02"/>
    <w:rsid w:val="00952F86"/>
    <w:rsid w:val="00982B28"/>
    <w:rsid w:val="009C47C3"/>
    <w:rsid w:val="009D313F"/>
    <w:rsid w:val="009E5BBB"/>
    <w:rsid w:val="00A45A85"/>
    <w:rsid w:val="00A47A5A"/>
    <w:rsid w:val="00A63AE6"/>
    <w:rsid w:val="00A6683B"/>
    <w:rsid w:val="00A67F05"/>
    <w:rsid w:val="00A97F94"/>
    <w:rsid w:val="00AA7EA2"/>
    <w:rsid w:val="00AB5A56"/>
    <w:rsid w:val="00AD707A"/>
    <w:rsid w:val="00B03099"/>
    <w:rsid w:val="00B05BC8"/>
    <w:rsid w:val="00B1735E"/>
    <w:rsid w:val="00B30F5E"/>
    <w:rsid w:val="00B64B47"/>
    <w:rsid w:val="00B95654"/>
    <w:rsid w:val="00B97F32"/>
    <w:rsid w:val="00BA04B2"/>
    <w:rsid w:val="00C002DE"/>
    <w:rsid w:val="00C0602B"/>
    <w:rsid w:val="00C224DA"/>
    <w:rsid w:val="00C53BF8"/>
    <w:rsid w:val="00C66157"/>
    <w:rsid w:val="00C674FE"/>
    <w:rsid w:val="00C67501"/>
    <w:rsid w:val="00C75633"/>
    <w:rsid w:val="00C85738"/>
    <w:rsid w:val="00CB7E18"/>
    <w:rsid w:val="00CE2EE1"/>
    <w:rsid w:val="00CE3349"/>
    <w:rsid w:val="00CE36E5"/>
    <w:rsid w:val="00CE4360"/>
    <w:rsid w:val="00CF27F5"/>
    <w:rsid w:val="00CF3FFD"/>
    <w:rsid w:val="00D0571B"/>
    <w:rsid w:val="00D05DF5"/>
    <w:rsid w:val="00D10CCF"/>
    <w:rsid w:val="00D13941"/>
    <w:rsid w:val="00D23F5F"/>
    <w:rsid w:val="00D313CD"/>
    <w:rsid w:val="00D43F7D"/>
    <w:rsid w:val="00D63735"/>
    <w:rsid w:val="00D77D0F"/>
    <w:rsid w:val="00D90811"/>
    <w:rsid w:val="00DA1CF0"/>
    <w:rsid w:val="00DB4152"/>
    <w:rsid w:val="00DC1E02"/>
    <w:rsid w:val="00DC24B4"/>
    <w:rsid w:val="00DC5FB0"/>
    <w:rsid w:val="00DF16DC"/>
    <w:rsid w:val="00E45211"/>
    <w:rsid w:val="00E473C5"/>
    <w:rsid w:val="00E61BE8"/>
    <w:rsid w:val="00E83FF1"/>
    <w:rsid w:val="00E92863"/>
    <w:rsid w:val="00E979B2"/>
    <w:rsid w:val="00EA6AAE"/>
    <w:rsid w:val="00EB796D"/>
    <w:rsid w:val="00F058DC"/>
    <w:rsid w:val="00F24FC4"/>
    <w:rsid w:val="00F2676C"/>
    <w:rsid w:val="00F363FE"/>
    <w:rsid w:val="00F46A5F"/>
    <w:rsid w:val="00F50E3F"/>
    <w:rsid w:val="00F5528E"/>
    <w:rsid w:val="00F66084"/>
    <w:rsid w:val="00F84366"/>
    <w:rsid w:val="00F85089"/>
    <w:rsid w:val="00F974C5"/>
    <w:rsid w:val="00FA3763"/>
    <w:rsid w:val="00FA6F46"/>
    <w:rsid w:val="00FC0E94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E702FEF"/>
  <w15:chartTrackingRefBased/>
  <w15:docId w15:val="{CF64CD6B-A22A-4BAF-B92F-8535401B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81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4847E7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4847E7"/>
    <w:pPr>
      <w:spacing w:before="80" w:after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564674"/>
    <w:rPr>
      <w:rFonts w:ascii="Calibri" w:eastAsia="Calibri" w:hAnsi="Calibri" w:cs="Arial"/>
      <w:noProof/>
      <w:color w:val="5B9BD5" w:themeColor="accent1"/>
      <w:sz w:val="18"/>
      <w:u w:val="single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081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45A85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127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docs.worldbank.org/en/doc/133c3304e29086819c1119fe8e85366b-0280012025/original/Gaza-RDNA-final-med.pdf" TargetMode="External"/><Relationship Id="rId2" Type="http://schemas.openxmlformats.org/officeDocument/2006/relationships/hyperlink" Target="https://thedocs.worldbank.org/en/doc/133c3304e29086819c1119fe8e85366b-0280012025/original/Gaza-RDNA-final-med.pdf" TargetMode="External"/><Relationship Id="rId1" Type="http://schemas.openxmlformats.org/officeDocument/2006/relationships/hyperlink" Target="https://thedocs.worldbank.org/en/doc/133c3304e29086819c1119fe8e85366b-0280012025/original/Gaza-RDNA-final-me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03%20Third%20Contract%20Work%20(05-05-2025%20---%2027-06-2025\06%20June\02\2501254A\Typing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0</TotalTime>
  <Pages>3</Pages>
  <Words>801</Words>
  <Characters>4601</Characters>
  <Application>Microsoft Office Word</Application>
  <DocSecurity>0</DocSecurity>
  <Lines>83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assistance and support to Palestine</dc:title>
  <dc:subject>ITU Council 2025</dc:subject>
  <cp:keywords>C2025, C25, Council-25</cp:keywords>
  <dc:description/>
  <dcterms:created xsi:type="dcterms:W3CDTF">2025-06-19T09:11:00Z</dcterms:created>
  <dcterms:modified xsi:type="dcterms:W3CDTF">2025-06-19T09:11:00Z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