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D3CFD" w14:paraId="3E1C2769" w14:textId="77777777" w:rsidTr="34FC949C">
        <w:trPr>
          <w:cantSplit/>
          <w:trHeight w:val="23"/>
        </w:trPr>
        <w:tc>
          <w:tcPr>
            <w:tcW w:w="3969" w:type="dxa"/>
            <w:vMerge w:val="restart"/>
            <w:tcMar>
              <w:left w:w="0" w:type="dxa"/>
            </w:tcMar>
          </w:tcPr>
          <w:p w14:paraId="7147B863" w14:textId="282E0AF4" w:rsidR="00AD3606" w:rsidRPr="002D3CFD" w:rsidRDefault="00AD3606" w:rsidP="00472BAD">
            <w:pPr>
              <w:tabs>
                <w:tab w:val="left" w:pos="851"/>
              </w:tabs>
              <w:spacing w:before="0" w:line="240" w:lineRule="atLeast"/>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2D3CFD">
              <w:rPr>
                <w:rFonts w:asciiTheme="minorHAnsi" w:hAnsiTheme="minorHAnsi" w:cstheme="minorHAnsi"/>
                <w:b/>
              </w:rPr>
              <w:t xml:space="preserve">Agenda item: </w:t>
            </w:r>
            <w:r w:rsidR="00F74D57">
              <w:rPr>
                <w:rFonts w:asciiTheme="minorHAnsi" w:hAnsiTheme="minorHAnsi" w:cstheme="minorHAnsi"/>
                <w:b/>
              </w:rPr>
              <w:t>PL 2</w:t>
            </w:r>
          </w:p>
        </w:tc>
        <w:tc>
          <w:tcPr>
            <w:tcW w:w="5245" w:type="dxa"/>
          </w:tcPr>
          <w:p w14:paraId="6779937E" w14:textId="18A7D280" w:rsidR="00AD3606" w:rsidRPr="002D3CFD" w:rsidRDefault="00AD3606" w:rsidP="00472BAD">
            <w:pPr>
              <w:tabs>
                <w:tab w:val="left" w:pos="851"/>
              </w:tabs>
              <w:spacing w:before="0" w:line="240" w:lineRule="atLeast"/>
              <w:jc w:val="right"/>
              <w:rPr>
                <w:rFonts w:asciiTheme="minorHAnsi" w:hAnsiTheme="minorHAnsi" w:cstheme="minorHAnsi"/>
                <w:b/>
              </w:rPr>
            </w:pPr>
            <w:r w:rsidRPr="00F74D57">
              <w:rPr>
                <w:rFonts w:asciiTheme="minorHAnsi" w:hAnsiTheme="minorHAnsi" w:cstheme="minorHAnsi"/>
                <w:b/>
              </w:rPr>
              <w:t>Document C2</w:t>
            </w:r>
            <w:r w:rsidR="00BF1FDE" w:rsidRPr="00F74D57">
              <w:rPr>
                <w:rFonts w:asciiTheme="minorHAnsi" w:hAnsiTheme="minorHAnsi" w:cstheme="minorHAnsi"/>
                <w:b/>
              </w:rPr>
              <w:t>5</w:t>
            </w:r>
            <w:r w:rsidRPr="00F74D57">
              <w:rPr>
                <w:rFonts w:asciiTheme="minorHAnsi" w:hAnsiTheme="minorHAnsi" w:cstheme="minorHAnsi"/>
                <w:b/>
              </w:rPr>
              <w:t>/</w:t>
            </w:r>
            <w:r w:rsidR="00F74D57" w:rsidRPr="00F74D57">
              <w:rPr>
                <w:rFonts w:asciiTheme="minorHAnsi" w:hAnsiTheme="minorHAnsi" w:cstheme="minorHAnsi"/>
                <w:b/>
              </w:rPr>
              <w:t>70</w:t>
            </w:r>
            <w:r w:rsidRPr="00F74D57">
              <w:rPr>
                <w:rFonts w:asciiTheme="minorHAnsi" w:hAnsiTheme="minorHAnsi" w:cstheme="minorHAnsi"/>
                <w:b/>
              </w:rPr>
              <w:t>-E</w:t>
            </w:r>
          </w:p>
        </w:tc>
      </w:tr>
      <w:tr w:rsidR="00AD3606" w:rsidRPr="002D3CFD" w14:paraId="3E3F9DA5" w14:textId="77777777" w:rsidTr="34FC949C">
        <w:trPr>
          <w:cantSplit/>
        </w:trPr>
        <w:tc>
          <w:tcPr>
            <w:tcW w:w="3969" w:type="dxa"/>
            <w:vMerge/>
          </w:tcPr>
          <w:p w14:paraId="5920AA6E" w14:textId="77777777" w:rsidR="00AD3606" w:rsidRPr="002D3CFD" w:rsidRDefault="00AD3606" w:rsidP="00AD3606">
            <w:pPr>
              <w:tabs>
                <w:tab w:val="left" w:pos="851"/>
              </w:tabs>
              <w:spacing w:line="240" w:lineRule="atLeast"/>
              <w:rPr>
                <w:rFonts w:asciiTheme="minorHAnsi" w:hAnsiTheme="minorHAnsi" w:cstheme="minorHAnsi"/>
                <w:b/>
              </w:rPr>
            </w:pPr>
            <w:bookmarkStart w:id="6" w:name="ddate" w:colFirst="1" w:colLast="1"/>
            <w:bookmarkEnd w:id="0"/>
            <w:bookmarkEnd w:id="1"/>
          </w:p>
        </w:tc>
        <w:tc>
          <w:tcPr>
            <w:tcW w:w="5245" w:type="dxa"/>
          </w:tcPr>
          <w:p w14:paraId="55371C25" w14:textId="410A2BBA" w:rsidR="00AD3606" w:rsidRPr="002D3CFD" w:rsidRDefault="00A33F7A" w:rsidP="00AD3606">
            <w:pPr>
              <w:tabs>
                <w:tab w:val="left" w:pos="851"/>
              </w:tabs>
              <w:spacing w:before="0"/>
              <w:jc w:val="right"/>
              <w:rPr>
                <w:rFonts w:asciiTheme="minorHAnsi" w:hAnsiTheme="minorHAnsi" w:cstheme="minorHAnsi"/>
                <w:b/>
              </w:rPr>
            </w:pPr>
            <w:r>
              <w:rPr>
                <w:rFonts w:asciiTheme="minorHAnsi" w:hAnsiTheme="minorHAnsi" w:cstheme="minorHAnsi"/>
                <w:b/>
              </w:rPr>
              <w:t>1</w:t>
            </w:r>
            <w:r w:rsidR="002D3322">
              <w:rPr>
                <w:rFonts w:asciiTheme="minorHAnsi" w:hAnsiTheme="minorHAnsi" w:cstheme="minorHAnsi"/>
                <w:b/>
              </w:rPr>
              <w:t>9</w:t>
            </w:r>
            <w:r w:rsidR="00F74D57">
              <w:rPr>
                <w:rFonts w:asciiTheme="minorHAnsi" w:hAnsiTheme="minorHAnsi" w:cstheme="minorHAnsi"/>
                <w:b/>
              </w:rPr>
              <w:t xml:space="preserve"> May 2025</w:t>
            </w:r>
          </w:p>
        </w:tc>
      </w:tr>
      <w:tr w:rsidR="00AD3606" w:rsidRPr="002D3CFD" w14:paraId="75730376" w14:textId="77777777" w:rsidTr="34FC949C">
        <w:trPr>
          <w:cantSplit/>
          <w:trHeight w:val="23"/>
        </w:trPr>
        <w:tc>
          <w:tcPr>
            <w:tcW w:w="3969" w:type="dxa"/>
            <w:vMerge/>
          </w:tcPr>
          <w:p w14:paraId="298F937E" w14:textId="77777777" w:rsidR="00AD3606" w:rsidRPr="002D3CFD" w:rsidRDefault="00AD3606" w:rsidP="00AD3606">
            <w:pPr>
              <w:tabs>
                <w:tab w:val="left" w:pos="851"/>
              </w:tabs>
              <w:spacing w:line="240" w:lineRule="atLeast"/>
              <w:rPr>
                <w:rFonts w:asciiTheme="minorHAnsi" w:hAnsiTheme="minorHAnsi" w:cstheme="minorHAnsi"/>
                <w:b/>
              </w:rPr>
            </w:pPr>
            <w:bookmarkStart w:id="7" w:name="dorlang" w:colFirst="1" w:colLast="1"/>
            <w:bookmarkEnd w:id="6"/>
          </w:p>
        </w:tc>
        <w:tc>
          <w:tcPr>
            <w:tcW w:w="5245" w:type="dxa"/>
          </w:tcPr>
          <w:p w14:paraId="041A065E" w14:textId="77777777" w:rsidR="00AD3606" w:rsidRPr="002D3CFD" w:rsidRDefault="00AD3606" w:rsidP="00AD3606">
            <w:pPr>
              <w:tabs>
                <w:tab w:val="left" w:pos="851"/>
              </w:tabs>
              <w:spacing w:before="0" w:line="240" w:lineRule="atLeast"/>
              <w:jc w:val="right"/>
              <w:rPr>
                <w:rFonts w:asciiTheme="minorHAnsi" w:hAnsiTheme="minorHAnsi" w:cstheme="minorHAnsi"/>
                <w:b/>
              </w:rPr>
            </w:pPr>
            <w:r w:rsidRPr="002D3CFD">
              <w:rPr>
                <w:rFonts w:asciiTheme="minorHAnsi" w:hAnsiTheme="minorHAnsi" w:cstheme="minorHAnsi"/>
                <w:b/>
              </w:rPr>
              <w:t>Original: English</w:t>
            </w:r>
          </w:p>
        </w:tc>
      </w:tr>
      <w:tr w:rsidR="00472BAD" w:rsidRPr="002D3CFD" w14:paraId="14DA91C4" w14:textId="77777777" w:rsidTr="34FC949C">
        <w:trPr>
          <w:cantSplit/>
          <w:trHeight w:val="23"/>
        </w:trPr>
        <w:tc>
          <w:tcPr>
            <w:tcW w:w="3969" w:type="dxa"/>
          </w:tcPr>
          <w:p w14:paraId="5858B25D" w14:textId="77777777" w:rsidR="00472BAD" w:rsidRPr="002D3CFD" w:rsidRDefault="00472BAD" w:rsidP="00AD3606">
            <w:pPr>
              <w:tabs>
                <w:tab w:val="left" w:pos="851"/>
              </w:tabs>
              <w:spacing w:line="240" w:lineRule="atLeast"/>
              <w:rPr>
                <w:rFonts w:asciiTheme="minorHAnsi" w:hAnsiTheme="minorHAnsi" w:cstheme="minorHAnsi"/>
                <w:b/>
              </w:rPr>
            </w:pPr>
          </w:p>
        </w:tc>
        <w:tc>
          <w:tcPr>
            <w:tcW w:w="5245" w:type="dxa"/>
          </w:tcPr>
          <w:p w14:paraId="5DBF7439" w14:textId="77777777" w:rsidR="00472BAD" w:rsidRPr="002D3CFD" w:rsidRDefault="00472BAD" w:rsidP="00AD3606">
            <w:pPr>
              <w:tabs>
                <w:tab w:val="left" w:pos="851"/>
              </w:tabs>
              <w:spacing w:before="0" w:line="240" w:lineRule="atLeast"/>
              <w:jc w:val="right"/>
              <w:rPr>
                <w:rFonts w:asciiTheme="minorHAnsi" w:hAnsiTheme="minorHAnsi" w:cstheme="minorHAnsi"/>
                <w:b/>
              </w:rPr>
            </w:pPr>
          </w:p>
        </w:tc>
      </w:tr>
      <w:tr w:rsidR="00AD3606" w:rsidRPr="002D3CFD" w14:paraId="2481FF59" w14:textId="77777777" w:rsidTr="34FC949C">
        <w:trPr>
          <w:cantSplit/>
        </w:trPr>
        <w:tc>
          <w:tcPr>
            <w:tcW w:w="9214" w:type="dxa"/>
            <w:gridSpan w:val="2"/>
            <w:tcMar>
              <w:left w:w="0" w:type="dxa"/>
            </w:tcMar>
          </w:tcPr>
          <w:p w14:paraId="2016C4A0" w14:textId="77777777" w:rsidR="00AD3606" w:rsidRPr="002D3CFD" w:rsidRDefault="00AD3606" w:rsidP="000F7289">
            <w:pPr>
              <w:pStyle w:val="Source"/>
              <w:framePr w:hSpace="0" w:wrap="auto" w:vAnchor="margin" w:hAnchor="text" w:xAlign="left" w:yAlign="inline"/>
              <w:rPr>
                <w:rFonts w:asciiTheme="minorHAnsi" w:hAnsiTheme="minorHAnsi" w:cstheme="minorHAnsi"/>
              </w:rPr>
            </w:pPr>
            <w:bookmarkStart w:id="8" w:name="dsource" w:colFirst="0" w:colLast="0"/>
            <w:bookmarkEnd w:id="7"/>
            <w:r w:rsidRPr="002D3CFD">
              <w:rPr>
                <w:rFonts w:asciiTheme="minorHAnsi" w:hAnsiTheme="minorHAnsi" w:cstheme="minorHAnsi"/>
              </w:rPr>
              <w:t>Report by the Secretary-General</w:t>
            </w:r>
          </w:p>
        </w:tc>
      </w:tr>
      <w:tr w:rsidR="00AD3606" w:rsidRPr="002D3CFD" w14:paraId="3A759762" w14:textId="77777777" w:rsidTr="34FC949C">
        <w:trPr>
          <w:cantSplit/>
        </w:trPr>
        <w:tc>
          <w:tcPr>
            <w:tcW w:w="9214" w:type="dxa"/>
            <w:gridSpan w:val="2"/>
            <w:tcMar>
              <w:left w:w="0" w:type="dxa"/>
            </w:tcMar>
          </w:tcPr>
          <w:p w14:paraId="2A2DCF47" w14:textId="748723A8" w:rsidR="00AD3606" w:rsidRPr="002D3CFD" w:rsidRDefault="528344F7" w:rsidP="67DDA5A5">
            <w:pPr>
              <w:spacing w:after="120"/>
              <w:rPr>
                <w:rFonts w:asciiTheme="minorHAnsi" w:hAnsiTheme="minorHAnsi" w:cstheme="minorBidi"/>
              </w:rPr>
            </w:pPr>
            <w:r w:rsidRPr="34FC949C">
              <w:rPr>
                <w:rFonts w:asciiTheme="minorHAnsi" w:eastAsia="Calibri" w:hAnsiTheme="minorHAnsi" w:cstheme="minorBidi"/>
                <w:color w:val="000000" w:themeColor="text1"/>
                <w:sz w:val="32"/>
                <w:szCs w:val="32"/>
              </w:rPr>
              <w:t>COLLABORATION WITH THE UNITED NATIONS SYSTEM AND OTHER INTERNATIONAL INTERGOVERNMENTAL PROCESSES, INCLUDING ON STANDARDS DEVELOPMENT</w:t>
            </w:r>
            <w:bookmarkStart w:id="9" w:name="dtitle1"/>
            <w:bookmarkEnd w:id="8"/>
          </w:p>
        </w:tc>
      </w:tr>
      <w:tr w:rsidR="00AD3606" w:rsidRPr="002D3CFD" w14:paraId="72B25568" w14:textId="77777777" w:rsidTr="34FC949C">
        <w:trPr>
          <w:cantSplit/>
        </w:trPr>
        <w:tc>
          <w:tcPr>
            <w:tcW w:w="9214" w:type="dxa"/>
            <w:gridSpan w:val="2"/>
            <w:tcBorders>
              <w:top w:val="single" w:sz="4" w:space="0" w:color="auto"/>
              <w:bottom w:val="single" w:sz="4" w:space="0" w:color="auto"/>
            </w:tcBorders>
            <w:tcMar>
              <w:left w:w="0" w:type="dxa"/>
            </w:tcMar>
          </w:tcPr>
          <w:p w14:paraId="4C3D541B" w14:textId="1024FD2F" w:rsidR="00AD3606" w:rsidRPr="002D3CFD" w:rsidRDefault="00F16BAB" w:rsidP="00F16BAB">
            <w:pPr>
              <w:spacing w:before="160"/>
              <w:rPr>
                <w:rFonts w:asciiTheme="minorHAnsi" w:hAnsiTheme="minorHAnsi" w:cstheme="minorHAnsi"/>
                <w:b/>
                <w:bCs/>
                <w:sz w:val="26"/>
                <w:szCs w:val="26"/>
              </w:rPr>
            </w:pPr>
            <w:r w:rsidRPr="002D3CFD">
              <w:rPr>
                <w:rFonts w:asciiTheme="minorHAnsi" w:hAnsiTheme="minorHAnsi" w:cstheme="minorHAnsi"/>
                <w:b/>
                <w:bCs/>
                <w:sz w:val="26"/>
                <w:szCs w:val="26"/>
              </w:rPr>
              <w:t>Purpose</w:t>
            </w:r>
          </w:p>
          <w:p w14:paraId="2B147C8A" w14:textId="77777777" w:rsidR="002D3CFD" w:rsidRPr="002D3CFD" w:rsidRDefault="002D3CFD" w:rsidP="002D3CFD">
            <w:pPr>
              <w:jc w:val="both"/>
              <w:rPr>
                <w:rFonts w:asciiTheme="minorHAnsi" w:hAnsiTheme="minorHAnsi" w:cstheme="minorHAnsi"/>
              </w:rPr>
            </w:pPr>
            <w:r w:rsidRPr="002D3CFD">
              <w:rPr>
                <w:rFonts w:asciiTheme="minorHAnsi" w:hAnsiTheme="minorHAnsi" w:cstheme="minorHAnsi"/>
              </w:rPr>
              <w:t xml:space="preserve">This report presents some highlights of ITU’s contributions to and engagement in major United Nations </w:t>
            </w:r>
            <w:r w:rsidRPr="002D3CFD">
              <w:rPr>
                <w:rFonts w:asciiTheme="minorHAnsi" w:hAnsiTheme="minorHAnsi" w:cstheme="minorHAnsi"/>
                <w:lang w:eastAsia="ko-KR"/>
              </w:rPr>
              <w:t xml:space="preserve">(UN) </w:t>
            </w:r>
            <w:r w:rsidRPr="002D3CFD">
              <w:rPr>
                <w:rFonts w:asciiTheme="minorHAnsi" w:hAnsiTheme="minorHAnsi" w:cstheme="minorHAnsi"/>
              </w:rPr>
              <w:t>conferences, processes and workstreams on digital themes, including aspects of the U</w:t>
            </w:r>
            <w:r w:rsidRPr="002D3CFD">
              <w:rPr>
                <w:rFonts w:asciiTheme="minorHAnsi" w:hAnsiTheme="minorHAnsi" w:cstheme="minorHAnsi"/>
                <w:lang w:eastAsia="ko-KR"/>
              </w:rPr>
              <w:t>N</w:t>
            </w:r>
            <w:r w:rsidRPr="002D3CFD">
              <w:rPr>
                <w:rFonts w:asciiTheme="minorHAnsi" w:hAnsiTheme="minorHAnsi" w:cstheme="minorHAnsi"/>
              </w:rPr>
              <w:t xml:space="preserve"> Secretary-General’s report “Our Common Agenda”. A more comprehensive description is found in the information document on collaboration with the U</w:t>
            </w:r>
            <w:r w:rsidRPr="002D3CFD">
              <w:rPr>
                <w:rFonts w:asciiTheme="minorHAnsi" w:hAnsiTheme="minorHAnsi" w:cstheme="minorHAnsi"/>
                <w:lang w:eastAsia="ko-KR"/>
              </w:rPr>
              <w:t>N</w:t>
            </w:r>
            <w:r w:rsidRPr="002D3CFD">
              <w:rPr>
                <w:rFonts w:asciiTheme="minorHAnsi" w:hAnsiTheme="minorHAnsi" w:cstheme="minorHAnsi"/>
              </w:rPr>
              <w:t xml:space="preserve"> system.</w:t>
            </w:r>
          </w:p>
          <w:p w14:paraId="4288AA6F" w14:textId="77777777" w:rsidR="00AD3606" w:rsidRPr="002D3CFD" w:rsidRDefault="00AD3606" w:rsidP="00F16BAB">
            <w:pPr>
              <w:spacing w:before="160"/>
              <w:rPr>
                <w:rFonts w:asciiTheme="minorHAnsi" w:hAnsiTheme="minorHAnsi" w:cstheme="minorHAnsi"/>
                <w:b/>
                <w:bCs/>
                <w:sz w:val="26"/>
                <w:szCs w:val="26"/>
              </w:rPr>
            </w:pPr>
            <w:r w:rsidRPr="002D3CFD">
              <w:rPr>
                <w:rFonts w:asciiTheme="minorHAnsi" w:hAnsiTheme="minorHAnsi" w:cstheme="minorHAnsi"/>
                <w:b/>
                <w:bCs/>
                <w:sz w:val="26"/>
                <w:szCs w:val="26"/>
              </w:rPr>
              <w:t>Action required</w:t>
            </w:r>
            <w:r w:rsidR="00F16BAB" w:rsidRPr="002D3CFD">
              <w:rPr>
                <w:rFonts w:asciiTheme="minorHAnsi" w:hAnsiTheme="minorHAnsi" w:cstheme="minorHAnsi"/>
                <w:b/>
                <w:bCs/>
                <w:sz w:val="26"/>
                <w:szCs w:val="26"/>
              </w:rPr>
              <w:t xml:space="preserve"> by the Council</w:t>
            </w:r>
          </w:p>
          <w:p w14:paraId="1D271FFE" w14:textId="77777777" w:rsidR="002D3CFD" w:rsidRPr="002D3CFD" w:rsidRDefault="002D3CFD" w:rsidP="002D3CFD">
            <w:pPr>
              <w:rPr>
                <w:rFonts w:asciiTheme="minorHAnsi" w:hAnsiTheme="minorHAnsi" w:cstheme="minorHAnsi"/>
              </w:rPr>
            </w:pPr>
            <w:r w:rsidRPr="002D3CFD">
              <w:rPr>
                <w:rFonts w:asciiTheme="minorHAnsi" w:hAnsiTheme="minorHAnsi" w:cstheme="minorHAnsi"/>
              </w:rPr>
              <w:t xml:space="preserve">The ITU Council is invited to </w:t>
            </w:r>
            <w:r w:rsidRPr="002D3CFD">
              <w:rPr>
                <w:rFonts w:asciiTheme="minorHAnsi" w:hAnsiTheme="minorHAnsi" w:cstheme="minorHAnsi"/>
                <w:b/>
                <w:bCs/>
              </w:rPr>
              <w:t>note</w:t>
            </w:r>
            <w:r w:rsidRPr="002D3CFD">
              <w:rPr>
                <w:rFonts w:asciiTheme="minorHAnsi" w:hAnsiTheme="minorHAnsi" w:cstheme="minorHAnsi"/>
              </w:rPr>
              <w:t xml:space="preserve"> this report.</w:t>
            </w:r>
          </w:p>
          <w:p w14:paraId="4B855F83" w14:textId="7E0F2BB7" w:rsidR="00722551" w:rsidRPr="002D3CFD" w:rsidRDefault="00722551" w:rsidP="00722551">
            <w:pPr>
              <w:spacing w:before="160"/>
              <w:rPr>
                <w:rFonts w:asciiTheme="minorHAnsi" w:hAnsiTheme="minorHAnsi" w:cstheme="minorHAnsi"/>
                <w:b/>
                <w:bCs/>
                <w:sz w:val="26"/>
                <w:szCs w:val="26"/>
              </w:rPr>
            </w:pPr>
            <w:r w:rsidRPr="002D3CFD">
              <w:rPr>
                <w:rFonts w:asciiTheme="minorHAnsi" w:hAnsiTheme="minorHAnsi" w:cstheme="minorHAnsi"/>
                <w:b/>
                <w:bCs/>
                <w:sz w:val="26"/>
                <w:szCs w:val="26"/>
              </w:rPr>
              <w:t>Relevant link</w:t>
            </w:r>
            <w:r w:rsidR="004B25A1" w:rsidRPr="002D3CFD">
              <w:rPr>
                <w:rFonts w:asciiTheme="minorHAnsi" w:hAnsiTheme="minorHAnsi" w:cstheme="minorHAnsi"/>
                <w:b/>
                <w:bCs/>
                <w:sz w:val="26"/>
                <w:szCs w:val="26"/>
              </w:rPr>
              <w:t>(s)</w:t>
            </w:r>
            <w:r w:rsidRPr="002D3CFD">
              <w:rPr>
                <w:rFonts w:asciiTheme="minorHAnsi" w:hAnsiTheme="minorHAnsi" w:cstheme="minorHAnsi"/>
                <w:b/>
                <w:bCs/>
                <w:sz w:val="26"/>
                <w:szCs w:val="26"/>
              </w:rPr>
              <w:t xml:space="preserve"> with the Strategic Plan</w:t>
            </w:r>
          </w:p>
          <w:p w14:paraId="56ADF403" w14:textId="7663C99D" w:rsidR="00722551" w:rsidRPr="002D3CFD" w:rsidRDefault="002D3CFD" w:rsidP="00722551">
            <w:pPr>
              <w:rPr>
                <w:rFonts w:asciiTheme="minorHAnsi" w:hAnsiTheme="minorHAnsi" w:cstheme="minorHAnsi"/>
              </w:rPr>
            </w:pPr>
            <w:r w:rsidRPr="002D3CFD">
              <w:rPr>
                <w:rFonts w:asciiTheme="minorHAnsi" w:hAnsiTheme="minorHAnsi" w:cstheme="minorHAnsi"/>
              </w:rPr>
              <w:t>Partnerships and international cooperation.</w:t>
            </w:r>
          </w:p>
          <w:p w14:paraId="6A77059B" w14:textId="270D1307" w:rsidR="00722551" w:rsidRPr="002D3CFD" w:rsidRDefault="00722551" w:rsidP="00722551">
            <w:pPr>
              <w:spacing w:before="160"/>
              <w:rPr>
                <w:rFonts w:asciiTheme="minorHAnsi" w:hAnsiTheme="minorHAnsi" w:cstheme="minorHAnsi"/>
                <w:b/>
                <w:bCs/>
                <w:sz w:val="26"/>
                <w:szCs w:val="26"/>
              </w:rPr>
            </w:pPr>
            <w:r w:rsidRPr="002D3CFD">
              <w:rPr>
                <w:rFonts w:asciiTheme="minorHAnsi" w:hAnsiTheme="minorHAnsi" w:cstheme="minorHAnsi"/>
                <w:b/>
                <w:bCs/>
                <w:sz w:val="26"/>
                <w:szCs w:val="26"/>
              </w:rPr>
              <w:t>Financial implications</w:t>
            </w:r>
          </w:p>
          <w:p w14:paraId="7A4B1018" w14:textId="77777777" w:rsidR="002D3CFD" w:rsidRPr="002D3CFD" w:rsidRDefault="002D3CFD" w:rsidP="002D3CFD">
            <w:pPr>
              <w:spacing w:before="160"/>
              <w:rPr>
                <w:rFonts w:asciiTheme="minorHAnsi" w:hAnsiTheme="minorHAnsi" w:cstheme="minorHAnsi"/>
              </w:rPr>
            </w:pPr>
            <w:r w:rsidRPr="002D3322">
              <w:rPr>
                <w:rFonts w:asciiTheme="minorHAnsi" w:hAnsiTheme="minorHAnsi" w:cstheme="minorHAnsi"/>
              </w:rPr>
              <w:t>Within the allocated budget 2024-2025.</w:t>
            </w:r>
          </w:p>
          <w:p w14:paraId="08939791" w14:textId="77777777" w:rsidR="00C0458D" w:rsidRPr="002D3CFD" w:rsidRDefault="00C0458D">
            <w:pPr>
              <w:rPr>
                <w:rFonts w:asciiTheme="minorHAnsi" w:hAnsiTheme="minorHAnsi" w:cstheme="minorHAnsi"/>
              </w:rPr>
            </w:pPr>
            <w:r w:rsidRPr="002D3CFD">
              <w:rPr>
                <w:rFonts w:asciiTheme="minorHAnsi" w:hAnsiTheme="minorHAnsi" w:cstheme="minorHAnsi"/>
              </w:rPr>
              <w:t>_______________</w:t>
            </w:r>
          </w:p>
          <w:p w14:paraId="212A584A" w14:textId="77777777" w:rsidR="00AD3606" w:rsidRPr="002D3CFD" w:rsidRDefault="00AD3606" w:rsidP="00F16BAB">
            <w:pPr>
              <w:spacing w:before="160"/>
              <w:rPr>
                <w:rFonts w:asciiTheme="minorHAnsi" w:hAnsiTheme="minorHAnsi" w:cstheme="minorHAnsi"/>
                <w:b/>
                <w:bCs/>
                <w:sz w:val="26"/>
                <w:szCs w:val="26"/>
              </w:rPr>
            </w:pPr>
            <w:r w:rsidRPr="002D3CFD">
              <w:rPr>
                <w:rFonts w:asciiTheme="minorHAnsi" w:hAnsiTheme="minorHAnsi" w:cstheme="minorHAnsi"/>
                <w:b/>
                <w:bCs/>
                <w:sz w:val="26"/>
                <w:szCs w:val="26"/>
              </w:rPr>
              <w:t>References</w:t>
            </w:r>
          </w:p>
          <w:p w14:paraId="7089D4B7" w14:textId="5BCFD3BA" w:rsidR="00AD3606" w:rsidRPr="00B361D4" w:rsidRDefault="002D3CFD" w:rsidP="00F16BAB">
            <w:pPr>
              <w:spacing w:after="160"/>
              <w:rPr>
                <w:rFonts w:asciiTheme="minorHAnsi" w:hAnsiTheme="minorHAnsi" w:cstheme="minorHAnsi"/>
                <w:i/>
                <w:iCs/>
                <w:sz w:val="22"/>
                <w:szCs w:val="22"/>
              </w:rPr>
            </w:pPr>
            <w:r w:rsidRPr="00B361D4">
              <w:rPr>
                <w:rFonts w:asciiTheme="minorHAnsi" w:eastAsia="SimSun" w:hAnsiTheme="minorHAnsi" w:cstheme="minorHAnsi"/>
                <w:i/>
                <w:iCs/>
                <w:sz w:val="22"/>
                <w:szCs w:val="22"/>
              </w:rPr>
              <w:t xml:space="preserve">Documents </w:t>
            </w:r>
            <w:hyperlink r:id="rId11" w:history="1">
              <w:r w:rsidRPr="00B361D4">
                <w:rPr>
                  <w:rStyle w:val="Hyperlink"/>
                  <w:rFonts w:asciiTheme="minorHAnsi" w:eastAsia="SimSun" w:hAnsiTheme="minorHAnsi" w:cstheme="minorHAnsi"/>
                  <w:i/>
                  <w:iCs/>
                  <w:sz w:val="22"/>
                  <w:szCs w:val="22"/>
                </w:rPr>
                <w:t>C08/INF/8</w:t>
              </w:r>
            </w:hyperlink>
            <w:r w:rsidRPr="00B361D4">
              <w:rPr>
                <w:rFonts w:asciiTheme="minorHAnsi" w:eastAsia="SimSun" w:hAnsiTheme="minorHAnsi" w:cstheme="minorHAnsi"/>
                <w:i/>
                <w:iCs/>
                <w:sz w:val="22"/>
                <w:szCs w:val="22"/>
              </w:rPr>
              <w:t xml:space="preserve">, </w:t>
            </w:r>
            <w:hyperlink r:id="rId12" w:history="1">
              <w:r w:rsidRPr="00B361D4">
                <w:rPr>
                  <w:rStyle w:val="Hyperlink"/>
                  <w:rFonts w:asciiTheme="minorHAnsi" w:eastAsia="SimSun" w:hAnsiTheme="minorHAnsi" w:cstheme="minorHAnsi"/>
                  <w:i/>
                  <w:iCs/>
                  <w:sz w:val="22"/>
                  <w:szCs w:val="22"/>
                </w:rPr>
                <w:t>C11/INF/6</w:t>
              </w:r>
            </w:hyperlink>
            <w:r w:rsidRPr="00B361D4">
              <w:rPr>
                <w:rFonts w:asciiTheme="minorHAnsi" w:eastAsia="SimSun" w:hAnsiTheme="minorHAnsi" w:cstheme="minorHAnsi"/>
                <w:i/>
                <w:iCs/>
                <w:sz w:val="22"/>
                <w:szCs w:val="22"/>
              </w:rPr>
              <w:t xml:space="preserve">, </w:t>
            </w:r>
            <w:hyperlink r:id="rId13" w:history="1">
              <w:r w:rsidRPr="00B361D4">
                <w:rPr>
                  <w:rStyle w:val="Hyperlink"/>
                  <w:rFonts w:asciiTheme="minorHAnsi" w:eastAsia="SimSun" w:hAnsiTheme="minorHAnsi" w:cstheme="minorHAnsi"/>
                  <w:i/>
                  <w:iCs/>
                  <w:sz w:val="22"/>
                  <w:szCs w:val="22"/>
                </w:rPr>
                <w:t>C12/INF/1(Rev.1)</w:t>
              </w:r>
            </w:hyperlink>
            <w:r w:rsidRPr="00B361D4">
              <w:rPr>
                <w:rFonts w:asciiTheme="minorHAnsi" w:eastAsia="SimSun" w:hAnsiTheme="minorHAnsi" w:cstheme="minorHAnsi"/>
                <w:i/>
                <w:iCs/>
                <w:sz w:val="22"/>
                <w:szCs w:val="22"/>
              </w:rPr>
              <w:t xml:space="preserve">, </w:t>
            </w:r>
            <w:hyperlink r:id="rId14" w:history="1">
              <w:r w:rsidRPr="00B361D4">
                <w:rPr>
                  <w:rStyle w:val="Hyperlink"/>
                  <w:rFonts w:asciiTheme="minorHAnsi" w:eastAsia="SimSun" w:hAnsiTheme="minorHAnsi" w:cstheme="minorHAnsi"/>
                  <w:i/>
                  <w:iCs/>
                  <w:sz w:val="22"/>
                  <w:szCs w:val="22"/>
                </w:rPr>
                <w:t>C13/INF/10</w:t>
              </w:r>
            </w:hyperlink>
            <w:r w:rsidRPr="00B361D4">
              <w:rPr>
                <w:rFonts w:asciiTheme="minorHAnsi" w:eastAsia="SimSun" w:hAnsiTheme="minorHAnsi" w:cstheme="minorHAnsi"/>
                <w:i/>
                <w:iCs/>
                <w:sz w:val="22"/>
                <w:szCs w:val="22"/>
              </w:rPr>
              <w:t xml:space="preserve">, </w:t>
            </w:r>
            <w:hyperlink r:id="rId15" w:history="1">
              <w:r w:rsidRPr="00B361D4">
                <w:rPr>
                  <w:rStyle w:val="Hyperlink"/>
                  <w:rFonts w:asciiTheme="minorHAnsi" w:eastAsia="SimSun" w:hAnsiTheme="minorHAnsi" w:cstheme="minorHAnsi"/>
                  <w:i/>
                  <w:iCs/>
                  <w:sz w:val="22"/>
                  <w:szCs w:val="22"/>
                </w:rPr>
                <w:t>C14/INF/7</w:t>
              </w:r>
            </w:hyperlink>
            <w:r w:rsidRPr="00B361D4">
              <w:rPr>
                <w:rFonts w:asciiTheme="minorHAnsi" w:eastAsia="SimSun" w:hAnsiTheme="minorHAnsi" w:cstheme="minorHAnsi"/>
                <w:i/>
                <w:iCs/>
                <w:sz w:val="22"/>
                <w:szCs w:val="22"/>
              </w:rPr>
              <w:t xml:space="preserve">, </w:t>
            </w:r>
            <w:hyperlink r:id="rId16" w:history="1">
              <w:r w:rsidRPr="00B361D4">
                <w:rPr>
                  <w:rStyle w:val="Hyperlink"/>
                  <w:rFonts w:asciiTheme="minorHAnsi" w:eastAsia="SimSun" w:hAnsiTheme="minorHAnsi" w:cstheme="minorHAnsi"/>
                  <w:i/>
                  <w:iCs/>
                  <w:sz w:val="22"/>
                  <w:szCs w:val="22"/>
                </w:rPr>
                <w:t>C15/INF/4</w:t>
              </w:r>
            </w:hyperlink>
            <w:r w:rsidRPr="00B361D4">
              <w:rPr>
                <w:rFonts w:asciiTheme="minorHAnsi" w:eastAsia="SimSun" w:hAnsiTheme="minorHAnsi" w:cstheme="minorHAnsi"/>
                <w:bCs/>
                <w:i/>
                <w:iCs/>
                <w:sz w:val="22"/>
                <w:szCs w:val="22"/>
              </w:rPr>
              <w:t xml:space="preserve">, </w:t>
            </w:r>
            <w:hyperlink r:id="rId17" w:history="1">
              <w:r w:rsidRPr="00B361D4">
                <w:rPr>
                  <w:rStyle w:val="Hyperlink"/>
                  <w:rFonts w:asciiTheme="minorHAnsi" w:eastAsia="SimSun" w:hAnsiTheme="minorHAnsi" w:cstheme="minorHAnsi"/>
                  <w:i/>
                  <w:iCs/>
                  <w:sz w:val="22"/>
                  <w:szCs w:val="22"/>
                </w:rPr>
                <w:t>C16/57</w:t>
              </w:r>
            </w:hyperlink>
            <w:r w:rsidRPr="00B361D4">
              <w:rPr>
                <w:rFonts w:asciiTheme="minorHAnsi" w:eastAsia="SimSun" w:hAnsiTheme="minorHAnsi" w:cstheme="minorHAnsi"/>
                <w:i/>
                <w:iCs/>
                <w:sz w:val="22"/>
                <w:szCs w:val="22"/>
              </w:rPr>
              <w:t xml:space="preserve">, </w:t>
            </w:r>
            <w:hyperlink r:id="rId18" w:history="1">
              <w:r w:rsidRPr="00B361D4">
                <w:rPr>
                  <w:rStyle w:val="Hyperlink"/>
                  <w:rFonts w:asciiTheme="minorHAnsi" w:eastAsia="SimSun" w:hAnsiTheme="minorHAnsi" w:cstheme="minorHAnsi"/>
                  <w:i/>
                  <w:iCs/>
                  <w:sz w:val="22"/>
                  <w:szCs w:val="22"/>
                </w:rPr>
                <w:t>C17/INF/10</w:t>
              </w:r>
            </w:hyperlink>
            <w:r w:rsidRPr="00B361D4">
              <w:rPr>
                <w:rFonts w:asciiTheme="minorHAnsi" w:eastAsia="SimSun" w:hAnsiTheme="minorHAnsi" w:cstheme="minorHAnsi"/>
                <w:i/>
                <w:iCs/>
                <w:sz w:val="22"/>
                <w:szCs w:val="22"/>
              </w:rPr>
              <w:t xml:space="preserve">, </w:t>
            </w:r>
            <w:hyperlink r:id="rId19" w:history="1">
              <w:r w:rsidRPr="00B361D4">
                <w:rPr>
                  <w:rStyle w:val="Hyperlink"/>
                  <w:rFonts w:asciiTheme="minorHAnsi" w:eastAsia="SimSun" w:hAnsiTheme="minorHAnsi" w:cstheme="minorHAnsi"/>
                  <w:i/>
                  <w:iCs/>
                  <w:sz w:val="22"/>
                  <w:szCs w:val="22"/>
                </w:rPr>
                <w:t>C18/INF/4</w:t>
              </w:r>
            </w:hyperlink>
            <w:r w:rsidRPr="00B361D4">
              <w:rPr>
                <w:rFonts w:asciiTheme="minorHAnsi" w:eastAsia="SimSun" w:hAnsiTheme="minorHAnsi" w:cstheme="minorHAnsi"/>
                <w:i/>
                <w:iCs/>
                <w:sz w:val="22"/>
                <w:szCs w:val="22"/>
              </w:rPr>
              <w:t xml:space="preserve">, </w:t>
            </w:r>
            <w:hyperlink r:id="rId20" w:history="1">
              <w:r w:rsidRPr="00B361D4">
                <w:rPr>
                  <w:rStyle w:val="Hyperlink"/>
                  <w:rFonts w:asciiTheme="minorHAnsi" w:eastAsia="SimSun" w:hAnsiTheme="minorHAnsi" w:cstheme="minorHAnsi"/>
                  <w:i/>
                  <w:iCs/>
                  <w:sz w:val="22"/>
                  <w:szCs w:val="22"/>
                </w:rPr>
                <w:t>C19/INF/8</w:t>
              </w:r>
            </w:hyperlink>
            <w:r w:rsidRPr="00B361D4">
              <w:rPr>
                <w:rFonts w:asciiTheme="minorHAnsi" w:eastAsia="SimSun" w:hAnsiTheme="minorHAnsi" w:cstheme="minorHAnsi"/>
                <w:i/>
                <w:iCs/>
                <w:sz w:val="22"/>
                <w:szCs w:val="22"/>
              </w:rPr>
              <w:t xml:space="preserve">, </w:t>
            </w:r>
            <w:hyperlink r:id="rId21" w:history="1">
              <w:r w:rsidRPr="00B361D4">
                <w:rPr>
                  <w:rStyle w:val="Hyperlink"/>
                  <w:rFonts w:asciiTheme="minorHAnsi" w:eastAsia="SimSun" w:hAnsiTheme="minorHAnsi" w:cstheme="minorHAnsi"/>
                  <w:i/>
                  <w:iCs/>
                  <w:sz w:val="22"/>
                  <w:szCs w:val="22"/>
                </w:rPr>
                <w:t>C20/INF/3</w:t>
              </w:r>
            </w:hyperlink>
            <w:r w:rsidR="00782F60" w:rsidRPr="00B361D4">
              <w:rPr>
                <w:rFonts w:asciiTheme="minorHAnsi" w:eastAsia="SimSun" w:hAnsiTheme="minorHAnsi" w:cstheme="minorHAnsi"/>
                <w:i/>
                <w:iCs/>
                <w:sz w:val="22"/>
                <w:szCs w:val="22"/>
              </w:rPr>
              <w:t>,</w:t>
            </w:r>
            <w:r w:rsidRPr="00B361D4">
              <w:rPr>
                <w:rFonts w:asciiTheme="minorHAnsi" w:eastAsia="SimSun" w:hAnsiTheme="minorHAnsi" w:cstheme="minorHAnsi"/>
                <w:i/>
                <w:iCs/>
                <w:sz w:val="22"/>
                <w:szCs w:val="22"/>
              </w:rPr>
              <w:t xml:space="preserve"> </w:t>
            </w:r>
            <w:hyperlink r:id="rId22" w:history="1">
              <w:r w:rsidRPr="00B361D4">
                <w:rPr>
                  <w:rStyle w:val="Hyperlink"/>
                  <w:rFonts w:asciiTheme="minorHAnsi" w:eastAsia="SimSun" w:hAnsiTheme="minorHAnsi" w:cstheme="minorHAnsi"/>
                  <w:i/>
                  <w:iCs/>
                  <w:sz w:val="22"/>
                  <w:szCs w:val="22"/>
                </w:rPr>
                <w:t>C21/INF/2</w:t>
              </w:r>
            </w:hyperlink>
            <w:r w:rsidR="00782F60" w:rsidRPr="00B361D4">
              <w:rPr>
                <w:rFonts w:asciiTheme="minorHAnsi" w:eastAsia="SimSun" w:hAnsiTheme="minorHAnsi" w:cstheme="minorHAnsi"/>
                <w:i/>
                <w:iCs/>
                <w:sz w:val="22"/>
                <w:szCs w:val="22"/>
              </w:rPr>
              <w:t>,</w:t>
            </w:r>
            <w:r w:rsidRPr="00B361D4">
              <w:rPr>
                <w:rFonts w:asciiTheme="minorHAnsi" w:eastAsia="SimSun" w:hAnsiTheme="minorHAnsi" w:cstheme="minorHAnsi"/>
                <w:i/>
                <w:iCs/>
                <w:sz w:val="22"/>
                <w:szCs w:val="22"/>
              </w:rPr>
              <w:t xml:space="preserve"> </w:t>
            </w:r>
            <w:hyperlink r:id="rId23" w:history="1">
              <w:r w:rsidRPr="00B361D4">
                <w:rPr>
                  <w:rStyle w:val="Hyperlink"/>
                  <w:rFonts w:asciiTheme="minorHAnsi" w:eastAsia="SimSun" w:hAnsiTheme="minorHAnsi" w:cstheme="minorHAnsi"/>
                  <w:i/>
                  <w:iCs/>
                  <w:sz w:val="22"/>
                  <w:szCs w:val="22"/>
                </w:rPr>
                <w:t>C22/INF/2</w:t>
              </w:r>
            </w:hyperlink>
            <w:r w:rsidR="00782F60" w:rsidRPr="00B361D4">
              <w:rPr>
                <w:rStyle w:val="Hyperlink"/>
                <w:rFonts w:asciiTheme="minorHAnsi" w:eastAsia="SimSun" w:hAnsiTheme="minorHAnsi" w:cstheme="minorHAnsi"/>
                <w:i/>
                <w:iCs/>
                <w:color w:val="auto"/>
                <w:sz w:val="22"/>
                <w:szCs w:val="22"/>
                <w:u w:val="none"/>
              </w:rPr>
              <w:t>,</w:t>
            </w:r>
            <w:r w:rsidRPr="00B361D4">
              <w:rPr>
                <w:rStyle w:val="Hyperlink"/>
                <w:rFonts w:asciiTheme="minorHAnsi" w:eastAsia="SimSun" w:hAnsiTheme="minorHAnsi" w:cstheme="minorHAnsi"/>
                <w:i/>
                <w:iCs/>
                <w:color w:val="auto"/>
                <w:sz w:val="22"/>
                <w:szCs w:val="22"/>
                <w:u w:val="none"/>
              </w:rPr>
              <w:t xml:space="preserve"> </w:t>
            </w:r>
            <w:hyperlink r:id="rId24" w:history="1">
              <w:r w:rsidRPr="00B361D4">
                <w:rPr>
                  <w:rStyle w:val="Hyperlink"/>
                  <w:rFonts w:asciiTheme="minorHAnsi" w:eastAsia="SimSun" w:hAnsiTheme="minorHAnsi" w:cstheme="minorHAnsi"/>
                  <w:i/>
                  <w:iCs/>
                  <w:sz w:val="22"/>
                  <w:szCs w:val="22"/>
                </w:rPr>
                <w:t>C23/INF/8</w:t>
              </w:r>
            </w:hyperlink>
            <w:r w:rsidR="00782F60" w:rsidRPr="00B361D4">
              <w:rPr>
                <w:rStyle w:val="Hyperlink"/>
                <w:rFonts w:asciiTheme="minorHAnsi" w:eastAsia="SimSun" w:hAnsiTheme="minorHAnsi" w:cstheme="minorHAnsi"/>
                <w:i/>
                <w:iCs/>
                <w:color w:val="auto"/>
                <w:sz w:val="22"/>
                <w:szCs w:val="22"/>
                <w:u w:val="none"/>
              </w:rPr>
              <w:t>,</w:t>
            </w:r>
            <w:r w:rsidRPr="00B361D4">
              <w:rPr>
                <w:rStyle w:val="Hyperlink"/>
                <w:rFonts w:asciiTheme="minorHAnsi" w:eastAsia="SimSun" w:hAnsiTheme="minorHAnsi" w:cstheme="minorHAnsi"/>
                <w:i/>
                <w:iCs/>
                <w:sz w:val="22"/>
                <w:szCs w:val="22"/>
                <w:u w:val="none"/>
              </w:rPr>
              <w:t xml:space="preserve"> </w:t>
            </w:r>
            <w:hyperlink r:id="rId25" w:history="1">
              <w:r w:rsidRPr="00B361D4">
                <w:rPr>
                  <w:rStyle w:val="Hyperlink"/>
                  <w:rFonts w:asciiTheme="minorHAnsi" w:eastAsia="SimSun" w:hAnsiTheme="minorHAnsi" w:cstheme="minorHAnsi"/>
                  <w:i/>
                  <w:iCs/>
                  <w:sz w:val="22"/>
                  <w:szCs w:val="22"/>
                </w:rPr>
                <w:t>C23/INF/9</w:t>
              </w:r>
            </w:hyperlink>
            <w:r w:rsidR="00782F60" w:rsidRPr="00B361D4">
              <w:rPr>
                <w:rFonts w:asciiTheme="minorHAnsi" w:hAnsiTheme="minorHAnsi" w:cstheme="minorHAnsi"/>
                <w:i/>
                <w:iCs/>
                <w:sz w:val="22"/>
                <w:szCs w:val="22"/>
              </w:rPr>
              <w:t>,</w:t>
            </w:r>
            <w:r w:rsidRPr="00B361D4">
              <w:rPr>
                <w:rFonts w:asciiTheme="minorHAnsi" w:hAnsiTheme="minorHAnsi" w:cstheme="minorHAnsi"/>
                <w:i/>
                <w:iCs/>
                <w:sz w:val="22"/>
                <w:szCs w:val="22"/>
              </w:rPr>
              <w:t xml:space="preserve"> </w:t>
            </w:r>
            <w:hyperlink r:id="rId26" w:history="1">
              <w:r w:rsidRPr="00B361D4">
                <w:rPr>
                  <w:rStyle w:val="Hyperlink"/>
                  <w:rFonts w:asciiTheme="minorHAnsi" w:hAnsiTheme="minorHAnsi" w:cstheme="minorHAnsi"/>
                  <w:i/>
                  <w:iCs/>
                  <w:sz w:val="22"/>
                  <w:szCs w:val="22"/>
                </w:rPr>
                <w:t>C24/55</w:t>
              </w:r>
            </w:hyperlink>
            <w:r w:rsidR="00782F60" w:rsidRPr="00B361D4">
              <w:rPr>
                <w:rFonts w:asciiTheme="minorHAnsi" w:hAnsiTheme="minorHAnsi" w:cstheme="minorHAnsi"/>
                <w:i/>
                <w:iCs/>
                <w:sz w:val="22"/>
                <w:szCs w:val="22"/>
              </w:rPr>
              <w:t>,</w:t>
            </w:r>
            <w:r w:rsidRPr="00B361D4">
              <w:rPr>
                <w:rFonts w:asciiTheme="minorHAnsi" w:hAnsiTheme="minorHAnsi" w:cstheme="minorHAnsi"/>
                <w:i/>
                <w:iCs/>
                <w:sz w:val="22"/>
                <w:szCs w:val="22"/>
              </w:rPr>
              <w:t xml:space="preserve"> </w:t>
            </w:r>
            <w:hyperlink r:id="rId27" w:tgtFrame="_blank" w:history="1">
              <w:r w:rsidRPr="00B361D4">
                <w:rPr>
                  <w:rStyle w:val="Hyperlink"/>
                  <w:rFonts w:asciiTheme="minorHAnsi" w:hAnsiTheme="minorHAnsi" w:cstheme="minorHAnsi"/>
                  <w:i/>
                  <w:iCs/>
                  <w:sz w:val="22"/>
                  <w:szCs w:val="22"/>
                </w:rPr>
                <w:t>C24/INF/9</w:t>
              </w:r>
            </w:hyperlink>
            <w:r w:rsidRPr="00B361D4">
              <w:rPr>
                <w:rFonts w:asciiTheme="minorHAnsi" w:hAnsiTheme="minorHAnsi" w:cstheme="minorHAnsi"/>
                <w:i/>
                <w:iCs/>
                <w:sz w:val="22"/>
                <w:szCs w:val="22"/>
              </w:rPr>
              <w:t xml:space="preserve"> and </w:t>
            </w:r>
            <w:hyperlink r:id="rId28" w:history="1">
              <w:r w:rsidRPr="00B361D4">
                <w:rPr>
                  <w:rStyle w:val="Hyperlink"/>
                  <w:rFonts w:asciiTheme="minorHAnsi" w:hAnsiTheme="minorHAnsi" w:cstheme="minorHAnsi"/>
                  <w:i/>
                  <w:iCs/>
                  <w:sz w:val="22"/>
                  <w:szCs w:val="22"/>
                </w:rPr>
                <w:t>C25/INF/8</w:t>
              </w:r>
            </w:hyperlink>
          </w:p>
        </w:tc>
      </w:tr>
    </w:tbl>
    <w:p w14:paraId="3E836A65" w14:textId="77777777" w:rsidR="00E227F3" w:rsidRPr="002D3CFD" w:rsidRDefault="00E227F3">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rPr>
      </w:pPr>
      <w:bookmarkStart w:id="10" w:name="_Hlk133421428"/>
      <w:bookmarkEnd w:id="2"/>
      <w:bookmarkEnd w:id="9"/>
    </w:p>
    <w:bookmarkEnd w:id="3"/>
    <w:bookmarkEnd w:id="4"/>
    <w:p w14:paraId="52958905" w14:textId="77777777" w:rsidR="0090147A" w:rsidRPr="002D3CFD" w:rsidRDefault="009014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rPr>
      </w:pPr>
      <w:r w:rsidRPr="002D3CFD">
        <w:rPr>
          <w:rFonts w:asciiTheme="minorHAnsi" w:hAnsiTheme="minorHAnsi" w:cstheme="minorHAnsi"/>
        </w:rPr>
        <w:br w:type="page"/>
      </w:r>
    </w:p>
    <w:bookmarkEnd w:id="5"/>
    <w:bookmarkEnd w:id="10"/>
    <w:p w14:paraId="36433C52" w14:textId="55ACF028" w:rsidR="002D3CFD" w:rsidRPr="002D3CFD" w:rsidRDefault="00F74D57" w:rsidP="00490E3B">
      <w:pPr>
        <w:pStyle w:val="Heading1"/>
        <w:rPr>
          <w:rFonts w:eastAsia="SimSun"/>
        </w:rPr>
      </w:pPr>
      <w:r w:rsidRPr="002D3CFD">
        <w:rPr>
          <w:rFonts w:eastAsia="SimSun"/>
        </w:rPr>
        <w:lastRenderedPageBreak/>
        <w:t>1.</w:t>
      </w:r>
      <w:r w:rsidRPr="002D3CFD">
        <w:rPr>
          <w:rFonts w:eastAsia="SimSun"/>
        </w:rPr>
        <w:tab/>
      </w:r>
      <w:r w:rsidR="002D3CFD" w:rsidRPr="002D3CFD">
        <w:rPr>
          <w:rFonts w:eastAsia="SimSun"/>
        </w:rPr>
        <w:t>Introduction</w:t>
      </w:r>
    </w:p>
    <w:p w14:paraId="4C6DDB06" w14:textId="77777777" w:rsidR="002D3CFD" w:rsidRPr="002D3CFD" w:rsidRDefault="002D3CFD" w:rsidP="00490E3B">
      <w:pPr>
        <w:jc w:val="both"/>
      </w:pPr>
      <w:r w:rsidRPr="00490E3B">
        <w:t>Information and communication technologies (ICTs) are recognized in the 2030 Agenda for Sustainable Development as a key means of implementation. As digital technology plays an increasingly crucial role in transforming global economic and social activities, maximizing the benefits, and addressing the challenges of the digital agenda have emerged as shared interests and priorities across the entire UN system and have remained a top priority of the UN Secretary-General. As the UN specialized agency for ICTs, ITU actively engages in various processes, mechanisms, and coordination networks within the UN system, and contributes to various joint or inter-agency initiatives.</w:t>
      </w:r>
      <w:r w:rsidRPr="002D3CFD">
        <w:t xml:space="preserve"> </w:t>
      </w:r>
    </w:p>
    <w:p w14:paraId="2D7848BA" w14:textId="0243747A" w:rsidR="002D3CFD" w:rsidRPr="002D3CFD" w:rsidRDefault="00F74D57" w:rsidP="00490E3B">
      <w:pPr>
        <w:pStyle w:val="Heading1"/>
      </w:pPr>
      <w:r>
        <w:t>2</w:t>
      </w:r>
      <w:r>
        <w:tab/>
      </w:r>
      <w:r w:rsidR="6938C483">
        <w:t>Pact of the Future</w:t>
      </w:r>
    </w:p>
    <w:p w14:paraId="7A8ACF59" w14:textId="165300D2" w:rsidR="002D3CFD" w:rsidRPr="002D3CFD" w:rsidRDefault="002D3CFD" w:rsidP="00490E3B">
      <w:pPr>
        <w:jc w:val="both"/>
        <w:rPr>
          <w:lang w:val="en-US"/>
        </w:rPr>
      </w:pPr>
      <w:r w:rsidRPr="1B1B0167">
        <w:rPr>
          <w:rFonts w:eastAsia="SimSun"/>
        </w:rPr>
        <w:t>2.1</w:t>
      </w:r>
      <w:r>
        <w:tab/>
      </w:r>
      <w:r w:rsidR="1AEE8519" w:rsidRPr="1B1B0167">
        <w:rPr>
          <w:rFonts w:eastAsia="SimSun"/>
        </w:rPr>
        <w:t>T</w:t>
      </w:r>
      <w:r w:rsidRPr="002D3322">
        <w:rPr>
          <w:rFonts w:asciiTheme="minorHAnsi" w:hAnsiTheme="minorHAnsi" w:cstheme="minorBidi"/>
        </w:rPr>
        <w:t xml:space="preserve">he </w:t>
      </w:r>
      <w:hyperlink r:id="rId29" w:history="1">
        <w:r w:rsidRPr="002D3322">
          <w:rPr>
            <w:rStyle w:val="Hyperlink"/>
            <w:rFonts w:asciiTheme="minorHAnsi" w:hAnsiTheme="minorHAnsi" w:cstheme="minorBidi"/>
          </w:rPr>
          <w:t>Summit of the Future</w:t>
        </w:r>
      </w:hyperlink>
      <w:r w:rsidR="6072CC4C">
        <w:t>, which</w:t>
      </w:r>
      <w:r>
        <w:t xml:space="preserve"> took place on 22-23 September 2024</w:t>
      </w:r>
      <w:r w:rsidR="09B1489C">
        <w:t xml:space="preserve"> and</w:t>
      </w:r>
      <w:r>
        <w:t xml:space="preserve"> preceded by Action Days on 20-21 September</w:t>
      </w:r>
      <w:r w:rsidR="028DC97B">
        <w:t>,</w:t>
      </w:r>
      <w:r>
        <w:t xml:space="preserve"> adopted the outcome document</w:t>
      </w:r>
      <w:r w:rsidRPr="1B1B0167">
        <w:rPr>
          <w:lang w:val="en-US"/>
        </w:rPr>
        <w:t xml:space="preserve"> entitled </w:t>
      </w:r>
      <w:r w:rsidR="002D3322">
        <w:rPr>
          <w:lang w:val="en-US"/>
        </w:rPr>
        <w:t>“</w:t>
      </w:r>
      <w:r>
        <w:t>A Pact for the Future (</w:t>
      </w:r>
      <w:hyperlink r:id="rId30">
        <w:r w:rsidRPr="1B1B0167">
          <w:rPr>
            <w:rStyle w:val="Hyperlink"/>
            <w:rFonts w:asciiTheme="minorHAnsi" w:hAnsiTheme="minorHAnsi" w:cstheme="minorBidi"/>
          </w:rPr>
          <w:t>A/RES/79/1</w:t>
        </w:r>
      </w:hyperlink>
      <w:r>
        <w:t>)</w:t>
      </w:r>
      <w:r w:rsidR="002D3322">
        <w:t>”</w:t>
      </w:r>
      <w:r w:rsidRPr="1B1B0167">
        <w:rPr>
          <w:lang w:val="en-US"/>
        </w:rPr>
        <w:t xml:space="preserve">, along with its two annexes: the Global Digital Compact and the Declaration on Future Generations. </w:t>
      </w:r>
    </w:p>
    <w:p w14:paraId="3A4189FC" w14:textId="095346F8" w:rsidR="002D3CFD" w:rsidRPr="002D3CFD" w:rsidRDefault="002D3CFD" w:rsidP="1B1B0167">
      <w:pPr>
        <w:jc w:val="both"/>
        <w:rPr>
          <w:rFonts w:asciiTheme="minorHAnsi" w:hAnsiTheme="minorHAnsi" w:cstheme="minorBidi"/>
        </w:rPr>
      </w:pPr>
      <w:r w:rsidRPr="1B1B0167">
        <w:rPr>
          <w:rFonts w:asciiTheme="minorHAnsi" w:hAnsiTheme="minorHAnsi" w:cstheme="minorBidi"/>
        </w:rPr>
        <w:t>2.2</w:t>
      </w:r>
      <w:r>
        <w:tab/>
      </w:r>
      <w:r w:rsidRPr="1B1B0167">
        <w:rPr>
          <w:rFonts w:asciiTheme="minorHAnsi" w:hAnsiTheme="minorHAnsi" w:cstheme="minorBidi"/>
        </w:rPr>
        <w:t>ITU play</w:t>
      </w:r>
      <w:r w:rsidR="00562234" w:rsidRPr="1B1B0167">
        <w:rPr>
          <w:rFonts w:asciiTheme="minorHAnsi" w:hAnsiTheme="minorHAnsi" w:cstheme="minorBidi"/>
        </w:rPr>
        <w:t>s</w:t>
      </w:r>
      <w:r w:rsidRPr="1B1B0167">
        <w:rPr>
          <w:rFonts w:asciiTheme="minorHAnsi" w:hAnsiTheme="minorHAnsi" w:cstheme="minorBidi"/>
        </w:rPr>
        <w:t xml:space="preserve"> a pivotal role in fostering international collaboration, driving innovation, and ensuring that digital technologies support the implementation of the Pact for the Future </w:t>
      </w:r>
      <w:r w:rsidRPr="1B1B0167">
        <w:rPr>
          <w:rFonts w:asciiTheme="minorHAnsi" w:hAnsiTheme="minorHAnsi" w:cstheme="minorBidi"/>
          <w:lang w:eastAsia="ko-KR"/>
        </w:rPr>
        <w:t xml:space="preserve">. </w:t>
      </w:r>
      <w:r w:rsidRPr="1B1B0167">
        <w:rPr>
          <w:rFonts w:asciiTheme="minorHAnsi" w:hAnsiTheme="minorHAnsi" w:cstheme="minorBidi"/>
          <w:lang w:val="en-US" w:eastAsia="ko-KR"/>
        </w:rPr>
        <w:t xml:space="preserve">Among others, </w:t>
      </w:r>
      <w:r w:rsidRPr="1B1B0167">
        <w:rPr>
          <w:rFonts w:asciiTheme="minorHAnsi" w:hAnsiTheme="minorHAnsi" w:cstheme="minorBidi"/>
        </w:rPr>
        <w:t xml:space="preserve">ITU is committed to playing its role in leading the global digital transformation, in alignment with actions related to science, technology and innovation, and digital cooperation outlined in the Pact for the Future, as well as the objectives set out in the Global Digital Compact (GDC). </w:t>
      </w:r>
    </w:p>
    <w:p w14:paraId="7F575DBD" w14:textId="40A9289E" w:rsidR="002D3CFD" w:rsidRPr="002D3CFD" w:rsidRDefault="002D3CFD" w:rsidP="504B8BD9">
      <w:pPr>
        <w:jc w:val="both"/>
        <w:rPr>
          <w:rFonts w:asciiTheme="minorHAnsi" w:hAnsiTheme="minorHAnsi" w:cstheme="minorBidi"/>
        </w:rPr>
      </w:pPr>
      <w:r w:rsidRPr="64603EEF">
        <w:rPr>
          <w:rFonts w:asciiTheme="minorHAnsi" w:hAnsiTheme="minorHAnsi" w:cstheme="minorBidi"/>
        </w:rPr>
        <w:t>2.3</w:t>
      </w:r>
      <w:r>
        <w:tab/>
      </w:r>
      <w:r w:rsidRPr="64603EEF">
        <w:rPr>
          <w:rFonts w:asciiTheme="minorHAnsi" w:hAnsiTheme="minorHAnsi" w:cstheme="minorBidi"/>
        </w:rPr>
        <w:t xml:space="preserve">Given that the objectives, principles, and commitments of the GDC are aligned with ITU’s </w:t>
      </w:r>
      <w:r>
        <w:t>existing</w:t>
      </w:r>
      <w:r w:rsidRPr="64603EEF">
        <w:rPr>
          <w:rFonts w:asciiTheme="minorHAnsi" w:hAnsiTheme="minorHAnsi" w:cstheme="minorBidi"/>
        </w:rPr>
        <w:t xml:space="preserve"> mandates, ITU is focusing on directly supporting Member States in the implementation of the GDC by facilitating access to digital technologies, expertise, and resources. This includes initiatives that promote universal connectivity, close digital divides, and ensure that no one is left behind in the digital age. ITU’s efforts also address</w:t>
      </w:r>
      <w:r w:rsidR="5AFBC922" w:rsidRPr="64603EEF">
        <w:rPr>
          <w:rFonts w:asciiTheme="minorHAnsi" w:hAnsiTheme="minorHAnsi" w:cstheme="minorBidi"/>
        </w:rPr>
        <w:t xml:space="preserve"> </w:t>
      </w:r>
      <w:r w:rsidRPr="64603EEF">
        <w:rPr>
          <w:rFonts w:asciiTheme="minorHAnsi" w:hAnsiTheme="minorHAnsi" w:cstheme="minorBidi"/>
        </w:rPr>
        <w:t>key challenges such as digital literacy, inclusivity, online safety, and emerging technologies such as Artificial Intelligence</w:t>
      </w:r>
      <w:r w:rsidR="00E255F5" w:rsidRPr="64603EEF">
        <w:rPr>
          <w:rFonts w:asciiTheme="minorHAnsi" w:hAnsiTheme="minorHAnsi" w:cstheme="minorBidi"/>
        </w:rPr>
        <w:t xml:space="preserve"> (AI)</w:t>
      </w:r>
      <w:r w:rsidRPr="64603EEF">
        <w:rPr>
          <w:rFonts w:asciiTheme="minorHAnsi" w:hAnsiTheme="minorHAnsi" w:cstheme="minorBidi"/>
        </w:rPr>
        <w:t xml:space="preserve">, providing tailored support for national strategies to align with global digital goals. As outlined in the </w:t>
      </w:r>
      <w:hyperlink r:id="rId31">
        <w:r w:rsidRPr="64603EEF">
          <w:rPr>
            <w:rStyle w:val="Hyperlink"/>
            <w:rFonts w:asciiTheme="minorHAnsi" w:hAnsiTheme="minorHAnsi" w:cstheme="minorBidi"/>
          </w:rPr>
          <w:t>ITU’s Action Plan for Implementing the Global Digital Compact (CWG-WSIS&amp;SDG-42/10)</w:t>
        </w:r>
      </w:hyperlink>
      <w:r w:rsidRPr="64603EEF">
        <w:rPr>
          <w:rFonts w:asciiTheme="minorHAnsi" w:hAnsiTheme="minorHAnsi" w:cstheme="minorBidi"/>
        </w:rPr>
        <w:t xml:space="preserve">, </w:t>
      </w:r>
      <w:bookmarkStart w:id="11" w:name="_Hlk196305945"/>
      <w:r w:rsidRPr="64603EEF">
        <w:rPr>
          <w:rFonts w:asciiTheme="minorHAnsi" w:hAnsiTheme="minorHAnsi" w:cstheme="minorBidi"/>
        </w:rPr>
        <w:t>ITU will support Member States and other stakeholders in achieving sustainable digital transformation by aligning GDC objectives with existing or new initiatives.</w:t>
      </w:r>
      <w:bookmarkEnd w:id="11"/>
    </w:p>
    <w:p w14:paraId="55B409A7" w14:textId="20ECEF05" w:rsidR="002D3CFD" w:rsidRPr="002D3CFD" w:rsidRDefault="002D3CFD" w:rsidP="64603EEF">
      <w:pPr>
        <w:jc w:val="both"/>
        <w:rPr>
          <w:rFonts w:asciiTheme="minorHAnsi" w:hAnsiTheme="minorHAnsi" w:cstheme="minorBidi"/>
        </w:rPr>
      </w:pPr>
      <w:r w:rsidRPr="64603EEF">
        <w:rPr>
          <w:rFonts w:asciiTheme="minorHAnsi" w:hAnsiTheme="minorHAnsi" w:cstheme="minorBidi"/>
        </w:rPr>
        <w:t>2.4</w:t>
      </w:r>
      <w:r>
        <w:tab/>
      </w:r>
      <w:r w:rsidRPr="64603EEF">
        <w:rPr>
          <w:rFonts w:asciiTheme="minorHAnsi" w:hAnsiTheme="minorHAnsi" w:cstheme="minorBidi"/>
        </w:rPr>
        <w:t xml:space="preserve">ITU also takes a leading role in strengthening digital cooperation within the UN system, notably through its co-chairmanship of the Working Group on Digital Technologies (WGDT) with the new UN Office for Digital and Emerging Technologies (ODET), under the UN Secretary-General’s Steering Committee for Pact Implementation. This Working Group aims to follow up on the implementation of Actions 28–33 in Chapter III of the Pact and its Annex - the Global Digital Compact - focusing on actions assigned to the UN Secretary-General and the UN system, </w:t>
      </w:r>
      <w:r>
        <w:t>such</w:t>
      </w:r>
      <w:r w:rsidRPr="64603EEF">
        <w:rPr>
          <w:rFonts w:asciiTheme="minorHAnsi" w:hAnsiTheme="minorHAnsi" w:cstheme="minorBidi"/>
        </w:rPr>
        <w:t xml:space="preserve"> as developing the GDC Implementation Map (as referenced in paragraph 71 of the GDC). In addition to co-chairing the Working Group, ITU co-leads sub-groups on the digital divide and artificial intelligence (responding to GDC Objectives 1 and 5), and actively contributes to others on the digital economy, online safety and human rights, and data </w:t>
      </w:r>
      <w:r w:rsidRPr="64603EEF">
        <w:rPr>
          <w:rFonts w:asciiTheme="minorHAnsi" w:hAnsiTheme="minorHAnsi" w:cstheme="minorBidi"/>
        </w:rPr>
        <w:lastRenderedPageBreak/>
        <w:t>governance (responding to Objectives 2</w:t>
      </w:r>
      <w:r w:rsidR="2499A1DB" w:rsidRPr="64603EEF">
        <w:rPr>
          <w:rFonts w:asciiTheme="minorHAnsi" w:hAnsiTheme="minorHAnsi" w:cstheme="minorBidi"/>
        </w:rPr>
        <w:t xml:space="preserve"> </w:t>
      </w:r>
      <w:r w:rsidRPr="64603EEF">
        <w:rPr>
          <w:rFonts w:asciiTheme="minorHAnsi" w:hAnsiTheme="minorHAnsi" w:cstheme="minorBidi"/>
        </w:rPr>
        <w:t>–</w:t>
      </w:r>
      <w:r w:rsidR="4DC6A3B3" w:rsidRPr="64603EEF">
        <w:rPr>
          <w:rFonts w:asciiTheme="minorHAnsi" w:hAnsiTheme="minorHAnsi" w:cstheme="minorBidi"/>
        </w:rPr>
        <w:t xml:space="preserve"> </w:t>
      </w:r>
      <w:r w:rsidRPr="64603EEF">
        <w:rPr>
          <w:rFonts w:asciiTheme="minorHAnsi" w:hAnsiTheme="minorHAnsi" w:cstheme="minorBidi"/>
        </w:rPr>
        <w:t xml:space="preserve">4). More details can be found in Document </w:t>
      </w:r>
      <w:hyperlink r:id="rId32" w:history="1">
        <w:r w:rsidRPr="003408FC">
          <w:rPr>
            <w:rStyle w:val="Hyperlink"/>
            <w:rFonts w:asciiTheme="minorHAnsi" w:hAnsiTheme="minorHAnsi" w:cstheme="minorBidi"/>
          </w:rPr>
          <w:t>C25/52</w:t>
        </w:r>
      </w:hyperlink>
      <w:r w:rsidRPr="64603EEF">
        <w:rPr>
          <w:rFonts w:asciiTheme="minorHAnsi" w:hAnsiTheme="minorHAnsi" w:cstheme="minorBidi"/>
        </w:rPr>
        <w:t xml:space="preserve"> and more related </w:t>
      </w:r>
      <w:r w:rsidR="00490E3B" w:rsidRPr="64603EEF">
        <w:rPr>
          <w:rFonts w:asciiTheme="minorHAnsi" w:hAnsiTheme="minorHAnsi" w:cstheme="minorBidi"/>
        </w:rPr>
        <w:t>AI-specific</w:t>
      </w:r>
      <w:r w:rsidRPr="64603EEF">
        <w:rPr>
          <w:rFonts w:asciiTheme="minorHAnsi" w:hAnsiTheme="minorHAnsi" w:cstheme="minorBidi"/>
        </w:rPr>
        <w:t xml:space="preserve"> can be found in Document </w:t>
      </w:r>
      <w:hyperlink r:id="rId33" w:history="1">
        <w:r w:rsidRPr="003408FC">
          <w:rPr>
            <w:rStyle w:val="Hyperlink"/>
            <w:rFonts w:asciiTheme="minorHAnsi" w:hAnsiTheme="minorHAnsi" w:cstheme="minorBidi"/>
          </w:rPr>
          <w:t>C25/56</w:t>
        </w:r>
      </w:hyperlink>
      <w:r w:rsidRPr="64603EEF">
        <w:rPr>
          <w:rFonts w:asciiTheme="minorHAnsi" w:hAnsiTheme="minorHAnsi" w:cstheme="minorBidi"/>
        </w:rPr>
        <w:t>.</w:t>
      </w:r>
    </w:p>
    <w:p w14:paraId="76E33E61" w14:textId="7196CD02" w:rsidR="002D3CFD" w:rsidRPr="002D3CFD" w:rsidRDefault="002D3CFD" w:rsidP="00490E3B">
      <w:pPr>
        <w:jc w:val="both"/>
      </w:pPr>
      <w:r w:rsidRPr="002D3CFD">
        <w:t>2.5</w:t>
      </w:r>
      <w:r w:rsidRPr="002D3CFD">
        <w:tab/>
        <w:t xml:space="preserve">In addition to its digital-focused roles, ITU actively contributes to several other Working Groups under the UN Secretary-General’s Steering Committee for Pact implementation. These include groups on </w:t>
      </w:r>
      <w:r w:rsidR="00AD543A">
        <w:t xml:space="preserve">the </w:t>
      </w:r>
      <w:r w:rsidRPr="002D3CFD">
        <w:t xml:space="preserve">Pact’s contribution to SDGs, Peace and Security, International Financial Architecture (IFA) Reform, UN Governance Reform, and Youth. In particular, ITU serves as a co-action </w:t>
      </w:r>
      <w:r w:rsidRPr="00490E3B">
        <w:t>lead</w:t>
      </w:r>
      <w:r w:rsidRPr="002D3CFD">
        <w:t xml:space="preserve"> for Action 27(c) on bridging digital divides in the Peace and Security group, and contributes to Action 24(b) on combating transnational organized crime. Within the UN Governance </w:t>
      </w:r>
      <w:r w:rsidRPr="00490E3B">
        <w:t>Reform</w:t>
      </w:r>
      <w:r w:rsidRPr="002D3CFD">
        <w:t xml:space="preserve"> group, ITU supports actions related to space cooperation</w:t>
      </w:r>
      <w:r w:rsidRPr="002D3CFD">
        <w:rPr>
          <w:rStyle w:val="FootnoteReference"/>
          <w:rFonts w:asciiTheme="minorHAnsi" w:hAnsiTheme="minorHAnsi" w:cstheme="minorHAnsi"/>
        </w:rPr>
        <w:footnoteReference w:id="2"/>
      </w:r>
      <w:r w:rsidRPr="002D3CFD">
        <w:t>, working closely with the UN Committee on the Peaceful Uses of Outer Space (COPUOS) and the UN Office for Outer Space Affairs (UNOOSA). This includes organizing capacity-building events to help Member States strengthen their understanding of space law and related regulations.</w:t>
      </w:r>
    </w:p>
    <w:p w14:paraId="3AF261CC" w14:textId="5AD640EE" w:rsidR="00A33F7A" w:rsidRDefault="00F74D57" w:rsidP="00490E3B">
      <w:pPr>
        <w:pStyle w:val="Heading1"/>
        <w:rPr>
          <w:rFonts w:eastAsia="SimSun"/>
        </w:rPr>
      </w:pPr>
      <w:r w:rsidRPr="1B1B0167">
        <w:rPr>
          <w:rFonts w:eastAsia="SimSun"/>
        </w:rPr>
        <w:t>3</w:t>
      </w:r>
      <w:r>
        <w:tab/>
      </w:r>
      <w:r w:rsidR="00D63776" w:rsidRPr="1B1B0167">
        <w:rPr>
          <w:rFonts w:eastAsia="SimSun"/>
        </w:rPr>
        <w:t>UN80</w:t>
      </w:r>
    </w:p>
    <w:p w14:paraId="68B0A809" w14:textId="14AABBB9" w:rsidR="00360A9C" w:rsidRDefault="03956C8C" w:rsidP="00BF60F9">
      <w:pPr>
        <w:jc w:val="both"/>
      </w:pPr>
      <w:r w:rsidRPr="2CACA1EB">
        <w:rPr>
          <w:lang w:eastAsia="ko-KR"/>
        </w:rPr>
        <w:t>3.1</w:t>
      </w:r>
      <w:r w:rsidR="00360A9C">
        <w:tab/>
      </w:r>
      <w:r>
        <w:t>The UN80 Initiative represents a pivotal moment in the history of the United Nations, coinciding with its 80</w:t>
      </w:r>
      <w:r w:rsidRPr="2CACA1EB">
        <w:rPr>
          <w:vertAlign w:val="superscript"/>
        </w:rPr>
        <w:t>th</w:t>
      </w:r>
      <w:r w:rsidR="198025A2">
        <w:t xml:space="preserve"> </w:t>
      </w:r>
      <w:r>
        <w:t xml:space="preserve">anniversary and addressing the intensification of global </w:t>
      </w:r>
      <w:r w:rsidR="68771AB5">
        <w:t xml:space="preserve">resource </w:t>
      </w:r>
      <w:r>
        <w:t xml:space="preserve">challenges and the urgent need for multilateral reform. Launched by the Secretary-General on </w:t>
      </w:r>
      <w:r w:rsidRPr="2CACA1EB">
        <w:rPr>
          <w:rFonts w:eastAsia="Malgun Gothic"/>
          <w:lang w:eastAsia="ko-KR"/>
        </w:rPr>
        <w:t xml:space="preserve">11 </w:t>
      </w:r>
      <w:r>
        <w:t>March 2025, this initiative aims to enhance the UN’s ability to deliver on the 2030 Agenda, the Pact for the Future, and its core mission to serve people worldwide. Building on earlier reform efforts to improve efficiency, transparency, and accountability, the UN80 Task Force focuses on three key workstreams: optimizing operations, ensuring full implementation of mandates, and exploring structural changes and program realignment.</w:t>
      </w:r>
    </w:p>
    <w:p w14:paraId="00917E8D" w14:textId="7CA4E106" w:rsidR="00360A9C" w:rsidRPr="002D3322" w:rsidRDefault="03956C8C" w:rsidP="002D3322">
      <w:pPr>
        <w:pStyle w:val="Heading1"/>
        <w:tabs>
          <w:tab w:val="clear" w:pos="1134"/>
          <w:tab w:val="clear" w:pos="1701"/>
          <w:tab w:val="clear" w:pos="2268"/>
          <w:tab w:val="clear" w:pos="2835"/>
        </w:tabs>
        <w:ind w:left="0" w:firstLine="0"/>
        <w:jc w:val="both"/>
        <w:rPr>
          <w:b w:val="0"/>
          <w:bCs/>
          <w:sz w:val="24"/>
          <w:szCs w:val="24"/>
        </w:rPr>
      </w:pPr>
      <w:r w:rsidRPr="002D3322">
        <w:rPr>
          <w:b w:val="0"/>
          <w:bCs/>
          <w:sz w:val="24"/>
          <w:szCs w:val="24"/>
          <w:lang w:eastAsia="ko-KR"/>
        </w:rPr>
        <w:t>3.2</w:t>
      </w:r>
      <w:r w:rsidR="00360A9C" w:rsidRPr="002D3322">
        <w:rPr>
          <w:b w:val="0"/>
          <w:bCs/>
          <w:sz w:val="24"/>
          <w:szCs w:val="24"/>
          <w:lang w:eastAsia="ko-KR"/>
        </w:rPr>
        <w:tab/>
      </w:r>
      <w:r w:rsidRPr="002D3322">
        <w:rPr>
          <w:b w:val="0"/>
          <w:bCs/>
          <w:sz w:val="24"/>
          <w:szCs w:val="24"/>
        </w:rPr>
        <w:t xml:space="preserve">The UNSG has established seven thematic clusters—Peace and Security; two Development clusters (one for the UN </w:t>
      </w:r>
      <w:r w:rsidR="4525958E" w:rsidRPr="002D3322">
        <w:rPr>
          <w:b w:val="0"/>
          <w:bCs/>
          <w:sz w:val="24"/>
          <w:szCs w:val="24"/>
        </w:rPr>
        <w:t>s</w:t>
      </w:r>
      <w:r w:rsidRPr="002D3322">
        <w:rPr>
          <w:b w:val="0"/>
          <w:bCs/>
          <w:sz w:val="24"/>
          <w:szCs w:val="24"/>
        </w:rPr>
        <w:t xml:space="preserve">ecretariat and one for the broader UN </w:t>
      </w:r>
      <w:r w:rsidR="4525958E" w:rsidRPr="002D3322">
        <w:rPr>
          <w:b w:val="0"/>
          <w:bCs/>
          <w:sz w:val="24"/>
          <w:szCs w:val="24"/>
        </w:rPr>
        <w:t>s</w:t>
      </w:r>
      <w:r w:rsidRPr="002D3322">
        <w:rPr>
          <w:b w:val="0"/>
          <w:bCs/>
          <w:sz w:val="24"/>
          <w:szCs w:val="24"/>
        </w:rPr>
        <w:t xml:space="preserve">ystem); Humanitarian; Human Rights; Training and Research; and Specialized Agencies—to drive these </w:t>
      </w:r>
      <w:r w:rsidRPr="002D3322">
        <w:rPr>
          <w:b w:val="0"/>
          <w:bCs/>
          <w:spacing w:val="-2"/>
          <w:sz w:val="24"/>
          <w:szCs w:val="24"/>
        </w:rPr>
        <w:t>efforts. ITU Secretary-General</w:t>
      </w:r>
      <w:r w:rsidRPr="002D3322">
        <w:rPr>
          <w:b w:val="0"/>
          <w:bCs/>
          <w:sz w:val="24"/>
          <w:szCs w:val="24"/>
        </w:rPr>
        <w:t xml:space="preserve"> </w:t>
      </w:r>
      <w:r w:rsidR="208816FB" w:rsidRPr="002D3322">
        <w:rPr>
          <w:b w:val="0"/>
          <w:bCs/>
          <w:sz w:val="24"/>
          <w:szCs w:val="24"/>
        </w:rPr>
        <w:t>is</w:t>
      </w:r>
      <w:r w:rsidRPr="002D3322">
        <w:rPr>
          <w:b w:val="0"/>
          <w:bCs/>
          <w:sz w:val="24"/>
          <w:szCs w:val="24"/>
        </w:rPr>
        <w:t xml:space="preserve"> a member of the Task Force and co-leading the Specialized Agencies cluster with ILO</w:t>
      </w:r>
      <w:r w:rsidR="61B3277F" w:rsidRPr="002D3322">
        <w:rPr>
          <w:b w:val="0"/>
          <w:bCs/>
          <w:sz w:val="24"/>
          <w:szCs w:val="24"/>
        </w:rPr>
        <w:t>.</w:t>
      </w:r>
    </w:p>
    <w:p w14:paraId="06DD12F7" w14:textId="1301B37E" w:rsidR="002D3CFD" w:rsidRPr="00F74D57" w:rsidRDefault="00D63776" w:rsidP="00490E3B">
      <w:pPr>
        <w:pStyle w:val="Heading1"/>
      </w:pPr>
      <w:r>
        <w:t>4</w:t>
      </w:r>
      <w:r>
        <w:tab/>
      </w:r>
      <w:r w:rsidR="002D3CFD" w:rsidRPr="00F74D57">
        <w:t>Commission on the Status of Women (CSW)</w:t>
      </w:r>
    </w:p>
    <w:p w14:paraId="6A2D4DCB" w14:textId="208FE37E" w:rsidR="002D3CFD" w:rsidRPr="002D3CFD" w:rsidRDefault="002D3CFD" w:rsidP="0053226A">
      <w:pPr>
        <w:jc w:val="both"/>
      </w:pPr>
      <w:hyperlink r:id="rId34" w:history="1">
        <w:r w:rsidRPr="002D3CFD">
          <w:rPr>
            <w:rStyle w:val="Hyperlink"/>
            <w:rFonts w:asciiTheme="minorHAnsi" w:hAnsiTheme="minorHAnsi" w:cstheme="minorHAnsi"/>
          </w:rPr>
          <w:t>CSW69</w:t>
        </w:r>
      </w:hyperlink>
      <w:r w:rsidRPr="002D3CFD">
        <w:t xml:space="preserve"> took place </w:t>
      </w:r>
      <w:r w:rsidR="00084D06">
        <w:t>from</w:t>
      </w:r>
      <w:r w:rsidRPr="002D3CFD">
        <w:t xml:space="preserve"> 10 </w:t>
      </w:r>
      <w:r w:rsidR="00084D06">
        <w:t>to</w:t>
      </w:r>
      <w:r w:rsidRPr="002D3CFD">
        <w:t xml:space="preserve"> 21 March 2025 in New York, focusing on the review and appraisal of the implementation of the Beijing Declaration and Platform for Action, on its 30</w:t>
      </w:r>
      <w:r w:rsidRPr="002D3CFD">
        <w:rPr>
          <w:vertAlign w:val="superscript"/>
        </w:rPr>
        <w:t>th</w:t>
      </w:r>
      <w:r w:rsidRPr="002D3CFD">
        <w:t xml:space="preserve"> Anniversary. </w:t>
      </w:r>
      <w:hyperlink r:id="rId35" w:history="1">
        <w:r w:rsidRPr="002D3CFD">
          <w:rPr>
            <w:rStyle w:val="Hyperlink"/>
            <w:rFonts w:asciiTheme="minorHAnsi" w:hAnsiTheme="minorHAnsi" w:cstheme="minorHAnsi"/>
          </w:rPr>
          <w:t>The Beijing+30 Political Declaration</w:t>
        </w:r>
      </w:hyperlink>
      <w:r w:rsidRPr="002D3CFD">
        <w:t xml:space="preserve">, one of CSW69’s key outcome documents, adopted by consensus, focused on the full, effective, and accelerated implementation of the Beijing Declaration and Platform for Action. Digital issues were featured in the declaration, which recognizes technology’s transformative potential while acknowledging risks, particularly the gender </w:t>
      </w:r>
      <w:r w:rsidR="00AB356B">
        <w:t xml:space="preserve">digital </w:t>
      </w:r>
      <w:r w:rsidRPr="002D3CFD">
        <w:t xml:space="preserve">divide. An action agenda was launched to accelerate progress </w:t>
      </w:r>
      <w:r w:rsidRPr="002D3CFD">
        <w:lastRenderedPageBreak/>
        <w:t xml:space="preserve">on women’s rights, covering six key areas, including an action on digital revolution. ITU organized several side events, such as </w:t>
      </w:r>
      <w:r w:rsidR="002D3322">
        <w:t>“</w:t>
      </w:r>
      <w:r w:rsidRPr="002D3CFD">
        <w:t>Artificial Intelligence: A Transformative Force for All Women &amp; Girls</w:t>
      </w:r>
      <w:r w:rsidR="002D3322">
        <w:t>”</w:t>
      </w:r>
      <w:r w:rsidRPr="002D3CFD">
        <w:t xml:space="preserve"> and the ITU Secretary</w:t>
      </w:r>
      <w:r w:rsidR="000409F5">
        <w:t>-</w:t>
      </w:r>
      <w:r w:rsidRPr="002D3CFD">
        <w:t xml:space="preserve">General participated in several events, including the Ministerial Roundtable on </w:t>
      </w:r>
      <w:r w:rsidR="002D3322">
        <w:t>“</w:t>
      </w:r>
      <w:r w:rsidRPr="002D3CFD">
        <w:t>National mechanisms for gender equality and the empowerment of women and girls</w:t>
      </w:r>
      <w:r w:rsidR="002D3322">
        <w:t>”</w:t>
      </w:r>
      <w:r w:rsidRPr="002D3CFD">
        <w:t>. The launch of EQUALS 2.0 was also announced.</w:t>
      </w:r>
    </w:p>
    <w:p w14:paraId="670E4A32" w14:textId="60D96D08" w:rsidR="002D3CFD" w:rsidRPr="00F74D57" w:rsidRDefault="00D63776" w:rsidP="00490E3B">
      <w:pPr>
        <w:pStyle w:val="Heading1"/>
      </w:pPr>
      <w:r>
        <w:rPr>
          <w:rFonts w:eastAsia="SimSun"/>
        </w:rPr>
        <w:t>5</w:t>
      </w:r>
      <w:r w:rsidR="00F74D57" w:rsidRPr="002D3CFD">
        <w:rPr>
          <w:rFonts w:eastAsia="SimSun"/>
        </w:rPr>
        <w:tab/>
      </w:r>
      <w:r w:rsidR="002D3CFD" w:rsidRPr="00F74D57">
        <w:t>Green Digital Action</w:t>
      </w:r>
    </w:p>
    <w:p w14:paraId="2A415E1F" w14:textId="75148166" w:rsidR="002D3CFD" w:rsidRPr="002D3CFD" w:rsidRDefault="002D3CFD" w:rsidP="1B1B0167">
      <w:pPr>
        <w:jc w:val="both"/>
        <w:rPr>
          <w:rFonts w:asciiTheme="minorHAnsi" w:eastAsia="SimSun" w:hAnsiTheme="minorHAnsi" w:cstheme="minorBidi"/>
        </w:rPr>
      </w:pPr>
      <w:r w:rsidRPr="1B1B0167">
        <w:rPr>
          <w:rFonts w:asciiTheme="minorHAnsi" w:eastAsia="SimSun" w:hAnsiTheme="minorHAnsi" w:cstheme="minorBidi"/>
        </w:rPr>
        <w:t xml:space="preserve">Following the launch of Green Digital Action ahead of COP28, ITU, together with over 50 partners across the UN system, governments, business, and civil society, convened the second edition of the Green Digital Action track at </w:t>
      </w:r>
      <w:r>
        <w:t>the</w:t>
      </w:r>
      <w:r w:rsidRPr="1B1B0167">
        <w:rPr>
          <w:rFonts w:asciiTheme="minorHAnsi" w:eastAsia="SimSun" w:hAnsiTheme="minorHAnsi" w:cstheme="minorBidi"/>
        </w:rPr>
        <w:t xml:space="preserve"> 29</w:t>
      </w:r>
      <w:r w:rsidRPr="1B1B0167">
        <w:rPr>
          <w:rFonts w:asciiTheme="minorHAnsi" w:eastAsia="SimSun" w:hAnsiTheme="minorHAnsi" w:cstheme="minorBidi"/>
          <w:vertAlign w:val="superscript"/>
        </w:rPr>
        <w:t>th</w:t>
      </w:r>
      <w:r w:rsidR="00D55C0D" w:rsidRPr="1B1B0167">
        <w:rPr>
          <w:rFonts w:asciiTheme="minorHAnsi" w:eastAsia="SimSun" w:hAnsiTheme="minorHAnsi" w:cstheme="minorBidi"/>
        </w:rPr>
        <w:t xml:space="preserve"> </w:t>
      </w:r>
      <w:r w:rsidRPr="1B1B0167">
        <w:rPr>
          <w:rFonts w:asciiTheme="minorHAnsi" w:eastAsia="SimSun" w:hAnsiTheme="minorHAnsi" w:cstheme="minorBidi"/>
        </w:rPr>
        <w:t>session of the Conference of the Parties (COP28) to the UN Framework Convention on Climate Change (UNFCCC), which took place in Baku</w:t>
      </w:r>
      <w:r w:rsidR="00096EF7" w:rsidRPr="1B1B0167">
        <w:rPr>
          <w:rFonts w:asciiTheme="minorHAnsi" w:eastAsia="SimSun" w:hAnsiTheme="minorHAnsi" w:cstheme="minorBidi"/>
        </w:rPr>
        <w:t xml:space="preserve">, </w:t>
      </w:r>
      <w:r w:rsidR="00C71DAA" w:rsidRPr="1B1B0167">
        <w:rPr>
          <w:rFonts w:asciiTheme="minorHAnsi" w:eastAsia="SimSun" w:hAnsiTheme="minorHAnsi" w:cstheme="minorBidi"/>
        </w:rPr>
        <w:t>Azerbaijan,</w:t>
      </w:r>
      <w:r w:rsidRPr="1B1B0167">
        <w:rPr>
          <w:rFonts w:asciiTheme="minorHAnsi" w:eastAsia="SimSun" w:hAnsiTheme="minorHAnsi" w:cstheme="minorBidi"/>
        </w:rPr>
        <w:t xml:space="preserve"> from 11 </w:t>
      </w:r>
      <w:r w:rsidR="00096EF7" w:rsidRPr="1B1B0167">
        <w:rPr>
          <w:rFonts w:asciiTheme="minorHAnsi" w:eastAsia="SimSun" w:hAnsiTheme="minorHAnsi" w:cstheme="minorBidi"/>
        </w:rPr>
        <w:t>to</w:t>
      </w:r>
      <w:r w:rsidRPr="1B1B0167">
        <w:rPr>
          <w:rFonts w:asciiTheme="minorHAnsi" w:eastAsia="SimSun" w:hAnsiTheme="minorHAnsi" w:cstheme="minorBidi"/>
        </w:rPr>
        <w:t xml:space="preserve"> 22 November 2024. For the first time in COP history, the </w:t>
      </w:r>
      <w:r w:rsidR="1D32CF21" w:rsidRPr="1B1B0167">
        <w:rPr>
          <w:rFonts w:asciiTheme="minorHAnsi" w:eastAsia="SimSun" w:hAnsiTheme="minorHAnsi" w:cstheme="minorBidi"/>
        </w:rPr>
        <w:t xml:space="preserve">COP </w:t>
      </w:r>
      <w:r w:rsidRPr="1B1B0167">
        <w:rPr>
          <w:rFonts w:asciiTheme="minorHAnsi" w:eastAsia="SimSun" w:hAnsiTheme="minorHAnsi" w:cstheme="minorBidi"/>
        </w:rPr>
        <w:t>Presidency announced a</w:t>
      </w:r>
      <w:r w:rsidR="00C71DAA" w:rsidRPr="1B1B0167">
        <w:rPr>
          <w:rFonts w:asciiTheme="minorHAnsi" w:eastAsia="SimSun" w:hAnsiTheme="minorHAnsi" w:cstheme="minorBidi"/>
        </w:rPr>
        <w:t xml:space="preserve"> </w:t>
      </w:r>
      <w:hyperlink r:id="rId36" w:anchor=":~:text=First%2Dever%20Digitalisation%20Day&amp;text=Therefore%2C%20apart%20from%20the%20regular,technologies%20can%20transform%20climate%20action.">
        <w:r w:rsidRPr="1B1B0167">
          <w:rPr>
            <w:rStyle w:val="Hyperlink"/>
            <w:rFonts w:asciiTheme="minorHAnsi" w:eastAsia="Batang" w:hAnsiTheme="minorHAnsi" w:cstheme="minorBidi"/>
          </w:rPr>
          <w:t>Digitali</w:t>
        </w:r>
        <w:r w:rsidR="00D55C0D" w:rsidRPr="1B1B0167">
          <w:rPr>
            <w:rStyle w:val="Hyperlink"/>
            <w:rFonts w:asciiTheme="minorHAnsi" w:eastAsia="Batang" w:hAnsiTheme="minorHAnsi" w:cstheme="minorBidi"/>
          </w:rPr>
          <w:t>z</w:t>
        </w:r>
        <w:r w:rsidRPr="1B1B0167">
          <w:rPr>
            <w:rStyle w:val="Hyperlink"/>
            <w:rFonts w:asciiTheme="minorHAnsi" w:eastAsia="Batang" w:hAnsiTheme="minorHAnsi" w:cstheme="minorBidi"/>
          </w:rPr>
          <w:t>ation Day</w:t>
        </w:r>
      </w:hyperlink>
      <w:r w:rsidRPr="1B1B0167">
        <w:rPr>
          <w:rFonts w:asciiTheme="minorHAnsi" w:eastAsia="SimSun" w:hAnsiTheme="minorHAnsi" w:cstheme="minorBidi"/>
        </w:rPr>
        <w:t xml:space="preserve"> featuring a High-Level Roundtable</w:t>
      </w:r>
      <w:r w:rsidR="00C71DAA" w:rsidRPr="1B1B0167">
        <w:rPr>
          <w:rFonts w:asciiTheme="minorHAnsi" w:eastAsia="SimSun" w:hAnsiTheme="minorHAnsi" w:cstheme="minorBidi"/>
        </w:rPr>
        <w:t xml:space="preserve"> </w:t>
      </w:r>
      <w:r w:rsidRPr="1B1B0167">
        <w:rPr>
          <w:rFonts w:asciiTheme="minorHAnsi" w:eastAsia="SimSun" w:hAnsiTheme="minorHAnsi" w:cstheme="minorBidi"/>
        </w:rPr>
        <w:t xml:space="preserve">which concluded in the adoption of </w:t>
      </w:r>
      <w:hyperlink r:id="rId37">
        <w:r w:rsidRPr="1B1B0167">
          <w:rPr>
            <w:rStyle w:val="Hyperlink"/>
            <w:rFonts w:asciiTheme="minorHAnsi" w:eastAsia="SimSun" w:hAnsiTheme="minorHAnsi" w:cstheme="minorBidi"/>
          </w:rPr>
          <w:t xml:space="preserve">the </w:t>
        </w:r>
        <w:r w:rsidRPr="1B1B0167">
          <w:rPr>
            <w:rStyle w:val="Hyperlink"/>
            <w:rFonts w:asciiTheme="minorHAnsi" w:eastAsia="Batang" w:hAnsiTheme="minorHAnsi" w:cstheme="minorBidi"/>
          </w:rPr>
          <w:t>COP29 Green Digital Action</w:t>
        </w:r>
        <w:r w:rsidRPr="1B1B0167">
          <w:rPr>
            <w:rStyle w:val="Hyperlink"/>
            <w:rFonts w:asciiTheme="minorHAnsi" w:eastAsia="SimSun" w:hAnsiTheme="minorHAnsi" w:cstheme="minorBidi"/>
          </w:rPr>
          <w:t xml:space="preserve"> </w:t>
        </w:r>
        <w:r w:rsidRPr="1B1B0167">
          <w:rPr>
            <w:rStyle w:val="Hyperlink"/>
            <w:rFonts w:asciiTheme="minorHAnsi" w:eastAsia="Batang" w:hAnsiTheme="minorHAnsi" w:cstheme="minorBidi"/>
          </w:rPr>
          <w:t>Declaration</w:t>
        </w:r>
      </w:hyperlink>
      <w:r w:rsidRPr="1B1B0167">
        <w:rPr>
          <w:rFonts w:asciiTheme="minorHAnsi" w:eastAsia="SimSun" w:hAnsiTheme="minorHAnsi" w:cstheme="minorBidi"/>
        </w:rPr>
        <w:t xml:space="preserve"> endorsed by over</w:t>
      </w:r>
      <w:r w:rsidR="68DD37A4" w:rsidRPr="1B1B0167">
        <w:rPr>
          <w:rFonts w:asciiTheme="minorHAnsi" w:eastAsia="SimSun" w:hAnsiTheme="minorHAnsi" w:cstheme="minorBidi"/>
        </w:rPr>
        <w:t xml:space="preserve"> 80 Member States and nearly</w:t>
      </w:r>
      <w:r w:rsidRPr="1B1B0167">
        <w:rPr>
          <w:rFonts w:asciiTheme="minorHAnsi" w:eastAsia="SimSun" w:hAnsiTheme="minorHAnsi" w:cstheme="minorBidi"/>
        </w:rPr>
        <w:t xml:space="preserve"> 1800 </w:t>
      </w:r>
      <w:r w:rsidR="0A5A88D1" w:rsidRPr="1B1B0167">
        <w:rPr>
          <w:rFonts w:asciiTheme="minorHAnsi" w:eastAsia="SimSun" w:hAnsiTheme="minorHAnsi" w:cstheme="minorBidi"/>
        </w:rPr>
        <w:t xml:space="preserve">other </w:t>
      </w:r>
      <w:r w:rsidRPr="1B1B0167">
        <w:rPr>
          <w:rFonts w:asciiTheme="minorHAnsi" w:eastAsia="SimSun" w:hAnsiTheme="minorHAnsi" w:cstheme="minorBidi"/>
        </w:rPr>
        <w:t xml:space="preserve">entities. </w:t>
      </w:r>
      <w:r w:rsidR="3566AF16" w:rsidRPr="1B1B0167">
        <w:rPr>
          <w:rFonts w:asciiTheme="minorHAnsi" w:eastAsia="SimSun" w:hAnsiTheme="minorHAnsi" w:cstheme="minorBidi"/>
        </w:rPr>
        <w:t xml:space="preserve">In implementation </w:t>
      </w:r>
      <w:r w:rsidR="50015C74" w:rsidRPr="1B1B0167">
        <w:rPr>
          <w:rFonts w:asciiTheme="minorHAnsi" w:eastAsia="SimSun" w:hAnsiTheme="minorHAnsi" w:cstheme="minorBidi"/>
        </w:rPr>
        <w:t xml:space="preserve">of Council Resolution 1429, </w:t>
      </w:r>
      <w:r w:rsidRPr="1B1B0167">
        <w:rPr>
          <w:rFonts w:asciiTheme="minorHAnsi" w:eastAsia="SimSun" w:hAnsiTheme="minorHAnsi" w:cstheme="minorBidi"/>
        </w:rPr>
        <w:t xml:space="preserve">ITU continues to engage with the UNFCCC and COP </w:t>
      </w:r>
      <w:r w:rsidR="087C7642" w:rsidRPr="1B1B0167">
        <w:rPr>
          <w:rFonts w:asciiTheme="minorHAnsi" w:eastAsia="SimSun" w:hAnsiTheme="minorHAnsi" w:cstheme="minorBidi"/>
        </w:rPr>
        <w:t xml:space="preserve">Presidencies </w:t>
      </w:r>
      <w:r w:rsidRPr="1B1B0167">
        <w:rPr>
          <w:rFonts w:asciiTheme="minorHAnsi" w:eastAsia="SimSun" w:hAnsiTheme="minorHAnsi" w:cstheme="minorBidi"/>
        </w:rPr>
        <w:t xml:space="preserve">with the </w:t>
      </w:r>
      <w:r w:rsidR="1B18FE81" w:rsidRPr="1B1B0167">
        <w:rPr>
          <w:rFonts w:asciiTheme="minorHAnsi" w:eastAsia="SimSun" w:hAnsiTheme="minorHAnsi" w:cstheme="minorBidi"/>
        </w:rPr>
        <w:t>aim to improve ICTs' contribution to climate and environmental action</w:t>
      </w:r>
      <w:r w:rsidRPr="1B1B0167">
        <w:rPr>
          <w:rFonts w:asciiTheme="minorHAnsi" w:eastAsia="SimSun" w:hAnsiTheme="minorHAnsi" w:cstheme="minorBidi"/>
        </w:rPr>
        <w:t>.</w:t>
      </w:r>
    </w:p>
    <w:p w14:paraId="28C48BB4" w14:textId="6ABC6537" w:rsidR="002D3CFD" w:rsidRPr="00F74D57" w:rsidRDefault="00D63776" w:rsidP="00490E3B">
      <w:pPr>
        <w:pStyle w:val="Heading1"/>
      </w:pPr>
      <w:r>
        <w:rPr>
          <w:rFonts w:eastAsia="SimSun"/>
        </w:rPr>
        <w:t>6</w:t>
      </w:r>
      <w:r w:rsidR="00F74D57" w:rsidRPr="002D3CFD">
        <w:rPr>
          <w:rFonts w:eastAsia="SimSun"/>
        </w:rPr>
        <w:tab/>
      </w:r>
      <w:r w:rsidR="002D3CFD" w:rsidRPr="00F74D57">
        <w:t>Joint SDG Fund</w:t>
      </w:r>
    </w:p>
    <w:p w14:paraId="173033F6" w14:textId="0AE585DA" w:rsidR="002D3CFD" w:rsidRPr="002D3CFD" w:rsidRDefault="002D3CFD" w:rsidP="0053226A">
      <w:pPr>
        <w:jc w:val="both"/>
        <w:rPr>
          <w:rFonts w:asciiTheme="minorHAnsi" w:eastAsia="SimSun" w:hAnsiTheme="minorHAnsi" w:cstheme="minorHAnsi"/>
          <w:szCs w:val="24"/>
        </w:rPr>
      </w:pPr>
      <w:hyperlink r:id="rId38" w:history="1">
        <w:r w:rsidRPr="002D3CFD">
          <w:rPr>
            <w:rStyle w:val="Hyperlink"/>
            <w:rFonts w:asciiTheme="minorHAnsi" w:eastAsia="SimSun" w:hAnsiTheme="minorHAnsi" w:cstheme="minorHAnsi"/>
            <w:szCs w:val="24"/>
          </w:rPr>
          <w:t>The Joint SDG Fund</w:t>
        </w:r>
      </w:hyperlink>
      <w:r w:rsidRPr="002D3CFD">
        <w:rPr>
          <w:rFonts w:asciiTheme="minorHAnsi" w:eastAsia="SimSun" w:hAnsiTheme="minorHAnsi" w:cstheme="minorHAnsi"/>
          <w:szCs w:val="24"/>
        </w:rPr>
        <w:t xml:space="preserve"> is an inter-</w:t>
      </w:r>
      <w:r w:rsidRPr="0053226A">
        <w:t>agency</w:t>
      </w:r>
      <w:r w:rsidRPr="002D3CFD">
        <w:rPr>
          <w:rFonts w:asciiTheme="minorHAnsi" w:eastAsia="SimSun" w:hAnsiTheme="minorHAnsi" w:cstheme="minorHAnsi"/>
          <w:szCs w:val="24"/>
        </w:rPr>
        <w:t xml:space="preserve"> pooled mechanism for integrated policy support and strategic financing. ITU, together with UNDP, has served as coordinator of </w:t>
      </w:r>
      <w:r w:rsidR="0062210E">
        <w:rPr>
          <w:rFonts w:asciiTheme="minorHAnsi" w:eastAsia="SimSun" w:hAnsiTheme="minorHAnsi" w:cstheme="minorHAnsi"/>
          <w:szCs w:val="24"/>
        </w:rPr>
        <w:t xml:space="preserve">the </w:t>
      </w:r>
      <w:r w:rsidRPr="002D3CFD">
        <w:rPr>
          <w:rFonts w:asciiTheme="minorHAnsi" w:eastAsia="SimSun" w:hAnsiTheme="minorHAnsi" w:cstheme="minorHAnsi"/>
          <w:szCs w:val="24"/>
        </w:rPr>
        <w:t xml:space="preserve">Technical Support Group for the Digital Transformation (DT) Window. This included facilitating the process to award 23 grants in the first round of funding valued at 30M Euro. The ITU Deputy Secretary-General also serves on the Operational Steering Committee of the Joint SDG Fund. ITU’s involvement in the Fund has enabled ITU to contribute to harnessing digital connectivity and sustainable digital transformation within the broader UN system. During 2025, ITU will continue to make efforts to link DT Window country programs with ITU activities, such as the inputting of all DT Window high impact track programs as Partner2Connect pledges. </w:t>
      </w:r>
    </w:p>
    <w:p w14:paraId="2F46275B" w14:textId="58AC8D8C" w:rsidR="002D3CFD" w:rsidRPr="00F74D57" w:rsidRDefault="00D63776" w:rsidP="00490E3B">
      <w:pPr>
        <w:pStyle w:val="Heading1"/>
      </w:pPr>
      <w:r>
        <w:rPr>
          <w:rFonts w:eastAsia="SimSun"/>
        </w:rPr>
        <w:t>7</w:t>
      </w:r>
      <w:r w:rsidR="00F74D57" w:rsidRPr="002D3CFD">
        <w:rPr>
          <w:rFonts w:eastAsia="SimSun"/>
        </w:rPr>
        <w:tab/>
      </w:r>
      <w:r w:rsidR="002D3CFD" w:rsidRPr="00F74D57">
        <w:t>High Impact Initiative on Digital Public Infrastructure</w:t>
      </w:r>
    </w:p>
    <w:p w14:paraId="3B524B26" w14:textId="336BF2F7" w:rsidR="002D3CFD" w:rsidRPr="002D3322" w:rsidRDefault="7B4B0F22" w:rsidP="002D3322">
      <w:pPr>
        <w:spacing w:after="120"/>
        <w:jc w:val="both"/>
        <w:rPr>
          <w:rFonts w:asciiTheme="minorHAnsi" w:eastAsiaTheme="minorEastAsia" w:hAnsiTheme="minorHAnsi" w:cstheme="minorBidi"/>
          <w:szCs w:val="24"/>
        </w:rPr>
      </w:pPr>
      <w:r w:rsidRPr="67DDA5A5">
        <w:rPr>
          <w:rFonts w:asciiTheme="minorHAnsi" w:eastAsia="SimSun" w:hAnsiTheme="minorHAnsi" w:cstheme="minorBidi"/>
        </w:rPr>
        <w:t>7</w:t>
      </w:r>
      <w:r w:rsidR="2A877AD6" w:rsidRPr="67DDA5A5">
        <w:rPr>
          <w:rFonts w:asciiTheme="minorHAnsi" w:eastAsia="SimSun" w:hAnsiTheme="minorHAnsi" w:cstheme="minorBidi"/>
        </w:rPr>
        <w:t>.1</w:t>
      </w:r>
      <w:r w:rsidR="00D63776">
        <w:tab/>
      </w:r>
      <w:r w:rsidR="54E122B4" w:rsidRPr="67DDA5A5">
        <w:rPr>
          <w:rFonts w:asciiTheme="minorHAnsi" w:eastAsia="SimSun" w:hAnsiTheme="minorHAnsi" w:cstheme="minorBidi"/>
        </w:rPr>
        <w:t xml:space="preserve">Launched at the SDG Acceleration Day in September 2023, ITU and UNDP co-lead the High Impact Initiative on Digital Public Infrastructure (DPI). The initiative aims to scale inclusive, secure, and open digital ecosystems to accelerate progress on the SDGs. Over the past year, ITU has advanced key dimensions of DPI, including work on Universal Safeguards (in collaboration with UNDP and ODET), interoperability frameworks (through WTSA Resolution 103), interoperable digital wallets (via the Open Wallet Forum with the Linux Foundation), DPI in cities (through the U4SSC Initiative) and DPI in education (through the Giga initiative). </w:t>
      </w:r>
    </w:p>
    <w:p w14:paraId="3945682D" w14:textId="7490634F" w:rsidR="002D3CFD" w:rsidRPr="002D3322" w:rsidRDefault="7B4B0F22" w:rsidP="002D3322">
      <w:pPr>
        <w:spacing w:after="120"/>
        <w:jc w:val="both"/>
        <w:rPr>
          <w:rFonts w:asciiTheme="minorHAnsi" w:eastAsiaTheme="minorEastAsia" w:hAnsiTheme="minorHAnsi" w:cstheme="minorBidi"/>
          <w:i/>
          <w:iCs/>
          <w:color w:val="000000" w:themeColor="text1"/>
          <w:szCs w:val="24"/>
        </w:rPr>
      </w:pPr>
      <w:r w:rsidRPr="002D3322">
        <w:rPr>
          <w:rFonts w:asciiTheme="minorHAnsi" w:eastAsiaTheme="minorEastAsia" w:hAnsiTheme="minorHAnsi" w:cstheme="minorBidi"/>
          <w:szCs w:val="24"/>
        </w:rPr>
        <w:t>7</w:t>
      </w:r>
      <w:r w:rsidR="7319081F" w:rsidRPr="002D3322">
        <w:rPr>
          <w:rFonts w:asciiTheme="minorHAnsi" w:eastAsiaTheme="minorEastAsia" w:hAnsiTheme="minorHAnsi" w:cstheme="minorBidi"/>
          <w:szCs w:val="24"/>
        </w:rPr>
        <w:t>.2</w:t>
      </w:r>
      <w:r w:rsidR="00D63776">
        <w:tab/>
      </w:r>
      <w:r w:rsidR="07F7F3D0" w:rsidRPr="002D3322">
        <w:rPr>
          <w:rFonts w:asciiTheme="minorHAnsi" w:eastAsiaTheme="minorEastAsia" w:hAnsiTheme="minorHAnsi" w:cstheme="minorBidi"/>
          <w:color w:val="000000" w:themeColor="text1"/>
          <w:szCs w:val="24"/>
        </w:rPr>
        <w:t xml:space="preserve">The inaugural Global </w:t>
      </w:r>
      <w:r w:rsidR="2396716F" w:rsidRPr="002D3322">
        <w:rPr>
          <w:rFonts w:asciiTheme="minorHAnsi" w:eastAsiaTheme="minorEastAsia" w:hAnsiTheme="minorHAnsi" w:cstheme="minorBidi"/>
          <w:color w:val="000000" w:themeColor="text1"/>
          <w:szCs w:val="24"/>
        </w:rPr>
        <w:t>Digital Public Infrastructure (</w:t>
      </w:r>
      <w:r w:rsidR="07F7F3D0" w:rsidRPr="002D3322">
        <w:rPr>
          <w:rFonts w:asciiTheme="minorHAnsi" w:eastAsiaTheme="minorEastAsia" w:hAnsiTheme="minorHAnsi" w:cstheme="minorBidi"/>
          <w:color w:val="000000" w:themeColor="text1"/>
          <w:szCs w:val="24"/>
        </w:rPr>
        <w:t>DPI</w:t>
      </w:r>
      <w:r w:rsidR="1E5F9545" w:rsidRPr="002D3322">
        <w:rPr>
          <w:rFonts w:asciiTheme="minorHAnsi" w:eastAsiaTheme="minorEastAsia" w:hAnsiTheme="minorHAnsi" w:cstheme="minorBidi"/>
          <w:color w:val="000000" w:themeColor="text1"/>
          <w:szCs w:val="24"/>
        </w:rPr>
        <w:t>)</w:t>
      </w:r>
      <w:r w:rsidR="07F7F3D0" w:rsidRPr="002D3322">
        <w:rPr>
          <w:rFonts w:asciiTheme="minorHAnsi" w:eastAsiaTheme="minorEastAsia" w:hAnsiTheme="minorHAnsi" w:cstheme="minorBidi"/>
          <w:color w:val="000000" w:themeColor="text1"/>
          <w:szCs w:val="24"/>
        </w:rPr>
        <w:t xml:space="preserve"> Summit, </w:t>
      </w:r>
      <w:r w:rsidR="273D28F4" w:rsidRPr="002D3322">
        <w:rPr>
          <w:rFonts w:asciiTheme="minorHAnsi" w:eastAsiaTheme="minorEastAsia" w:hAnsiTheme="minorHAnsi" w:cstheme="minorBidi"/>
          <w:color w:val="000000" w:themeColor="text1"/>
          <w:szCs w:val="24"/>
        </w:rPr>
        <w:t>co-</w:t>
      </w:r>
      <w:r w:rsidR="07F7F3D0" w:rsidRPr="002D3322">
        <w:rPr>
          <w:rFonts w:asciiTheme="minorHAnsi" w:eastAsiaTheme="minorEastAsia" w:hAnsiTheme="minorHAnsi" w:cstheme="minorBidi"/>
          <w:color w:val="000000" w:themeColor="text1"/>
          <w:szCs w:val="24"/>
        </w:rPr>
        <w:t xml:space="preserve">hosted </w:t>
      </w:r>
      <w:r w:rsidR="5C291D9C" w:rsidRPr="002D3322">
        <w:rPr>
          <w:rFonts w:asciiTheme="minorHAnsi" w:eastAsiaTheme="minorEastAsia" w:hAnsiTheme="minorHAnsi" w:cstheme="minorBidi"/>
          <w:color w:val="000000" w:themeColor="text1"/>
          <w:szCs w:val="24"/>
        </w:rPr>
        <w:t xml:space="preserve">by ITU </w:t>
      </w:r>
      <w:r w:rsidR="07F7F3D0" w:rsidRPr="002D3322">
        <w:rPr>
          <w:rFonts w:asciiTheme="minorHAnsi" w:eastAsiaTheme="minorEastAsia" w:hAnsiTheme="minorHAnsi" w:cstheme="minorBidi"/>
          <w:color w:val="000000" w:themeColor="text1"/>
          <w:szCs w:val="24"/>
        </w:rPr>
        <w:t>with UNDP, ODET, the World Bank, and Co-Develop,</w:t>
      </w:r>
      <w:r w:rsidR="73014FA3" w:rsidRPr="002D3322">
        <w:rPr>
          <w:rFonts w:asciiTheme="minorHAnsi" w:eastAsiaTheme="minorEastAsia" w:hAnsiTheme="minorHAnsi" w:cstheme="minorBidi"/>
          <w:color w:val="000000" w:themeColor="text1"/>
          <w:szCs w:val="24"/>
        </w:rPr>
        <w:t xml:space="preserve"> in partnership with </w:t>
      </w:r>
      <w:r w:rsidR="07F7F3D0" w:rsidRPr="002D3322">
        <w:rPr>
          <w:rFonts w:asciiTheme="minorHAnsi" w:eastAsiaTheme="minorEastAsia" w:hAnsiTheme="minorHAnsi" w:cstheme="minorBidi"/>
          <w:color w:val="000000" w:themeColor="text1"/>
          <w:szCs w:val="24"/>
        </w:rPr>
        <w:t xml:space="preserve">the Government of Egypt, </w:t>
      </w:r>
      <w:r w:rsidR="70009D11" w:rsidRPr="002D3322">
        <w:rPr>
          <w:rFonts w:asciiTheme="minorHAnsi" w:eastAsiaTheme="minorEastAsia" w:hAnsiTheme="minorHAnsi" w:cstheme="minorBidi"/>
          <w:color w:val="000000" w:themeColor="text1"/>
          <w:szCs w:val="24"/>
        </w:rPr>
        <w:t xml:space="preserve">was held </w:t>
      </w:r>
      <w:r w:rsidR="07F7F3D0" w:rsidRPr="002D3322">
        <w:rPr>
          <w:rFonts w:asciiTheme="minorHAnsi" w:eastAsiaTheme="minorEastAsia" w:hAnsiTheme="minorHAnsi" w:cstheme="minorBidi"/>
          <w:color w:val="000000" w:themeColor="text1"/>
          <w:szCs w:val="24"/>
        </w:rPr>
        <w:t xml:space="preserve">in Cairo </w:t>
      </w:r>
      <w:r w:rsidR="3D211A32" w:rsidRPr="002D3322">
        <w:rPr>
          <w:rFonts w:asciiTheme="minorHAnsi" w:eastAsiaTheme="minorEastAsia" w:hAnsiTheme="minorHAnsi" w:cstheme="minorBidi"/>
          <w:color w:val="000000" w:themeColor="text1"/>
          <w:szCs w:val="24"/>
        </w:rPr>
        <w:t>from</w:t>
      </w:r>
      <w:r w:rsidR="07F7F3D0" w:rsidRPr="002D3322">
        <w:rPr>
          <w:rFonts w:asciiTheme="minorHAnsi" w:eastAsiaTheme="minorEastAsia" w:hAnsiTheme="minorHAnsi" w:cstheme="minorBidi"/>
          <w:color w:val="000000" w:themeColor="text1"/>
          <w:szCs w:val="24"/>
        </w:rPr>
        <w:t xml:space="preserve"> </w:t>
      </w:r>
      <w:r w:rsidR="1BA8F050" w:rsidRPr="002D3322">
        <w:rPr>
          <w:rFonts w:asciiTheme="minorHAnsi" w:eastAsiaTheme="minorEastAsia" w:hAnsiTheme="minorHAnsi" w:cstheme="minorBidi"/>
          <w:color w:val="000000" w:themeColor="text1"/>
          <w:szCs w:val="24"/>
        </w:rPr>
        <w:t xml:space="preserve">1 – 3 </w:t>
      </w:r>
      <w:r w:rsidR="07F7F3D0" w:rsidRPr="002D3322">
        <w:rPr>
          <w:rFonts w:asciiTheme="minorHAnsi" w:eastAsiaTheme="minorEastAsia" w:hAnsiTheme="minorHAnsi" w:cstheme="minorBidi"/>
          <w:color w:val="000000" w:themeColor="text1"/>
          <w:szCs w:val="24"/>
        </w:rPr>
        <w:t>October</w:t>
      </w:r>
      <w:r w:rsidR="60540C94" w:rsidRPr="002D3322">
        <w:rPr>
          <w:rFonts w:asciiTheme="minorHAnsi" w:eastAsiaTheme="minorEastAsia" w:hAnsiTheme="minorHAnsi" w:cstheme="minorBidi"/>
          <w:color w:val="000000" w:themeColor="text1"/>
          <w:szCs w:val="24"/>
        </w:rPr>
        <w:t xml:space="preserve"> </w:t>
      </w:r>
      <w:r w:rsidR="07F7F3D0" w:rsidRPr="002D3322">
        <w:rPr>
          <w:rFonts w:asciiTheme="minorHAnsi" w:eastAsiaTheme="minorEastAsia" w:hAnsiTheme="minorHAnsi" w:cstheme="minorBidi"/>
          <w:color w:val="000000" w:themeColor="text1"/>
          <w:szCs w:val="24"/>
        </w:rPr>
        <w:t xml:space="preserve">2024 under the auspices of H.E. President Abdel Fattah El-Sisi. </w:t>
      </w:r>
      <w:r w:rsidR="1A9EAD66" w:rsidRPr="002D3322">
        <w:rPr>
          <w:rFonts w:asciiTheme="minorHAnsi" w:eastAsiaTheme="minorEastAsia" w:hAnsiTheme="minorHAnsi" w:cstheme="minorBidi"/>
          <w:color w:val="000000" w:themeColor="text1"/>
          <w:szCs w:val="24"/>
        </w:rPr>
        <w:t xml:space="preserve">The Summit </w:t>
      </w:r>
      <w:r w:rsidR="07F7F3D0" w:rsidRPr="002D3322">
        <w:rPr>
          <w:rFonts w:asciiTheme="minorHAnsi" w:eastAsiaTheme="minorEastAsia" w:hAnsiTheme="minorHAnsi" w:cstheme="minorBidi"/>
          <w:color w:val="000000" w:themeColor="text1"/>
          <w:szCs w:val="24"/>
        </w:rPr>
        <w:t>brought together around 700 delegates from 101 countries -</w:t>
      </w:r>
      <w:r w:rsidR="643F0A88" w:rsidRPr="002D3322">
        <w:rPr>
          <w:rFonts w:asciiTheme="minorHAnsi" w:eastAsiaTheme="minorEastAsia" w:hAnsiTheme="minorHAnsi" w:cstheme="minorBidi"/>
          <w:color w:val="000000" w:themeColor="text1"/>
          <w:szCs w:val="24"/>
        </w:rPr>
        <w:t xml:space="preserve"> including</w:t>
      </w:r>
      <w:r w:rsidR="07F7F3D0" w:rsidRPr="002D3322">
        <w:rPr>
          <w:rFonts w:asciiTheme="minorHAnsi" w:eastAsiaTheme="minorEastAsia" w:hAnsiTheme="minorHAnsi" w:cstheme="minorBidi"/>
          <w:color w:val="000000" w:themeColor="text1"/>
          <w:szCs w:val="24"/>
        </w:rPr>
        <w:t xml:space="preserve"> governments, private sector, civil society, and international organizations - to explore how safe, inclusive, and interoperable </w:t>
      </w:r>
      <w:r w:rsidR="7911B37D" w:rsidRPr="002D3322">
        <w:rPr>
          <w:rFonts w:asciiTheme="minorHAnsi" w:eastAsiaTheme="minorEastAsia" w:hAnsiTheme="minorHAnsi" w:cstheme="minorBidi"/>
          <w:color w:val="000000" w:themeColor="text1"/>
          <w:szCs w:val="24"/>
        </w:rPr>
        <w:t>d</w:t>
      </w:r>
      <w:r w:rsidR="07F7F3D0" w:rsidRPr="002D3322">
        <w:rPr>
          <w:rFonts w:asciiTheme="minorHAnsi" w:eastAsiaTheme="minorEastAsia" w:hAnsiTheme="minorHAnsi" w:cstheme="minorBidi"/>
          <w:color w:val="000000" w:themeColor="text1"/>
          <w:szCs w:val="24"/>
        </w:rPr>
        <w:t xml:space="preserve">igital </w:t>
      </w:r>
      <w:r w:rsidR="178F405A" w:rsidRPr="002D3322">
        <w:rPr>
          <w:rFonts w:asciiTheme="minorHAnsi" w:eastAsiaTheme="minorEastAsia" w:hAnsiTheme="minorHAnsi" w:cstheme="minorBidi"/>
          <w:color w:val="000000" w:themeColor="text1"/>
          <w:szCs w:val="24"/>
        </w:rPr>
        <w:t>p</w:t>
      </w:r>
      <w:r w:rsidR="07F7F3D0" w:rsidRPr="002D3322">
        <w:rPr>
          <w:rFonts w:asciiTheme="minorHAnsi" w:eastAsiaTheme="minorEastAsia" w:hAnsiTheme="minorHAnsi" w:cstheme="minorBidi"/>
          <w:color w:val="000000" w:themeColor="text1"/>
          <w:szCs w:val="24"/>
        </w:rPr>
        <w:t xml:space="preserve">ublic </w:t>
      </w:r>
      <w:r w:rsidR="7A878D94" w:rsidRPr="002D3322">
        <w:rPr>
          <w:rFonts w:asciiTheme="minorHAnsi" w:eastAsiaTheme="minorEastAsia" w:hAnsiTheme="minorHAnsi" w:cstheme="minorBidi"/>
          <w:color w:val="000000" w:themeColor="text1"/>
          <w:szCs w:val="24"/>
        </w:rPr>
        <w:t>i</w:t>
      </w:r>
      <w:r w:rsidR="07F7F3D0" w:rsidRPr="002D3322">
        <w:rPr>
          <w:rFonts w:asciiTheme="minorHAnsi" w:eastAsiaTheme="minorEastAsia" w:hAnsiTheme="minorHAnsi" w:cstheme="minorBidi"/>
          <w:color w:val="000000" w:themeColor="text1"/>
          <w:szCs w:val="24"/>
        </w:rPr>
        <w:t xml:space="preserve">nfrastructure can accelerate progress toward </w:t>
      </w:r>
      <w:r w:rsidR="07F7F3D0" w:rsidRPr="002D3322">
        <w:rPr>
          <w:rFonts w:asciiTheme="minorHAnsi" w:eastAsiaTheme="minorEastAsia" w:hAnsiTheme="minorHAnsi" w:cstheme="minorBidi"/>
          <w:color w:val="000000" w:themeColor="text1"/>
          <w:szCs w:val="24"/>
        </w:rPr>
        <w:lastRenderedPageBreak/>
        <w:t>the S</w:t>
      </w:r>
      <w:r w:rsidR="0F1A1EED" w:rsidRPr="002D3322">
        <w:rPr>
          <w:rFonts w:asciiTheme="minorHAnsi" w:eastAsiaTheme="minorEastAsia" w:hAnsiTheme="minorHAnsi" w:cstheme="minorBidi"/>
          <w:color w:val="000000" w:themeColor="text1"/>
          <w:szCs w:val="24"/>
        </w:rPr>
        <w:t>DGs</w:t>
      </w:r>
      <w:r w:rsidR="07F7F3D0" w:rsidRPr="002D3322">
        <w:rPr>
          <w:rFonts w:asciiTheme="minorHAnsi" w:eastAsiaTheme="minorEastAsia" w:hAnsiTheme="minorHAnsi" w:cstheme="minorBidi"/>
          <w:color w:val="000000" w:themeColor="text1"/>
          <w:szCs w:val="24"/>
        </w:rPr>
        <w:t xml:space="preserve"> by enabling more effective service delivery, fostering innovation, and strengthening digital cooperation across borders.</w:t>
      </w:r>
    </w:p>
    <w:p w14:paraId="3160905F" w14:textId="2EB51A58" w:rsidR="002D3CFD" w:rsidRPr="002D3CFD" w:rsidRDefault="1BE0E384" w:rsidP="67DDA5A5">
      <w:pPr>
        <w:jc w:val="both"/>
        <w:rPr>
          <w:rFonts w:asciiTheme="minorHAnsi" w:eastAsia="SimSun" w:hAnsiTheme="minorHAnsi" w:cstheme="minorBidi"/>
        </w:rPr>
      </w:pPr>
      <w:r w:rsidRPr="002D3322">
        <w:rPr>
          <w:rFonts w:asciiTheme="minorHAnsi" w:eastAsiaTheme="minorEastAsia" w:hAnsiTheme="minorHAnsi" w:cstheme="minorBidi"/>
          <w:szCs w:val="24"/>
        </w:rPr>
        <w:t>7.3</w:t>
      </w:r>
      <w:r w:rsidR="00D63776">
        <w:tab/>
      </w:r>
      <w:r w:rsidR="54E122B4" w:rsidRPr="002D3322">
        <w:rPr>
          <w:rFonts w:asciiTheme="minorHAnsi" w:eastAsiaTheme="minorEastAsia" w:hAnsiTheme="minorHAnsi" w:cstheme="minorBidi"/>
          <w:szCs w:val="24"/>
        </w:rPr>
        <w:t xml:space="preserve">In January 2025, ITU and India convened </w:t>
      </w:r>
      <w:hyperlink r:id="rId39" w:anchor=":~:text=Citizen%20Stack%202025%3A%20Conference%20on,Digital%20Transformations%2029%20January%202025">
        <w:r w:rsidR="54E122B4" w:rsidRPr="002D3322">
          <w:rPr>
            <w:rStyle w:val="Hyperlink"/>
            <w:rFonts w:asciiTheme="minorHAnsi" w:eastAsiaTheme="minorEastAsia" w:hAnsiTheme="minorHAnsi" w:cstheme="minorBidi"/>
            <w:szCs w:val="24"/>
          </w:rPr>
          <w:t>the Citizen Stack Conference on Citiz</w:t>
        </w:r>
        <w:r w:rsidR="67DDA5A5" w:rsidRPr="34FC949C">
          <w:rPr>
            <w:rStyle w:val="Hyperlink"/>
            <w:rFonts w:asciiTheme="minorHAnsi" w:eastAsia="SimSun" w:hAnsiTheme="minorHAnsi" w:cstheme="minorBidi"/>
          </w:rPr>
          <w:t>en-Centric Digital Transformations</w:t>
        </w:r>
      </w:hyperlink>
      <w:r w:rsidR="54E122B4" w:rsidRPr="34FC949C">
        <w:rPr>
          <w:rFonts w:asciiTheme="minorHAnsi" w:eastAsia="SimSun" w:hAnsiTheme="minorHAnsi" w:cstheme="minorBidi"/>
        </w:rPr>
        <w:t xml:space="preserve">. On 15 September 2025, ITU-T Study Group 20 will organize a Forum on Connected by Design: Building Inclusive Digital Infrastructure for Future-Ready Cities. Later this year, ITU, together with UNDP and other partners, will convene </w:t>
      </w:r>
      <w:hyperlink r:id="rId40">
        <w:r w:rsidR="54E122B4" w:rsidRPr="34FC949C">
          <w:rPr>
            <w:rStyle w:val="Hyperlink"/>
            <w:rFonts w:asciiTheme="minorHAnsi" w:eastAsia="SimSun" w:hAnsiTheme="minorHAnsi" w:cstheme="minorBidi"/>
          </w:rPr>
          <w:t>the 2nd Global DPI Summit</w:t>
        </w:r>
      </w:hyperlink>
      <w:r w:rsidR="54E122B4" w:rsidRPr="34FC949C">
        <w:rPr>
          <w:rFonts w:asciiTheme="minorHAnsi" w:eastAsia="SimSun" w:hAnsiTheme="minorHAnsi" w:cstheme="minorBidi"/>
        </w:rPr>
        <w:t xml:space="preserve"> in South Africa. Across these efforts, ITU promotes principles of data sovereignty, open standards, and vendor-neutral systems to support resilient and equitable digital public infrastructure. ITU also serves as the knowledge partner on DPI within the G20 Digital Economy Working Group of the South African Presidency.</w:t>
      </w:r>
    </w:p>
    <w:p w14:paraId="435BA1F4" w14:textId="2BD3D3AA" w:rsidR="1B1B0167" w:rsidRDefault="7C478BC5" w:rsidP="67DDA5A5">
      <w:pPr>
        <w:pStyle w:val="Heading1"/>
        <w:jc w:val="both"/>
      </w:pPr>
      <w:r>
        <w:t>8</w:t>
      </w:r>
      <w:r w:rsidR="1B1B0167">
        <w:tab/>
      </w:r>
      <w:r w:rsidR="70A6A4EA">
        <w:t>Digital Infrastructure Investment Initiative</w:t>
      </w:r>
    </w:p>
    <w:p w14:paraId="5118180C" w14:textId="16D08C15" w:rsidR="4AFE581A" w:rsidRPr="002D3322" w:rsidRDefault="47E2C288" w:rsidP="002D3322">
      <w:pPr>
        <w:spacing w:after="120"/>
        <w:jc w:val="both"/>
        <w:rPr>
          <w:rFonts w:asciiTheme="minorHAnsi" w:eastAsiaTheme="minorEastAsia" w:hAnsiTheme="minorHAnsi" w:cstheme="minorBidi"/>
          <w:szCs w:val="24"/>
        </w:rPr>
      </w:pPr>
      <w:r w:rsidRPr="67DDA5A5">
        <w:rPr>
          <w:rFonts w:asciiTheme="minorHAnsi" w:eastAsia="SimSun" w:hAnsiTheme="minorHAnsi" w:cstheme="minorBidi"/>
        </w:rPr>
        <w:t>8.1</w:t>
      </w:r>
      <w:r w:rsidR="4AFE581A">
        <w:tab/>
      </w:r>
      <w:r w:rsidR="36E9ABAA" w:rsidRPr="002D3322">
        <w:rPr>
          <w:rFonts w:asciiTheme="minorHAnsi" w:eastAsiaTheme="minorEastAsia" w:hAnsiTheme="minorHAnsi" w:cstheme="minorBidi"/>
          <w:szCs w:val="24"/>
        </w:rPr>
        <w:t>Recognizing that the lack of physical digital infrastructure remains one of the main challenges to achieving universal and meaningful connectivity, ITU launched the Digital Infrastructure Investment initiative (DIII) in April 2024. Co-led with seven Development Finance Institutions (DFIs), the DIII identifies the key actions required to close the digital infrastructure investment gap, estimated to be at least USD 1.6 trillion, through the development of innovative financing mechanisms and platforms.</w:t>
      </w:r>
    </w:p>
    <w:p w14:paraId="6EDF3AB2" w14:textId="6EEB2806" w:rsidR="11F0307E" w:rsidRPr="002D3322" w:rsidRDefault="11F0307E" w:rsidP="002D3322">
      <w:pPr>
        <w:spacing w:after="120"/>
        <w:jc w:val="both"/>
        <w:rPr>
          <w:rFonts w:asciiTheme="minorHAnsi" w:eastAsiaTheme="minorEastAsia" w:hAnsiTheme="minorHAnsi" w:cstheme="minorBidi"/>
          <w:szCs w:val="24"/>
        </w:rPr>
      </w:pPr>
      <w:r w:rsidRPr="67DDA5A5">
        <w:rPr>
          <w:rFonts w:asciiTheme="minorHAnsi" w:eastAsiaTheme="minorEastAsia" w:hAnsiTheme="minorHAnsi" w:cstheme="minorBidi"/>
          <w:szCs w:val="24"/>
        </w:rPr>
        <w:t>8.2</w:t>
      </w:r>
      <w:r>
        <w:tab/>
      </w:r>
      <w:r w:rsidR="36E9ABAA" w:rsidRPr="002D3322">
        <w:rPr>
          <w:rFonts w:asciiTheme="minorHAnsi" w:eastAsiaTheme="minorEastAsia" w:hAnsiTheme="minorHAnsi" w:cstheme="minorBidi"/>
          <w:szCs w:val="24"/>
        </w:rPr>
        <w:t>B</w:t>
      </w:r>
      <w:r w:rsidR="36E9ABAA" w:rsidRPr="002D3322">
        <w:rPr>
          <w:rFonts w:asciiTheme="minorHAnsi" w:eastAsiaTheme="minorEastAsia" w:hAnsiTheme="minorHAnsi" w:cstheme="minorHAnsi"/>
          <w:szCs w:val="24"/>
        </w:rPr>
        <w:t xml:space="preserve">uilding on the work of the DIII, ITU has been actively engaged in the preparatory process for </w:t>
      </w:r>
      <w:hyperlink r:id="rId41" w:history="1">
        <w:r w:rsidR="36E9ABAA" w:rsidRPr="002D3322">
          <w:rPr>
            <w:rStyle w:val="Hyperlink"/>
            <w:rFonts w:asciiTheme="minorHAnsi" w:eastAsiaTheme="minorEastAsia" w:hAnsiTheme="minorHAnsi" w:cstheme="minorHAnsi"/>
            <w:szCs w:val="24"/>
          </w:rPr>
          <w:t>the upcoming Fourth International Conference on Financing for Development (FfD4)</w:t>
        </w:r>
      </w:hyperlink>
      <w:r w:rsidR="36E9ABAA" w:rsidRPr="002D3322">
        <w:rPr>
          <w:rFonts w:asciiTheme="minorHAnsi" w:eastAsiaTheme="minorEastAsia" w:hAnsiTheme="minorHAnsi" w:cstheme="minorHAnsi"/>
          <w:szCs w:val="24"/>
        </w:rPr>
        <w:t xml:space="preserve">, including the development of a </w:t>
      </w:r>
      <w:hyperlink r:id="rId42" w:history="1">
        <w:r w:rsidR="36E9ABAA" w:rsidRPr="002D3322">
          <w:rPr>
            <w:rStyle w:val="Hyperlink"/>
            <w:rFonts w:asciiTheme="minorHAnsi" w:eastAsia="Aptos" w:hAnsiTheme="minorHAnsi" w:cstheme="minorHAnsi"/>
            <w:szCs w:val="24"/>
          </w:rPr>
          <w:t>policy brief</w:t>
        </w:r>
      </w:hyperlink>
      <w:r w:rsidR="36E9ABAA" w:rsidRPr="002D3322">
        <w:rPr>
          <w:rFonts w:asciiTheme="minorHAnsi" w:eastAsiaTheme="minorEastAsia" w:hAnsiTheme="minorHAnsi" w:cstheme="minorHAnsi"/>
          <w:szCs w:val="24"/>
        </w:rPr>
        <w:t xml:space="preserve"> outlining three key initiatives to unlock investments in digital infrastructure: establishing a technical forum with development finance institutions (DFIs); launching a digital infrastructure investment transaction platform; and developing a knowledge hub on innovative financing for connectivity within Giga’s Connectivity Centre in Geneva. Several engagements will take place at the Conference (Seville, June 30 – July 3), including a side event on Strategies for Financing a Sustainable and Inclusive Connected World, in collaboration with UNCTAD, UNICEF, and the governments of Brazil, Spain, and South Africa. Through these efforts, ITU aims to strengthen collaboration among UN agencies, DFIs, the private sector, and other key stakeholders to catalyze digital infrastructure investment.</w:t>
      </w:r>
    </w:p>
    <w:p w14:paraId="76E94CCA" w14:textId="431B9507" w:rsidR="002D3CFD" w:rsidRPr="00F74D57" w:rsidRDefault="26B3162E" w:rsidP="00490E3B">
      <w:pPr>
        <w:pStyle w:val="Heading1"/>
      </w:pPr>
      <w:r w:rsidRPr="34FC949C">
        <w:rPr>
          <w:rFonts w:eastAsia="SimSun"/>
        </w:rPr>
        <w:t>9</w:t>
      </w:r>
      <w:r w:rsidR="00C42B49">
        <w:rPr>
          <w:rFonts w:eastAsia="SimSun"/>
        </w:rPr>
        <w:tab/>
      </w:r>
      <w:r w:rsidR="002D3CFD">
        <w:t>G20</w:t>
      </w:r>
    </w:p>
    <w:p w14:paraId="6F33D36C" w14:textId="329BC04B" w:rsidR="002D3CFD" w:rsidRPr="002D3CFD" w:rsidDel="00F635C2" w:rsidRDefault="002D3CFD" w:rsidP="0053226A">
      <w:pPr>
        <w:jc w:val="both"/>
        <w:rPr>
          <w:rFonts w:asciiTheme="minorHAnsi" w:eastAsiaTheme="minorEastAsia" w:hAnsiTheme="minorHAnsi" w:cstheme="minorHAnsi"/>
          <w:color w:val="000000" w:themeColor="text1"/>
          <w:szCs w:val="24"/>
        </w:rPr>
      </w:pPr>
      <w:r w:rsidRPr="0009498A">
        <w:rPr>
          <w:rFonts w:asciiTheme="minorHAnsi" w:eastAsiaTheme="minorEastAsia" w:hAnsiTheme="minorHAnsi" w:cstheme="minorHAnsi"/>
          <w:szCs w:val="24"/>
        </w:rPr>
        <w:t xml:space="preserve">ITU has been invited by the South African Presidency as a Knowledge Partner for the Digital Economy Working Group (DEWG). As a Knowledge Partner for DEWG, ITU has been a lead </w:t>
      </w:r>
      <w:r w:rsidRPr="0009498A">
        <w:t>contributor</w:t>
      </w:r>
      <w:r w:rsidRPr="0009498A">
        <w:rPr>
          <w:rFonts w:asciiTheme="minorHAnsi" w:eastAsiaTheme="minorEastAsia" w:hAnsiTheme="minorHAnsi" w:cstheme="minorHAnsi"/>
          <w:szCs w:val="24"/>
        </w:rPr>
        <w:t xml:space="preserve"> towards the presidency’s priorities related to Equitable Digital Inclusion, Digital Public Infrastructure and Transformation, Digital Innovation Ecosystems and unleashing the potential of MSMEs and Equitable, Inclusive and Just AI. ITU is also contributing to the Working Group on Disaster Risk Reduction, providing technical expertise related to digital early warning systems, resilient infrastructure, and ICT-enabled disaster preparedness strategies, reinforcing global response capabilities. Further, ITU is engaged in the AI Taskforce providing </w:t>
      </w:r>
      <w:r w:rsidRPr="0009498A">
        <w:rPr>
          <w:rFonts w:asciiTheme="minorHAnsi" w:eastAsiaTheme="minorEastAsia" w:hAnsiTheme="minorHAnsi" w:cstheme="minorHAnsi"/>
          <w:szCs w:val="24"/>
        </w:rPr>
        <w:lastRenderedPageBreak/>
        <w:t xml:space="preserve">expertise on AI governance, innovation, capacity building, and technical standards, ensuring that AI serves as a force for good. ITU has also been invited to participating in the Sherpa meetings of the G20. Beyond these engagements, ITU has partnered with the Presidency </w:t>
      </w:r>
      <w:r w:rsidR="0009498A">
        <w:rPr>
          <w:rFonts w:asciiTheme="minorHAnsi" w:eastAsiaTheme="minorEastAsia" w:hAnsiTheme="minorHAnsi" w:cstheme="minorHAnsi"/>
          <w:szCs w:val="24"/>
        </w:rPr>
        <w:t>s</w:t>
      </w:r>
      <w:r w:rsidRPr="0009498A">
        <w:rPr>
          <w:rFonts w:asciiTheme="minorHAnsi" w:eastAsiaTheme="minorEastAsia" w:hAnsiTheme="minorHAnsi" w:cstheme="minorHAnsi"/>
          <w:szCs w:val="24"/>
        </w:rPr>
        <w:t xml:space="preserve">ecretariat to organize training programs for chairs and scribes, enhancing the efficiency of the G20 process. </w:t>
      </w:r>
    </w:p>
    <w:p w14:paraId="3242C1C2" w14:textId="7EE56056" w:rsidR="002D3CFD" w:rsidRPr="00F74D57" w:rsidRDefault="2AF35D3E" w:rsidP="0053226A">
      <w:pPr>
        <w:pStyle w:val="Heading1"/>
      </w:pPr>
      <w:r w:rsidRPr="34FC949C">
        <w:rPr>
          <w:rFonts w:eastAsia="SimSun"/>
        </w:rPr>
        <w:t>10</w:t>
      </w:r>
      <w:r w:rsidR="000B6197">
        <w:rPr>
          <w:rFonts w:eastAsia="SimSun"/>
        </w:rPr>
        <w:tab/>
      </w:r>
      <w:r w:rsidR="002D3CFD">
        <w:t xml:space="preserve">Human rights and </w:t>
      </w:r>
      <w:r w:rsidR="0053226A">
        <w:t>technology</w:t>
      </w:r>
    </w:p>
    <w:p w14:paraId="460FFC21" w14:textId="7798AC89" w:rsidR="002D3CFD" w:rsidRPr="002D3CFD" w:rsidRDefault="20DC676A" w:rsidP="34FC949C">
      <w:pPr>
        <w:jc w:val="both"/>
        <w:rPr>
          <w:rFonts w:asciiTheme="minorHAnsi" w:eastAsiaTheme="minorEastAsia" w:hAnsiTheme="minorHAnsi" w:cstheme="minorBidi"/>
          <w:color w:val="000000" w:themeColor="text1"/>
        </w:rPr>
      </w:pPr>
      <w:bookmarkStart w:id="12" w:name="_Hlk196307203"/>
      <w:r w:rsidRPr="34FC949C">
        <w:rPr>
          <w:rFonts w:asciiTheme="minorHAnsi" w:eastAsiaTheme="minorEastAsia" w:hAnsiTheme="minorHAnsi" w:cstheme="minorBidi"/>
        </w:rPr>
        <w:t>10</w:t>
      </w:r>
      <w:r w:rsidR="002D3CFD" w:rsidRPr="34FC949C">
        <w:rPr>
          <w:rFonts w:asciiTheme="minorHAnsi" w:eastAsiaTheme="minorEastAsia" w:hAnsiTheme="minorHAnsi" w:cstheme="minorBidi"/>
          <w:lang w:val="en-US"/>
        </w:rPr>
        <w:t>.1</w:t>
      </w:r>
      <w:r w:rsidR="00C5051F">
        <w:tab/>
      </w:r>
      <w:r w:rsidR="002D3CFD" w:rsidRPr="34FC949C">
        <w:rPr>
          <w:rFonts w:asciiTheme="minorHAnsi" w:eastAsiaTheme="minorEastAsia" w:hAnsiTheme="minorHAnsi" w:cstheme="minorBidi"/>
          <w:color w:val="000000" w:themeColor="text1"/>
        </w:rPr>
        <w:t xml:space="preserve">At the </w:t>
      </w:r>
      <w:r w:rsidR="00030CD0" w:rsidRPr="34FC949C">
        <w:rPr>
          <w:rFonts w:asciiTheme="minorHAnsi" w:eastAsiaTheme="minorEastAsia" w:hAnsiTheme="minorHAnsi" w:cstheme="minorBidi"/>
          <w:color w:val="000000" w:themeColor="text1"/>
        </w:rPr>
        <w:t>World Telecommunication Standardization Assembly (</w:t>
      </w:r>
      <w:r w:rsidR="002D3CFD" w:rsidRPr="34FC949C">
        <w:rPr>
          <w:rFonts w:asciiTheme="minorHAnsi" w:eastAsiaTheme="minorEastAsia" w:hAnsiTheme="minorHAnsi" w:cstheme="minorBidi"/>
          <w:color w:val="000000" w:themeColor="text1"/>
        </w:rPr>
        <w:t>WTSA-24</w:t>
      </w:r>
      <w:r w:rsidR="00030CD0" w:rsidRPr="34FC949C">
        <w:rPr>
          <w:rFonts w:asciiTheme="minorHAnsi" w:eastAsiaTheme="minorEastAsia" w:hAnsiTheme="minorHAnsi" w:cstheme="minorBidi"/>
          <w:color w:val="000000" w:themeColor="text1"/>
        </w:rPr>
        <w:t>)</w:t>
      </w:r>
      <w:r w:rsidR="002D3CFD" w:rsidRPr="34FC949C">
        <w:rPr>
          <w:rFonts w:asciiTheme="minorHAnsi" w:eastAsiaTheme="minorEastAsia" w:hAnsiTheme="minorHAnsi" w:cstheme="minorBidi"/>
          <w:color w:val="000000" w:themeColor="text1"/>
        </w:rPr>
        <w:t xml:space="preserve"> in New Delhi, </w:t>
      </w:r>
      <w:r w:rsidR="00030CD0" w:rsidRPr="34FC949C">
        <w:rPr>
          <w:rFonts w:asciiTheme="minorHAnsi" w:eastAsiaTheme="minorEastAsia" w:hAnsiTheme="minorHAnsi" w:cstheme="minorBidi"/>
          <w:color w:val="000000" w:themeColor="text1"/>
        </w:rPr>
        <w:t xml:space="preserve">India, </w:t>
      </w:r>
      <w:r w:rsidR="002D3CFD" w:rsidRPr="34FC949C">
        <w:rPr>
          <w:rFonts w:asciiTheme="minorHAnsi" w:eastAsiaTheme="minorEastAsia" w:hAnsiTheme="minorHAnsi" w:cstheme="minorBidi"/>
          <w:color w:val="000000" w:themeColor="text1"/>
        </w:rPr>
        <w:t xml:space="preserve">human rights were referenced for the first time in ITU resolutions—one explicitly focused on the </w:t>
      </w:r>
      <w:hyperlink r:id="rId43">
        <w:r w:rsidR="002D3CFD" w:rsidRPr="34FC949C">
          <w:rPr>
            <w:rStyle w:val="Hyperlink"/>
          </w:rPr>
          <w:t>metaverse</w:t>
        </w:r>
      </w:hyperlink>
      <w:r w:rsidR="002D3CFD" w:rsidRPr="34FC949C">
        <w:rPr>
          <w:rFonts w:asciiTheme="minorHAnsi" w:eastAsiaTheme="minorEastAsia" w:hAnsiTheme="minorHAnsi" w:cstheme="minorBidi"/>
          <w:color w:val="000000" w:themeColor="text1"/>
        </w:rPr>
        <w:t xml:space="preserve">, and another addressing the trustworthiness requirements embedded in </w:t>
      </w:r>
      <w:hyperlink r:id="rId44">
        <w:r w:rsidR="002D3CFD" w:rsidRPr="34FC949C">
          <w:rPr>
            <w:rStyle w:val="Hyperlink"/>
          </w:rPr>
          <w:t>AI technical standards</w:t>
        </w:r>
      </w:hyperlink>
      <w:r w:rsidR="002D3CFD" w:rsidRPr="34FC949C">
        <w:rPr>
          <w:rFonts w:asciiTheme="minorHAnsi" w:eastAsiaTheme="minorEastAsia" w:hAnsiTheme="minorHAnsi" w:cstheme="minorBidi"/>
          <w:color w:val="000000" w:themeColor="text1"/>
        </w:rPr>
        <w:t xml:space="preserve">. A </w:t>
      </w:r>
      <w:hyperlink r:id="rId45">
        <w:r w:rsidR="002D3CFD" w:rsidRPr="34FC949C">
          <w:rPr>
            <w:rStyle w:val="Hyperlink"/>
          </w:rPr>
          <w:t>side event</w:t>
        </w:r>
      </w:hyperlink>
      <w:r w:rsidR="002D3CFD" w:rsidRPr="34FC949C">
        <w:rPr>
          <w:rFonts w:asciiTheme="minorHAnsi" w:eastAsiaTheme="minorEastAsia" w:hAnsiTheme="minorHAnsi" w:cstheme="minorBidi"/>
          <w:color w:val="000000" w:themeColor="text1"/>
        </w:rPr>
        <w:t xml:space="preserve"> co-organized with </w:t>
      </w:r>
      <w:r w:rsidR="002D3CFD">
        <w:t>OHCHR</w:t>
      </w:r>
      <w:r w:rsidR="002D3CFD" w:rsidRPr="34FC949C">
        <w:rPr>
          <w:rFonts w:asciiTheme="minorHAnsi" w:eastAsiaTheme="minorEastAsia" w:hAnsiTheme="minorHAnsi" w:cstheme="minorBidi"/>
          <w:color w:val="000000" w:themeColor="text1"/>
        </w:rPr>
        <w:t>, the EU, France, and the Czech Republic gathered 120+ participants and generated recommendations to embed human rights in standards, enhance participation, and institutionalize risk assessments.</w:t>
      </w:r>
    </w:p>
    <w:p w14:paraId="6E4850DB" w14:textId="371FF6C9" w:rsidR="002D3CFD" w:rsidRPr="002D3CFD" w:rsidRDefault="0FF1D353" w:rsidP="34FC949C">
      <w:pPr>
        <w:jc w:val="both"/>
        <w:rPr>
          <w:rFonts w:asciiTheme="minorHAnsi" w:eastAsiaTheme="minorEastAsia" w:hAnsiTheme="minorHAnsi" w:cstheme="minorBidi"/>
        </w:rPr>
      </w:pPr>
      <w:r w:rsidRPr="34FC949C">
        <w:rPr>
          <w:rFonts w:asciiTheme="minorHAnsi" w:eastAsiaTheme="minorEastAsia" w:hAnsiTheme="minorHAnsi" w:cstheme="minorBidi"/>
          <w:color w:val="000000" w:themeColor="text1"/>
        </w:rPr>
        <w:t>10</w:t>
      </w:r>
      <w:r w:rsidR="002D3CFD" w:rsidRPr="34FC949C">
        <w:rPr>
          <w:rFonts w:asciiTheme="minorHAnsi" w:eastAsiaTheme="minorEastAsia" w:hAnsiTheme="minorHAnsi" w:cstheme="minorBidi"/>
          <w:color w:val="000000" w:themeColor="text1"/>
        </w:rPr>
        <w:t>.2</w:t>
      </w:r>
      <w:r w:rsidR="0053226A">
        <w:rPr>
          <w:rFonts w:asciiTheme="minorHAnsi" w:eastAsiaTheme="minorEastAsia" w:hAnsiTheme="minorHAnsi" w:cstheme="minorHAnsi"/>
          <w:color w:val="000000" w:themeColor="text1"/>
          <w:szCs w:val="24"/>
        </w:rPr>
        <w:tab/>
      </w:r>
      <w:r w:rsidR="002D3CFD" w:rsidRPr="34FC949C">
        <w:rPr>
          <w:rFonts w:asciiTheme="minorHAnsi" w:eastAsiaTheme="minorEastAsia" w:hAnsiTheme="minorHAnsi" w:cstheme="minorBidi"/>
          <w:color w:val="000000" w:themeColor="text1"/>
        </w:rPr>
        <w:t xml:space="preserve">In 2025, ITU strengthened its collaboration with OHCHR to integrate human rights into technical standards. It contributed to a key side event at </w:t>
      </w:r>
      <w:hyperlink r:id="rId46" w:history="1">
        <w:r w:rsidR="002D3CFD" w:rsidRPr="002047C0">
          <w:rPr>
            <w:rStyle w:val="Hyperlink"/>
          </w:rPr>
          <w:t>Human Rights Council 58</w:t>
        </w:r>
      </w:hyperlink>
      <w:r w:rsidR="002D3CFD" w:rsidRPr="34FC949C">
        <w:rPr>
          <w:rFonts w:asciiTheme="minorHAnsi" w:eastAsiaTheme="minorEastAsia" w:hAnsiTheme="minorHAnsi" w:cstheme="minorBidi"/>
          <w:color w:val="000000" w:themeColor="text1"/>
        </w:rPr>
        <w:t>, highlighting inter-</w:t>
      </w:r>
      <w:r w:rsidR="002D3CFD" w:rsidRPr="0053226A">
        <w:t>agency</w:t>
      </w:r>
      <w:r w:rsidR="002D3CFD" w:rsidRPr="34FC949C">
        <w:rPr>
          <w:rFonts w:asciiTheme="minorHAnsi" w:eastAsiaTheme="minorEastAsia" w:hAnsiTheme="minorHAnsi" w:cstheme="minorBidi"/>
          <w:color w:val="000000" w:themeColor="text1"/>
        </w:rPr>
        <w:t xml:space="preserve"> collaboration, the need for a Human Rights Advisory Service, and alignment with the Global Digital Compact. ITU also participated in the </w:t>
      </w:r>
      <w:hyperlink r:id="rId47" w:history="1">
        <w:r w:rsidR="002D3CFD" w:rsidRPr="002047C0">
          <w:rPr>
            <w:rStyle w:val="Hyperlink"/>
          </w:rPr>
          <w:t>OECD AI Governance Summit</w:t>
        </w:r>
      </w:hyperlink>
      <w:r w:rsidR="002D3CFD" w:rsidRPr="34FC949C">
        <w:rPr>
          <w:rFonts w:asciiTheme="minorHAnsi" w:eastAsiaTheme="minorEastAsia" w:hAnsiTheme="minorHAnsi" w:cstheme="minorBidi"/>
          <w:color w:val="000000" w:themeColor="text1"/>
        </w:rPr>
        <w:t xml:space="preserve"> and the </w:t>
      </w:r>
      <w:hyperlink r:id="rId48" w:history="1">
        <w:r w:rsidR="002D3CFD" w:rsidRPr="002047C0">
          <w:rPr>
            <w:rStyle w:val="Hyperlink"/>
          </w:rPr>
          <w:t>AI Standards Hub Global Summit</w:t>
        </w:r>
      </w:hyperlink>
      <w:r w:rsidR="002D3CFD" w:rsidRPr="34FC949C">
        <w:rPr>
          <w:rFonts w:asciiTheme="minorHAnsi" w:eastAsiaTheme="minorEastAsia" w:hAnsiTheme="minorHAnsi" w:cstheme="minorBidi"/>
          <w:color w:val="000000" w:themeColor="text1"/>
        </w:rPr>
        <w:t xml:space="preserve">—both co-organized with OHCHR—to promote rights-based </w:t>
      </w:r>
      <w:r w:rsidR="002D3CFD" w:rsidRPr="34FC949C">
        <w:rPr>
          <w:rFonts w:asciiTheme="minorHAnsi" w:eastAsiaTheme="minorEastAsia" w:hAnsiTheme="minorHAnsi" w:cstheme="minorBidi"/>
          <w:color w:val="000000" w:themeColor="text1"/>
          <w:spacing w:val="2"/>
        </w:rPr>
        <w:t>AI standardization and inclusive multilateral cooperation. More details are available in the</w:t>
      </w:r>
      <w:r w:rsidR="002D3CFD" w:rsidRPr="34FC949C">
        <w:rPr>
          <w:rFonts w:asciiTheme="minorHAnsi" w:eastAsiaTheme="minorEastAsia" w:hAnsiTheme="minorHAnsi" w:cstheme="minorBidi"/>
          <w:color w:val="000000" w:themeColor="text1"/>
        </w:rPr>
        <w:t xml:space="preserve"> </w:t>
      </w:r>
      <w:hyperlink r:id="rId49" w:history="1">
        <w:r w:rsidR="002D3CFD" w:rsidRPr="002047C0">
          <w:rPr>
            <w:rStyle w:val="Hyperlink"/>
          </w:rPr>
          <w:t>ITU-T report to TSAG</w:t>
        </w:r>
      </w:hyperlink>
      <w:r w:rsidR="002D3CFD" w:rsidRPr="34FC949C">
        <w:rPr>
          <w:rFonts w:asciiTheme="minorHAnsi" w:eastAsiaTheme="minorEastAsia" w:hAnsiTheme="minorHAnsi" w:cstheme="minorBidi"/>
          <w:color w:val="000000" w:themeColor="text1"/>
        </w:rPr>
        <w:t>.</w:t>
      </w:r>
    </w:p>
    <w:bookmarkEnd w:id="12"/>
    <w:p w14:paraId="6752DDB6" w14:textId="252E6A2B" w:rsidR="002D3CFD" w:rsidRPr="002D3CFD" w:rsidRDefault="00D63776" w:rsidP="0053226A">
      <w:pPr>
        <w:pStyle w:val="Heading1"/>
      </w:pPr>
      <w:r w:rsidRPr="34FC949C">
        <w:rPr>
          <w:rStyle w:val="normaltextrun"/>
          <w:rFonts w:asciiTheme="minorHAnsi" w:hAnsiTheme="minorHAnsi" w:cstheme="minorBidi"/>
        </w:rPr>
        <w:t>1</w:t>
      </w:r>
      <w:r w:rsidR="14AC6CD7" w:rsidRPr="34FC949C">
        <w:rPr>
          <w:rStyle w:val="normaltextrun"/>
          <w:rFonts w:asciiTheme="minorHAnsi" w:hAnsiTheme="minorHAnsi" w:cstheme="minorBidi"/>
        </w:rPr>
        <w:t>1</w:t>
      </w:r>
      <w:r>
        <w:tab/>
      </w:r>
      <w:r w:rsidR="002D3CFD" w:rsidRPr="34FC949C">
        <w:rPr>
          <w:rStyle w:val="normaltextrun"/>
        </w:rPr>
        <w:t>Standards</w:t>
      </w:r>
      <w:r w:rsidR="002D3CFD" w:rsidRPr="34FC949C">
        <w:rPr>
          <w:rStyle w:val="normaltextrun"/>
          <w:rFonts w:asciiTheme="minorHAnsi" w:hAnsiTheme="minorHAnsi" w:cstheme="minorBidi"/>
        </w:rPr>
        <w:t xml:space="preserve"> Development and related activities</w:t>
      </w:r>
    </w:p>
    <w:p w14:paraId="71108E91" w14:textId="00ABABD2" w:rsidR="002D3CFD" w:rsidRPr="002D3CFD" w:rsidRDefault="00D63776" w:rsidP="34FC949C">
      <w:pPr>
        <w:jc w:val="both"/>
        <w:rPr>
          <w:rFonts w:asciiTheme="minorHAnsi" w:hAnsiTheme="minorHAnsi" w:cstheme="minorBidi"/>
        </w:rPr>
      </w:pPr>
      <w:r w:rsidRPr="34FC949C">
        <w:rPr>
          <w:rStyle w:val="normaltextrun"/>
          <w:rFonts w:asciiTheme="minorHAnsi" w:hAnsiTheme="minorHAnsi" w:cstheme="minorBidi"/>
        </w:rPr>
        <w:t>1</w:t>
      </w:r>
      <w:r w:rsidR="2DF52707" w:rsidRPr="34FC949C">
        <w:rPr>
          <w:rStyle w:val="normaltextrun"/>
          <w:rFonts w:asciiTheme="minorHAnsi" w:hAnsiTheme="minorHAnsi" w:cstheme="minorBidi"/>
        </w:rPr>
        <w:t>1</w:t>
      </w:r>
      <w:r w:rsidR="002D3CFD" w:rsidRPr="34FC949C">
        <w:rPr>
          <w:rStyle w:val="normaltextrun"/>
          <w:rFonts w:asciiTheme="minorHAnsi" w:hAnsiTheme="minorHAnsi" w:cstheme="minorBidi"/>
        </w:rPr>
        <w:t>.1</w:t>
      </w:r>
      <w:r>
        <w:tab/>
      </w:r>
      <w:r w:rsidR="002D3CFD" w:rsidRPr="34FC949C">
        <w:rPr>
          <w:rStyle w:val="normaltextrun"/>
          <w:rFonts w:asciiTheme="minorHAnsi" w:hAnsiTheme="minorHAnsi" w:cstheme="minorBidi"/>
        </w:rPr>
        <w:t>The Radiocommunication Bureau’s (BR) work with regional telecommunications organizations (RTOs) is an integral part of global preparations for World Radiocommunication Conferences (WRCs) and supports capacity-building within the regions. In coordination with ITU Regional Offices, BR collaborates with RTOs on the delivery of capacity-building events for the ITU membership in their region</w:t>
      </w:r>
      <w:r w:rsidR="002D3CFD" w:rsidRPr="34FC949C">
        <w:rPr>
          <w:rStyle w:val="normaltextrun"/>
          <w:rFonts w:asciiTheme="minorHAnsi" w:hAnsiTheme="minorHAnsi" w:cstheme="minorBidi"/>
          <w:lang w:eastAsia="ko-KR"/>
        </w:rPr>
        <w:t>, while t</w:t>
      </w:r>
      <w:r w:rsidR="002D3CFD" w:rsidRPr="34FC949C">
        <w:rPr>
          <w:rStyle w:val="normaltextrun"/>
          <w:rFonts w:asciiTheme="minorHAnsi" w:hAnsiTheme="minorHAnsi" w:cstheme="minorBidi"/>
        </w:rPr>
        <w:t xml:space="preserve">he RTOs coordinate the development of </w:t>
      </w:r>
      <w:r w:rsidR="002D3CFD" w:rsidRPr="34FC949C">
        <w:rPr>
          <w:rStyle w:val="normaltextrun"/>
          <w:rFonts w:asciiTheme="minorHAnsi" w:hAnsiTheme="minorHAnsi" w:cstheme="minorBidi"/>
          <w:lang w:eastAsia="ko-KR"/>
        </w:rPr>
        <w:t xml:space="preserve">regional </w:t>
      </w:r>
      <w:r w:rsidR="002D3CFD" w:rsidRPr="34FC949C">
        <w:rPr>
          <w:rStyle w:val="normaltextrun"/>
          <w:rFonts w:asciiTheme="minorHAnsi" w:hAnsiTheme="minorHAnsi" w:cstheme="minorBidi"/>
        </w:rPr>
        <w:t>proposals from their Member States to the WRC. Also, the RTOs actively facilitate consensus-building between and amongst regions and facilitate consensus-building and decision-making at WRCs.</w:t>
      </w:r>
    </w:p>
    <w:p w14:paraId="233A4FC2" w14:textId="54EB539B" w:rsidR="002D3CFD" w:rsidRPr="00490E3B" w:rsidRDefault="00D63776" w:rsidP="34FC949C">
      <w:pPr>
        <w:jc w:val="both"/>
        <w:rPr>
          <w:rFonts w:asciiTheme="minorHAnsi" w:eastAsia="Malgun Gothic" w:hAnsiTheme="minorHAnsi" w:cstheme="minorBidi"/>
          <w:lang w:eastAsia="ko-KR"/>
        </w:rPr>
      </w:pPr>
      <w:r w:rsidRPr="34FC949C">
        <w:rPr>
          <w:rStyle w:val="normaltextrun"/>
          <w:rFonts w:asciiTheme="minorHAnsi" w:hAnsiTheme="minorHAnsi" w:cstheme="minorBidi"/>
        </w:rPr>
        <w:t>1</w:t>
      </w:r>
      <w:r w:rsidR="0ADB348D" w:rsidRPr="34FC949C">
        <w:rPr>
          <w:rStyle w:val="normaltextrun"/>
          <w:rFonts w:asciiTheme="minorHAnsi" w:hAnsiTheme="minorHAnsi" w:cstheme="minorBidi"/>
        </w:rPr>
        <w:t>1</w:t>
      </w:r>
      <w:r w:rsidR="002D3CFD" w:rsidRPr="34FC949C">
        <w:rPr>
          <w:rStyle w:val="normaltextrun"/>
          <w:rFonts w:asciiTheme="minorHAnsi" w:hAnsiTheme="minorHAnsi" w:cstheme="minorBidi"/>
        </w:rPr>
        <w:t>.2</w:t>
      </w:r>
      <w:r>
        <w:tab/>
      </w:r>
      <w:r w:rsidR="002D3CFD" w:rsidRPr="34FC949C">
        <w:rPr>
          <w:rStyle w:val="normaltextrun"/>
          <w:rFonts w:asciiTheme="minorHAnsi" w:hAnsiTheme="minorHAnsi" w:cstheme="minorBidi"/>
        </w:rPr>
        <w:t xml:space="preserve">The Intergovernmental Organizations (e.g. ICAO, IMO, IALA, IATA, IMSO, BIPM) participate in the ITU-R Study Groups and </w:t>
      </w:r>
      <w:r w:rsidR="002D3CFD" w:rsidRPr="34FC949C">
        <w:rPr>
          <w:rStyle w:val="normaltextrun"/>
          <w:rFonts w:asciiTheme="minorHAnsi" w:hAnsiTheme="minorHAnsi" w:cstheme="minorBidi"/>
          <w:lang w:eastAsia="ko-KR"/>
        </w:rPr>
        <w:t>provide advisory input</w:t>
      </w:r>
      <w:r w:rsidR="002D3CFD" w:rsidRPr="34FC949C">
        <w:rPr>
          <w:rStyle w:val="normaltextrun"/>
          <w:rFonts w:asciiTheme="minorHAnsi" w:hAnsiTheme="minorHAnsi" w:cstheme="minorBidi"/>
        </w:rPr>
        <w:t xml:space="preserve"> at WRCs to resolve agenda items </w:t>
      </w:r>
      <w:r w:rsidR="002D3CFD" w:rsidRPr="34FC949C">
        <w:rPr>
          <w:rStyle w:val="normaltextrun"/>
          <w:rFonts w:asciiTheme="minorHAnsi" w:hAnsiTheme="minorHAnsi" w:cstheme="minorBidi"/>
          <w:lang w:eastAsia="ko-KR"/>
        </w:rPr>
        <w:t>i</w:t>
      </w:r>
      <w:r w:rsidR="002D3CFD" w:rsidRPr="34FC949C">
        <w:rPr>
          <w:rStyle w:val="normaltextrun"/>
          <w:rFonts w:asciiTheme="minorHAnsi" w:hAnsiTheme="minorHAnsi" w:cstheme="minorBidi"/>
        </w:rPr>
        <w:t>mpact</w:t>
      </w:r>
      <w:r w:rsidR="002D3CFD" w:rsidRPr="34FC949C">
        <w:rPr>
          <w:rStyle w:val="normaltextrun"/>
          <w:rFonts w:asciiTheme="minorHAnsi" w:hAnsiTheme="minorHAnsi" w:cstheme="minorBidi"/>
          <w:lang w:eastAsia="ko-KR"/>
        </w:rPr>
        <w:t>ing</w:t>
      </w:r>
      <w:r w:rsidR="002D3CFD" w:rsidRPr="34FC949C">
        <w:rPr>
          <w:rStyle w:val="normaltextrun"/>
          <w:rFonts w:asciiTheme="minorHAnsi" w:hAnsiTheme="minorHAnsi" w:cstheme="minorBidi"/>
        </w:rPr>
        <w:t xml:space="preserve"> </w:t>
      </w:r>
      <w:r w:rsidR="002D3CFD" w:rsidRPr="34FC949C">
        <w:rPr>
          <w:rStyle w:val="normaltextrun"/>
          <w:rFonts w:asciiTheme="minorHAnsi" w:hAnsiTheme="minorHAnsi" w:cstheme="minorBidi"/>
          <w:lang w:eastAsia="ko-KR"/>
        </w:rPr>
        <w:t>t</w:t>
      </w:r>
      <w:r w:rsidR="002D3CFD" w:rsidRPr="34FC949C">
        <w:rPr>
          <w:rStyle w:val="normaltextrun"/>
          <w:rFonts w:asciiTheme="minorHAnsi" w:hAnsiTheme="minorHAnsi" w:cstheme="minorBidi"/>
        </w:rPr>
        <w:t>heir mandates.</w:t>
      </w:r>
      <w:r w:rsidR="002D3CFD" w:rsidRPr="34FC949C">
        <w:rPr>
          <w:rStyle w:val="normaltextrun"/>
          <w:rFonts w:asciiTheme="minorHAnsi" w:eastAsia="Malgun Gothic" w:hAnsiTheme="minorHAnsi" w:cstheme="minorBidi"/>
          <w:lang w:eastAsia="ko-KR"/>
        </w:rPr>
        <w:t xml:space="preserve"> ITU also </w:t>
      </w:r>
      <w:r w:rsidR="002D3CFD" w:rsidRPr="34FC949C">
        <w:rPr>
          <w:rFonts w:asciiTheme="minorHAnsi" w:eastAsia="Malgun Gothic" w:hAnsiTheme="minorHAnsi" w:cstheme="minorBidi"/>
          <w:lang w:eastAsia="ko-KR"/>
        </w:rPr>
        <w:t xml:space="preserve">collaborated with ICAO’s Frequency Spectrum Management Panel (FSMP) in the various areas, including WRC-27 preparation and harmful interference affecting aeronautical safety services and GNSS. In this respect, ITU, ICAO and IMO issued </w:t>
      </w:r>
      <w:hyperlink r:id="rId50">
        <w:r w:rsidR="002D3CFD" w:rsidRPr="34FC949C">
          <w:rPr>
            <w:rStyle w:val="Hyperlink"/>
            <w:rFonts w:asciiTheme="minorHAnsi" w:eastAsia="Malgun Gothic" w:hAnsiTheme="minorHAnsi" w:cstheme="minorBidi"/>
            <w:lang w:eastAsia="ko-KR"/>
          </w:rPr>
          <w:t xml:space="preserve">a joint </w:t>
        </w:r>
        <w:r w:rsidR="002D3CFD" w:rsidRPr="34FC949C">
          <w:rPr>
            <w:rStyle w:val="Hyperlink"/>
          </w:rPr>
          <w:t>statement</w:t>
        </w:r>
      </w:hyperlink>
      <w:r w:rsidR="002D3CFD" w:rsidRPr="34FC949C">
        <w:rPr>
          <w:rFonts w:asciiTheme="minorHAnsi" w:eastAsia="Malgun Gothic" w:hAnsiTheme="minorHAnsi" w:cstheme="minorBidi"/>
          <w:lang w:eastAsia="ko-KR"/>
        </w:rPr>
        <w:t xml:space="preserve"> to raise grave concern about the rising cases of harmful interference to RNSS that supports accurate global navigation and timekeeping. This concern was also communicated to the UN Secretary-General. Additionally, ITU joined ICAO’s initiative on the harmonization of the unmanned aviation systems (UAS) framework in support of UN mission, mandate and objective </w:t>
      </w:r>
      <w:r w:rsidR="002D3CFD" w:rsidRPr="34FC949C">
        <w:rPr>
          <w:rFonts w:asciiTheme="minorHAnsi" w:eastAsia="Calibri" w:hAnsiTheme="minorHAnsi" w:cstheme="minorBidi"/>
          <w:lang w:val="en-US"/>
        </w:rPr>
        <w:t xml:space="preserve">More details can be found in Document </w:t>
      </w:r>
      <w:hyperlink r:id="rId51">
        <w:r w:rsidR="002D3CFD" w:rsidRPr="34FC949C">
          <w:rPr>
            <w:rStyle w:val="Hyperlink"/>
            <w:rFonts w:asciiTheme="minorHAnsi" w:eastAsia="Calibri" w:hAnsiTheme="minorHAnsi" w:cstheme="minorBidi"/>
            <w:lang w:val="en-US"/>
          </w:rPr>
          <w:t>C25/INF/8</w:t>
        </w:r>
      </w:hyperlink>
      <w:r w:rsidR="002D3CFD" w:rsidRPr="34FC949C">
        <w:rPr>
          <w:rFonts w:asciiTheme="minorHAnsi" w:eastAsia="Calibri" w:hAnsiTheme="minorHAnsi" w:cstheme="minorBidi"/>
          <w:lang w:val="en-US"/>
        </w:rPr>
        <w:t>.</w:t>
      </w:r>
    </w:p>
    <w:p w14:paraId="0F127B5A" w14:textId="62F3439D" w:rsidR="002D3CFD" w:rsidRPr="00490E3B" w:rsidRDefault="00D63776" w:rsidP="34FC949C">
      <w:pPr>
        <w:jc w:val="both"/>
        <w:rPr>
          <w:rFonts w:asciiTheme="minorHAnsi" w:eastAsia="Calibri" w:hAnsiTheme="minorHAnsi" w:cstheme="minorBidi"/>
          <w:lang w:val="en-US"/>
        </w:rPr>
      </w:pPr>
      <w:r w:rsidRPr="34FC949C">
        <w:rPr>
          <w:rStyle w:val="normaltextrun"/>
          <w:rFonts w:asciiTheme="minorHAnsi" w:hAnsiTheme="minorHAnsi" w:cstheme="minorBidi"/>
        </w:rPr>
        <w:t>1</w:t>
      </w:r>
      <w:r w:rsidR="609DDD0D" w:rsidRPr="34FC949C">
        <w:rPr>
          <w:rStyle w:val="normaltextrun"/>
          <w:rFonts w:asciiTheme="minorHAnsi" w:hAnsiTheme="minorHAnsi" w:cstheme="minorBidi"/>
        </w:rPr>
        <w:t>1</w:t>
      </w:r>
      <w:r w:rsidR="002D3CFD" w:rsidRPr="34FC949C">
        <w:rPr>
          <w:rStyle w:val="normaltextrun"/>
          <w:rFonts w:asciiTheme="minorHAnsi" w:hAnsiTheme="minorHAnsi" w:cstheme="minorBidi"/>
        </w:rPr>
        <w:t>.3</w:t>
      </w:r>
      <w:r>
        <w:tab/>
      </w:r>
      <w:r w:rsidR="002D3CFD" w:rsidRPr="34FC949C">
        <w:rPr>
          <w:rStyle w:val="normaltextrun"/>
          <w:rFonts w:asciiTheme="minorHAnsi" w:hAnsiTheme="minorHAnsi" w:cstheme="minorBidi"/>
        </w:rPr>
        <w:t xml:space="preserve">In the area of standards development, ITU-R cooperates with several </w:t>
      </w:r>
      <w:r w:rsidR="00725F11" w:rsidRPr="34FC949C">
        <w:rPr>
          <w:rStyle w:val="normaltextrun"/>
          <w:rFonts w:asciiTheme="minorHAnsi" w:hAnsiTheme="minorHAnsi" w:cstheme="minorBidi"/>
        </w:rPr>
        <w:t xml:space="preserve">standards development </w:t>
      </w:r>
      <w:r w:rsidR="00725F11">
        <w:t>organizations</w:t>
      </w:r>
      <w:r w:rsidR="00725F11" w:rsidRPr="34FC949C">
        <w:rPr>
          <w:rStyle w:val="normaltextrun"/>
          <w:rFonts w:asciiTheme="minorHAnsi" w:hAnsiTheme="minorHAnsi" w:cstheme="minorBidi"/>
        </w:rPr>
        <w:t xml:space="preserve"> (SD</w:t>
      </w:r>
      <w:r w:rsidR="002D3CFD" w:rsidRPr="34FC949C">
        <w:rPr>
          <w:rStyle w:val="normaltextrun"/>
          <w:rFonts w:asciiTheme="minorHAnsi" w:hAnsiTheme="minorHAnsi" w:cstheme="minorBidi"/>
        </w:rPr>
        <w:t>Os</w:t>
      </w:r>
      <w:r w:rsidR="00725F11" w:rsidRPr="34FC949C">
        <w:rPr>
          <w:rStyle w:val="normaltextrun"/>
          <w:rFonts w:asciiTheme="minorHAnsi" w:hAnsiTheme="minorHAnsi" w:cstheme="minorBidi"/>
        </w:rPr>
        <w:t>)</w:t>
      </w:r>
      <w:r w:rsidR="002D3CFD" w:rsidRPr="34FC949C">
        <w:rPr>
          <w:rStyle w:val="normaltextrun"/>
          <w:rFonts w:asciiTheme="minorHAnsi" w:hAnsiTheme="minorHAnsi" w:cstheme="minorBidi"/>
        </w:rPr>
        <w:t xml:space="preserve"> towards the development of international standards in the </w:t>
      </w:r>
      <w:r w:rsidR="002D3CFD" w:rsidRPr="34FC949C">
        <w:rPr>
          <w:rStyle w:val="normaltextrun"/>
          <w:rFonts w:asciiTheme="minorHAnsi" w:hAnsiTheme="minorHAnsi" w:cstheme="minorBidi"/>
        </w:rPr>
        <w:lastRenderedPageBreak/>
        <w:t>field of Radiocommunication mobile technologies (e.g. 5G, and future 6G standards) as well as standards for Intelligent Transport Systems.</w:t>
      </w:r>
    </w:p>
    <w:p w14:paraId="5312F62C" w14:textId="2975CF54" w:rsidR="002D3CFD" w:rsidRPr="002D3CFD" w:rsidRDefault="00D63776" w:rsidP="002D3322">
      <w:pPr>
        <w:spacing w:after="120"/>
        <w:jc w:val="both"/>
        <w:rPr>
          <w:rFonts w:asciiTheme="minorHAnsi" w:eastAsia="Malgun Gothic" w:hAnsiTheme="minorHAnsi" w:cstheme="minorBidi"/>
          <w:lang w:val="en-US" w:eastAsia="ko-KR"/>
        </w:rPr>
      </w:pPr>
      <w:r w:rsidRPr="34FC949C">
        <w:rPr>
          <w:rFonts w:asciiTheme="minorHAnsi" w:eastAsia="Calibri" w:hAnsiTheme="minorHAnsi" w:cstheme="minorBidi"/>
          <w:lang w:val="en-US"/>
        </w:rPr>
        <w:t>1</w:t>
      </w:r>
      <w:r w:rsidR="456E6007" w:rsidRPr="34FC949C">
        <w:rPr>
          <w:rFonts w:asciiTheme="minorHAnsi" w:eastAsia="Calibri" w:hAnsiTheme="minorHAnsi" w:cstheme="minorBidi"/>
          <w:lang w:val="en-US"/>
        </w:rPr>
        <w:t>1</w:t>
      </w:r>
      <w:r w:rsidR="002D3CFD" w:rsidRPr="34FC949C">
        <w:rPr>
          <w:rFonts w:asciiTheme="minorHAnsi" w:eastAsia="Calibri" w:hAnsiTheme="minorHAnsi" w:cstheme="minorBidi"/>
          <w:lang w:val="en-US"/>
        </w:rPr>
        <w:t>.4</w:t>
      </w:r>
      <w:r>
        <w:tab/>
      </w:r>
      <w:r w:rsidR="002D3CFD" w:rsidRPr="34FC949C">
        <w:rPr>
          <w:rFonts w:asciiTheme="minorHAnsi" w:eastAsia="Calibri" w:hAnsiTheme="minorHAnsi" w:cstheme="minorBidi"/>
          <w:lang w:val="en-US"/>
        </w:rPr>
        <w:t xml:space="preserve">The Telecommunication Standardization Bureau (TSB) collaborates extensively with UN entities, </w:t>
      </w:r>
      <w:r w:rsidR="002D3CFD">
        <w:t>including</w:t>
      </w:r>
      <w:r w:rsidR="002D3CFD" w:rsidRPr="34FC949C">
        <w:rPr>
          <w:rFonts w:asciiTheme="minorHAnsi" w:eastAsia="Calibri" w:hAnsiTheme="minorHAnsi" w:cstheme="minorBidi"/>
          <w:lang w:val="en-US"/>
        </w:rPr>
        <w:t xml:space="preserve"> with UN-Habitat and other 19 UN entities on smart sustainable cities, UNICC and other 19 UN entities on metaverse and virtual worlds, WHO and WIPO on AI for health, FAO on IoT and AI for digital agriculture, WMO and UNEP on AI for natural disaster management and smart submarine cables, UNECE on Intelligent Transport Systems and Autonomous Driving, UNIDO, UNEP, the </w:t>
      </w:r>
      <w:r w:rsidR="007275AE" w:rsidRPr="34FC949C">
        <w:rPr>
          <w:rFonts w:asciiTheme="minorHAnsi" w:eastAsia="Calibri" w:hAnsiTheme="minorHAnsi" w:cstheme="minorBidi"/>
          <w:lang w:val="en-US"/>
        </w:rPr>
        <w:t>s</w:t>
      </w:r>
      <w:r w:rsidR="002D3CFD" w:rsidRPr="34FC949C">
        <w:rPr>
          <w:rFonts w:asciiTheme="minorHAnsi" w:eastAsia="Calibri" w:hAnsiTheme="minorHAnsi" w:cstheme="minorBidi"/>
          <w:lang w:val="en-US"/>
        </w:rPr>
        <w:t xml:space="preserve">ecretariat of the Basel Convention, One Planet Network (hosted by UNEP) on E-waste and Circular Economy, UNFCCC, UNESCO on environmental efficiency and Climate Actions as well as with other UN entities on areas, such as human rights, energy efficiency, counterfeiting and more. </w:t>
      </w:r>
      <w:r w:rsidR="002D3CFD" w:rsidRPr="34FC949C">
        <w:rPr>
          <w:rFonts w:asciiTheme="minorHAnsi" w:eastAsia="Calibri" w:hAnsiTheme="minorHAnsi" w:cstheme="minorBidi"/>
          <w:color w:val="000000" w:themeColor="text1"/>
        </w:rPr>
        <w:t>TSB also organizes the annual UN Virtual Worlds Day, co-hosted by ITU in collaboration with 20 UN entities. This event brings together diverse stakeholders to explore how AI-powered virtual worlds—including the metaverse—can contribute to advancing the Sustainable Development Goals (SDGs) and the Pact for the Future</w:t>
      </w:r>
      <w:r w:rsidR="002D3CFD" w:rsidRPr="34FC949C">
        <w:rPr>
          <w:rFonts w:asciiTheme="minorHAnsi" w:eastAsia="Calibri" w:hAnsiTheme="minorHAnsi" w:cstheme="minorBidi"/>
          <w:color w:val="000000" w:themeColor="text1"/>
          <w:lang w:val="en-US"/>
        </w:rPr>
        <w:t>.</w:t>
      </w:r>
      <w:r w:rsidR="002D3CFD" w:rsidRPr="34FC949C">
        <w:rPr>
          <w:rFonts w:asciiTheme="minorHAnsi" w:hAnsiTheme="minorHAnsi" w:cstheme="minorBidi"/>
          <w:color w:val="000000" w:themeColor="text1"/>
          <w:lang w:val="en-US"/>
        </w:rPr>
        <w:t xml:space="preserve"> </w:t>
      </w:r>
      <w:r w:rsidR="002D3CFD" w:rsidRPr="34FC949C">
        <w:rPr>
          <w:rFonts w:asciiTheme="minorHAnsi" w:eastAsia="Calibri" w:hAnsiTheme="minorHAnsi" w:cstheme="minorBidi"/>
          <w:lang w:val="en-US"/>
        </w:rPr>
        <w:t xml:space="preserve">More details can be found in Document </w:t>
      </w:r>
      <w:hyperlink r:id="rId52">
        <w:r w:rsidR="002D3CFD" w:rsidRPr="34FC949C">
          <w:rPr>
            <w:rStyle w:val="Hyperlink"/>
            <w:rFonts w:asciiTheme="minorHAnsi" w:eastAsia="Malgun Gothic" w:hAnsiTheme="minorHAnsi" w:cstheme="minorBidi"/>
            <w:lang w:val="en-US" w:eastAsia="ko-KR"/>
          </w:rPr>
          <w:t>C25/INF/</w:t>
        </w:r>
        <w:r w:rsidR="002D3CFD" w:rsidRPr="34FC949C">
          <w:rPr>
            <w:rStyle w:val="Hyperlink"/>
            <w:rFonts w:asciiTheme="minorHAnsi" w:hAnsiTheme="minorHAnsi" w:cstheme="minorBidi"/>
          </w:rPr>
          <w:t>8</w:t>
        </w:r>
      </w:hyperlink>
      <w:r w:rsidR="002D3CFD" w:rsidRPr="34FC949C">
        <w:rPr>
          <w:rFonts w:asciiTheme="minorHAnsi" w:hAnsiTheme="minorHAnsi" w:cstheme="minorBidi"/>
          <w:lang w:eastAsia="ko-KR"/>
        </w:rPr>
        <w:t>.</w:t>
      </w:r>
      <w:r w:rsidR="002D3CFD" w:rsidRPr="34FC949C">
        <w:rPr>
          <w:rFonts w:asciiTheme="minorHAnsi" w:eastAsia="Malgun Gothic" w:hAnsiTheme="minorHAnsi" w:cstheme="minorBidi"/>
          <w:lang w:val="en-US" w:eastAsia="ko-KR"/>
        </w:rPr>
        <w:t xml:space="preserve"> </w:t>
      </w:r>
    </w:p>
    <w:p w14:paraId="2A32349A" w14:textId="3039C387" w:rsidR="67DDA5A5" w:rsidRPr="002D3322" w:rsidRDefault="7B4B0F22" w:rsidP="002D3322">
      <w:pPr>
        <w:spacing w:after="120"/>
        <w:jc w:val="both"/>
        <w:rPr>
          <w:rFonts w:asciiTheme="minorHAnsi" w:eastAsiaTheme="minorEastAsia" w:hAnsiTheme="minorHAnsi" w:cstheme="minorBidi"/>
          <w:szCs w:val="24"/>
        </w:rPr>
      </w:pPr>
      <w:r w:rsidRPr="34FC949C">
        <w:rPr>
          <w:rFonts w:asciiTheme="minorHAnsi" w:eastAsia="Calibri" w:hAnsiTheme="minorHAnsi" w:cstheme="minorBidi"/>
          <w:lang w:val="en-US"/>
        </w:rPr>
        <w:t>1</w:t>
      </w:r>
      <w:r w:rsidR="0661C5D4" w:rsidRPr="34FC949C">
        <w:rPr>
          <w:rFonts w:asciiTheme="minorHAnsi" w:eastAsia="Calibri" w:hAnsiTheme="minorHAnsi" w:cstheme="minorBidi"/>
          <w:lang w:val="en-US"/>
        </w:rPr>
        <w:t>1</w:t>
      </w:r>
      <w:r w:rsidR="54E122B4" w:rsidRPr="34FC949C">
        <w:rPr>
          <w:rFonts w:asciiTheme="minorHAnsi" w:eastAsia="Calibri" w:hAnsiTheme="minorHAnsi" w:cstheme="minorBidi"/>
          <w:lang w:val="en-US"/>
        </w:rPr>
        <w:t>.5</w:t>
      </w:r>
      <w:r>
        <w:tab/>
      </w:r>
      <w:r w:rsidR="54E122B4" w:rsidRPr="34FC949C">
        <w:rPr>
          <w:rFonts w:asciiTheme="minorHAnsi" w:eastAsia="Calibri" w:hAnsiTheme="minorHAnsi" w:cstheme="minorBidi"/>
          <w:lang w:val="en-US"/>
        </w:rPr>
        <w:t xml:space="preserve">ITU </w:t>
      </w:r>
      <w:r w:rsidR="54E122B4" w:rsidRPr="34FC949C">
        <w:rPr>
          <w:rFonts w:asciiTheme="minorHAnsi" w:eastAsia="Malgun Gothic" w:hAnsiTheme="minorHAnsi" w:cstheme="minorBidi"/>
          <w:lang w:val="en-US" w:eastAsia="ko-KR"/>
        </w:rPr>
        <w:t xml:space="preserve">continues to </w:t>
      </w:r>
      <w:r w:rsidR="54E122B4" w:rsidRPr="34FC949C">
        <w:rPr>
          <w:rFonts w:asciiTheme="minorHAnsi" w:eastAsia="Calibri" w:hAnsiTheme="minorHAnsi" w:cstheme="minorBidi"/>
          <w:lang w:val="en-US"/>
        </w:rPr>
        <w:t xml:space="preserve">collaborate with the International Electrotechnical Commission (IEC), </w:t>
      </w:r>
      <w:r w:rsidR="54E122B4">
        <w:t>International</w:t>
      </w:r>
      <w:r w:rsidR="54E122B4" w:rsidRPr="34FC949C">
        <w:rPr>
          <w:rFonts w:asciiTheme="minorHAnsi" w:eastAsia="Calibri" w:hAnsiTheme="minorHAnsi" w:cstheme="minorBidi"/>
          <w:lang w:val="en-US"/>
        </w:rPr>
        <w:t xml:space="preserve"> Organization for Standardization (ISO) within the framework of the World Standards Cooperation (WSC)</w:t>
      </w:r>
      <w:r w:rsidR="54E122B4" w:rsidRPr="34FC949C">
        <w:rPr>
          <w:rFonts w:asciiTheme="minorHAnsi" w:eastAsia="Malgun Gothic" w:hAnsiTheme="minorHAnsi" w:cstheme="minorBidi"/>
          <w:lang w:val="en-US" w:eastAsia="ko-KR"/>
        </w:rPr>
        <w:t xml:space="preserve">, </w:t>
      </w:r>
      <w:r w:rsidR="54E122B4" w:rsidRPr="34FC949C">
        <w:rPr>
          <w:rFonts w:asciiTheme="minorHAnsi" w:eastAsia="Calibri" w:hAnsiTheme="minorHAnsi" w:cstheme="minorBidi"/>
          <w:lang w:val="en-US"/>
        </w:rPr>
        <w:t xml:space="preserve">to promote </w:t>
      </w:r>
      <w:r w:rsidR="54E122B4" w:rsidRPr="34FC949C">
        <w:rPr>
          <w:rFonts w:asciiTheme="minorHAnsi" w:eastAsia="Malgun Gothic" w:hAnsiTheme="minorHAnsi" w:cstheme="minorBidi"/>
          <w:lang w:val="en-US" w:eastAsia="ko-KR"/>
        </w:rPr>
        <w:t>global</w:t>
      </w:r>
      <w:r w:rsidR="54E122B4" w:rsidRPr="34FC949C">
        <w:rPr>
          <w:rFonts w:asciiTheme="minorHAnsi" w:eastAsia="Calibri" w:hAnsiTheme="minorHAnsi" w:cstheme="minorBidi"/>
          <w:lang w:val="en-US"/>
        </w:rPr>
        <w:t xml:space="preserve"> standards and address any technical cooperation</w:t>
      </w:r>
      <w:r w:rsidR="54E122B4" w:rsidRPr="34FC949C">
        <w:rPr>
          <w:rFonts w:asciiTheme="minorHAnsi" w:eastAsia="Malgun Gothic" w:hAnsiTheme="minorHAnsi" w:cstheme="minorBidi"/>
          <w:lang w:val="en-US" w:eastAsia="ko-KR"/>
        </w:rPr>
        <w:t xml:space="preserve">. </w:t>
      </w:r>
      <w:r w:rsidR="54E122B4" w:rsidRPr="34FC949C">
        <w:rPr>
          <w:rFonts w:asciiTheme="minorHAnsi" w:eastAsia="Calibri" w:hAnsiTheme="minorHAnsi" w:cstheme="minorBidi"/>
          <w:lang w:val="en-US"/>
        </w:rPr>
        <w:t xml:space="preserve">ITU </w:t>
      </w:r>
      <w:r w:rsidR="54E122B4" w:rsidRPr="34FC949C">
        <w:rPr>
          <w:rFonts w:asciiTheme="minorHAnsi" w:eastAsia="Malgun Gothic" w:hAnsiTheme="minorHAnsi" w:cstheme="minorBidi"/>
          <w:lang w:val="en-US" w:eastAsia="ko-KR"/>
        </w:rPr>
        <w:t xml:space="preserve">also </w:t>
      </w:r>
      <w:r w:rsidR="54E122B4" w:rsidRPr="34FC949C">
        <w:rPr>
          <w:rFonts w:asciiTheme="minorHAnsi" w:eastAsia="Calibri" w:hAnsiTheme="minorHAnsi" w:cstheme="minorBidi"/>
          <w:lang w:val="en-US"/>
        </w:rPr>
        <w:t>align</w:t>
      </w:r>
      <w:r w:rsidR="54E122B4" w:rsidRPr="34FC949C">
        <w:rPr>
          <w:rFonts w:asciiTheme="minorHAnsi" w:eastAsia="Malgun Gothic" w:hAnsiTheme="minorHAnsi" w:cstheme="minorBidi"/>
          <w:lang w:val="en-US" w:eastAsia="ko-KR"/>
        </w:rPr>
        <w:t>s</w:t>
      </w:r>
      <w:r w:rsidR="54E122B4" w:rsidRPr="34FC949C">
        <w:rPr>
          <w:rFonts w:asciiTheme="minorHAnsi" w:eastAsia="Calibri" w:hAnsiTheme="minorHAnsi" w:cstheme="minorBidi"/>
          <w:lang w:val="en-US"/>
        </w:rPr>
        <w:t xml:space="preserve"> standards with</w:t>
      </w:r>
      <w:r w:rsidR="54E122B4" w:rsidRPr="34FC949C">
        <w:rPr>
          <w:rFonts w:asciiTheme="minorHAnsi" w:eastAsia="Malgun Gothic" w:hAnsiTheme="minorHAnsi" w:cstheme="minorBidi"/>
          <w:lang w:val="en-US" w:eastAsia="ko-KR"/>
        </w:rPr>
        <w:t xml:space="preserve"> the European Telecommunications Standards Institutes (</w:t>
      </w:r>
      <w:r w:rsidR="54E122B4" w:rsidRPr="34FC949C">
        <w:rPr>
          <w:rFonts w:asciiTheme="minorHAnsi" w:eastAsia="Calibri" w:hAnsiTheme="minorHAnsi" w:cstheme="minorBidi"/>
          <w:lang w:val="en-US"/>
        </w:rPr>
        <w:t>ETSI</w:t>
      </w:r>
      <w:r w:rsidR="54E122B4" w:rsidRPr="34FC949C">
        <w:rPr>
          <w:rFonts w:asciiTheme="minorHAnsi" w:eastAsia="Malgun Gothic" w:hAnsiTheme="minorHAnsi" w:cstheme="minorBidi"/>
          <w:lang w:val="en-US" w:eastAsia="ko-KR"/>
        </w:rPr>
        <w:t>)</w:t>
      </w:r>
      <w:r w:rsidR="54E122B4" w:rsidRPr="34FC949C">
        <w:rPr>
          <w:rFonts w:asciiTheme="minorHAnsi" w:eastAsia="Calibri" w:hAnsiTheme="minorHAnsi" w:cstheme="minorBidi"/>
          <w:lang w:val="en-US"/>
        </w:rPr>
        <w:t xml:space="preserve"> on environmental efficiency and climate actions.</w:t>
      </w:r>
    </w:p>
    <w:p w14:paraId="1679A00E" w14:textId="1D4BF0DE" w:rsidR="298F39DD" w:rsidRPr="000B6197" w:rsidRDefault="298F39DD" w:rsidP="000B6197">
      <w:pPr>
        <w:spacing w:before="360"/>
        <w:jc w:val="both"/>
        <w:rPr>
          <w:rFonts w:asciiTheme="minorHAnsi" w:eastAsiaTheme="minorEastAsia" w:hAnsiTheme="minorHAnsi" w:cstheme="minorBidi"/>
          <w:b/>
          <w:bCs/>
          <w:sz w:val="28"/>
          <w:szCs w:val="28"/>
        </w:rPr>
      </w:pPr>
      <w:r w:rsidRPr="000B6197">
        <w:rPr>
          <w:rFonts w:asciiTheme="minorHAnsi" w:eastAsiaTheme="minorEastAsia" w:hAnsiTheme="minorHAnsi" w:cstheme="minorBidi"/>
          <w:b/>
          <w:bCs/>
          <w:sz w:val="28"/>
          <w:szCs w:val="28"/>
        </w:rPr>
        <w:t>1</w:t>
      </w:r>
      <w:r w:rsidR="2BEA5CC7" w:rsidRPr="000B6197">
        <w:rPr>
          <w:rFonts w:asciiTheme="minorHAnsi" w:eastAsiaTheme="minorEastAsia" w:hAnsiTheme="minorHAnsi" w:cstheme="minorBidi"/>
          <w:b/>
          <w:bCs/>
          <w:sz w:val="28"/>
          <w:szCs w:val="28"/>
        </w:rPr>
        <w:t>2</w:t>
      </w:r>
      <w:r w:rsidRPr="000B6197">
        <w:rPr>
          <w:rFonts w:asciiTheme="minorHAnsi" w:eastAsiaTheme="minorEastAsia" w:hAnsiTheme="minorHAnsi" w:cstheme="minorBidi"/>
          <w:b/>
          <w:bCs/>
          <w:sz w:val="28"/>
          <w:szCs w:val="28"/>
        </w:rPr>
        <w:t>.</w:t>
      </w:r>
      <w:r w:rsidRPr="000B6197">
        <w:tab/>
      </w:r>
      <w:r w:rsidRPr="000B6197">
        <w:rPr>
          <w:rFonts w:asciiTheme="minorHAnsi" w:eastAsiaTheme="minorEastAsia" w:hAnsiTheme="minorHAnsi" w:cstheme="minorBidi"/>
          <w:b/>
          <w:bCs/>
          <w:sz w:val="28"/>
          <w:szCs w:val="28"/>
        </w:rPr>
        <w:t>UN Inter-Agency Coordination</w:t>
      </w:r>
    </w:p>
    <w:p w14:paraId="0EA97E46" w14:textId="3986CB53" w:rsidR="0A9DE76E" w:rsidRDefault="0A9DE76E" w:rsidP="002D3322">
      <w:pPr>
        <w:spacing w:after="120"/>
        <w:jc w:val="both"/>
        <w:rPr>
          <w:rFonts w:asciiTheme="minorHAnsi" w:eastAsiaTheme="minorEastAsia" w:hAnsiTheme="minorHAnsi" w:cstheme="minorBidi"/>
          <w:color w:val="000000" w:themeColor="text1"/>
          <w:szCs w:val="24"/>
        </w:rPr>
      </w:pPr>
      <w:r w:rsidRPr="002D3322">
        <w:rPr>
          <w:rFonts w:asciiTheme="minorHAnsi" w:eastAsiaTheme="minorEastAsia" w:hAnsiTheme="minorHAnsi" w:cstheme="minorBidi"/>
          <w:color w:val="000000" w:themeColor="text1"/>
          <w:szCs w:val="24"/>
        </w:rPr>
        <w:t>1</w:t>
      </w:r>
      <w:r w:rsidR="751B5F74" w:rsidRPr="34FC949C">
        <w:rPr>
          <w:rFonts w:asciiTheme="minorHAnsi" w:eastAsiaTheme="minorEastAsia" w:hAnsiTheme="minorHAnsi" w:cstheme="minorBidi"/>
          <w:color w:val="000000" w:themeColor="text1"/>
          <w:szCs w:val="24"/>
        </w:rPr>
        <w:t>2</w:t>
      </w:r>
      <w:r w:rsidRPr="002D3322">
        <w:rPr>
          <w:rFonts w:asciiTheme="minorHAnsi" w:eastAsiaTheme="minorEastAsia" w:hAnsiTheme="minorHAnsi" w:cstheme="minorBidi"/>
          <w:color w:val="000000" w:themeColor="text1"/>
          <w:szCs w:val="24"/>
        </w:rPr>
        <w:t>.</w:t>
      </w:r>
      <w:r w:rsidR="751B5F74" w:rsidRPr="34FC949C">
        <w:rPr>
          <w:rFonts w:asciiTheme="minorHAnsi" w:eastAsiaTheme="minorEastAsia" w:hAnsiTheme="minorHAnsi" w:cstheme="minorBidi"/>
          <w:color w:val="000000" w:themeColor="text1"/>
          <w:szCs w:val="24"/>
        </w:rPr>
        <w:t>1</w:t>
      </w:r>
      <w:r>
        <w:tab/>
      </w:r>
      <w:r w:rsidR="3E45F6C1" w:rsidRPr="002D3322">
        <w:rPr>
          <w:rFonts w:asciiTheme="minorHAnsi" w:eastAsiaTheme="minorEastAsia" w:hAnsiTheme="minorHAnsi" w:cstheme="minorBidi"/>
          <w:color w:val="000000" w:themeColor="text1"/>
          <w:szCs w:val="24"/>
        </w:rPr>
        <w:t xml:space="preserve">As a specialized agency of the United Nations, the ITU plays a vital role in fostering inter-agency coordination to strengthen synergies, cooperation, and knowledge-sharing, ensuring its mandate on global connectivity and sustainable digital transformation is integrated into broader UN priorities. </w:t>
      </w:r>
    </w:p>
    <w:p w14:paraId="0591E306" w14:textId="5AEDCA26" w:rsidR="7C17EDCC" w:rsidRDefault="7C17EDCC" w:rsidP="002D3322">
      <w:pPr>
        <w:spacing w:after="120"/>
        <w:jc w:val="both"/>
        <w:rPr>
          <w:rFonts w:asciiTheme="minorHAnsi" w:eastAsiaTheme="minorEastAsia" w:hAnsiTheme="minorHAnsi" w:cstheme="minorBidi"/>
          <w:color w:val="000000" w:themeColor="text1"/>
          <w:szCs w:val="24"/>
        </w:rPr>
      </w:pPr>
      <w:r w:rsidRPr="002D3322">
        <w:rPr>
          <w:rFonts w:asciiTheme="minorHAnsi" w:eastAsiaTheme="minorEastAsia" w:hAnsiTheme="minorHAnsi" w:cstheme="minorBidi"/>
          <w:color w:val="000000" w:themeColor="text1"/>
          <w:szCs w:val="24"/>
        </w:rPr>
        <w:t>1</w:t>
      </w:r>
      <w:r w:rsidR="6FF7207A" w:rsidRPr="34FC949C">
        <w:rPr>
          <w:rFonts w:asciiTheme="minorHAnsi" w:eastAsiaTheme="minorEastAsia" w:hAnsiTheme="minorHAnsi" w:cstheme="minorBidi"/>
          <w:color w:val="000000" w:themeColor="text1"/>
          <w:szCs w:val="24"/>
        </w:rPr>
        <w:t>2</w:t>
      </w:r>
      <w:r w:rsidRPr="002D3322">
        <w:rPr>
          <w:rFonts w:asciiTheme="minorHAnsi" w:eastAsiaTheme="minorEastAsia" w:hAnsiTheme="minorHAnsi" w:cstheme="minorBidi"/>
          <w:color w:val="000000" w:themeColor="text1"/>
          <w:szCs w:val="24"/>
        </w:rPr>
        <w:t>.2</w:t>
      </w:r>
      <w:r>
        <w:tab/>
      </w:r>
      <w:r w:rsidR="3E45F6C1" w:rsidRPr="002D3322">
        <w:rPr>
          <w:rFonts w:asciiTheme="minorHAnsi" w:eastAsiaTheme="minorEastAsia" w:hAnsiTheme="minorHAnsi" w:cstheme="minorBidi"/>
          <w:color w:val="000000" w:themeColor="text1"/>
          <w:szCs w:val="24"/>
        </w:rPr>
        <w:t>Through active participation in the Chief Executives Board for Coordination (CEB) and its two main pillars—the High-Level Committee on Management (HLCM) and the High-Level Committee on Programmes (HLCP)—ITU contributes to system-wide coherence in both operational and programmatic areas. By engaging with HLCM, ITU supports efforts to optimize administrative, financial, and operational processes across the UN system, ensuring it is both efficient and aligned with UN system organizational goals. Meanwhile, through HLCP, ITU collaborates to embed digital transformation and emerging technologies, such as artificial intelligence, into strategic UN system frameworks that address complex global challenges, including bridging digital divides, enhancing cybersecurity, and fostering inclusive development.</w:t>
      </w:r>
    </w:p>
    <w:p w14:paraId="0A760690" w14:textId="2B3A83F7" w:rsidR="0CABF081" w:rsidRPr="002D3322" w:rsidRDefault="0CABF081" w:rsidP="002D3322">
      <w:pPr>
        <w:spacing w:after="120"/>
        <w:rPr>
          <w:rFonts w:asciiTheme="minorHAnsi" w:eastAsiaTheme="minorEastAsia" w:hAnsiTheme="minorHAnsi" w:cstheme="minorBidi"/>
          <w:color w:val="000000" w:themeColor="text1"/>
          <w:szCs w:val="24"/>
        </w:rPr>
      </w:pPr>
      <w:r w:rsidRPr="002D3322">
        <w:rPr>
          <w:rFonts w:asciiTheme="minorHAnsi" w:eastAsiaTheme="minorEastAsia" w:hAnsiTheme="minorHAnsi" w:cstheme="minorBidi"/>
          <w:color w:val="000000" w:themeColor="text1"/>
          <w:szCs w:val="24"/>
        </w:rPr>
        <w:t>1</w:t>
      </w:r>
      <w:r w:rsidR="000B6197">
        <w:rPr>
          <w:rFonts w:asciiTheme="minorHAnsi" w:eastAsiaTheme="minorEastAsia" w:hAnsiTheme="minorHAnsi" w:cstheme="minorBidi"/>
          <w:color w:val="000000" w:themeColor="text1"/>
          <w:szCs w:val="24"/>
        </w:rPr>
        <w:t>2</w:t>
      </w:r>
      <w:r w:rsidRPr="002D3322">
        <w:rPr>
          <w:rFonts w:asciiTheme="minorHAnsi" w:eastAsiaTheme="minorEastAsia" w:hAnsiTheme="minorHAnsi" w:cstheme="minorBidi"/>
          <w:color w:val="000000" w:themeColor="text1"/>
          <w:szCs w:val="24"/>
        </w:rPr>
        <w:t>.3</w:t>
      </w:r>
      <w:r>
        <w:tab/>
      </w:r>
      <w:r w:rsidR="3E45F6C1" w:rsidRPr="002D3322">
        <w:rPr>
          <w:rFonts w:asciiTheme="minorHAnsi" w:eastAsiaTheme="minorEastAsia" w:hAnsiTheme="minorHAnsi" w:cstheme="minorBidi"/>
          <w:color w:val="000000" w:themeColor="text1"/>
          <w:szCs w:val="24"/>
        </w:rPr>
        <w:t>At the operational level, ITU works closely with the UN Sustainable Development Group (UNSDG), contributing its expertise to enhance the work of the Resident Coordinator (RC) system and UN Country Teams. ITU plays a key role in supporting the development and implementation of UN Sustainable Development Cooperation Frameworks, ensuring that digital inclusion, connectivity, and capacity-building are integrated into national development priorities. In addition, ITU participates in other UN coordination mechanisms, such as thematic task forces, expert groups, and partnerships, further strengthening system-</w:t>
      </w:r>
      <w:r w:rsidR="3E45F6C1" w:rsidRPr="002D3322">
        <w:rPr>
          <w:rFonts w:asciiTheme="minorHAnsi" w:eastAsiaTheme="minorEastAsia" w:hAnsiTheme="minorHAnsi" w:cstheme="minorBidi"/>
          <w:color w:val="000000" w:themeColor="text1"/>
          <w:szCs w:val="24"/>
        </w:rPr>
        <w:lastRenderedPageBreak/>
        <w:t xml:space="preserve">wide collaboration on pressing global issues. </w:t>
      </w:r>
      <w:r w:rsidR="55057F69" w:rsidRPr="002D3322">
        <w:rPr>
          <w:rFonts w:eastAsia="Calibri" w:cs="Calibri"/>
          <w:color w:val="000000" w:themeColor="text1"/>
          <w:szCs w:val="24"/>
        </w:rPr>
        <w:t>In addition,</w:t>
      </w:r>
      <w:r w:rsidR="55057F69" w:rsidRPr="002D3322">
        <w:rPr>
          <w:rFonts w:eastAsia="Calibri" w:cs="Calibri"/>
          <w:b/>
          <w:bCs/>
          <w:color w:val="000000" w:themeColor="text1"/>
          <w:szCs w:val="24"/>
        </w:rPr>
        <w:t xml:space="preserve"> </w:t>
      </w:r>
      <w:r w:rsidR="55057F69" w:rsidRPr="002D3322">
        <w:rPr>
          <w:rFonts w:eastAsia="Calibri" w:cs="Calibri"/>
          <w:color w:val="000000" w:themeColor="text1"/>
          <w:szCs w:val="24"/>
        </w:rPr>
        <w:t>ITU collaborates with the Joint Inspection Unit (JIU) in system-wide reviews and follows its recommendations to improve organizational efficiency and accountability.</w:t>
      </w:r>
      <w:r w:rsidR="55057F69" w:rsidRPr="67DDA5A5">
        <w:rPr>
          <w:rFonts w:eastAsia="Calibri" w:cs="Calibri"/>
          <w:b/>
          <w:bCs/>
          <w:color w:val="000000" w:themeColor="text1"/>
          <w:szCs w:val="24"/>
        </w:rPr>
        <w:t xml:space="preserve"> </w:t>
      </w:r>
      <w:r w:rsidR="3E45F6C1" w:rsidRPr="002D3322">
        <w:rPr>
          <w:rFonts w:asciiTheme="minorHAnsi" w:eastAsiaTheme="minorEastAsia" w:hAnsiTheme="minorHAnsi" w:cstheme="minorBidi"/>
          <w:color w:val="000000" w:themeColor="text1"/>
          <w:szCs w:val="24"/>
        </w:rPr>
        <w:t xml:space="preserve">More details are available in </w:t>
      </w:r>
      <w:hyperlink r:id="rId53" w:history="1">
        <w:r w:rsidR="3E45F6C1" w:rsidRPr="67DDA5A5">
          <w:rPr>
            <w:rStyle w:val="Hyperlink"/>
            <w:rFonts w:ascii="Aptos" w:eastAsia="Aptos" w:hAnsi="Aptos" w:cs="Aptos"/>
            <w:szCs w:val="24"/>
          </w:rPr>
          <w:t>C25/INF/8</w:t>
        </w:r>
      </w:hyperlink>
      <w:r w:rsidR="3E45F6C1" w:rsidRPr="002D3322">
        <w:rPr>
          <w:rFonts w:asciiTheme="minorHAnsi" w:eastAsiaTheme="minorEastAsia" w:hAnsiTheme="minorHAnsi" w:cstheme="minorBidi"/>
          <w:color w:val="000000" w:themeColor="text1"/>
          <w:szCs w:val="24"/>
        </w:rPr>
        <w:t>.</w:t>
      </w:r>
    </w:p>
    <w:p w14:paraId="3A9A638B" w14:textId="649B9EE0" w:rsidR="67DDA5A5" w:rsidRDefault="67DDA5A5" w:rsidP="002D3322">
      <w:pPr>
        <w:spacing w:before="0"/>
        <w:jc w:val="both"/>
        <w:rPr>
          <w:rFonts w:asciiTheme="minorHAnsi" w:eastAsiaTheme="minorEastAsia" w:hAnsiTheme="minorHAnsi" w:cstheme="minorBidi"/>
          <w:color w:val="000000" w:themeColor="text1"/>
          <w:szCs w:val="24"/>
        </w:rPr>
      </w:pPr>
    </w:p>
    <w:p w14:paraId="35C6D0A5" w14:textId="77777777" w:rsidR="007A3FCD" w:rsidRPr="002D3CFD" w:rsidRDefault="007A3FCD" w:rsidP="002D3322">
      <w:pPr>
        <w:spacing w:before="480"/>
        <w:jc w:val="center"/>
        <w:rPr>
          <w:rFonts w:asciiTheme="minorHAnsi" w:hAnsiTheme="minorHAnsi" w:cstheme="minorHAnsi"/>
        </w:rPr>
      </w:pPr>
      <w:r w:rsidRPr="002D3CFD">
        <w:rPr>
          <w:rFonts w:asciiTheme="minorHAnsi" w:hAnsiTheme="minorHAnsi" w:cstheme="minorHAnsi"/>
        </w:rPr>
        <w:t>______________</w:t>
      </w:r>
    </w:p>
    <w:sectPr w:rsidR="007A3FCD" w:rsidRPr="002D3CFD" w:rsidSect="00AD3606">
      <w:footerReference w:type="default" r:id="rId54"/>
      <w:headerReference w:type="first" r:id="rId55"/>
      <w:footerReference w:type="first" r:id="rId5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D104" w14:textId="77777777" w:rsidR="00CA42DC" w:rsidRDefault="00CA42DC">
      <w:r>
        <w:separator/>
      </w:r>
    </w:p>
  </w:endnote>
  <w:endnote w:type="continuationSeparator" w:id="0">
    <w:p w14:paraId="2935BB05" w14:textId="77777777" w:rsidR="00CA42DC" w:rsidRDefault="00CA42DC">
      <w:r>
        <w:continuationSeparator/>
      </w:r>
    </w:p>
  </w:endnote>
  <w:endnote w:type="continuationNotice" w:id="1">
    <w:p w14:paraId="7CDADFEB" w14:textId="77777777" w:rsidR="00CA42DC" w:rsidRDefault="00CA42D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E93FC8">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0AFDA90A" w:rsidR="00EE49E8" w:rsidRPr="00E06FD5" w:rsidRDefault="00EE49E8" w:rsidP="00490E3B">
          <w:pPr>
            <w:pStyle w:val="Header"/>
            <w:tabs>
              <w:tab w:val="left" w:pos="6459"/>
              <w:tab w:val="right" w:pos="8505"/>
              <w:tab w:val="right" w:pos="9639"/>
            </w:tabs>
            <w:jc w:val="left"/>
            <w:rPr>
              <w:rFonts w:ascii="Arial" w:hAnsi="Arial" w:cs="Arial"/>
              <w:b/>
              <w:bCs/>
              <w:szCs w:val="18"/>
            </w:rPr>
          </w:pPr>
          <w:r>
            <w:rPr>
              <w:bCs/>
            </w:rPr>
            <w:tab/>
          </w:r>
          <w:r w:rsidRPr="00490E3B">
            <w:rPr>
              <w:bCs/>
            </w:rPr>
            <w:t>C2</w:t>
          </w:r>
          <w:r w:rsidR="00C6520B" w:rsidRPr="00490E3B">
            <w:rPr>
              <w:bCs/>
            </w:rPr>
            <w:t>5</w:t>
          </w:r>
          <w:r w:rsidRPr="00490E3B">
            <w:rPr>
              <w:bCs/>
            </w:rPr>
            <w:t>/</w:t>
          </w:r>
          <w:r w:rsidR="00490E3B">
            <w:rPr>
              <w:bCs/>
            </w:rPr>
            <w:t>70</w:t>
          </w:r>
          <w:r w:rsidRPr="00490E3B">
            <w:rPr>
              <w:bCs/>
            </w:rPr>
            <w:t>-E</w:t>
          </w:r>
          <w:r w:rsidRPr="00490E3B">
            <w:rPr>
              <w:bCs/>
            </w:rPr>
            <w:tab/>
          </w:r>
          <w:r w:rsidRPr="00490E3B">
            <w:fldChar w:fldCharType="begin"/>
          </w:r>
          <w:r w:rsidRPr="00490E3B">
            <w:instrText>PAGE</w:instrText>
          </w:r>
          <w:r w:rsidRPr="00490E3B">
            <w:fldChar w:fldCharType="separate"/>
          </w:r>
          <w:r w:rsidRPr="00490E3B">
            <w:t>1</w:t>
          </w:r>
          <w:r w:rsidRPr="00490E3B">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06A284C2" w:rsidR="00EE49E8" w:rsidRPr="00E06FD5" w:rsidRDefault="00EE49E8" w:rsidP="00490E3B">
          <w:pPr>
            <w:pStyle w:val="Header"/>
            <w:tabs>
              <w:tab w:val="left" w:pos="6742"/>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F74D57">
            <w:rPr>
              <w:bCs/>
            </w:rPr>
            <w:t>70</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2DDA3" w14:textId="77777777" w:rsidR="00CA42DC" w:rsidRDefault="00CA42DC">
      <w:r>
        <w:t>____________________</w:t>
      </w:r>
    </w:p>
  </w:footnote>
  <w:footnote w:type="continuationSeparator" w:id="0">
    <w:p w14:paraId="2DD08FC4" w14:textId="77777777" w:rsidR="00CA42DC" w:rsidRDefault="00CA42DC">
      <w:r>
        <w:continuationSeparator/>
      </w:r>
    </w:p>
  </w:footnote>
  <w:footnote w:type="continuationNotice" w:id="1">
    <w:p w14:paraId="605C9D1B" w14:textId="77777777" w:rsidR="00CA42DC" w:rsidRDefault="00CA42DC">
      <w:pPr>
        <w:spacing w:before="0"/>
      </w:pPr>
    </w:p>
  </w:footnote>
  <w:footnote w:id="2">
    <w:p w14:paraId="1AAE3EDB" w14:textId="558D311E" w:rsidR="002D3CFD" w:rsidRPr="00D469CC" w:rsidRDefault="002D3CFD" w:rsidP="00B57E8B">
      <w:pPr>
        <w:pStyle w:val="FootnoteText"/>
        <w:tabs>
          <w:tab w:val="clear" w:pos="284"/>
        </w:tabs>
        <w:rPr>
          <w:lang w:val="en-US"/>
        </w:rPr>
      </w:pPr>
      <w:r>
        <w:rPr>
          <w:rStyle w:val="FootnoteReference"/>
        </w:rPr>
        <w:footnoteRef/>
      </w:r>
      <w:r>
        <w:t xml:space="preserve"> </w:t>
      </w:r>
      <w:r w:rsidR="00B57E8B">
        <w:tab/>
      </w:r>
      <w:r w:rsidRPr="00D469CC">
        <w:rPr>
          <w:rFonts w:asciiTheme="minorHAnsi" w:hAnsiTheme="minorHAnsi" w:cstheme="minorHAnsi"/>
          <w:sz w:val="20"/>
        </w:rPr>
        <w:t>Action 56 of the Pact for the Future states</w:t>
      </w:r>
      <w:r>
        <w:rPr>
          <w:rFonts w:asciiTheme="minorHAnsi" w:hAnsiTheme="minorHAnsi" w:cstheme="minorHAnsi"/>
          <w:sz w:val="20"/>
        </w:rPr>
        <w:t xml:space="preserve"> </w:t>
      </w:r>
      <w:r w:rsidR="000409F5">
        <w:rPr>
          <w:rFonts w:asciiTheme="minorHAnsi" w:hAnsiTheme="minorHAnsi" w:cstheme="minorHAnsi"/>
          <w:sz w:val="20"/>
        </w:rPr>
        <w:t>–</w:t>
      </w:r>
      <w:r>
        <w:rPr>
          <w:rFonts w:asciiTheme="minorHAnsi" w:hAnsiTheme="minorHAnsi" w:cstheme="minorHAnsi"/>
          <w:sz w:val="20"/>
        </w:rPr>
        <w:t xml:space="preserve"> </w:t>
      </w:r>
      <w:r w:rsidR="000409F5">
        <w:rPr>
          <w:rFonts w:asciiTheme="minorHAnsi" w:hAnsiTheme="minorHAnsi" w:cstheme="minorHAnsi"/>
          <w:sz w:val="20"/>
        </w:rPr>
        <w:t>“</w:t>
      </w:r>
      <w:r w:rsidRPr="00D469CC">
        <w:rPr>
          <w:rFonts w:asciiTheme="minorHAnsi" w:hAnsiTheme="minorHAnsi" w:cstheme="minorHAnsi"/>
          <w:sz w:val="20"/>
        </w:rPr>
        <w:t>We will strengthen international cooperation for the exploration and use of outer space for peaceful purposes and for the benefit of all humanity.</w:t>
      </w:r>
      <w:r w:rsidR="000409F5">
        <w:rPr>
          <w:rFonts w:asciiTheme="minorHAnsi" w:hAnsiTheme="minorHAnsi" w:cstheme="minorHAns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E93FC8">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3"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D429D" id="Rectangle 5" o:spid="_x0000_s1026" style="position:absolute;margin-left:.3pt;margin-top:47.35pt;width:8.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24E6DF5"/>
    <w:multiLevelType w:val="multilevel"/>
    <w:tmpl w:val="1C880C56"/>
    <w:lvl w:ilvl="0">
      <w:start w:val="3"/>
      <w:numFmt w:val="decimal"/>
      <w:lvlText w:val="%1."/>
      <w:lvlJc w:val="left"/>
      <w:pPr>
        <w:ind w:left="360" w:hanging="360"/>
      </w:pPr>
      <w:rPr>
        <w:rFonts w:hint="default"/>
        <w:b/>
        <w:bCs/>
      </w:rPr>
    </w:lvl>
    <w:lvl w:ilvl="1">
      <w:start w:val="1"/>
      <w:numFmt w:val="decimal"/>
      <w:isLgl/>
      <w:lvlText w:val="%1.%2."/>
      <w:lvlJc w:val="left"/>
      <w:pPr>
        <w:ind w:left="144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880" w:hanging="1800"/>
      </w:pPr>
      <w:rPr>
        <w:rFonts w:hint="default"/>
        <w:sz w:val="24"/>
      </w:rPr>
    </w:lvl>
  </w:abstractNum>
  <w:abstractNum w:abstractNumId="2" w15:restartNumberingAfterBreak="0">
    <w:nsid w:val="7713720C"/>
    <w:multiLevelType w:val="multilevel"/>
    <w:tmpl w:val="80F836FC"/>
    <w:lvl w:ilvl="0">
      <w:start w:val="1"/>
      <w:numFmt w:val="decimal"/>
      <w:lvlText w:val="%1."/>
      <w:lvlJc w:val="left"/>
      <w:pPr>
        <w:ind w:left="720" w:hanging="360"/>
      </w:pPr>
      <w:rPr>
        <w:rFonts w:hint="default"/>
        <w:b/>
        <w:bCs/>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374816267">
    <w:abstractNumId w:val="0"/>
  </w:num>
  <w:num w:numId="2" w16cid:durableId="172495451">
    <w:abstractNumId w:val="2"/>
  </w:num>
  <w:num w:numId="3" w16cid:durableId="121091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210D4"/>
    <w:rsid w:val="00030CD0"/>
    <w:rsid w:val="000409F5"/>
    <w:rsid w:val="0006007D"/>
    <w:rsid w:val="00063016"/>
    <w:rsid w:val="00066795"/>
    <w:rsid w:val="000745AB"/>
    <w:rsid w:val="00076AF6"/>
    <w:rsid w:val="00083954"/>
    <w:rsid w:val="00084D06"/>
    <w:rsid w:val="00085CF2"/>
    <w:rsid w:val="0009498A"/>
    <w:rsid w:val="00096EF7"/>
    <w:rsid w:val="000B1705"/>
    <w:rsid w:val="000B6197"/>
    <w:rsid w:val="000C1D66"/>
    <w:rsid w:val="000D75B2"/>
    <w:rsid w:val="000F5DDB"/>
    <w:rsid w:val="000F7289"/>
    <w:rsid w:val="001121F5"/>
    <w:rsid w:val="001400DC"/>
    <w:rsid w:val="00140CE1"/>
    <w:rsid w:val="0017539C"/>
    <w:rsid w:val="00175AC2"/>
    <w:rsid w:val="0017609F"/>
    <w:rsid w:val="001A3154"/>
    <w:rsid w:val="001A7D1D"/>
    <w:rsid w:val="001B51DD"/>
    <w:rsid w:val="001C628E"/>
    <w:rsid w:val="001E09BD"/>
    <w:rsid w:val="001E0F7B"/>
    <w:rsid w:val="001F13DF"/>
    <w:rsid w:val="001F5569"/>
    <w:rsid w:val="002047C0"/>
    <w:rsid w:val="002119FD"/>
    <w:rsid w:val="002130E0"/>
    <w:rsid w:val="00221F46"/>
    <w:rsid w:val="0022505B"/>
    <w:rsid w:val="00244FA1"/>
    <w:rsid w:val="00264425"/>
    <w:rsid w:val="00265875"/>
    <w:rsid w:val="0027303B"/>
    <w:rsid w:val="00273F4A"/>
    <w:rsid w:val="0028109B"/>
    <w:rsid w:val="002A2188"/>
    <w:rsid w:val="002B1B3D"/>
    <w:rsid w:val="002B1F58"/>
    <w:rsid w:val="002C1C7A"/>
    <w:rsid w:val="002C54E2"/>
    <w:rsid w:val="002D3322"/>
    <w:rsid w:val="002D3CFD"/>
    <w:rsid w:val="00300466"/>
    <w:rsid w:val="0030160F"/>
    <w:rsid w:val="00320223"/>
    <w:rsid w:val="00322D0D"/>
    <w:rsid w:val="003408FC"/>
    <w:rsid w:val="00360A9C"/>
    <w:rsid w:val="00361465"/>
    <w:rsid w:val="003877F5"/>
    <w:rsid w:val="003936D3"/>
    <w:rsid w:val="003942D4"/>
    <w:rsid w:val="003958A8"/>
    <w:rsid w:val="003A5631"/>
    <w:rsid w:val="003B29C2"/>
    <w:rsid w:val="003C2533"/>
    <w:rsid w:val="003D5A7F"/>
    <w:rsid w:val="003D7BD3"/>
    <w:rsid w:val="003F3768"/>
    <w:rsid w:val="0040435A"/>
    <w:rsid w:val="00416A24"/>
    <w:rsid w:val="00427BFF"/>
    <w:rsid w:val="00431D9E"/>
    <w:rsid w:val="00433CE8"/>
    <w:rsid w:val="00434A5C"/>
    <w:rsid w:val="00453079"/>
    <w:rsid w:val="004544D9"/>
    <w:rsid w:val="00472BAD"/>
    <w:rsid w:val="00476EC8"/>
    <w:rsid w:val="004811F8"/>
    <w:rsid w:val="00484009"/>
    <w:rsid w:val="00490E3B"/>
    <w:rsid w:val="00490E72"/>
    <w:rsid w:val="00491157"/>
    <w:rsid w:val="00491BA9"/>
    <w:rsid w:val="004921C8"/>
    <w:rsid w:val="00495B0B"/>
    <w:rsid w:val="004A1B8B"/>
    <w:rsid w:val="004A1C58"/>
    <w:rsid w:val="004B25A1"/>
    <w:rsid w:val="004D1851"/>
    <w:rsid w:val="004D599D"/>
    <w:rsid w:val="004E2EA5"/>
    <w:rsid w:val="004E3AEB"/>
    <w:rsid w:val="0050223C"/>
    <w:rsid w:val="0050495B"/>
    <w:rsid w:val="00522F8B"/>
    <w:rsid w:val="005243FF"/>
    <w:rsid w:val="0053226A"/>
    <w:rsid w:val="00562234"/>
    <w:rsid w:val="00564FBC"/>
    <w:rsid w:val="005800BC"/>
    <w:rsid w:val="00582442"/>
    <w:rsid w:val="005A7225"/>
    <w:rsid w:val="005F3269"/>
    <w:rsid w:val="0062210E"/>
    <w:rsid w:val="00623AE3"/>
    <w:rsid w:val="00630C4D"/>
    <w:rsid w:val="00644EC6"/>
    <w:rsid w:val="0064737F"/>
    <w:rsid w:val="006535F1"/>
    <w:rsid w:val="0065557D"/>
    <w:rsid w:val="00660D50"/>
    <w:rsid w:val="00662984"/>
    <w:rsid w:val="006716BB"/>
    <w:rsid w:val="006816BF"/>
    <w:rsid w:val="006B1859"/>
    <w:rsid w:val="006B6680"/>
    <w:rsid w:val="006B6DCC"/>
    <w:rsid w:val="006B77F1"/>
    <w:rsid w:val="006C5ECF"/>
    <w:rsid w:val="006F7A76"/>
    <w:rsid w:val="00702DEF"/>
    <w:rsid w:val="00706861"/>
    <w:rsid w:val="00722551"/>
    <w:rsid w:val="00725F11"/>
    <w:rsid w:val="007275AE"/>
    <w:rsid w:val="007311AE"/>
    <w:rsid w:val="0073629D"/>
    <w:rsid w:val="0075051B"/>
    <w:rsid w:val="00756D25"/>
    <w:rsid w:val="0077110E"/>
    <w:rsid w:val="00782F60"/>
    <w:rsid w:val="00793188"/>
    <w:rsid w:val="00794D34"/>
    <w:rsid w:val="007A3FCD"/>
    <w:rsid w:val="007B19CF"/>
    <w:rsid w:val="007D01AF"/>
    <w:rsid w:val="007E0475"/>
    <w:rsid w:val="00810886"/>
    <w:rsid w:val="00813E5E"/>
    <w:rsid w:val="0083581B"/>
    <w:rsid w:val="008563DE"/>
    <w:rsid w:val="008578CB"/>
    <w:rsid w:val="00857A86"/>
    <w:rsid w:val="00863874"/>
    <w:rsid w:val="00864AFF"/>
    <w:rsid w:val="00865925"/>
    <w:rsid w:val="00873A88"/>
    <w:rsid w:val="00896765"/>
    <w:rsid w:val="008B4A6A"/>
    <w:rsid w:val="008C7E27"/>
    <w:rsid w:val="008F7448"/>
    <w:rsid w:val="0090147A"/>
    <w:rsid w:val="00907223"/>
    <w:rsid w:val="009173EF"/>
    <w:rsid w:val="00932906"/>
    <w:rsid w:val="00961B0B"/>
    <w:rsid w:val="00962D33"/>
    <w:rsid w:val="0098301A"/>
    <w:rsid w:val="00990A8C"/>
    <w:rsid w:val="009A7FBC"/>
    <w:rsid w:val="009B38C3"/>
    <w:rsid w:val="009B68CA"/>
    <w:rsid w:val="009C633E"/>
    <w:rsid w:val="009E17BD"/>
    <w:rsid w:val="009E485A"/>
    <w:rsid w:val="00A04CEC"/>
    <w:rsid w:val="00A23C23"/>
    <w:rsid w:val="00A27F92"/>
    <w:rsid w:val="00A319CE"/>
    <w:rsid w:val="00A32257"/>
    <w:rsid w:val="00A33F7A"/>
    <w:rsid w:val="00A36D20"/>
    <w:rsid w:val="00A43FF5"/>
    <w:rsid w:val="00A514A4"/>
    <w:rsid w:val="00A55622"/>
    <w:rsid w:val="00A83502"/>
    <w:rsid w:val="00A93816"/>
    <w:rsid w:val="00A94BAB"/>
    <w:rsid w:val="00A97033"/>
    <w:rsid w:val="00AA6176"/>
    <w:rsid w:val="00AB356B"/>
    <w:rsid w:val="00AD15B3"/>
    <w:rsid w:val="00AD3606"/>
    <w:rsid w:val="00AD4A3D"/>
    <w:rsid w:val="00AD543A"/>
    <w:rsid w:val="00AD677D"/>
    <w:rsid w:val="00AD6BF5"/>
    <w:rsid w:val="00AF6E49"/>
    <w:rsid w:val="00B04A67"/>
    <w:rsid w:val="00B0583C"/>
    <w:rsid w:val="00B361D4"/>
    <w:rsid w:val="00B40A81"/>
    <w:rsid w:val="00B44910"/>
    <w:rsid w:val="00B57E8B"/>
    <w:rsid w:val="00B72267"/>
    <w:rsid w:val="00B76BF9"/>
    <w:rsid w:val="00B76EB6"/>
    <w:rsid w:val="00B7737B"/>
    <w:rsid w:val="00B824C8"/>
    <w:rsid w:val="00B84B9D"/>
    <w:rsid w:val="00B8568A"/>
    <w:rsid w:val="00B9131F"/>
    <w:rsid w:val="00BB0646"/>
    <w:rsid w:val="00BC251A"/>
    <w:rsid w:val="00BD032B"/>
    <w:rsid w:val="00BE01C6"/>
    <w:rsid w:val="00BE2640"/>
    <w:rsid w:val="00BF1FDE"/>
    <w:rsid w:val="00BF60F9"/>
    <w:rsid w:val="00C01189"/>
    <w:rsid w:val="00C0458D"/>
    <w:rsid w:val="00C17049"/>
    <w:rsid w:val="00C374DE"/>
    <w:rsid w:val="00C42B49"/>
    <w:rsid w:val="00C47AD4"/>
    <w:rsid w:val="00C5051F"/>
    <w:rsid w:val="00C52D81"/>
    <w:rsid w:val="00C55198"/>
    <w:rsid w:val="00C6520B"/>
    <w:rsid w:val="00C71DAA"/>
    <w:rsid w:val="00C90BB7"/>
    <w:rsid w:val="00C91C94"/>
    <w:rsid w:val="00CA42DC"/>
    <w:rsid w:val="00CA6393"/>
    <w:rsid w:val="00CA7995"/>
    <w:rsid w:val="00CB18FF"/>
    <w:rsid w:val="00CD0C08"/>
    <w:rsid w:val="00CE03FB"/>
    <w:rsid w:val="00CE433C"/>
    <w:rsid w:val="00CF0161"/>
    <w:rsid w:val="00CF33F3"/>
    <w:rsid w:val="00CF4A2B"/>
    <w:rsid w:val="00D024CA"/>
    <w:rsid w:val="00D06183"/>
    <w:rsid w:val="00D22C42"/>
    <w:rsid w:val="00D36BD2"/>
    <w:rsid w:val="00D47533"/>
    <w:rsid w:val="00D55C0D"/>
    <w:rsid w:val="00D63776"/>
    <w:rsid w:val="00D65041"/>
    <w:rsid w:val="00DA6BEC"/>
    <w:rsid w:val="00DB1936"/>
    <w:rsid w:val="00DB384B"/>
    <w:rsid w:val="00DC510E"/>
    <w:rsid w:val="00DD11ED"/>
    <w:rsid w:val="00DF0189"/>
    <w:rsid w:val="00DF0C34"/>
    <w:rsid w:val="00DF26C9"/>
    <w:rsid w:val="00E06FD5"/>
    <w:rsid w:val="00E078EE"/>
    <w:rsid w:val="00E10E80"/>
    <w:rsid w:val="00E124F0"/>
    <w:rsid w:val="00E227F3"/>
    <w:rsid w:val="00E255F5"/>
    <w:rsid w:val="00E36E44"/>
    <w:rsid w:val="00E545C6"/>
    <w:rsid w:val="00E60F04"/>
    <w:rsid w:val="00E65B24"/>
    <w:rsid w:val="00E854E4"/>
    <w:rsid w:val="00E86DBF"/>
    <w:rsid w:val="00E93FC8"/>
    <w:rsid w:val="00E969AF"/>
    <w:rsid w:val="00EB0D6F"/>
    <w:rsid w:val="00EB2232"/>
    <w:rsid w:val="00EB2B35"/>
    <w:rsid w:val="00EC5337"/>
    <w:rsid w:val="00ED6330"/>
    <w:rsid w:val="00EE49E8"/>
    <w:rsid w:val="00F16BAB"/>
    <w:rsid w:val="00F2150A"/>
    <w:rsid w:val="00F231D8"/>
    <w:rsid w:val="00F41209"/>
    <w:rsid w:val="00F44C00"/>
    <w:rsid w:val="00F45D2C"/>
    <w:rsid w:val="00F46C5F"/>
    <w:rsid w:val="00F632C0"/>
    <w:rsid w:val="00F641E1"/>
    <w:rsid w:val="00F700A0"/>
    <w:rsid w:val="00F74D57"/>
    <w:rsid w:val="00F94A63"/>
    <w:rsid w:val="00FA1C28"/>
    <w:rsid w:val="00FA59C6"/>
    <w:rsid w:val="00FB1279"/>
    <w:rsid w:val="00FB6B76"/>
    <w:rsid w:val="00FB7596"/>
    <w:rsid w:val="00FC50C0"/>
    <w:rsid w:val="00FC5730"/>
    <w:rsid w:val="00FD3DC9"/>
    <w:rsid w:val="00FE4077"/>
    <w:rsid w:val="00FE500D"/>
    <w:rsid w:val="00FE77D2"/>
    <w:rsid w:val="00FF39B1"/>
    <w:rsid w:val="00FF3DCD"/>
    <w:rsid w:val="016B8AA9"/>
    <w:rsid w:val="028DC97B"/>
    <w:rsid w:val="03956C8C"/>
    <w:rsid w:val="0447BCE0"/>
    <w:rsid w:val="0657F23C"/>
    <w:rsid w:val="0661C5D4"/>
    <w:rsid w:val="07F7F3D0"/>
    <w:rsid w:val="087C7642"/>
    <w:rsid w:val="08EB54A5"/>
    <w:rsid w:val="09B1489C"/>
    <w:rsid w:val="0A2D0C10"/>
    <w:rsid w:val="0A41E876"/>
    <w:rsid w:val="0A5A88D1"/>
    <w:rsid w:val="0A9DE76E"/>
    <w:rsid w:val="0ADB348D"/>
    <w:rsid w:val="0CABF081"/>
    <w:rsid w:val="0D0A22B7"/>
    <w:rsid w:val="0DAEE962"/>
    <w:rsid w:val="0EAD63C7"/>
    <w:rsid w:val="0F1A1EED"/>
    <w:rsid w:val="0FF1D353"/>
    <w:rsid w:val="110A1FA8"/>
    <w:rsid w:val="11F0307E"/>
    <w:rsid w:val="1241D88C"/>
    <w:rsid w:val="12590D4D"/>
    <w:rsid w:val="13DDA034"/>
    <w:rsid w:val="14AC6CD7"/>
    <w:rsid w:val="1566B77F"/>
    <w:rsid w:val="178F405A"/>
    <w:rsid w:val="194B51C7"/>
    <w:rsid w:val="198025A2"/>
    <w:rsid w:val="1A0CC422"/>
    <w:rsid w:val="1A9EAD66"/>
    <w:rsid w:val="1AEE8519"/>
    <w:rsid w:val="1AF5747A"/>
    <w:rsid w:val="1B18FE81"/>
    <w:rsid w:val="1B1B0167"/>
    <w:rsid w:val="1BA8F050"/>
    <w:rsid w:val="1BE0E384"/>
    <w:rsid w:val="1CFBFC1F"/>
    <w:rsid w:val="1D32CF21"/>
    <w:rsid w:val="1DFE35E7"/>
    <w:rsid w:val="1E4B5D38"/>
    <w:rsid w:val="1E5F9545"/>
    <w:rsid w:val="1EBAA005"/>
    <w:rsid w:val="1F53483D"/>
    <w:rsid w:val="208816FB"/>
    <w:rsid w:val="20DC676A"/>
    <w:rsid w:val="23826822"/>
    <w:rsid w:val="2396716F"/>
    <w:rsid w:val="2447609A"/>
    <w:rsid w:val="2499A1DB"/>
    <w:rsid w:val="26B3162E"/>
    <w:rsid w:val="273D28F4"/>
    <w:rsid w:val="28895972"/>
    <w:rsid w:val="298F39DD"/>
    <w:rsid w:val="2A66FFB0"/>
    <w:rsid w:val="2A877AD6"/>
    <w:rsid w:val="2AF35D3E"/>
    <w:rsid w:val="2BEA5CC7"/>
    <w:rsid w:val="2CACA1EB"/>
    <w:rsid w:val="2DF52707"/>
    <w:rsid w:val="2F21284F"/>
    <w:rsid w:val="2FA41BD2"/>
    <w:rsid w:val="3146925F"/>
    <w:rsid w:val="316DDAFF"/>
    <w:rsid w:val="331A211B"/>
    <w:rsid w:val="337A24BB"/>
    <w:rsid w:val="33FE8D51"/>
    <w:rsid w:val="34FC949C"/>
    <w:rsid w:val="3566AF16"/>
    <w:rsid w:val="36E9ABAA"/>
    <w:rsid w:val="39284F58"/>
    <w:rsid w:val="3B0A89EB"/>
    <w:rsid w:val="3D211A32"/>
    <w:rsid w:val="3DE1CE0D"/>
    <w:rsid w:val="3E45F6C1"/>
    <w:rsid w:val="4224BD5D"/>
    <w:rsid w:val="4525958E"/>
    <w:rsid w:val="456E6007"/>
    <w:rsid w:val="47E2C288"/>
    <w:rsid w:val="49C32D47"/>
    <w:rsid w:val="4ADDFEA8"/>
    <w:rsid w:val="4AFE581A"/>
    <w:rsid w:val="4BB8F7EB"/>
    <w:rsid w:val="4D1D37C5"/>
    <w:rsid w:val="4DC6A3B3"/>
    <w:rsid w:val="4E99F719"/>
    <w:rsid w:val="50015C74"/>
    <w:rsid w:val="504B8BD9"/>
    <w:rsid w:val="5238C1B8"/>
    <w:rsid w:val="528344F7"/>
    <w:rsid w:val="54E122B4"/>
    <w:rsid w:val="55057F69"/>
    <w:rsid w:val="57385E1E"/>
    <w:rsid w:val="58513358"/>
    <w:rsid w:val="5AFBC922"/>
    <w:rsid w:val="5C291D9C"/>
    <w:rsid w:val="5DA4D8C9"/>
    <w:rsid w:val="5EC1B658"/>
    <w:rsid w:val="5F00AD2E"/>
    <w:rsid w:val="60540C94"/>
    <w:rsid w:val="6072CC4C"/>
    <w:rsid w:val="609DDD0D"/>
    <w:rsid w:val="61B3277F"/>
    <w:rsid w:val="628BE7E3"/>
    <w:rsid w:val="635BA0FE"/>
    <w:rsid w:val="643F0A88"/>
    <w:rsid w:val="64603EEF"/>
    <w:rsid w:val="65F148DA"/>
    <w:rsid w:val="67DDA5A5"/>
    <w:rsid w:val="68771AB5"/>
    <w:rsid w:val="68DD37A4"/>
    <w:rsid w:val="6938C483"/>
    <w:rsid w:val="6977951D"/>
    <w:rsid w:val="6A532D53"/>
    <w:rsid w:val="6AB8DF21"/>
    <w:rsid w:val="6D4E0B35"/>
    <w:rsid w:val="6EC0FA79"/>
    <w:rsid w:val="6F3408C2"/>
    <w:rsid w:val="6FF7207A"/>
    <w:rsid w:val="70009D11"/>
    <w:rsid w:val="70A6A4EA"/>
    <w:rsid w:val="72682ACC"/>
    <w:rsid w:val="73014FA3"/>
    <w:rsid w:val="7319081F"/>
    <w:rsid w:val="751B5F74"/>
    <w:rsid w:val="76CB9783"/>
    <w:rsid w:val="77372139"/>
    <w:rsid w:val="7792FF30"/>
    <w:rsid w:val="7911B37D"/>
    <w:rsid w:val="7974BDE7"/>
    <w:rsid w:val="7A878D94"/>
    <w:rsid w:val="7B4B0F22"/>
    <w:rsid w:val="7C17EDCC"/>
    <w:rsid w:val="7C478BC5"/>
    <w:rsid w:val="7DC727CA"/>
    <w:rsid w:val="7F1736C4"/>
    <w:rsid w:val="7F820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9506A347-E8ED-411B-917D-84505E14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aliases w:val="NUMBERED PARAGRAPH,List Paragraph 1,List Paragraph (numbered (a)),Use Case List Paragraph,References,ReferencesCxSpLast,lp1,List Paragraph1,Recommendation,List Paragraph11,Listenabsatz Standard"/>
    <w:basedOn w:val="Normal"/>
    <w:link w:val="ListParagraphChar"/>
    <w:uiPriority w:val="34"/>
    <w:qFormat/>
    <w:rsid w:val="002D3CFD"/>
    <w:pPr>
      <w:ind w:left="720"/>
      <w:contextualSpacing/>
    </w:pPr>
    <w:rPr>
      <w:rFonts w:eastAsia="SimSun"/>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
    <w:basedOn w:val="DefaultParagraphFont"/>
    <w:link w:val="ListParagraph"/>
    <w:uiPriority w:val="34"/>
    <w:locked/>
    <w:rsid w:val="002D3CFD"/>
    <w:rPr>
      <w:rFonts w:ascii="Calibri" w:eastAsia="SimSun" w:hAnsi="Calibri"/>
      <w:sz w:val="24"/>
      <w:lang w:val="en-GB" w:eastAsia="en-US"/>
    </w:rPr>
  </w:style>
  <w:style w:type="paragraph" w:customStyle="1" w:styleId="paragraph">
    <w:name w:val="paragraph"/>
    <w:basedOn w:val="Normal"/>
    <w:rsid w:val="002D3CFD"/>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eastAsia="Batang" w:hAnsi="Times New Roman"/>
      <w:szCs w:val="24"/>
      <w:lang w:eastAsia="zh-CN"/>
    </w:rPr>
  </w:style>
  <w:style w:type="character" w:customStyle="1" w:styleId="normaltextrun">
    <w:name w:val="normaltextrun"/>
    <w:basedOn w:val="DefaultParagraphFont"/>
    <w:rsid w:val="002D3CFD"/>
  </w:style>
  <w:style w:type="paragraph" w:styleId="Revision">
    <w:name w:val="Revision"/>
    <w:hidden/>
    <w:uiPriority w:val="99"/>
    <w:semiHidden/>
    <w:rsid w:val="009A7FBC"/>
    <w:rPr>
      <w:rFonts w:ascii="Calibri" w:hAnsi="Calibri"/>
      <w:sz w:val="24"/>
      <w:lang w:val="en-GB" w:eastAsia="en-US"/>
    </w:rPr>
  </w:style>
  <w:style w:type="character" w:styleId="CommentReference">
    <w:name w:val="annotation reference"/>
    <w:basedOn w:val="DefaultParagraphFont"/>
    <w:semiHidden/>
    <w:unhideWhenUsed/>
    <w:rsid w:val="00896765"/>
    <w:rPr>
      <w:sz w:val="16"/>
      <w:szCs w:val="16"/>
    </w:rPr>
  </w:style>
  <w:style w:type="paragraph" w:styleId="CommentText">
    <w:name w:val="annotation text"/>
    <w:basedOn w:val="Normal"/>
    <w:link w:val="CommentTextChar"/>
    <w:unhideWhenUsed/>
    <w:rsid w:val="00896765"/>
    <w:rPr>
      <w:sz w:val="20"/>
    </w:rPr>
  </w:style>
  <w:style w:type="character" w:customStyle="1" w:styleId="CommentTextChar">
    <w:name w:val="Comment Text Char"/>
    <w:basedOn w:val="DefaultParagraphFont"/>
    <w:link w:val="CommentText"/>
    <w:rsid w:val="00896765"/>
    <w:rPr>
      <w:rFonts w:ascii="Calibri" w:hAnsi="Calibri"/>
      <w:lang w:val="en-GB" w:eastAsia="en-US"/>
    </w:rPr>
  </w:style>
  <w:style w:type="paragraph" w:styleId="CommentSubject">
    <w:name w:val="annotation subject"/>
    <w:basedOn w:val="CommentText"/>
    <w:next w:val="CommentText"/>
    <w:link w:val="CommentSubjectChar"/>
    <w:semiHidden/>
    <w:unhideWhenUsed/>
    <w:rsid w:val="00896765"/>
    <w:rPr>
      <w:b/>
      <w:bCs/>
    </w:rPr>
  </w:style>
  <w:style w:type="character" w:customStyle="1" w:styleId="CommentSubjectChar">
    <w:name w:val="Comment Subject Char"/>
    <w:basedOn w:val="CommentTextChar"/>
    <w:link w:val="CommentSubject"/>
    <w:semiHidden/>
    <w:rsid w:val="00896765"/>
    <w:rPr>
      <w:rFonts w:ascii="Calibri" w:hAnsi="Calibri"/>
      <w:b/>
      <w:bCs/>
      <w:lang w:val="en-GB" w:eastAsia="en-US"/>
    </w:rPr>
  </w:style>
  <w:style w:type="character" w:styleId="Mention">
    <w:name w:val="Mention"/>
    <w:basedOn w:val="DefaultParagraphFont"/>
    <w:uiPriority w:val="99"/>
    <w:unhideWhenUsed/>
    <w:rsid w:val="00244F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tu.int/md/S12-CL-INF-0001/en" TargetMode="External"/><Relationship Id="rId18" Type="http://schemas.openxmlformats.org/officeDocument/2006/relationships/hyperlink" Target="https://www.itu.int/md/S17-CL-INF-0010/en" TargetMode="External"/><Relationship Id="rId26" Type="http://schemas.openxmlformats.org/officeDocument/2006/relationships/hyperlink" Target="https://www.itu.int/md/S24-CL-C-0055/en" TargetMode="External"/><Relationship Id="rId39" Type="http://schemas.openxmlformats.org/officeDocument/2006/relationships/hyperlink" Target="https://pmindiaun.gov.in/notice/MzM1" TargetMode="External"/><Relationship Id="rId21" Type="http://schemas.openxmlformats.org/officeDocument/2006/relationships/hyperlink" Target="https://www.itu.int/md/S20-CL-INF-0003/en" TargetMode="External"/><Relationship Id="rId34" Type="http://schemas.openxmlformats.org/officeDocument/2006/relationships/hyperlink" Target="https://www.unwomen.org/en/how-we-work/commission-on-the-status-of-women/csw69-2025" TargetMode="External"/><Relationship Id="rId42" Type="http://schemas.openxmlformats.org/officeDocument/2006/relationships/hyperlink" Target="https://eur03.safelinks.protection.outlook.com/?url=https%3A%2F%2Ffinancing.desa.un.org%2Fsites%2Fdefault%2Ffiles%2Fffd4-inputs%2F2025-02%2FBrief%2520Series%2520-%2520ITU%2520Digital%2520Infrastructure%2520Financing.pdf&amp;data=05%7C02%7CJeoungHee.Kim%40itu.int%7C17989d28f0814e0733ab08dd96d506af%7C23e464d704e64b87913c24bd89219fd3%7C0%7C0%7C638832563868703795%7CUnknown%7CTWFpbGZsb3d8eyJFbXB0eU1hcGkiOnRydWUsIlYiOiIwLjAuMDAwMCIsIlAiOiJXaW4zMiIsIkFOIjoiTWFpbCIsIldUIjoyfQ%3D%3D%7C0%7C%7C%7C&amp;sdata=a%2FPtDQkpkGbERmkVMv32oIfqbUOHiSJ9JhGaf2Rnkrc%3D&amp;reserved=0" TargetMode="External"/><Relationship Id="rId47" Type="http://schemas.openxmlformats.org/officeDocument/2006/relationships/hyperlink" Target="https://eur03.safelinks.protection.outlook.com/?url=https%3A%2F%2Foecd.ai%2Fen%2FactionSUMMIT&amp;data=05%7C02%7CJeoungHee.Kim%40itu.int%7C4913c5fd19484ae4761308dd8319c606%7C23e464d704e64b87913c24bd89219fd3%7C0%7C0%7C638810868909343441%7CUnknown%7CTWFpbGZsb3d8eyJFbXB0eU1hcGkiOnRydWUsIlYiOiIwLjAuMDAwMCIsIlAiOiJXaW4zMiIsIkFOIjoiTWFpbCIsIldUIjoyfQ%3D%3D%7C0%7C%7C%7C&amp;sdata=ZvfPgkZ6npWSpa1JiZGPmYyQGkPvSngJYcWsDTe4mb0%3D&amp;reserved=0" TargetMode="External"/><Relationship Id="rId50" Type="http://schemas.openxmlformats.org/officeDocument/2006/relationships/hyperlink" Target="https://www.itu.int/en/mediacentre/Documents/2025/ICAO-IMO-ITU-Joint-Statement.pdf"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tu.int/md/S15-CL-INF-0004/en" TargetMode="External"/><Relationship Id="rId29" Type="http://schemas.openxmlformats.org/officeDocument/2006/relationships/hyperlink" Target="https://www.un.org/en/common-agenda/summit-of-the-future" TargetMode="External"/><Relationship Id="rId11" Type="http://schemas.openxmlformats.org/officeDocument/2006/relationships/hyperlink" Target="http://www.itu.int/md/S08-CL-INF-0008/en" TargetMode="External"/><Relationship Id="rId24" Type="http://schemas.openxmlformats.org/officeDocument/2006/relationships/hyperlink" Target="https://www.itu.int/md/S23-CL-INF-0008/en" TargetMode="External"/><Relationship Id="rId32" Type="http://schemas.openxmlformats.org/officeDocument/2006/relationships/hyperlink" Target="http://www.itu.int/md/S25-CL-C-0052/en" TargetMode="External"/><Relationship Id="rId37" Type="http://schemas.openxmlformats.org/officeDocument/2006/relationships/hyperlink" Target="https://cop29.az/en/pages/cop29-declaration-on-green-digital-action" TargetMode="External"/><Relationship Id="rId40" Type="http://schemas.openxmlformats.org/officeDocument/2006/relationships/hyperlink" Target="https://www.globaldpisummit.org/" TargetMode="External"/><Relationship Id="rId45" Type="http://schemas.openxmlformats.org/officeDocument/2006/relationships/hyperlink" Target="https://www.itu.int/en/ITU-T/Workshops-and-Seminars/2024/1021/Pages/default.aspx" TargetMode="External"/><Relationship Id="rId53" Type="http://schemas.openxmlformats.org/officeDocument/2006/relationships/hyperlink" Target="https://www.itu.int/md/S25-CL-INF-0008/en"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itu.int/md/S18-CL-INF-0004/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md/S13-CL-INF-0010/en" TargetMode="External"/><Relationship Id="rId22" Type="http://schemas.openxmlformats.org/officeDocument/2006/relationships/hyperlink" Target="https://www.itu.int/md/S21-CL-INF-0002/en" TargetMode="External"/><Relationship Id="rId27" Type="http://schemas.openxmlformats.org/officeDocument/2006/relationships/hyperlink" Target="https://www.itu.int/md/S24-CL-INF-0009/en" TargetMode="External"/><Relationship Id="rId30" Type="http://schemas.openxmlformats.org/officeDocument/2006/relationships/hyperlink" Target="https://docs.un.org/A/RES/79/1" TargetMode="External"/><Relationship Id="rId35" Type="http://schemas.openxmlformats.org/officeDocument/2006/relationships/hyperlink" Target="https://docs.un.org/E/CN.6/2025/L.1" TargetMode="External"/><Relationship Id="rId43" Type="http://schemas.openxmlformats.org/officeDocument/2006/relationships/hyperlink" Target="https://www.itu.int/pub/T-RES-T.105-2024" TargetMode="External"/><Relationship Id="rId48" Type="http://schemas.openxmlformats.org/officeDocument/2006/relationships/hyperlink" Target="https://eur03.safelinks.protection.outlook.com/?url=https%3A%2F%2Faistandardshub.org%2Fglobal-summit%2F&amp;data=05%7C02%7CJeoungHee.Kim%40itu.int%7C4913c5fd19484ae4761308dd8319c606%7C23e464d704e64b87913c24bd89219fd3%7C0%7C0%7C638810868909355867%7CUnknown%7CTWFpbGZsb3d8eyJFbXB0eU1hcGkiOnRydWUsIlYiOiIwLjAuMDAwMCIsIlAiOiJXaW4zMiIsIkFOIjoiTWFpbCIsIldUIjoyfQ%3D%3D%7C0%7C%7C%7C&amp;sdata=j3ehBhv6GK4ZcLVXyNaiVQ2ANG3AcQqdQKkZ1DdXNPo%3D&amp;reserved=0"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itu.int/md/S25-CL-INF-0008/en" TargetMode="External"/><Relationship Id="rId3" Type="http://schemas.openxmlformats.org/officeDocument/2006/relationships/customXml" Target="../customXml/item3.xml"/><Relationship Id="rId12" Type="http://schemas.openxmlformats.org/officeDocument/2006/relationships/hyperlink" Target="http://www.itu.int/md/S11-CL-INF-0006/en" TargetMode="External"/><Relationship Id="rId17" Type="http://schemas.openxmlformats.org/officeDocument/2006/relationships/hyperlink" Target="http://www.itu.int/md/S16-CL-C-0057/en" TargetMode="External"/><Relationship Id="rId25" Type="http://schemas.openxmlformats.org/officeDocument/2006/relationships/hyperlink" Target="https://www.itu.int/md/S23-CL-INF-0009/en" TargetMode="External"/><Relationship Id="rId33" Type="http://schemas.openxmlformats.org/officeDocument/2006/relationships/hyperlink" Target="http://www.itu.int/md/S25-CL-C-0056/en" TargetMode="External"/><Relationship Id="rId38" Type="http://schemas.openxmlformats.org/officeDocument/2006/relationships/hyperlink" Target="https://www.jointsdgfund.org/" TargetMode="External"/><Relationship Id="rId46" Type="http://schemas.openxmlformats.org/officeDocument/2006/relationships/hyperlink" Target="https://eur03.safelinks.protection.outlook.com/?url=https%3A%2F%2Fwww.ohchr.org%2Fen%2Fhr-bodies%2Fhrc%2Fregular-sessions%2Fsession58%2Fregular-session&amp;data=05%7C02%7CJeoungHee.Kim%40itu.int%7C4913c5fd19484ae4761308dd8319c606%7C23e464d704e64b87913c24bd89219fd3%7C0%7C0%7C638810868909325496%7CUnknown%7CTWFpbGZsb3d8eyJFbXB0eU1hcGkiOnRydWUsIlYiOiIwLjAuMDAwMCIsIlAiOiJXaW4zMiIsIkFOIjoiTWFpbCIsIldUIjoyfQ%3D%3D%7C0%7C%7C%7C&amp;sdata=mLhxiXXewlQBXW%2B3%2BIf6qGeGwaMlHL1UuODj6XOUHlc%3D&amp;reserved=0" TargetMode="External"/><Relationship Id="rId20" Type="http://schemas.openxmlformats.org/officeDocument/2006/relationships/hyperlink" Target="https://www.itu.int/md/S19-CL-INF-0008/en" TargetMode="External"/><Relationship Id="rId41" Type="http://schemas.openxmlformats.org/officeDocument/2006/relationships/hyperlink" Target="https://financing.desa.un.org/ffd4?_gl=1*wh20f7*_ga*MTkyMzMzMTY2LjE3Mjg1NDc4MDc.*_ga_TK9BQL5X7Z*czE3NDc2NTk3NjkkbzMyJGcwJHQxNzQ3NjU5NzY5JGowJGwwJGgw*_ga_SCSJZ3XC0L*czE3NDc2NTk3NjkkbzMkZzAkdDE3NDc2NTk3NjkkajAkbDAkaDA."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S14-CL-INF-0007/en" TargetMode="External"/><Relationship Id="rId23" Type="http://schemas.openxmlformats.org/officeDocument/2006/relationships/hyperlink" Target="https://www.itu.int/md/S22-CL-INF-0002/en" TargetMode="External"/><Relationship Id="rId28" Type="http://schemas.openxmlformats.org/officeDocument/2006/relationships/hyperlink" Target="https://www.itu.int/md/S25-CL-INF-0008/en" TargetMode="External"/><Relationship Id="rId36" Type="http://schemas.openxmlformats.org/officeDocument/2006/relationships/hyperlink" Target="https://www.itu.int/initiatives/green-digital-action/events/cop29/" TargetMode="External"/><Relationship Id="rId49" Type="http://schemas.openxmlformats.org/officeDocument/2006/relationships/hyperlink" Target="https://www.itu.int/md/T22-TSAG-R-0004/en"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itu.int/md/S25-CWGWSIS42-C-0010/en" TargetMode="External"/><Relationship Id="rId44" Type="http://schemas.openxmlformats.org/officeDocument/2006/relationships/hyperlink" Target="https://www.itu.int/pub/T-RES-T.101-2024" TargetMode="External"/><Relationship Id="rId52" Type="http://schemas.openxmlformats.org/officeDocument/2006/relationships/hyperlink" Target="https://www.itu.int/md/S25-CL-INF-0008/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8" ma:contentTypeDescription="Crear nuevo documento." ma:contentTypeScope="" ma:versionID="c2c2f485b5c056a560ec1111beebbd3b">
  <xsd:schema xmlns:xsd="http://www.w3.org/2001/XMLSchema" xmlns:xs="http://www.w3.org/2001/XMLSchema" xmlns:p="http://schemas.microsoft.com/office/2006/metadata/properties" xmlns:ns2="a1cf676c-2816-4389-ad5d-0f2e7c7e67c4" targetNamespace="http://schemas.microsoft.com/office/2006/metadata/properties" ma:root="true" ma:fieldsID="5236e9d7d5fcf3dc960c2645a60fa07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2F2AC-2255-4DBF-9278-6619577B4509}">
  <ds:schemaRefs>
    <ds:schemaRef ds:uri="a1cf676c-2816-4389-ad5d-0f2e7c7e67c4"/>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3.xml><?xml version="1.0" encoding="utf-8"?>
<ds:datastoreItem xmlns:ds="http://schemas.openxmlformats.org/officeDocument/2006/customXml" ds:itemID="{52D2E2D8-6A84-4BFA-B25A-E7835F04C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2974</Words>
  <Characters>22542</Characters>
  <Application>Microsoft Office Word</Application>
  <DocSecurity>0</DocSecurity>
  <Lines>187</Lines>
  <Paragraphs>50</Paragraphs>
  <ScaleCrop>false</ScaleCrop>
  <HeadingPairs>
    <vt:vector size="2" baseType="variant">
      <vt:variant>
        <vt:lpstr>Title</vt:lpstr>
      </vt:variant>
      <vt:variant>
        <vt:i4>1</vt:i4>
      </vt:variant>
    </vt:vector>
  </HeadingPairs>
  <TitlesOfParts>
    <vt:vector size="1" baseType="lpstr">
      <vt:lpstr>Collaboration with the United Nations system and other international intergovernmental processes, including on standards development</vt:lpstr>
    </vt:vector>
  </TitlesOfParts>
  <Manager>General Secretariat</Manager>
  <Company>International Telecommunication Union (ITU)</Company>
  <LinksUpToDate>false</LinksUpToDate>
  <CharactersWithSpaces>25466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Collaboration with the United Nations system and other international intergovernmental processes, including on standards development</dc:title>
  <dc:subject>Council 2025</dc:subject>
  <dc:creator>LRT</dc:creator>
  <cp:keywords>C25; C2025; Council 2025; ITU160</cp:keywords>
  <dc:description/>
  <cp:lastModifiedBy>GBS</cp:lastModifiedBy>
  <cp:revision>4</cp:revision>
  <cp:lastPrinted>2000-07-19T07:30:00Z</cp:lastPrinted>
  <dcterms:created xsi:type="dcterms:W3CDTF">2025-05-19T16:31:00Z</dcterms:created>
  <dcterms:modified xsi:type="dcterms:W3CDTF">2025-05-19T16:41:00Z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