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30406E" w14:paraId="1CB3DD1A" w14:textId="77777777" w:rsidTr="00C538FC">
        <w:trPr>
          <w:cantSplit/>
          <w:trHeight w:val="23"/>
        </w:trPr>
        <w:tc>
          <w:tcPr>
            <w:tcW w:w="3969" w:type="dxa"/>
            <w:vMerge w:val="restart"/>
            <w:tcMar>
              <w:left w:w="0" w:type="dxa"/>
            </w:tcMar>
          </w:tcPr>
          <w:p w14:paraId="79CB9EAE" w14:textId="315D974A" w:rsidR="00FE57F6" w:rsidRPr="0030406E" w:rsidRDefault="00A80C26" w:rsidP="00A80C26">
            <w:pPr>
              <w:tabs>
                <w:tab w:val="left" w:pos="851"/>
              </w:tabs>
              <w:spacing w:before="0" w:line="240" w:lineRule="atLeast"/>
              <w:rPr>
                <w:b/>
              </w:rPr>
            </w:pPr>
            <w:bookmarkStart w:id="0" w:name="_Hlk133421839"/>
            <w:r w:rsidRPr="0030406E">
              <w:rPr>
                <w:b/>
              </w:rPr>
              <w:t>Punto del o</w:t>
            </w:r>
            <w:r w:rsidR="00BB6FD8" w:rsidRPr="0030406E">
              <w:rPr>
                <w:b/>
              </w:rPr>
              <w:t>rden del día</w:t>
            </w:r>
            <w:r w:rsidR="00FE57F6" w:rsidRPr="0030406E">
              <w:rPr>
                <w:b/>
              </w:rPr>
              <w:t xml:space="preserve">: </w:t>
            </w:r>
            <w:r w:rsidRPr="0030406E">
              <w:rPr>
                <w:b/>
              </w:rPr>
              <w:t>ADM 1</w:t>
            </w:r>
          </w:p>
        </w:tc>
        <w:tc>
          <w:tcPr>
            <w:tcW w:w="5245" w:type="dxa"/>
          </w:tcPr>
          <w:p w14:paraId="2D350ED0" w14:textId="77777777" w:rsidR="006C5D47" w:rsidRDefault="006C5D47" w:rsidP="00C538FC">
            <w:pPr>
              <w:tabs>
                <w:tab w:val="left" w:pos="851"/>
              </w:tabs>
              <w:spacing w:before="0" w:line="240" w:lineRule="atLeast"/>
              <w:jc w:val="right"/>
              <w:rPr>
                <w:b/>
              </w:rPr>
            </w:pPr>
            <w:r>
              <w:rPr>
                <w:b/>
              </w:rPr>
              <w:t xml:space="preserve">Revisión 1 al </w:t>
            </w:r>
          </w:p>
          <w:p w14:paraId="13938076" w14:textId="0099F412" w:rsidR="00FE57F6" w:rsidRPr="0030406E" w:rsidRDefault="00FE57F6" w:rsidP="00C538FC">
            <w:pPr>
              <w:tabs>
                <w:tab w:val="left" w:pos="851"/>
              </w:tabs>
              <w:spacing w:before="0" w:line="240" w:lineRule="atLeast"/>
              <w:jc w:val="right"/>
              <w:rPr>
                <w:b/>
              </w:rPr>
            </w:pPr>
            <w:r w:rsidRPr="0030406E">
              <w:rPr>
                <w:b/>
              </w:rPr>
              <w:t>Document</w:t>
            </w:r>
            <w:r w:rsidR="00F24B71" w:rsidRPr="0030406E">
              <w:rPr>
                <w:b/>
              </w:rPr>
              <w:t>o</w:t>
            </w:r>
            <w:r w:rsidRPr="0030406E">
              <w:rPr>
                <w:b/>
              </w:rPr>
              <w:t xml:space="preserve"> C2</w:t>
            </w:r>
            <w:r w:rsidR="00BB6FD8" w:rsidRPr="0030406E">
              <w:rPr>
                <w:b/>
              </w:rPr>
              <w:t>5</w:t>
            </w:r>
            <w:r w:rsidRPr="0030406E">
              <w:rPr>
                <w:b/>
              </w:rPr>
              <w:t>/</w:t>
            </w:r>
            <w:r w:rsidR="00A80C26" w:rsidRPr="0030406E">
              <w:rPr>
                <w:b/>
              </w:rPr>
              <w:t>69</w:t>
            </w:r>
            <w:r w:rsidRPr="0030406E">
              <w:rPr>
                <w:b/>
              </w:rPr>
              <w:t>-</w:t>
            </w:r>
            <w:r w:rsidR="00F24B71" w:rsidRPr="0030406E">
              <w:rPr>
                <w:b/>
              </w:rPr>
              <w:t>S</w:t>
            </w:r>
          </w:p>
        </w:tc>
      </w:tr>
      <w:tr w:rsidR="00FE57F6" w:rsidRPr="0030406E" w14:paraId="362F7920" w14:textId="77777777" w:rsidTr="00C538FC">
        <w:trPr>
          <w:cantSplit/>
        </w:trPr>
        <w:tc>
          <w:tcPr>
            <w:tcW w:w="3969" w:type="dxa"/>
            <w:vMerge/>
          </w:tcPr>
          <w:p w14:paraId="3B35E4B2" w14:textId="77777777" w:rsidR="00FE57F6" w:rsidRPr="0030406E" w:rsidRDefault="00FE57F6" w:rsidP="00C538FC">
            <w:pPr>
              <w:tabs>
                <w:tab w:val="left" w:pos="851"/>
              </w:tabs>
              <w:spacing w:line="240" w:lineRule="atLeast"/>
              <w:rPr>
                <w:b/>
              </w:rPr>
            </w:pPr>
          </w:p>
        </w:tc>
        <w:tc>
          <w:tcPr>
            <w:tcW w:w="5245" w:type="dxa"/>
          </w:tcPr>
          <w:p w14:paraId="1D9347A0" w14:textId="23E09315" w:rsidR="00FE57F6" w:rsidRPr="0030406E" w:rsidRDefault="006C5D47" w:rsidP="00C538FC">
            <w:pPr>
              <w:tabs>
                <w:tab w:val="left" w:pos="851"/>
              </w:tabs>
              <w:spacing w:before="0"/>
              <w:jc w:val="right"/>
              <w:rPr>
                <w:b/>
              </w:rPr>
            </w:pPr>
            <w:r>
              <w:rPr>
                <w:b/>
              </w:rPr>
              <w:t>23 de junio</w:t>
            </w:r>
            <w:r w:rsidR="00A80C26" w:rsidRPr="0030406E">
              <w:rPr>
                <w:b/>
              </w:rPr>
              <w:t xml:space="preserve"> de 2025</w:t>
            </w:r>
          </w:p>
        </w:tc>
      </w:tr>
      <w:tr w:rsidR="00FE57F6" w:rsidRPr="0030406E" w14:paraId="31571807" w14:textId="77777777" w:rsidTr="00C538FC">
        <w:trPr>
          <w:cantSplit/>
          <w:trHeight w:val="23"/>
        </w:trPr>
        <w:tc>
          <w:tcPr>
            <w:tcW w:w="3969" w:type="dxa"/>
            <w:vMerge/>
          </w:tcPr>
          <w:p w14:paraId="56469CB6" w14:textId="77777777" w:rsidR="00FE57F6" w:rsidRPr="0030406E" w:rsidRDefault="00FE57F6" w:rsidP="00C538FC">
            <w:pPr>
              <w:tabs>
                <w:tab w:val="left" w:pos="851"/>
              </w:tabs>
              <w:spacing w:line="240" w:lineRule="atLeast"/>
              <w:rPr>
                <w:b/>
              </w:rPr>
            </w:pPr>
          </w:p>
        </w:tc>
        <w:tc>
          <w:tcPr>
            <w:tcW w:w="5245" w:type="dxa"/>
          </w:tcPr>
          <w:p w14:paraId="6DF6D505" w14:textId="77777777" w:rsidR="00FE57F6" w:rsidRPr="0030406E" w:rsidRDefault="00F24B71" w:rsidP="00C538FC">
            <w:pPr>
              <w:tabs>
                <w:tab w:val="left" w:pos="851"/>
              </w:tabs>
              <w:spacing w:before="0" w:line="240" w:lineRule="atLeast"/>
              <w:jc w:val="right"/>
              <w:rPr>
                <w:b/>
                <w:bCs/>
              </w:rPr>
            </w:pPr>
            <w:r w:rsidRPr="0030406E">
              <w:rPr>
                <w:rFonts w:cstheme="minorHAnsi"/>
                <w:b/>
                <w:bCs/>
              </w:rPr>
              <w:t>Original: inglés</w:t>
            </w:r>
          </w:p>
        </w:tc>
      </w:tr>
      <w:tr w:rsidR="00FE57F6" w:rsidRPr="0030406E" w14:paraId="344C9A68" w14:textId="77777777" w:rsidTr="00C538FC">
        <w:trPr>
          <w:cantSplit/>
          <w:trHeight w:val="23"/>
        </w:trPr>
        <w:tc>
          <w:tcPr>
            <w:tcW w:w="3969" w:type="dxa"/>
          </w:tcPr>
          <w:p w14:paraId="75419E14" w14:textId="77777777" w:rsidR="00FE57F6" w:rsidRPr="0030406E" w:rsidRDefault="00FE57F6" w:rsidP="00C538FC">
            <w:pPr>
              <w:tabs>
                <w:tab w:val="left" w:pos="851"/>
              </w:tabs>
              <w:spacing w:line="240" w:lineRule="atLeast"/>
              <w:rPr>
                <w:b/>
              </w:rPr>
            </w:pPr>
          </w:p>
        </w:tc>
        <w:tc>
          <w:tcPr>
            <w:tcW w:w="5245" w:type="dxa"/>
          </w:tcPr>
          <w:p w14:paraId="715A67CA" w14:textId="77777777" w:rsidR="00FE57F6" w:rsidRPr="0030406E" w:rsidRDefault="00FE57F6" w:rsidP="00C538FC">
            <w:pPr>
              <w:tabs>
                <w:tab w:val="left" w:pos="851"/>
              </w:tabs>
              <w:spacing w:before="0" w:line="240" w:lineRule="atLeast"/>
              <w:jc w:val="right"/>
              <w:rPr>
                <w:b/>
              </w:rPr>
            </w:pPr>
          </w:p>
        </w:tc>
      </w:tr>
      <w:tr w:rsidR="00FE57F6" w:rsidRPr="0030406E" w14:paraId="30EC60E2" w14:textId="77777777" w:rsidTr="00C538FC">
        <w:trPr>
          <w:cantSplit/>
        </w:trPr>
        <w:tc>
          <w:tcPr>
            <w:tcW w:w="9214" w:type="dxa"/>
            <w:gridSpan w:val="2"/>
            <w:tcMar>
              <w:left w:w="0" w:type="dxa"/>
            </w:tcMar>
          </w:tcPr>
          <w:p w14:paraId="79CC6284" w14:textId="77777777" w:rsidR="00FE57F6" w:rsidRPr="0030406E" w:rsidRDefault="00157AC4" w:rsidP="00C538FC">
            <w:pPr>
              <w:pStyle w:val="Source"/>
              <w:jc w:val="left"/>
              <w:rPr>
                <w:sz w:val="34"/>
                <w:szCs w:val="34"/>
              </w:rPr>
            </w:pPr>
            <w:r w:rsidRPr="0030406E">
              <w:rPr>
                <w:rFonts w:cstheme="minorHAnsi"/>
                <w:sz w:val="34"/>
                <w:szCs w:val="34"/>
              </w:rPr>
              <w:t>Informe de la Secretaria General</w:t>
            </w:r>
          </w:p>
        </w:tc>
      </w:tr>
      <w:tr w:rsidR="00FE57F6" w:rsidRPr="0030406E" w14:paraId="7515DDE1" w14:textId="77777777" w:rsidTr="00C538FC">
        <w:trPr>
          <w:cantSplit/>
        </w:trPr>
        <w:tc>
          <w:tcPr>
            <w:tcW w:w="9214" w:type="dxa"/>
            <w:gridSpan w:val="2"/>
            <w:tcMar>
              <w:left w:w="0" w:type="dxa"/>
            </w:tcMar>
          </w:tcPr>
          <w:p w14:paraId="774D8C8C" w14:textId="7237EDFA" w:rsidR="00FE57F6" w:rsidRPr="0030406E" w:rsidRDefault="00A80C26" w:rsidP="00A80C26">
            <w:pPr>
              <w:pStyle w:val="Subtitle"/>
              <w:framePr w:hSpace="0" w:wrap="auto" w:vAnchor="margin" w:hAnchor="text" w:xAlign="left" w:yAlign="inline"/>
            </w:pPr>
            <w:r w:rsidRPr="0030406E">
              <w:t>INFORME INICIAL SOBRE EL EXAMEN DE LA PRESENCIA REGIONAL DE LA UIT</w:t>
            </w:r>
          </w:p>
        </w:tc>
      </w:tr>
      <w:tr w:rsidR="00FE57F6" w:rsidRPr="0030406E" w14:paraId="2D7797C8" w14:textId="77777777" w:rsidTr="00C538FC">
        <w:trPr>
          <w:cantSplit/>
        </w:trPr>
        <w:tc>
          <w:tcPr>
            <w:tcW w:w="9214" w:type="dxa"/>
            <w:gridSpan w:val="2"/>
            <w:tcBorders>
              <w:top w:val="single" w:sz="4" w:space="0" w:color="auto"/>
              <w:bottom w:val="single" w:sz="4" w:space="0" w:color="auto"/>
            </w:tcBorders>
            <w:tcMar>
              <w:left w:w="0" w:type="dxa"/>
            </w:tcMar>
          </w:tcPr>
          <w:p w14:paraId="62EDE6DD" w14:textId="77777777" w:rsidR="00FE57F6" w:rsidRPr="0030406E" w:rsidRDefault="00F24B71" w:rsidP="00C538FC">
            <w:pPr>
              <w:spacing w:before="160"/>
              <w:rPr>
                <w:b/>
                <w:bCs/>
                <w:sz w:val="26"/>
                <w:szCs w:val="26"/>
              </w:rPr>
            </w:pPr>
            <w:r w:rsidRPr="0030406E">
              <w:rPr>
                <w:b/>
                <w:bCs/>
                <w:sz w:val="26"/>
                <w:szCs w:val="26"/>
              </w:rPr>
              <w:t>Finalidad</w:t>
            </w:r>
          </w:p>
          <w:p w14:paraId="5BBE9C4D" w14:textId="171C4BB5" w:rsidR="00FE57F6" w:rsidRPr="0030406E" w:rsidRDefault="00A80C26" w:rsidP="00B60BE5">
            <w:pPr>
              <w:jc w:val="both"/>
            </w:pPr>
            <w:r w:rsidRPr="0030406E">
              <w:t>El presente informe contiene una serie de recomendaciones encaminadas a orientar las deliberaciones del Consejo sobre el mandato relativo al examen de la presencia regional de la</w:t>
            </w:r>
            <w:r w:rsidR="00100F4E">
              <w:t> </w:t>
            </w:r>
            <w:r w:rsidRPr="0030406E">
              <w:t>UIT.</w:t>
            </w:r>
          </w:p>
          <w:p w14:paraId="3A7F2504" w14:textId="77777777" w:rsidR="00FE57F6" w:rsidRPr="0030406E" w:rsidRDefault="00F24B71" w:rsidP="00C538FC">
            <w:pPr>
              <w:spacing w:before="160"/>
              <w:rPr>
                <w:b/>
                <w:bCs/>
                <w:sz w:val="26"/>
                <w:szCs w:val="26"/>
              </w:rPr>
            </w:pPr>
            <w:r w:rsidRPr="0030406E">
              <w:rPr>
                <w:b/>
                <w:bCs/>
                <w:sz w:val="26"/>
                <w:szCs w:val="26"/>
              </w:rPr>
              <w:t xml:space="preserve">Acción solicitada </w:t>
            </w:r>
            <w:r w:rsidR="00677A97" w:rsidRPr="0030406E">
              <w:rPr>
                <w:b/>
                <w:bCs/>
                <w:sz w:val="26"/>
                <w:szCs w:val="26"/>
              </w:rPr>
              <w:t>al</w:t>
            </w:r>
            <w:r w:rsidRPr="0030406E">
              <w:rPr>
                <w:b/>
                <w:bCs/>
                <w:sz w:val="26"/>
                <w:szCs w:val="26"/>
              </w:rPr>
              <w:t xml:space="preserve"> Consejo</w:t>
            </w:r>
          </w:p>
          <w:p w14:paraId="3ABBEBA3" w14:textId="3D1FAB29" w:rsidR="00F92BED" w:rsidRPr="0030406E" w:rsidRDefault="00A80C26" w:rsidP="0062579A">
            <w:r w:rsidRPr="0030406E">
              <w:t>Se invita al Consejo a</w:t>
            </w:r>
            <w:r w:rsidRPr="0030406E">
              <w:rPr>
                <w:b/>
                <w:bCs/>
              </w:rPr>
              <w:t xml:space="preserve"> examinar </w:t>
            </w:r>
            <w:r w:rsidRPr="0030406E">
              <w:t>el presente informe.</w:t>
            </w:r>
          </w:p>
          <w:p w14:paraId="564B963E" w14:textId="77777777" w:rsidR="00F92BED" w:rsidRPr="0030406E" w:rsidRDefault="00F92BED" w:rsidP="00F92BED">
            <w:pPr>
              <w:spacing w:before="160"/>
              <w:rPr>
                <w:b/>
                <w:bCs/>
                <w:sz w:val="26"/>
                <w:szCs w:val="26"/>
              </w:rPr>
            </w:pPr>
            <w:r w:rsidRPr="0030406E">
              <w:rPr>
                <w:b/>
                <w:bCs/>
                <w:sz w:val="26"/>
                <w:szCs w:val="26"/>
              </w:rPr>
              <w:t>Vínculo(s) pertinente(s) con el Plan Estratégico</w:t>
            </w:r>
          </w:p>
          <w:p w14:paraId="2CCFB40C" w14:textId="0405E440" w:rsidR="00F92BED" w:rsidRPr="0030406E" w:rsidRDefault="00A80C26" w:rsidP="00A80C26">
            <w:r w:rsidRPr="0030406E">
              <w:t>Presencia regional</w:t>
            </w:r>
          </w:p>
          <w:p w14:paraId="373AFCF0" w14:textId="77777777" w:rsidR="00F92BED" w:rsidRPr="0030406E" w:rsidRDefault="00F92BED" w:rsidP="00F92BED">
            <w:pPr>
              <w:spacing w:before="160"/>
              <w:rPr>
                <w:b/>
                <w:bCs/>
                <w:sz w:val="26"/>
                <w:szCs w:val="26"/>
              </w:rPr>
            </w:pPr>
            <w:r w:rsidRPr="0030406E">
              <w:rPr>
                <w:b/>
                <w:bCs/>
                <w:sz w:val="26"/>
                <w:szCs w:val="26"/>
              </w:rPr>
              <w:t>Repercusiones financieras</w:t>
            </w:r>
          </w:p>
          <w:p w14:paraId="6D064F16" w14:textId="641524CD" w:rsidR="00F92BED" w:rsidRPr="0030406E" w:rsidRDefault="006C5D47" w:rsidP="00A80C26">
            <w:r>
              <w:t>Ninguna repercusión que exceda el presupuesto aprobado.</w:t>
            </w:r>
          </w:p>
          <w:p w14:paraId="2614FF45" w14:textId="77777777" w:rsidR="00FE57F6" w:rsidRPr="0030406E" w:rsidRDefault="00FE57F6" w:rsidP="00C538FC">
            <w:pPr>
              <w:spacing w:before="160"/>
              <w:rPr>
                <w:caps/>
                <w:sz w:val="22"/>
              </w:rPr>
            </w:pPr>
            <w:r w:rsidRPr="0030406E">
              <w:rPr>
                <w:sz w:val="22"/>
              </w:rPr>
              <w:t>__________________</w:t>
            </w:r>
          </w:p>
          <w:p w14:paraId="0E91D2B6" w14:textId="2DD0DD2E" w:rsidR="00FE57F6" w:rsidRPr="0030406E" w:rsidRDefault="00F24B71" w:rsidP="00C538FC">
            <w:pPr>
              <w:spacing w:before="160"/>
              <w:rPr>
                <w:b/>
                <w:bCs/>
                <w:sz w:val="26"/>
                <w:szCs w:val="26"/>
              </w:rPr>
            </w:pPr>
            <w:r w:rsidRPr="0030406E">
              <w:rPr>
                <w:b/>
                <w:bCs/>
                <w:sz w:val="26"/>
                <w:szCs w:val="26"/>
              </w:rPr>
              <w:t>Referencia</w:t>
            </w:r>
            <w:r w:rsidR="00F92BED" w:rsidRPr="0030406E">
              <w:rPr>
                <w:b/>
                <w:bCs/>
                <w:sz w:val="26"/>
                <w:szCs w:val="26"/>
              </w:rPr>
              <w:t>s</w:t>
            </w:r>
          </w:p>
          <w:p w14:paraId="0B4D3F07" w14:textId="69006187" w:rsidR="00FE57F6" w:rsidRPr="00B60BE5" w:rsidRDefault="00A80C26" w:rsidP="00A80C26">
            <w:pPr>
              <w:spacing w:after="160"/>
              <w:rPr>
                <w:i/>
                <w:iCs/>
                <w:sz w:val="22"/>
                <w:szCs w:val="22"/>
              </w:rPr>
            </w:pPr>
            <w:r w:rsidRPr="00B60BE5">
              <w:rPr>
                <w:i/>
                <w:iCs/>
                <w:sz w:val="22"/>
                <w:szCs w:val="22"/>
              </w:rPr>
              <w:t>Resoluciones</w:t>
            </w:r>
            <w:r w:rsidR="0062579A" w:rsidRPr="00B60BE5">
              <w:rPr>
                <w:i/>
                <w:iCs/>
                <w:sz w:val="22"/>
                <w:szCs w:val="22"/>
              </w:rPr>
              <w:t> </w:t>
            </w:r>
            <w:hyperlink r:id="rId7" w:tgtFrame="_blank" w:history="1">
              <w:r w:rsidRPr="00B60BE5">
                <w:rPr>
                  <w:rStyle w:val="Hyperlink"/>
                  <w:i/>
                  <w:iCs/>
                  <w:sz w:val="22"/>
                  <w:szCs w:val="22"/>
                </w:rPr>
                <w:t>25 (Rev. Dubái, 2018)</w:t>
              </w:r>
            </w:hyperlink>
            <w:r w:rsidRPr="00B60BE5">
              <w:rPr>
                <w:i/>
                <w:iCs/>
                <w:sz w:val="22"/>
                <w:szCs w:val="22"/>
              </w:rPr>
              <w:t xml:space="preserve">, </w:t>
            </w:r>
            <w:hyperlink r:id="rId8" w:tgtFrame="_blank" w:history="1">
              <w:r w:rsidRPr="00B60BE5">
                <w:rPr>
                  <w:rStyle w:val="Hyperlink"/>
                  <w:i/>
                  <w:iCs/>
                  <w:sz w:val="22"/>
                  <w:szCs w:val="22"/>
                </w:rPr>
                <w:t>25 (Rev. Bucarest, 2022)</w:t>
              </w:r>
            </w:hyperlink>
            <w:r w:rsidRPr="00B60BE5">
              <w:rPr>
                <w:i/>
                <w:iCs/>
                <w:sz w:val="22"/>
                <w:szCs w:val="22"/>
              </w:rPr>
              <w:t xml:space="preserve">, </w:t>
            </w:r>
            <w:hyperlink r:id="rId9" w:tgtFrame="_blank" w:history="1">
              <w:r w:rsidR="0062579A" w:rsidRPr="00B60BE5">
                <w:rPr>
                  <w:rStyle w:val="Hyperlink"/>
                  <w:i/>
                  <w:iCs/>
                  <w:sz w:val="22"/>
                  <w:szCs w:val="22"/>
                </w:rPr>
                <w:t>135 (Rev. Bucarest, 2022)</w:t>
              </w:r>
            </w:hyperlink>
            <w:r w:rsidR="0062579A" w:rsidRPr="00B60BE5">
              <w:rPr>
                <w:sz w:val="22"/>
                <w:szCs w:val="22"/>
              </w:rPr>
              <w:t xml:space="preserve"> </w:t>
            </w:r>
            <w:r w:rsidRPr="00B60BE5">
              <w:rPr>
                <w:i/>
                <w:iCs/>
                <w:sz w:val="22"/>
                <w:szCs w:val="22"/>
              </w:rPr>
              <w:t xml:space="preserve">y </w:t>
            </w:r>
            <w:hyperlink r:id="rId10" w:tgtFrame="_blank" w:history="1">
              <w:r w:rsidRPr="00B60BE5">
                <w:rPr>
                  <w:rStyle w:val="Hyperlink"/>
                  <w:i/>
                  <w:iCs/>
                  <w:sz w:val="22"/>
                  <w:szCs w:val="22"/>
                </w:rPr>
                <w:t>157</w:t>
              </w:r>
              <w:r w:rsidR="00C46EC4" w:rsidRPr="00B60BE5">
                <w:rPr>
                  <w:rStyle w:val="Hyperlink"/>
                  <w:i/>
                  <w:iCs/>
                  <w:sz w:val="22"/>
                  <w:szCs w:val="22"/>
                </w:rPr>
                <w:t> </w:t>
              </w:r>
              <w:r w:rsidRPr="00B60BE5">
                <w:rPr>
                  <w:rStyle w:val="Hyperlink"/>
                  <w:i/>
                  <w:iCs/>
                  <w:sz w:val="22"/>
                  <w:szCs w:val="22"/>
                </w:rPr>
                <w:t>(Rev. Bucarest, 2022)</w:t>
              </w:r>
              <w:r w:rsidRPr="00B60BE5">
                <w:rPr>
                  <w:rStyle w:val="Hyperlink"/>
                  <w:i/>
                  <w:iCs/>
                  <w:color w:val="auto"/>
                  <w:sz w:val="22"/>
                  <w:szCs w:val="22"/>
                  <w:u w:val="none"/>
                </w:rPr>
                <w:t xml:space="preserve"> </w:t>
              </w:r>
            </w:hyperlink>
            <w:r w:rsidRPr="00B60BE5">
              <w:rPr>
                <w:i/>
                <w:iCs/>
                <w:sz w:val="22"/>
                <w:szCs w:val="22"/>
              </w:rPr>
              <w:t xml:space="preserve">de la Conferencia de Plenipotenciarios; </w:t>
            </w:r>
            <w:hyperlink r:id="rId11" w:tgtFrame="_blank" w:history="1">
              <w:r w:rsidRPr="00B60BE5">
                <w:rPr>
                  <w:rStyle w:val="Hyperlink"/>
                  <w:i/>
                  <w:iCs/>
                  <w:sz w:val="22"/>
                  <w:szCs w:val="22"/>
                </w:rPr>
                <w:t>Plan de Acción de Kigali del Informe Final de la Conferencia Mundial de Desarrollo de las Telecomunicaciones (Kigali,</w:t>
              </w:r>
              <w:r w:rsidR="0062579A" w:rsidRPr="00B60BE5">
                <w:rPr>
                  <w:rStyle w:val="Hyperlink"/>
                  <w:i/>
                  <w:iCs/>
                  <w:sz w:val="22"/>
                  <w:szCs w:val="22"/>
                </w:rPr>
                <w:t> </w:t>
              </w:r>
              <w:r w:rsidRPr="00B60BE5">
                <w:rPr>
                  <w:rStyle w:val="Hyperlink"/>
                  <w:i/>
                  <w:iCs/>
                  <w:sz w:val="22"/>
                  <w:szCs w:val="22"/>
                </w:rPr>
                <w:t>2022)</w:t>
              </w:r>
            </w:hyperlink>
          </w:p>
        </w:tc>
      </w:tr>
      <w:bookmarkEnd w:id="0"/>
    </w:tbl>
    <w:p w14:paraId="78973132" w14:textId="77777777" w:rsidR="001559F5" w:rsidRPr="0030406E" w:rsidRDefault="001559F5" w:rsidP="0062579A">
      <w:r w:rsidRPr="0030406E">
        <w:br w:type="page"/>
      </w:r>
    </w:p>
    <w:p w14:paraId="0AD7CD5A" w14:textId="77777777" w:rsidR="00A80C26" w:rsidRPr="0030406E" w:rsidRDefault="00A80C26" w:rsidP="00CA005C">
      <w:pPr>
        <w:pStyle w:val="Heading1"/>
      </w:pPr>
      <w:r w:rsidRPr="0030406E">
        <w:lastRenderedPageBreak/>
        <w:t>1</w:t>
      </w:r>
      <w:r w:rsidRPr="0030406E">
        <w:tab/>
        <w:t>Introducción/antecedentes</w:t>
      </w:r>
    </w:p>
    <w:p w14:paraId="13EDAC19" w14:textId="27945B36" w:rsidR="00A80C26" w:rsidRPr="00A80C26" w:rsidRDefault="00A80C26" w:rsidP="00B60BE5">
      <w:pPr>
        <w:jc w:val="both"/>
      </w:pPr>
      <w:r w:rsidRPr="00A80C26">
        <w:t>En su 19</w:t>
      </w:r>
      <w:r w:rsidR="00100F4E">
        <w:t>.</w:t>
      </w:r>
      <w:r w:rsidRPr="00A80C26">
        <w:t>ª</w:t>
      </w:r>
      <w:r w:rsidR="00100F4E">
        <w:t> </w:t>
      </w:r>
      <w:r w:rsidRPr="00A80C26">
        <w:t>reunión, celebrada del 30 de septiembre al 11 de octubre de 2024, el Grupo de Trabajo del Consejo sobre Recursos Humanos y Financieros (GTC</w:t>
      </w:r>
      <w:r w:rsidR="00100F4E">
        <w:noBreakHyphen/>
      </w:r>
      <w:r w:rsidRPr="00A80C26">
        <w:t xml:space="preserve">RHF) decidió crear un </w:t>
      </w:r>
      <w:r w:rsidRPr="00A80C26">
        <w:rPr>
          <w:bCs/>
        </w:rPr>
        <w:t>Grupo por Correspondencia en Línea (GCL) encargado de elaborar un mandato para el examen por la</w:t>
      </w:r>
      <w:r w:rsidR="00100F4E">
        <w:rPr>
          <w:bCs/>
        </w:rPr>
        <w:t> </w:t>
      </w:r>
      <w:r w:rsidRPr="00A80C26">
        <w:rPr>
          <w:bCs/>
        </w:rPr>
        <w:t>UIT de su presencia regional, con arreglo a la Resolución</w:t>
      </w:r>
      <w:r w:rsidR="00100F4E">
        <w:rPr>
          <w:bCs/>
        </w:rPr>
        <w:t> </w:t>
      </w:r>
      <w:r w:rsidRPr="00A80C26">
        <w:rPr>
          <w:bCs/>
        </w:rPr>
        <w:t xml:space="preserve">25 </w:t>
      </w:r>
      <w:r w:rsidRPr="00A80C26">
        <w:t>(Rev.</w:t>
      </w:r>
      <w:r w:rsidR="00100F4E">
        <w:t> </w:t>
      </w:r>
      <w:r w:rsidRPr="00A80C26">
        <w:t>Bucarest,</w:t>
      </w:r>
      <w:r w:rsidR="00100F4E">
        <w:t> </w:t>
      </w:r>
      <w:r w:rsidRPr="00A80C26">
        <w:t>2022) de la Conferencia de Plenipotenciarios, relativa al fortalecimiento de la presencia regional de la</w:t>
      </w:r>
      <w:r w:rsidR="00100F4E">
        <w:t> </w:t>
      </w:r>
      <w:r w:rsidRPr="00A80C26">
        <w:t>UIT. En concreto, se encargó al GCL que revisara el proyecto de mandato presentado durante la 19</w:t>
      </w:r>
      <w:r w:rsidR="00100F4E">
        <w:t>.</w:t>
      </w:r>
      <w:r w:rsidRPr="00A80C26">
        <w:t>ª</w:t>
      </w:r>
      <w:r w:rsidR="00100F4E">
        <w:t> </w:t>
      </w:r>
      <w:r w:rsidRPr="00A80C26">
        <w:t>reunión y sometiese un informe final a la consideración del GTC</w:t>
      </w:r>
      <w:r w:rsidR="00C46EC4" w:rsidRPr="0030406E">
        <w:noBreakHyphen/>
      </w:r>
      <w:r w:rsidRPr="00A80C26">
        <w:t>RHF en su 20</w:t>
      </w:r>
      <w:r w:rsidR="00100F4E">
        <w:t>.</w:t>
      </w:r>
      <w:r w:rsidRPr="00A80C26">
        <w:t>ª</w:t>
      </w:r>
      <w:r w:rsidR="00100F4E">
        <w:t> </w:t>
      </w:r>
      <w:r w:rsidRPr="00A80C26">
        <w:t>reunión.</w:t>
      </w:r>
    </w:p>
    <w:p w14:paraId="1FEFE99D" w14:textId="68FF2021" w:rsidR="00A80C26" w:rsidRPr="00A80C26" w:rsidRDefault="00A80C26" w:rsidP="00B60BE5">
      <w:pPr>
        <w:jc w:val="both"/>
      </w:pPr>
      <w:r w:rsidRPr="00A80C26">
        <w:t>En la 20</w:t>
      </w:r>
      <w:r w:rsidR="00100F4E">
        <w:t>.</w:t>
      </w:r>
      <w:r w:rsidRPr="00A80C26">
        <w:t>ª</w:t>
      </w:r>
      <w:r w:rsidR="00100F4E">
        <w:t> </w:t>
      </w:r>
      <w:r w:rsidRPr="00A80C26">
        <w:t>reunión del GTC-RHF, celebrada del 10 al 21 de febrero de 2025, se examinó el informe del GCL, el cual incluía una versión revisada del correspondiente mandato. Acto seguido, el GTC-RHF consideró y adoptó dicho mandato con miras a su examen por el Consejo en su reunión de junio de 2025 (véase el Documento</w:t>
      </w:r>
      <w:r w:rsidR="00100F4E">
        <w:t> </w:t>
      </w:r>
      <w:hyperlink r:id="rId12" w:history="1">
        <w:r w:rsidRPr="00A80C26">
          <w:rPr>
            <w:rStyle w:val="Hyperlink"/>
          </w:rPr>
          <w:t>C25/50</w:t>
        </w:r>
      </w:hyperlink>
      <w:r w:rsidRPr="00A80C26">
        <w:t>).</w:t>
      </w:r>
    </w:p>
    <w:p w14:paraId="51E1FE28" w14:textId="65D81B7A" w:rsidR="00A80C26" w:rsidRPr="00A80C26" w:rsidRDefault="00A80C26" w:rsidP="00B60BE5">
      <w:pPr>
        <w:jc w:val="both"/>
      </w:pPr>
      <w:r w:rsidRPr="00A80C26">
        <w:t>Tras la adopción del mandato por el GTC-RHF, se creó un Grupo de Tareas Intersectorial encargado de velar por la aplicación de un enfoque coordinado y estratégico a efectos del examen. En este Grupo de Tareas, presidido por el Vicesecretario General, participan</w:t>
      </w:r>
      <w:r w:rsidR="006C5D47">
        <w:t xml:space="preserve"> </w:t>
      </w:r>
      <w:r w:rsidRPr="00A80C26">
        <w:t>los Directores Regionales</w:t>
      </w:r>
      <w:r w:rsidR="002A36EF">
        <w:t xml:space="preserve">, </w:t>
      </w:r>
      <w:r w:rsidR="002A36EF">
        <w:t>representantes de</w:t>
      </w:r>
      <w:r w:rsidR="002A36EF" w:rsidRPr="00A80C26">
        <w:t xml:space="preserve"> </w:t>
      </w:r>
      <w:r w:rsidR="006C5D47" w:rsidRPr="006C5D47">
        <w:t xml:space="preserve">la Oficina de Desarrollo, la Oficina de Radiocomunicaciones y la Oficina de Normalización, así como </w:t>
      </w:r>
      <w:r w:rsidR="006C5D47">
        <w:t>de</w:t>
      </w:r>
      <w:r w:rsidR="006C5D47" w:rsidRPr="006C5D47">
        <w:t xml:space="preserve"> la Secretaría General</w:t>
      </w:r>
      <w:r w:rsidRPr="00A80C26">
        <w:t>. Los objetivos de este Grupo de Tareas son los siguientes:</w:t>
      </w:r>
    </w:p>
    <w:p w14:paraId="65E0215E" w14:textId="7BE3394E" w:rsidR="00A80C26" w:rsidRPr="0030406E" w:rsidRDefault="0062579A" w:rsidP="00B60BE5">
      <w:pPr>
        <w:pStyle w:val="enumlev1"/>
        <w:jc w:val="both"/>
      </w:pPr>
      <w:r>
        <w:t>–</w:t>
      </w:r>
      <w:r w:rsidR="00A80C26" w:rsidRPr="0030406E">
        <w:tab/>
        <w:t>redactar el proyecto de informe inicial y describir la metodología, la estructura y la duración del proceso, las vías de consulta con las partes interesadas, los procesos de toma de decisiones y los recursos necesarios, a fin de encauzar el examen;</w:t>
      </w:r>
    </w:p>
    <w:p w14:paraId="626CEF02" w14:textId="7FBCD1F1" w:rsidR="00A80C26" w:rsidRPr="0030406E" w:rsidRDefault="0062579A" w:rsidP="00B60BE5">
      <w:pPr>
        <w:pStyle w:val="enumlev1"/>
        <w:jc w:val="both"/>
      </w:pPr>
      <w:r>
        <w:t>–</w:t>
      </w:r>
      <w:r w:rsidR="00A80C26" w:rsidRPr="0030406E">
        <w:tab/>
      </w:r>
      <w:r w:rsidR="006C5D47">
        <w:t xml:space="preserve">llevar a cabo </w:t>
      </w:r>
      <w:r w:rsidR="00A80C26" w:rsidRPr="0030406E">
        <w:t>el examen conforme a lo previsto en el mando, velando por su adecuación a la visión estratégica de la</w:t>
      </w:r>
      <w:r w:rsidR="00100F4E">
        <w:t> </w:t>
      </w:r>
      <w:r w:rsidR="00A80C26" w:rsidRPr="0030406E">
        <w:t>UIT y la Resolución</w:t>
      </w:r>
      <w:r w:rsidR="00100F4E">
        <w:t> </w:t>
      </w:r>
      <w:r w:rsidR="00A80C26" w:rsidRPr="0030406E">
        <w:t>25;</w:t>
      </w:r>
    </w:p>
    <w:p w14:paraId="081A1418" w14:textId="49EDAFAD" w:rsidR="00A80C26" w:rsidRPr="0030406E" w:rsidRDefault="0062579A" w:rsidP="00B60BE5">
      <w:pPr>
        <w:pStyle w:val="enumlev1"/>
        <w:jc w:val="both"/>
      </w:pPr>
      <w:r>
        <w:t>–</w:t>
      </w:r>
      <w:r w:rsidR="00A80C26" w:rsidRPr="0030406E">
        <w:tab/>
        <w:t>facilitar la colaboración entre sectores, oficinas regionales y departamentos clave para garantizar la exhaustividad y eficacia del examen de la presencia regional de la</w:t>
      </w:r>
      <w:r w:rsidR="00100F4E">
        <w:t> </w:t>
      </w:r>
      <w:r w:rsidR="00A80C26" w:rsidRPr="0030406E">
        <w:t>UIT;</w:t>
      </w:r>
    </w:p>
    <w:p w14:paraId="6B819390" w14:textId="635C8D22" w:rsidR="00A80C26" w:rsidRPr="0030406E" w:rsidRDefault="0062579A" w:rsidP="00B60BE5">
      <w:pPr>
        <w:pStyle w:val="enumlev1"/>
        <w:jc w:val="both"/>
      </w:pPr>
      <w:r>
        <w:t>–</w:t>
      </w:r>
      <w:r w:rsidR="00A80C26" w:rsidRPr="0030406E">
        <w:tab/>
        <w:t>evaluar los resultados para formular recomendaciones fundamentadas, en aras de la eficacia y la repercusión de las actividades regionales de la</w:t>
      </w:r>
      <w:r w:rsidR="00100F4E">
        <w:t> </w:t>
      </w:r>
      <w:r w:rsidR="00A80C26" w:rsidRPr="0030406E">
        <w:t>UIT; y</w:t>
      </w:r>
    </w:p>
    <w:p w14:paraId="6506FA04" w14:textId="6A20FB78" w:rsidR="00A80C26" w:rsidRPr="0030406E" w:rsidRDefault="0062579A" w:rsidP="00B60BE5">
      <w:pPr>
        <w:pStyle w:val="enumlev1"/>
        <w:jc w:val="both"/>
      </w:pPr>
      <w:r>
        <w:t>–</w:t>
      </w:r>
      <w:r w:rsidR="00C46EC4" w:rsidRPr="0030406E">
        <w:tab/>
      </w:r>
      <w:r w:rsidR="00A80C26" w:rsidRPr="0030406E">
        <w:t>facilitar la presentación de informes a los órganos rectores y grupos asesores de la</w:t>
      </w:r>
      <w:r w:rsidR="00100F4E">
        <w:t> </w:t>
      </w:r>
      <w:r w:rsidR="00A80C26" w:rsidRPr="0030406E">
        <w:t>UIT.</w:t>
      </w:r>
    </w:p>
    <w:p w14:paraId="57B24B49" w14:textId="7A51A63D" w:rsidR="00A80C26" w:rsidRPr="00A80C26" w:rsidRDefault="00A80C26" w:rsidP="00B60BE5">
      <w:pPr>
        <w:jc w:val="both"/>
      </w:pPr>
      <w:r w:rsidRPr="00A80C26">
        <w:t>Teniendo presentes los Artículos</w:t>
      </w:r>
      <w:r w:rsidR="00100F4E">
        <w:t> </w:t>
      </w:r>
      <w:r w:rsidRPr="00A80C26">
        <w:t>1 y 21 de la Constitución de la</w:t>
      </w:r>
      <w:r w:rsidR="00100F4E">
        <w:t> </w:t>
      </w:r>
      <w:r w:rsidRPr="00A80C26">
        <w:t>UIT, el Artículo</w:t>
      </w:r>
      <w:r w:rsidR="00100F4E">
        <w:t> </w:t>
      </w:r>
      <w:r w:rsidRPr="00A80C26">
        <w:t>5 del Convenio de la</w:t>
      </w:r>
      <w:r w:rsidR="00100F4E">
        <w:t> </w:t>
      </w:r>
      <w:r w:rsidRPr="00A80C26">
        <w:t>UIT y la Resolución</w:t>
      </w:r>
      <w:r w:rsidR="00100F4E">
        <w:t> </w:t>
      </w:r>
      <w:r w:rsidRPr="00A80C26">
        <w:t>25 (Rev. Bucarest, 2022) de la Conferencia de Plenipotenciarios, este informe inicial contiene una serie de recomendaciones encaminadas a facilitar las deliberaciones del Consejo sobre el mandato en cuestión. El autor de las recomendaciones es el Grupo de Tareas Intersectorial sobre la presencia regional.</w:t>
      </w:r>
    </w:p>
    <w:p w14:paraId="6DFF1592" w14:textId="2816DA7D" w:rsidR="00A80C26" w:rsidRPr="00A80C26" w:rsidRDefault="00A80C26" w:rsidP="00B60BE5">
      <w:pPr>
        <w:jc w:val="both"/>
      </w:pPr>
      <w:r w:rsidRPr="00A80C26">
        <w:t>Estas recomendaciones pretenden arrojar luz sobre la metodología, la cronología, el alcance, el enfoque relativo a la participación de las partes interesadas y las necesidades en términos de recursos del examen.</w:t>
      </w:r>
    </w:p>
    <w:p w14:paraId="6DEB6B03" w14:textId="77777777" w:rsidR="00A80C26" w:rsidRPr="00A80C26" w:rsidRDefault="00A80C26" w:rsidP="00B60BE5">
      <w:pPr>
        <w:jc w:val="both"/>
      </w:pPr>
      <w:r w:rsidRPr="00A80C26">
        <w:t>El informe se estructura como sigue:</w:t>
      </w:r>
    </w:p>
    <w:p w14:paraId="7B753E5C" w14:textId="4802441D" w:rsidR="00A80C26" w:rsidRPr="0030406E" w:rsidRDefault="00A80C26" w:rsidP="00B60BE5">
      <w:pPr>
        <w:pStyle w:val="enumlev1"/>
        <w:jc w:val="both"/>
      </w:pPr>
      <w:r w:rsidRPr="0030406E">
        <w:t>1)</w:t>
      </w:r>
      <w:r w:rsidRPr="0030406E">
        <w:tab/>
        <w:t xml:space="preserve">Metodología de examen: </w:t>
      </w:r>
      <w:r w:rsidR="00100F4E" w:rsidRPr="0030406E">
        <w:t>d</w:t>
      </w:r>
      <w:r w:rsidRPr="0030406E">
        <w:t>escripción del marco y el enfoque aplicables al examen.</w:t>
      </w:r>
    </w:p>
    <w:p w14:paraId="5BE63B64" w14:textId="6E93F020" w:rsidR="00A80C26" w:rsidRPr="0030406E" w:rsidRDefault="00A80C26" w:rsidP="00B60BE5">
      <w:pPr>
        <w:pStyle w:val="enumlev1"/>
        <w:jc w:val="both"/>
      </w:pPr>
      <w:r w:rsidRPr="0030406E">
        <w:t>2)</w:t>
      </w:r>
      <w:r w:rsidRPr="0030406E">
        <w:tab/>
        <w:t xml:space="preserve">Estructura y duración del examen: </w:t>
      </w:r>
      <w:r w:rsidR="00100F4E" w:rsidRPr="0030406E">
        <w:t>d</w:t>
      </w:r>
      <w:r w:rsidRPr="0030406E">
        <w:t>efinición de las fases, los objetivos intermedios y los resultados del proceso de examen.</w:t>
      </w:r>
    </w:p>
    <w:p w14:paraId="2A8161CB" w14:textId="2AE6D630" w:rsidR="00A80C26" w:rsidRPr="0030406E" w:rsidRDefault="00A80C26" w:rsidP="00B60BE5">
      <w:pPr>
        <w:pStyle w:val="enumlev1"/>
        <w:jc w:val="both"/>
      </w:pPr>
      <w:r w:rsidRPr="0030406E">
        <w:t>3)</w:t>
      </w:r>
      <w:r w:rsidRPr="0030406E">
        <w:tab/>
        <w:t xml:space="preserve">Consultas a las partes interesadas: </w:t>
      </w:r>
      <w:r w:rsidR="00100F4E" w:rsidRPr="0030406E">
        <w:t>i</w:t>
      </w:r>
      <w:r w:rsidRPr="0030406E">
        <w:t>dentificación de posibles foros para una participación inclusiva de las partes interesadas, a fin de garantizar un examen integral.</w:t>
      </w:r>
    </w:p>
    <w:p w14:paraId="409162E4" w14:textId="2C0D4AB4" w:rsidR="00A80C26" w:rsidRPr="0030406E" w:rsidRDefault="00A80C26" w:rsidP="00B60BE5">
      <w:pPr>
        <w:pStyle w:val="enumlev1"/>
        <w:jc w:val="both"/>
      </w:pPr>
      <w:r w:rsidRPr="0030406E">
        <w:lastRenderedPageBreak/>
        <w:t>4)</w:t>
      </w:r>
      <w:r w:rsidRPr="0030406E">
        <w:tab/>
        <w:t xml:space="preserve">Procesos de toma de decisiones: </w:t>
      </w:r>
      <w:r w:rsidR="00100F4E" w:rsidRPr="0030406E">
        <w:t>r</w:t>
      </w:r>
      <w:r w:rsidRPr="0030406E">
        <w:t>ecomendación de procedimientos de validación y aprobación durante el proceso de examen.</w:t>
      </w:r>
    </w:p>
    <w:p w14:paraId="248B9CDF" w14:textId="7E46A639" w:rsidR="00A80C26" w:rsidRPr="0030406E" w:rsidRDefault="00A80C26" w:rsidP="00B60BE5">
      <w:pPr>
        <w:pStyle w:val="enumlev1"/>
        <w:jc w:val="both"/>
      </w:pPr>
      <w:r w:rsidRPr="0030406E">
        <w:t>5)</w:t>
      </w:r>
      <w:r w:rsidRPr="0030406E">
        <w:tab/>
        <w:t xml:space="preserve">Recursos necesarios: </w:t>
      </w:r>
      <w:r w:rsidR="00100F4E" w:rsidRPr="0030406E">
        <w:t>i</w:t>
      </w:r>
      <w:r w:rsidRPr="0030406E">
        <w:t>dentificación de los recursos necesarios para apoyar una ejecución eficaz del examen.</w:t>
      </w:r>
    </w:p>
    <w:p w14:paraId="1B0DDAE6" w14:textId="77777777" w:rsidR="00A80C26" w:rsidRPr="0030406E" w:rsidRDefault="00A80C26" w:rsidP="00CA005C">
      <w:pPr>
        <w:pStyle w:val="Heading1"/>
      </w:pPr>
      <w:r w:rsidRPr="0030406E">
        <w:t>2</w:t>
      </w:r>
      <w:r w:rsidRPr="0030406E">
        <w:tab/>
        <w:t>Metodología de examen</w:t>
      </w:r>
    </w:p>
    <w:p w14:paraId="7D9372C2" w14:textId="77777777" w:rsidR="00A80C26" w:rsidRPr="00A80C26" w:rsidRDefault="00A80C26" w:rsidP="00B60BE5">
      <w:pPr>
        <w:jc w:val="both"/>
      </w:pPr>
      <w:r w:rsidRPr="00A80C26">
        <w:t>La metodología descrita en el mandato pretende sentar las bases de un proceso de examen riguroso y multidimensional, e incluye lo siguiente:</w:t>
      </w:r>
    </w:p>
    <w:p w14:paraId="1CA66813" w14:textId="648969BD" w:rsidR="00A80C26" w:rsidRPr="0030406E" w:rsidRDefault="00A80C26" w:rsidP="00B60BE5">
      <w:pPr>
        <w:pStyle w:val="enumlev1"/>
        <w:jc w:val="both"/>
      </w:pPr>
      <w:r w:rsidRPr="0030406E">
        <w:t>–</w:t>
      </w:r>
      <w:r w:rsidRPr="0030406E">
        <w:tab/>
        <w:t xml:space="preserve">Análisis de documentos: </w:t>
      </w:r>
      <w:r w:rsidR="00100F4E" w:rsidRPr="0030406E">
        <w:t>r</w:t>
      </w:r>
      <w:r w:rsidRPr="0030406E">
        <w:t>ealización de un análisis documental exhaustivo de los principales documentos de índole política, planes estratégicos, informes de auditoría y evaluaciones internas y externas de la</w:t>
      </w:r>
      <w:r w:rsidR="00100F4E">
        <w:t> </w:t>
      </w:r>
      <w:r w:rsidRPr="0030406E">
        <w:t>UIT.</w:t>
      </w:r>
    </w:p>
    <w:p w14:paraId="36F37473" w14:textId="5135F3F4" w:rsidR="00A80C26" w:rsidRPr="0030406E" w:rsidRDefault="00A80C26" w:rsidP="00B60BE5">
      <w:pPr>
        <w:pStyle w:val="enumlev1"/>
        <w:jc w:val="both"/>
      </w:pPr>
      <w:r w:rsidRPr="0030406E">
        <w:t>–</w:t>
      </w:r>
      <w:r w:rsidRPr="0030406E">
        <w:tab/>
        <w:t xml:space="preserve">Análisis de datos: </w:t>
      </w:r>
      <w:r w:rsidR="00100F4E" w:rsidRPr="0030406E">
        <w:t>r</w:t>
      </w:r>
      <w:r w:rsidRPr="0030406E">
        <w:t>ealización de un análisis exhaustivo de los datos operativos, financieros y de personal, con el objetivo de descubrir tendencias, evaluar el rendimiento de la</w:t>
      </w:r>
      <w:r w:rsidR="00100F4E">
        <w:t> </w:t>
      </w:r>
      <w:r w:rsidRPr="0030406E">
        <w:t>UIT y mejorar las oportunidades disponibles.</w:t>
      </w:r>
    </w:p>
    <w:p w14:paraId="34C7278F" w14:textId="69786B40" w:rsidR="00A80C26" w:rsidRPr="0030406E" w:rsidRDefault="00A80C26" w:rsidP="00B60BE5">
      <w:pPr>
        <w:pStyle w:val="enumlev1"/>
        <w:jc w:val="both"/>
      </w:pPr>
      <w:r w:rsidRPr="0030406E">
        <w:t>–</w:t>
      </w:r>
      <w:r w:rsidRPr="0030406E">
        <w:tab/>
        <w:t xml:space="preserve">Consultas a las partes interesadas: </w:t>
      </w:r>
      <w:r w:rsidR="00100F4E" w:rsidRPr="0030406E">
        <w:t>c</w:t>
      </w:r>
      <w:r w:rsidRPr="0030406E">
        <w:t>elebración de intercambios estructurados con partes interesadas internas y externas, a fin de recabar opiniones diversas sobre la eficacia de las actividades regionales y las funciones de apoyo de la sede.</w:t>
      </w:r>
    </w:p>
    <w:p w14:paraId="5745733D" w14:textId="36CDEAA4" w:rsidR="00A80C26" w:rsidRPr="0030406E" w:rsidRDefault="00A80C26" w:rsidP="00B60BE5">
      <w:pPr>
        <w:pStyle w:val="enumlev1"/>
        <w:jc w:val="both"/>
      </w:pPr>
      <w:r w:rsidRPr="0030406E">
        <w:t>–</w:t>
      </w:r>
      <w:r w:rsidRPr="0030406E">
        <w:tab/>
        <w:t xml:space="preserve">Encuestas a las partes interesadas: </w:t>
      </w:r>
      <w:r w:rsidR="00100F4E" w:rsidRPr="0030406E">
        <w:t>r</w:t>
      </w:r>
      <w:r w:rsidRPr="0030406E">
        <w:t>ealización de encuestas amplias y dirigidas a los Estados Miembros, los organismos pertinentes de las Naciones Unidas y los miembros de la</w:t>
      </w:r>
      <w:r w:rsidR="00100F4E">
        <w:t> </w:t>
      </w:r>
      <w:r w:rsidRPr="0030406E">
        <w:t>UIT, con miras a evaluar el nivel de satisfacción, los retos y las expectativas.</w:t>
      </w:r>
    </w:p>
    <w:p w14:paraId="1E62C048" w14:textId="22FB8170" w:rsidR="00A80C26" w:rsidRPr="0030406E" w:rsidRDefault="00A80C26" w:rsidP="00B60BE5">
      <w:pPr>
        <w:jc w:val="both"/>
      </w:pPr>
      <w:r w:rsidRPr="0030406E">
        <w:t xml:space="preserve">En aras del rigor analítico y la pertinencia del examen, </w:t>
      </w:r>
      <w:r w:rsidR="006C5D47" w:rsidRPr="00A80C26">
        <w:t xml:space="preserve">el Grupo de Tareas Intersectorial </w:t>
      </w:r>
      <w:r w:rsidRPr="0030406E">
        <w:t>recomienda además la inclusión de:</w:t>
      </w:r>
    </w:p>
    <w:p w14:paraId="4D774AD2" w14:textId="27C85F43" w:rsidR="00A80C26" w:rsidRPr="0030406E" w:rsidRDefault="00A80C26" w:rsidP="00B60BE5">
      <w:pPr>
        <w:pStyle w:val="enumlev1"/>
        <w:jc w:val="both"/>
      </w:pPr>
      <w:r w:rsidRPr="0030406E">
        <w:t>–</w:t>
      </w:r>
      <w:r w:rsidRPr="0030406E">
        <w:tab/>
      </w:r>
      <w:r w:rsidR="00100F4E" w:rsidRPr="0030406E">
        <w:t>a</w:t>
      </w:r>
      <w:r w:rsidRPr="0030406E">
        <w:t xml:space="preserve">nálisis comparativos: </w:t>
      </w:r>
      <w:r w:rsidR="0062579A" w:rsidRPr="0030406E">
        <w:t>p</w:t>
      </w:r>
      <w:r w:rsidRPr="0030406E">
        <w:t>ara estudiar las oficinas regionales y zonales de la</w:t>
      </w:r>
      <w:r w:rsidR="00100F4E">
        <w:t> </w:t>
      </w:r>
      <w:r w:rsidRPr="0030406E">
        <w:t>UIT frente a otras instituciones homólogas del sistema de las Naciones Unidas</w:t>
      </w:r>
      <w:r w:rsidR="00100F4E">
        <w:t>;</w:t>
      </w:r>
    </w:p>
    <w:p w14:paraId="747E2AC2" w14:textId="620014E9" w:rsidR="00A80C26" w:rsidRPr="0030406E" w:rsidRDefault="00A80C26" w:rsidP="00B60BE5">
      <w:pPr>
        <w:pStyle w:val="enumlev1"/>
        <w:jc w:val="both"/>
      </w:pPr>
      <w:r w:rsidRPr="0030406E">
        <w:t>–</w:t>
      </w:r>
      <w:r w:rsidRPr="0030406E">
        <w:tab/>
      </w:r>
      <w:r w:rsidR="00100F4E" w:rsidRPr="0030406E">
        <w:t>m</w:t>
      </w:r>
      <w:r w:rsidRPr="0030406E">
        <w:t xml:space="preserve">etodologías combinadas: </w:t>
      </w:r>
      <w:r w:rsidR="0062579A" w:rsidRPr="0030406E">
        <w:t>p</w:t>
      </w:r>
      <w:r w:rsidRPr="0030406E">
        <w:t>ara garantizar que el examen tenga una base empírica, sea inclusivo y esté estratégicamente orientado a las dinámicas necesidades de la</w:t>
      </w:r>
      <w:r w:rsidR="00100F4E">
        <w:t> </w:t>
      </w:r>
      <w:r w:rsidRPr="0030406E">
        <w:t>UIT, especialmente en lo que respecta a su presencia regional.</w:t>
      </w:r>
    </w:p>
    <w:p w14:paraId="273B57D4" w14:textId="77777777" w:rsidR="00A80C26" w:rsidRPr="0030406E" w:rsidRDefault="00A80C26" w:rsidP="00CA005C">
      <w:pPr>
        <w:pStyle w:val="Heading1"/>
      </w:pPr>
      <w:r w:rsidRPr="0030406E">
        <w:t>3</w:t>
      </w:r>
      <w:r w:rsidRPr="0030406E">
        <w:tab/>
        <w:t>Estructura y duración del examen</w:t>
      </w:r>
    </w:p>
    <w:p w14:paraId="2AA52387" w14:textId="68088C3C" w:rsidR="00A80C26" w:rsidRPr="00A80C26" w:rsidRDefault="00A80C26" w:rsidP="00B60BE5">
      <w:pPr>
        <w:jc w:val="both"/>
      </w:pPr>
      <w:r w:rsidRPr="00A80C26">
        <w:t xml:space="preserve">El examen se prolongará </w:t>
      </w:r>
      <w:r w:rsidR="006C5D47" w:rsidRPr="00A80C26">
        <w:t>1</w:t>
      </w:r>
      <w:r w:rsidR="006C5D47">
        <w:t>0</w:t>
      </w:r>
      <w:r w:rsidR="0062579A">
        <w:t> </w:t>
      </w:r>
      <w:r w:rsidRPr="00A80C26">
        <w:t>meses y se organizará en cuatro fases secuenciales. A continuación se detallan la secuencia y los resultados de cada fase de examen.</w:t>
      </w:r>
    </w:p>
    <w:p w14:paraId="1C50BEC6" w14:textId="4617ADB1" w:rsidR="00A80C26" w:rsidRPr="0030406E" w:rsidRDefault="00A80C26" w:rsidP="00CA005C">
      <w:pPr>
        <w:pStyle w:val="Headingb"/>
      </w:pPr>
      <w:r w:rsidRPr="0030406E">
        <w:t>Fase 1: Evaluación preliminar (julio-agosto de 2025)</w:t>
      </w:r>
    </w:p>
    <w:p w14:paraId="60B36567" w14:textId="77777777" w:rsidR="00A80C26" w:rsidRPr="00A80C26" w:rsidRDefault="00A80C26" w:rsidP="00B60BE5">
      <w:pPr>
        <w:jc w:val="both"/>
      </w:pPr>
      <w:r w:rsidRPr="00A80C26">
        <w:t>Resultados:</w:t>
      </w:r>
    </w:p>
    <w:p w14:paraId="5D461874" w14:textId="2F035D0B" w:rsidR="00A80C26" w:rsidRPr="0030406E" w:rsidRDefault="00A80C26" w:rsidP="00B60BE5">
      <w:pPr>
        <w:pStyle w:val="enumlev1"/>
        <w:jc w:val="both"/>
      </w:pPr>
      <w:r w:rsidRPr="0030406E">
        <w:t>–</w:t>
      </w:r>
      <w:r w:rsidRPr="0030406E">
        <w:tab/>
        <w:t>Formación del equipo de examen y definición de los protocolos de trabajo.</w:t>
      </w:r>
    </w:p>
    <w:p w14:paraId="6524F387" w14:textId="2DC97C30" w:rsidR="00A80C26" w:rsidRPr="0030406E" w:rsidRDefault="00A80C26" w:rsidP="00B60BE5">
      <w:pPr>
        <w:pStyle w:val="enumlev1"/>
        <w:jc w:val="both"/>
      </w:pPr>
      <w:r w:rsidRPr="0030406E">
        <w:t>–</w:t>
      </w:r>
      <w:r w:rsidRPr="0030406E">
        <w:tab/>
        <w:t>Articulación del objetivo del examen y la metodología.</w:t>
      </w:r>
    </w:p>
    <w:p w14:paraId="559F76A1" w14:textId="724B46B1" w:rsidR="00A80C26" w:rsidRPr="0030406E" w:rsidRDefault="00A80C26" w:rsidP="00B60BE5">
      <w:pPr>
        <w:pStyle w:val="enumlev1"/>
        <w:jc w:val="both"/>
      </w:pPr>
      <w:r w:rsidRPr="0030406E">
        <w:t>–</w:t>
      </w:r>
      <w:r w:rsidRPr="0030406E">
        <w:tab/>
        <w:t>Desarrollo de herramientas adaptadas a la recopilación de datos (por ejemplo, encuestas, preguntas para entrevistas).</w:t>
      </w:r>
    </w:p>
    <w:p w14:paraId="6196F09A" w14:textId="0098E0E3" w:rsidR="00A80C26" w:rsidRPr="0030406E" w:rsidRDefault="00A80C26" w:rsidP="00B60BE5">
      <w:pPr>
        <w:pStyle w:val="enumlev1"/>
        <w:jc w:val="both"/>
      </w:pPr>
      <w:r w:rsidRPr="0030406E">
        <w:t>–</w:t>
      </w:r>
      <w:r w:rsidRPr="0030406E">
        <w:tab/>
        <w:t>Armonización de los parámetros de examen con los IFR y los objetivos estratégicos de la</w:t>
      </w:r>
      <w:r w:rsidR="00100F4E">
        <w:t> </w:t>
      </w:r>
      <w:r w:rsidRPr="0030406E">
        <w:t>UIT.</w:t>
      </w:r>
    </w:p>
    <w:p w14:paraId="76993648" w14:textId="665A7279" w:rsidR="00A80C26" w:rsidRPr="0030406E" w:rsidRDefault="00A80C26" w:rsidP="00CA005C">
      <w:pPr>
        <w:pStyle w:val="Headingb"/>
      </w:pPr>
      <w:r w:rsidRPr="0030406E">
        <w:lastRenderedPageBreak/>
        <w:t>Fase 2: Recopilación de datos y análisis inicial (septiembre-noviembre de 2025)</w:t>
      </w:r>
    </w:p>
    <w:p w14:paraId="6EC46F66" w14:textId="77777777" w:rsidR="00A80C26" w:rsidRPr="00A80C26" w:rsidRDefault="00A80C26" w:rsidP="00B60BE5">
      <w:pPr>
        <w:jc w:val="both"/>
      </w:pPr>
      <w:r w:rsidRPr="00A80C26">
        <w:t xml:space="preserve">Resultados: </w:t>
      </w:r>
    </w:p>
    <w:p w14:paraId="00F29704" w14:textId="3760D845" w:rsidR="00A80C26" w:rsidRPr="0030406E" w:rsidRDefault="00A80C26" w:rsidP="00B60BE5">
      <w:pPr>
        <w:pStyle w:val="enumlev1"/>
        <w:jc w:val="both"/>
      </w:pPr>
      <w:r w:rsidRPr="0030406E">
        <w:t>–</w:t>
      </w:r>
      <w:r w:rsidRPr="0030406E">
        <w:tab/>
        <w:t>Realización de entrevistas y encuestas a distintos grupos de interesados.</w:t>
      </w:r>
    </w:p>
    <w:p w14:paraId="75982AC6" w14:textId="10B8537D" w:rsidR="00A80C26" w:rsidRPr="0030406E" w:rsidRDefault="00A80C26" w:rsidP="00B60BE5">
      <w:pPr>
        <w:pStyle w:val="enumlev1"/>
        <w:jc w:val="both"/>
      </w:pPr>
      <w:r w:rsidRPr="0030406E">
        <w:t>–</w:t>
      </w:r>
      <w:r w:rsidRPr="0030406E">
        <w:tab/>
        <w:t>Ejercicios de evaluación comparativa.</w:t>
      </w:r>
    </w:p>
    <w:p w14:paraId="69ADE238" w14:textId="64847421" w:rsidR="00A80C26" w:rsidRPr="0030406E" w:rsidRDefault="00A80C26" w:rsidP="00B60BE5">
      <w:pPr>
        <w:pStyle w:val="enumlev1"/>
        <w:jc w:val="both"/>
      </w:pPr>
      <w:r w:rsidRPr="0030406E">
        <w:t>–</w:t>
      </w:r>
      <w:r w:rsidRPr="0030406E">
        <w:tab/>
        <w:t>Análisis e identificación iniciales de patrones incipientes y temas clave.</w:t>
      </w:r>
    </w:p>
    <w:p w14:paraId="4ECC6020" w14:textId="43292EC2" w:rsidR="00A80C26" w:rsidRPr="0030406E" w:rsidRDefault="00A80C26" w:rsidP="00CA005C">
      <w:pPr>
        <w:pStyle w:val="Headingb"/>
      </w:pPr>
      <w:r w:rsidRPr="0030406E">
        <w:t>Fase 3: Análisis detallado y preparación del proyecto (diciembre de 2025-febrero de 2026)</w:t>
      </w:r>
    </w:p>
    <w:p w14:paraId="1190870A" w14:textId="1DF3B1E7" w:rsidR="00A80C26" w:rsidRPr="00A80C26" w:rsidRDefault="00A80C26" w:rsidP="00B60BE5">
      <w:pPr>
        <w:jc w:val="both"/>
      </w:pPr>
      <w:r w:rsidRPr="00A80C26">
        <w:t>Resultados:</w:t>
      </w:r>
    </w:p>
    <w:p w14:paraId="7099552F" w14:textId="5B9EBEA6" w:rsidR="00A80C26" w:rsidRPr="0030406E" w:rsidRDefault="00A80C26" w:rsidP="00B60BE5">
      <w:pPr>
        <w:pStyle w:val="enumlev1"/>
        <w:jc w:val="both"/>
      </w:pPr>
      <w:r w:rsidRPr="0030406E">
        <w:t>–</w:t>
      </w:r>
      <w:r w:rsidRPr="0030406E">
        <w:tab/>
        <w:t>Análisis exhaustivo de los hallazgos en base a las conclusiones y el análisis inicial.</w:t>
      </w:r>
    </w:p>
    <w:p w14:paraId="4565E203" w14:textId="4B2BF1ED" w:rsidR="00A80C26" w:rsidRPr="0030406E" w:rsidRDefault="00A80C26" w:rsidP="00B60BE5">
      <w:pPr>
        <w:pStyle w:val="enumlev1"/>
        <w:jc w:val="both"/>
      </w:pPr>
      <w:r w:rsidRPr="0030406E">
        <w:t>–</w:t>
      </w:r>
      <w:r w:rsidRPr="0030406E">
        <w:tab/>
        <w:t>Preparación de un proyecto de informe de examen con una serie de recomendaciones preliminares.</w:t>
      </w:r>
    </w:p>
    <w:p w14:paraId="709C6354" w14:textId="1F33B3AA" w:rsidR="00A80C26" w:rsidRPr="00A80C26" w:rsidRDefault="00A80C26" w:rsidP="00CA005C">
      <w:pPr>
        <w:pStyle w:val="Headingb"/>
      </w:pPr>
      <w:r w:rsidRPr="00A80C26">
        <w:t>Fase 4: Validación y elaboración del informe (marzo-</w:t>
      </w:r>
      <w:r w:rsidR="006C5D47">
        <w:t>abril</w:t>
      </w:r>
      <w:r w:rsidRPr="00A80C26">
        <w:t xml:space="preserve"> de 2026)</w:t>
      </w:r>
    </w:p>
    <w:p w14:paraId="3A9B9057" w14:textId="0582D95D" w:rsidR="00A80C26" w:rsidRPr="00A80C26" w:rsidRDefault="00A80C26" w:rsidP="00B60BE5">
      <w:pPr>
        <w:jc w:val="both"/>
      </w:pPr>
      <w:r w:rsidRPr="00A80C26">
        <w:t>Resultados:</w:t>
      </w:r>
    </w:p>
    <w:p w14:paraId="7CFD3923" w14:textId="4A092309" w:rsidR="00A80C26" w:rsidRPr="0030406E" w:rsidRDefault="00A80C26" w:rsidP="00B60BE5">
      <w:pPr>
        <w:pStyle w:val="enumlev1"/>
        <w:jc w:val="both"/>
      </w:pPr>
      <w:r w:rsidRPr="0030406E">
        <w:t>–</w:t>
      </w:r>
      <w:r w:rsidRPr="0030406E">
        <w:tab/>
        <w:t>Validación del proyecto de informe de examen.</w:t>
      </w:r>
    </w:p>
    <w:p w14:paraId="1985E443" w14:textId="6D4566D8" w:rsidR="00A80C26" w:rsidRPr="0030406E" w:rsidRDefault="00A80C26" w:rsidP="00B60BE5">
      <w:pPr>
        <w:pStyle w:val="enumlev1"/>
        <w:jc w:val="both"/>
      </w:pPr>
      <w:r w:rsidRPr="0030406E">
        <w:t>–</w:t>
      </w:r>
      <w:r w:rsidRPr="0030406E">
        <w:tab/>
        <w:t>Incorporación de las observaciones formuladas durante la fase de validación.</w:t>
      </w:r>
    </w:p>
    <w:p w14:paraId="40928B39" w14:textId="02E7FEE7" w:rsidR="00A80C26" w:rsidRPr="0030406E" w:rsidRDefault="00A80C26" w:rsidP="00B60BE5">
      <w:pPr>
        <w:pStyle w:val="enumlev1"/>
        <w:jc w:val="both"/>
      </w:pPr>
      <w:r w:rsidRPr="0030406E">
        <w:t>–</w:t>
      </w:r>
      <w:r w:rsidRPr="0030406E">
        <w:tab/>
        <w:t>Redacción de la versión final del informe de examen para su consideración por el Consejo y la Conferencia de Plenipotenciarios de 2026 (PP</w:t>
      </w:r>
      <w:r w:rsidR="00100F4E">
        <w:noBreakHyphen/>
      </w:r>
      <w:r w:rsidRPr="0030406E">
        <w:t>26).</w:t>
      </w:r>
    </w:p>
    <w:p w14:paraId="50F3DBFA" w14:textId="77777777" w:rsidR="00A80C26" w:rsidRPr="0030406E" w:rsidRDefault="00A80C26" w:rsidP="00CA005C">
      <w:pPr>
        <w:pStyle w:val="Heading1"/>
      </w:pPr>
      <w:r w:rsidRPr="0030406E">
        <w:t>4</w:t>
      </w:r>
      <w:r w:rsidRPr="0030406E">
        <w:tab/>
        <w:t>Consultas a las partes interesadas</w:t>
      </w:r>
    </w:p>
    <w:p w14:paraId="364AF098" w14:textId="07D96695" w:rsidR="00A80C26" w:rsidRPr="00A80C26" w:rsidRDefault="00A80C26" w:rsidP="00B60BE5">
      <w:pPr>
        <w:jc w:val="both"/>
      </w:pPr>
      <w:r w:rsidRPr="00A80C26">
        <w:t>La participación de las partes interesadas revestirá una importancia crucial para el éxito del examen, ya que garantizará que las opiniones y experiencias de los destinatarios directos de las actividades regionales queden plenamente reflejadas en el análisis. Un proceso de consulta riguroso obrará en favor tanto de los resultados del examen, como de su legitimidad y sostenibilidad. La inclusión de un amplio abanico de puntos de vista también contribuirá al surgimiento de nuevas perspectivas, enriquecerá la calidad de las recomendaciones y respaldará una evaluación holística.</w:t>
      </w:r>
    </w:p>
    <w:p w14:paraId="73FCCAD6" w14:textId="5CD2CBB8" w:rsidR="00A80C26" w:rsidRPr="00A80C26" w:rsidRDefault="00A80C26" w:rsidP="00B60BE5">
      <w:pPr>
        <w:jc w:val="both"/>
      </w:pPr>
      <w:r w:rsidRPr="00A80C26">
        <w:t>De acuerdo con el mandato, entre los grupos de consulta principales figuran las secretarías de la</w:t>
      </w:r>
      <w:r w:rsidR="00100F4E">
        <w:t> </w:t>
      </w:r>
      <w:r w:rsidRPr="00A80C26">
        <w:t>UIT (Secretaría General, Oficinas y Oficinas Regionales/Zonales), los Estados Miembros, las organizaciones regionales de telecomunicaciones, los Miembros de Sector y las instituciones académicas.</w:t>
      </w:r>
    </w:p>
    <w:p w14:paraId="43FE68DB" w14:textId="77777777" w:rsidR="00A80C26" w:rsidRPr="00A80C26" w:rsidRDefault="00A80C26" w:rsidP="00B60BE5">
      <w:pPr>
        <w:jc w:val="both"/>
      </w:pPr>
      <w:r w:rsidRPr="00A80C26">
        <w:t>Con este fin, se utilizarán herramientas y mecanismos de consulta tales como encuestas en línea, entrevistas semiestructuradas, talleres con las partes interesadas e intercambios virtuales interactivos.</w:t>
      </w:r>
    </w:p>
    <w:p w14:paraId="12096FCE" w14:textId="77777777" w:rsidR="00A80C26" w:rsidRPr="00A80C26" w:rsidRDefault="00A80C26" w:rsidP="00B60BE5">
      <w:pPr>
        <w:jc w:val="both"/>
      </w:pPr>
      <w:r w:rsidRPr="00A80C26">
        <w:t>En el cuadro que figura a continuación se presenta una lista inicial no exhaustiva de eventos en los que podrán participar las partes interesadas en el marco del proceso de consulta. Estos eventos brindan la oportunidad de recabar aportaciones, validar conclusiones y garantizar que el examen integre distintas perspectivas. Los participantes en las consultas a las partes interesadas serán seleccionados de forma minuciosa en función de su idoneidad y pertinencia para el estudio.</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55"/>
        <w:gridCol w:w="1233"/>
        <w:gridCol w:w="2907"/>
        <w:gridCol w:w="1866"/>
      </w:tblGrid>
      <w:tr w:rsidR="00A80C26" w:rsidRPr="0030406E" w14:paraId="449C25CB" w14:textId="77777777" w:rsidTr="000001FA">
        <w:trPr>
          <w:cantSplit/>
          <w:jc w:val="center"/>
        </w:trPr>
        <w:tc>
          <w:tcPr>
            <w:tcW w:w="3055" w:type="dxa"/>
            <w:hideMark/>
          </w:tcPr>
          <w:p w14:paraId="63589B35" w14:textId="77777777" w:rsidR="00A80C26" w:rsidRPr="0030406E" w:rsidRDefault="00A80C26" w:rsidP="00B60BE5">
            <w:pPr>
              <w:pStyle w:val="Tablehead"/>
            </w:pPr>
            <w:r w:rsidRPr="0030406E">
              <w:lastRenderedPageBreak/>
              <w:t>Fecha</w:t>
            </w:r>
          </w:p>
        </w:tc>
        <w:tc>
          <w:tcPr>
            <w:tcW w:w="1233" w:type="dxa"/>
            <w:hideMark/>
          </w:tcPr>
          <w:p w14:paraId="594722DC" w14:textId="77777777" w:rsidR="00A80C26" w:rsidRPr="0030406E" w:rsidRDefault="00A80C26" w:rsidP="00CA005C">
            <w:pPr>
              <w:pStyle w:val="Tablehead"/>
            </w:pPr>
            <w:r w:rsidRPr="0030406E">
              <w:t>Sector</w:t>
            </w:r>
          </w:p>
        </w:tc>
        <w:tc>
          <w:tcPr>
            <w:tcW w:w="2907" w:type="dxa"/>
            <w:hideMark/>
          </w:tcPr>
          <w:p w14:paraId="19112D43" w14:textId="77777777" w:rsidR="00A80C26" w:rsidRPr="0030406E" w:rsidRDefault="00A80C26" w:rsidP="00B60BE5">
            <w:pPr>
              <w:pStyle w:val="Tablehead"/>
            </w:pPr>
            <w:r w:rsidRPr="0030406E">
              <w:t xml:space="preserve">Título </w:t>
            </w:r>
          </w:p>
        </w:tc>
        <w:tc>
          <w:tcPr>
            <w:tcW w:w="1866" w:type="dxa"/>
            <w:hideMark/>
          </w:tcPr>
          <w:p w14:paraId="430226ED" w14:textId="77777777" w:rsidR="00A80C26" w:rsidRPr="0030406E" w:rsidRDefault="00A80C26" w:rsidP="00B60BE5">
            <w:pPr>
              <w:pStyle w:val="Tablehead"/>
            </w:pPr>
            <w:r w:rsidRPr="0030406E">
              <w:t>Lugar</w:t>
            </w:r>
          </w:p>
        </w:tc>
      </w:tr>
      <w:tr w:rsidR="00A80C26" w:rsidRPr="0030406E" w14:paraId="2E9373DE" w14:textId="77777777" w:rsidTr="000001FA">
        <w:trPr>
          <w:cantSplit/>
          <w:jc w:val="center"/>
        </w:trPr>
        <w:tc>
          <w:tcPr>
            <w:tcW w:w="3055" w:type="dxa"/>
            <w:hideMark/>
          </w:tcPr>
          <w:p w14:paraId="3562B277" w14:textId="77777777" w:rsidR="00A80C26" w:rsidRPr="0030406E" w:rsidRDefault="00A80C26" w:rsidP="00B60BE5">
            <w:pPr>
              <w:pStyle w:val="Tabletext"/>
            </w:pPr>
            <w:r w:rsidRPr="0030406E">
              <w:t>22-23 de septiembre de 2025</w:t>
            </w:r>
          </w:p>
        </w:tc>
        <w:tc>
          <w:tcPr>
            <w:tcW w:w="1233" w:type="dxa"/>
            <w:hideMark/>
          </w:tcPr>
          <w:p w14:paraId="26655147" w14:textId="77777777" w:rsidR="00A80C26" w:rsidRPr="0030406E" w:rsidRDefault="00A80C26" w:rsidP="00CA005C">
            <w:pPr>
              <w:pStyle w:val="Tabletext"/>
              <w:jc w:val="center"/>
            </w:pPr>
            <w:r w:rsidRPr="0030406E">
              <w:t>UIT-D</w:t>
            </w:r>
          </w:p>
        </w:tc>
        <w:tc>
          <w:tcPr>
            <w:tcW w:w="2907" w:type="dxa"/>
            <w:hideMark/>
          </w:tcPr>
          <w:p w14:paraId="17EBE6AA" w14:textId="3B67446B" w:rsidR="00A80C26" w:rsidRPr="0030406E" w:rsidRDefault="00A80C26" w:rsidP="00B60BE5">
            <w:pPr>
              <w:pStyle w:val="Tabletext"/>
            </w:pPr>
            <w:r w:rsidRPr="0030406E">
              <w:t>20</w:t>
            </w:r>
            <w:r w:rsidR="00100F4E">
              <w:t>.</w:t>
            </w:r>
            <w:r w:rsidRPr="0030406E">
              <w:t>º Simposio Mundial de Indicadores de las Telecomunicaciones/TIC</w:t>
            </w:r>
          </w:p>
        </w:tc>
        <w:tc>
          <w:tcPr>
            <w:tcW w:w="1866" w:type="dxa"/>
            <w:hideMark/>
          </w:tcPr>
          <w:p w14:paraId="4FFCC161" w14:textId="77777777" w:rsidR="00A80C26" w:rsidRPr="0030406E" w:rsidRDefault="00A80C26" w:rsidP="00B60BE5">
            <w:pPr>
              <w:pStyle w:val="Tabletext"/>
            </w:pPr>
            <w:r w:rsidRPr="0030406E">
              <w:t>Ginebra (Suiza)</w:t>
            </w:r>
          </w:p>
        </w:tc>
      </w:tr>
      <w:tr w:rsidR="00A80C26" w:rsidRPr="0030406E" w14:paraId="56739DC5" w14:textId="77777777" w:rsidTr="000001FA">
        <w:trPr>
          <w:cantSplit/>
          <w:jc w:val="center"/>
        </w:trPr>
        <w:tc>
          <w:tcPr>
            <w:tcW w:w="3055" w:type="dxa"/>
            <w:hideMark/>
          </w:tcPr>
          <w:p w14:paraId="69D0C604" w14:textId="77777777" w:rsidR="00A80C26" w:rsidRPr="0030406E" w:rsidRDefault="00A80C26" w:rsidP="00B60BE5">
            <w:pPr>
              <w:pStyle w:val="Tabletext"/>
            </w:pPr>
            <w:r w:rsidRPr="0030406E">
              <w:t>17-28 de noviembre de 2025</w:t>
            </w:r>
          </w:p>
        </w:tc>
        <w:tc>
          <w:tcPr>
            <w:tcW w:w="1233" w:type="dxa"/>
            <w:hideMark/>
          </w:tcPr>
          <w:p w14:paraId="09497467" w14:textId="77777777" w:rsidR="00A80C26" w:rsidRPr="0030406E" w:rsidRDefault="00A80C26" w:rsidP="00CA005C">
            <w:pPr>
              <w:pStyle w:val="Tabletext"/>
              <w:jc w:val="center"/>
            </w:pPr>
            <w:r w:rsidRPr="0030406E">
              <w:t>UIT-D</w:t>
            </w:r>
          </w:p>
        </w:tc>
        <w:tc>
          <w:tcPr>
            <w:tcW w:w="2907" w:type="dxa"/>
            <w:hideMark/>
          </w:tcPr>
          <w:p w14:paraId="62034AF0" w14:textId="77777777" w:rsidR="00A80C26" w:rsidRPr="0030406E" w:rsidRDefault="00A80C26" w:rsidP="00B60BE5">
            <w:pPr>
              <w:pStyle w:val="Tabletext"/>
            </w:pPr>
            <w:r w:rsidRPr="0030406E">
              <w:t>Conferencia Mundial de Desarrollo de las Telecomunicaciones de 2025</w:t>
            </w:r>
          </w:p>
        </w:tc>
        <w:tc>
          <w:tcPr>
            <w:tcW w:w="1866" w:type="dxa"/>
            <w:hideMark/>
          </w:tcPr>
          <w:p w14:paraId="335EC9E1" w14:textId="77777777" w:rsidR="00A80C26" w:rsidRPr="0030406E" w:rsidRDefault="00A80C26" w:rsidP="00B60BE5">
            <w:pPr>
              <w:pStyle w:val="Tabletext"/>
            </w:pPr>
            <w:r w:rsidRPr="0030406E">
              <w:t>Bakú (Azerbaiyán)</w:t>
            </w:r>
          </w:p>
        </w:tc>
      </w:tr>
      <w:tr w:rsidR="00A80C26" w:rsidRPr="0030406E" w14:paraId="5BE4230A" w14:textId="77777777" w:rsidTr="000001FA">
        <w:trPr>
          <w:cantSplit/>
          <w:jc w:val="center"/>
        </w:trPr>
        <w:tc>
          <w:tcPr>
            <w:tcW w:w="3055" w:type="dxa"/>
            <w:hideMark/>
          </w:tcPr>
          <w:p w14:paraId="2C787106" w14:textId="451B6ACA" w:rsidR="00A80C26" w:rsidRPr="0030406E" w:rsidRDefault="00A80C26" w:rsidP="00B60BE5">
            <w:pPr>
              <w:pStyle w:val="Tabletext"/>
            </w:pPr>
            <w:r w:rsidRPr="00100F4E">
              <w:rPr>
                <w:rFonts w:eastAsiaTheme="minorHAnsi"/>
              </w:rPr>
              <w:t>26-30 de enero de 2026 [por</w:t>
            </w:r>
            <w:r w:rsidR="0030406E" w:rsidRPr="00100F4E">
              <w:rPr>
                <w:rFonts w:eastAsiaTheme="minorHAnsi"/>
              </w:rPr>
              <w:t> </w:t>
            </w:r>
            <w:r w:rsidRPr="00100F4E">
              <w:rPr>
                <w:rFonts w:eastAsiaTheme="minorHAnsi"/>
              </w:rPr>
              <w:t>confirmar]</w:t>
            </w:r>
          </w:p>
        </w:tc>
        <w:tc>
          <w:tcPr>
            <w:tcW w:w="1233" w:type="dxa"/>
            <w:hideMark/>
          </w:tcPr>
          <w:p w14:paraId="2394C095" w14:textId="6FB369EA" w:rsidR="00A80C26" w:rsidRPr="0030406E" w:rsidRDefault="00A80C26" w:rsidP="00CA005C">
            <w:pPr>
              <w:pStyle w:val="Tabletext"/>
              <w:jc w:val="center"/>
            </w:pPr>
            <w:r w:rsidRPr="0030406E">
              <w:t>UIT-</w:t>
            </w:r>
            <w:r w:rsidR="006C5D47">
              <w:t>T</w:t>
            </w:r>
          </w:p>
        </w:tc>
        <w:tc>
          <w:tcPr>
            <w:tcW w:w="2907" w:type="dxa"/>
            <w:hideMark/>
          </w:tcPr>
          <w:p w14:paraId="1CACDFF5" w14:textId="77777777" w:rsidR="00A80C26" w:rsidRPr="0030406E" w:rsidRDefault="00A80C26" w:rsidP="00B60BE5">
            <w:pPr>
              <w:pStyle w:val="Tabletext"/>
            </w:pPr>
            <w:r w:rsidRPr="00100F4E">
              <w:rPr>
                <w:rFonts w:eastAsiaTheme="minorHAnsi"/>
              </w:rPr>
              <w:t>Grupo Asesor de Normalización de las Telecomunicaciones</w:t>
            </w:r>
          </w:p>
        </w:tc>
        <w:tc>
          <w:tcPr>
            <w:tcW w:w="1866" w:type="dxa"/>
            <w:hideMark/>
          </w:tcPr>
          <w:p w14:paraId="2F188CF3" w14:textId="77777777" w:rsidR="00A80C26" w:rsidRPr="0030406E" w:rsidRDefault="00A80C26" w:rsidP="00B60BE5">
            <w:pPr>
              <w:pStyle w:val="Tabletext"/>
            </w:pPr>
            <w:r w:rsidRPr="0030406E">
              <w:t>Por confirmas</w:t>
            </w:r>
          </w:p>
        </w:tc>
      </w:tr>
      <w:tr w:rsidR="00A80C26" w:rsidRPr="0030406E" w14:paraId="711BEA20" w14:textId="77777777" w:rsidTr="000001FA">
        <w:trPr>
          <w:cantSplit/>
          <w:jc w:val="center"/>
        </w:trPr>
        <w:tc>
          <w:tcPr>
            <w:tcW w:w="3055" w:type="dxa"/>
            <w:hideMark/>
          </w:tcPr>
          <w:p w14:paraId="5A210B86" w14:textId="47DC948F" w:rsidR="00A80C26" w:rsidRPr="0030406E" w:rsidRDefault="00A80C26" w:rsidP="00B60BE5">
            <w:pPr>
              <w:pStyle w:val="Tabletext"/>
            </w:pPr>
            <w:r w:rsidRPr="0030406E">
              <w:t>30 de marzo-1 de abril de 2026</w:t>
            </w:r>
          </w:p>
        </w:tc>
        <w:tc>
          <w:tcPr>
            <w:tcW w:w="1233" w:type="dxa"/>
            <w:hideMark/>
          </w:tcPr>
          <w:p w14:paraId="40C40C2A" w14:textId="77777777" w:rsidR="00A80C26" w:rsidRPr="0030406E" w:rsidRDefault="00A80C26" w:rsidP="00CA005C">
            <w:pPr>
              <w:pStyle w:val="Tabletext"/>
              <w:jc w:val="center"/>
            </w:pPr>
            <w:r w:rsidRPr="0030406E">
              <w:t>UIT-R</w:t>
            </w:r>
          </w:p>
        </w:tc>
        <w:tc>
          <w:tcPr>
            <w:tcW w:w="2907" w:type="dxa"/>
            <w:hideMark/>
          </w:tcPr>
          <w:p w14:paraId="3C138418" w14:textId="77777777" w:rsidR="00A80C26" w:rsidRPr="0030406E" w:rsidRDefault="00A80C26" w:rsidP="00B60BE5">
            <w:pPr>
              <w:pStyle w:val="Tabletext"/>
            </w:pPr>
            <w:r w:rsidRPr="0030406E">
              <w:t>Grupo Asesor de Radiocomunicaciones</w:t>
            </w:r>
          </w:p>
        </w:tc>
        <w:tc>
          <w:tcPr>
            <w:tcW w:w="1866" w:type="dxa"/>
            <w:hideMark/>
          </w:tcPr>
          <w:p w14:paraId="53BF6894" w14:textId="77777777" w:rsidR="00A80C26" w:rsidRPr="0030406E" w:rsidRDefault="00A80C26" w:rsidP="00B60BE5">
            <w:pPr>
              <w:pStyle w:val="Tabletext"/>
            </w:pPr>
            <w:r w:rsidRPr="0030406E">
              <w:t>Ginebra (Suiza)</w:t>
            </w:r>
          </w:p>
        </w:tc>
      </w:tr>
      <w:tr w:rsidR="00A80C26" w:rsidRPr="0030406E" w14:paraId="14538062" w14:textId="77777777" w:rsidTr="000001FA">
        <w:trPr>
          <w:cantSplit/>
          <w:jc w:val="center"/>
        </w:trPr>
        <w:tc>
          <w:tcPr>
            <w:tcW w:w="3055" w:type="dxa"/>
            <w:hideMark/>
          </w:tcPr>
          <w:p w14:paraId="56F1D133" w14:textId="77777777" w:rsidR="00A80C26" w:rsidRPr="0030406E" w:rsidRDefault="00A80C26" w:rsidP="00B60BE5">
            <w:pPr>
              <w:pStyle w:val="Tabletext"/>
            </w:pPr>
            <w:r w:rsidRPr="0030406E">
              <w:t>Varias</w:t>
            </w:r>
          </w:p>
        </w:tc>
        <w:tc>
          <w:tcPr>
            <w:tcW w:w="1233" w:type="dxa"/>
            <w:hideMark/>
          </w:tcPr>
          <w:p w14:paraId="15F369DF" w14:textId="77777777" w:rsidR="00A80C26" w:rsidRPr="0030406E" w:rsidRDefault="00A80C26" w:rsidP="00CA005C">
            <w:pPr>
              <w:pStyle w:val="Tabletext"/>
              <w:jc w:val="center"/>
            </w:pPr>
            <w:r w:rsidRPr="0030406E">
              <w:t>UIT-D</w:t>
            </w:r>
          </w:p>
        </w:tc>
        <w:tc>
          <w:tcPr>
            <w:tcW w:w="2907" w:type="dxa"/>
            <w:hideMark/>
          </w:tcPr>
          <w:p w14:paraId="36314968" w14:textId="77777777" w:rsidR="00A80C26" w:rsidRPr="0030406E" w:rsidRDefault="00A80C26" w:rsidP="00B60BE5">
            <w:pPr>
              <w:pStyle w:val="Tabletext"/>
            </w:pPr>
            <w:r w:rsidRPr="0030406E">
              <w:t>Reuniones de organizaciones regionales de telecomunicaciones</w:t>
            </w:r>
          </w:p>
        </w:tc>
        <w:tc>
          <w:tcPr>
            <w:tcW w:w="1866" w:type="dxa"/>
            <w:hideMark/>
          </w:tcPr>
          <w:p w14:paraId="1BD9F9DE" w14:textId="7142D7DE" w:rsidR="00A80C26" w:rsidRPr="0030406E" w:rsidRDefault="00A80C26" w:rsidP="00B60BE5">
            <w:pPr>
              <w:pStyle w:val="Tabletext"/>
            </w:pPr>
            <w:r w:rsidRPr="0030406E">
              <w:t>Varios</w:t>
            </w:r>
          </w:p>
        </w:tc>
      </w:tr>
    </w:tbl>
    <w:p w14:paraId="6270F50F" w14:textId="77777777" w:rsidR="00A80C26" w:rsidRPr="0030406E" w:rsidRDefault="00A80C26" w:rsidP="00CA005C">
      <w:pPr>
        <w:pStyle w:val="Heading1"/>
      </w:pPr>
      <w:r w:rsidRPr="0030406E">
        <w:t>5</w:t>
      </w:r>
      <w:r w:rsidRPr="0030406E">
        <w:tab/>
        <w:t>Procesos de toma de decisiones</w:t>
      </w:r>
    </w:p>
    <w:p w14:paraId="227628E7" w14:textId="6FE0E4F8" w:rsidR="00A80C26" w:rsidRPr="00A80C26" w:rsidRDefault="00A80C26" w:rsidP="00CA005C">
      <w:pPr>
        <w:jc w:val="both"/>
      </w:pPr>
      <w:r w:rsidRPr="00A80C26">
        <w:t>El examen se integrará en el marco de gobernanza vigente de la</w:t>
      </w:r>
      <w:r w:rsidR="00100F4E">
        <w:t> </w:t>
      </w:r>
      <w:r w:rsidRPr="00A80C26">
        <w:t>UIT, a fin de garantizar la transparencia, la rendición de cuentas y la implicación institucional. Ello supondrá:</w:t>
      </w:r>
    </w:p>
    <w:p w14:paraId="2A0BE156" w14:textId="1F44C4DA" w:rsidR="00A80C26" w:rsidRPr="0030406E" w:rsidRDefault="0067752D" w:rsidP="00CA005C">
      <w:pPr>
        <w:pStyle w:val="enumlev1"/>
        <w:jc w:val="both"/>
      </w:pPr>
      <w:r w:rsidRPr="0030406E">
        <w:t>–</w:t>
      </w:r>
      <w:r w:rsidRPr="0030406E">
        <w:tab/>
      </w:r>
      <w:r w:rsidR="00A80C26" w:rsidRPr="0030406E">
        <w:t xml:space="preserve">que el Grupo de Tareas Intersectorial sobre la presencia regional </w:t>
      </w:r>
      <w:r w:rsidR="006C5D47">
        <w:t xml:space="preserve">rendirá cuentas </w:t>
      </w:r>
      <w:r w:rsidR="00A80C26" w:rsidRPr="0030406E">
        <w:t>al Comité de Coordinación; y</w:t>
      </w:r>
    </w:p>
    <w:p w14:paraId="24D07BA8" w14:textId="07D51449" w:rsidR="00A80C26" w:rsidRPr="0030406E" w:rsidRDefault="0067752D" w:rsidP="00CA005C">
      <w:pPr>
        <w:pStyle w:val="enumlev1"/>
        <w:jc w:val="both"/>
      </w:pPr>
      <w:r w:rsidRPr="0030406E">
        <w:t>–</w:t>
      </w:r>
      <w:r w:rsidRPr="0030406E">
        <w:tab/>
      </w:r>
      <w:r w:rsidR="00A80C26" w:rsidRPr="0030406E">
        <w:t>que los progresos y resultados se comunicarán</w:t>
      </w:r>
      <w:r w:rsidR="00B22C7D">
        <w:t xml:space="preserve"> al GTC-RHF, </w:t>
      </w:r>
      <w:r w:rsidR="00B22C7D" w:rsidRPr="00B22C7D">
        <w:t>tras lo cual serán examinados por el Consejo y, posteriormente, por la Conferencia de Plenipotenciarios</w:t>
      </w:r>
      <w:r w:rsidR="00A80C26" w:rsidRPr="0030406E">
        <w:t>.</w:t>
      </w:r>
    </w:p>
    <w:p w14:paraId="6D24A695" w14:textId="77777777" w:rsidR="00A80C26" w:rsidRPr="00A80C26" w:rsidRDefault="00A80C26" w:rsidP="00CA005C">
      <w:pPr>
        <w:jc w:val="both"/>
      </w:pPr>
      <w:r w:rsidRPr="00A80C26">
        <w:t xml:space="preserve">Con objeto de reforzar la legitimidad y garantizar la implicación de los Estados Miembros, la secretaría propone crear un </w:t>
      </w:r>
      <w:r w:rsidRPr="00A80C26">
        <w:rPr>
          <w:b/>
          <w:bCs/>
        </w:rPr>
        <w:t>Grupo Asesor de los Estados Miembros sobre la presencia regional</w:t>
      </w:r>
      <w:r w:rsidRPr="00A80C26">
        <w:t>. Este grupo se encargaría de:</w:t>
      </w:r>
    </w:p>
    <w:p w14:paraId="47C08A48" w14:textId="74C2DA4C" w:rsidR="00B22C7D" w:rsidRPr="00B22C7D" w:rsidRDefault="00B22C7D" w:rsidP="00CA005C">
      <w:pPr>
        <w:pStyle w:val="enumlev1"/>
        <w:jc w:val="both"/>
        <w:rPr>
          <w:lang w:val="es-ES"/>
        </w:rPr>
      </w:pPr>
      <w:r w:rsidRPr="0030406E">
        <w:t>–</w:t>
      </w:r>
      <w:r w:rsidRPr="0030406E">
        <w:tab/>
      </w:r>
      <w:r>
        <w:rPr>
          <w:lang w:val="es-ES"/>
        </w:rPr>
        <w:t>brindar una</w:t>
      </w:r>
      <w:r w:rsidRPr="00B22C7D">
        <w:rPr>
          <w:lang w:val="es-ES"/>
        </w:rPr>
        <w:t xml:space="preserve"> plataforma para la participación de los Estados Miembros</w:t>
      </w:r>
      <w:r>
        <w:rPr>
          <w:lang w:val="es-ES"/>
        </w:rPr>
        <w:t xml:space="preserve"> en todas las fases del examen;</w:t>
      </w:r>
    </w:p>
    <w:p w14:paraId="32179811" w14:textId="428F66BF" w:rsidR="00A80C26" w:rsidRPr="0030406E" w:rsidRDefault="0067752D" w:rsidP="00CA005C">
      <w:pPr>
        <w:pStyle w:val="enumlev1"/>
        <w:jc w:val="both"/>
      </w:pPr>
      <w:r w:rsidRPr="0030406E">
        <w:t>–</w:t>
      </w:r>
      <w:r w:rsidRPr="0030406E">
        <w:tab/>
      </w:r>
      <w:r w:rsidR="00A80C26" w:rsidRPr="0030406E">
        <w:t xml:space="preserve">proporcionar orientación y </w:t>
      </w:r>
      <w:r w:rsidR="00B22C7D">
        <w:t>asesoramiento</w:t>
      </w:r>
      <w:r w:rsidR="00B22C7D" w:rsidRPr="0030406E">
        <w:t xml:space="preserve"> estratégic</w:t>
      </w:r>
      <w:r w:rsidR="00B22C7D">
        <w:t>o</w:t>
      </w:r>
      <w:r w:rsidR="00B22C7D" w:rsidRPr="0030406E">
        <w:t xml:space="preserve">s </w:t>
      </w:r>
      <w:r w:rsidR="00B22C7D">
        <w:rPr>
          <w:lang w:val="es-ES"/>
        </w:rPr>
        <w:t>en todas las fases del examen</w:t>
      </w:r>
      <w:r w:rsidR="00A80C26" w:rsidRPr="0030406E">
        <w:t>;</w:t>
      </w:r>
    </w:p>
    <w:p w14:paraId="4E319A6B" w14:textId="40F2F0BA" w:rsidR="00A80C26" w:rsidRPr="0030406E" w:rsidRDefault="0067752D" w:rsidP="00CA005C">
      <w:pPr>
        <w:pStyle w:val="enumlev1"/>
        <w:jc w:val="both"/>
      </w:pPr>
      <w:r w:rsidRPr="0030406E">
        <w:t>–</w:t>
      </w:r>
      <w:r w:rsidRPr="0030406E">
        <w:tab/>
      </w:r>
      <w:r w:rsidR="00A80C26" w:rsidRPr="0030406E">
        <w:t>formular comentarios sobre los hallazgos preliminares;</w:t>
      </w:r>
    </w:p>
    <w:p w14:paraId="5FFDD755" w14:textId="49F9A471" w:rsidR="00A80C26" w:rsidRPr="0030406E" w:rsidRDefault="0067752D" w:rsidP="00CA005C">
      <w:pPr>
        <w:pStyle w:val="enumlev1"/>
        <w:jc w:val="both"/>
      </w:pPr>
      <w:r w:rsidRPr="0030406E">
        <w:t>–</w:t>
      </w:r>
      <w:r w:rsidRPr="0030406E">
        <w:tab/>
      </w:r>
      <w:r w:rsidR="00A80C26" w:rsidRPr="0030406E">
        <w:t>examinar y validar las recomendaciones dimanantes del examen antes de su transmisión a los órganos rectores de la</w:t>
      </w:r>
      <w:r w:rsidR="00100F4E">
        <w:t> </w:t>
      </w:r>
      <w:r w:rsidR="00A80C26" w:rsidRPr="0030406E">
        <w:t>UIT.</w:t>
      </w:r>
    </w:p>
    <w:p w14:paraId="283AB744" w14:textId="77777777" w:rsidR="00A80C26" w:rsidRPr="00CA005C" w:rsidRDefault="00A80C26" w:rsidP="00CA005C">
      <w:pPr>
        <w:pStyle w:val="Heading1"/>
      </w:pPr>
      <w:r w:rsidRPr="0030406E">
        <w:t>6</w:t>
      </w:r>
      <w:r w:rsidRPr="0030406E">
        <w:tab/>
        <w:t>Recursos necesarios</w:t>
      </w:r>
    </w:p>
    <w:p w14:paraId="5A793794" w14:textId="67517973" w:rsidR="00F92BED" w:rsidRPr="0030406E" w:rsidRDefault="00A80C26" w:rsidP="00CA005C">
      <w:pPr>
        <w:jc w:val="both"/>
      </w:pPr>
      <w:r w:rsidRPr="0030406E">
        <w:t xml:space="preserve">Para llevar a cabo un examen riguroso y bien fundamentado, se necesitan recursos financieros y humanos que permitan un ejercicio inclusivo, sólido desde un punto de vista metodológico y viable en términos prácticos. Estos recursos son esenciales para realizar un análisis con base empírica, en el que participe una amplia gama de partes interesadas. </w:t>
      </w:r>
      <w:r w:rsidRPr="0062579A">
        <w:rPr>
          <w:lang w:val="es-ES"/>
        </w:rPr>
        <w:t xml:space="preserve">En principio, los recursos se utilizarán con fines tales </w:t>
      </w:r>
      <w:r w:rsidR="00B06E8F">
        <w:rPr>
          <w:lang w:val="es-ES"/>
        </w:rPr>
        <w:t xml:space="preserve">como </w:t>
      </w:r>
      <w:r w:rsidR="00B22C7D" w:rsidRPr="0062579A">
        <w:rPr>
          <w:lang w:val="es-ES"/>
        </w:rPr>
        <w:t>o</w:t>
      </w:r>
      <w:r w:rsidR="00B22C7D">
        <w:rPr>
          <w:lang w:val="es-ES"/>
        </w:rPr>
        <w:t xml:space="preserve">frecer a un contratista un </w:t>
      </w:r>
      <w:r w:rsidR="00B22C7D" w:rsidRPr="00B22C7D">
        <w:rPr>
          <w:lang w:val="es-ES"/>
        </w:rPr>
        <w:t>acuerdo de servicios especiales</w:t>
      </w:r>
      <w:r w:rsidRPr="0030406E">
        <w:t xml:space="preserve"> para</w:t>
      </w:r>
      <w:r w:rsidR="00B22C7D">
        <w:t xml:space="preserve"> que</w:t>
      </w:r>
      <w:r w:rsidRPr="0030406E">
        <w:t xml:space="preserve"> ayud</w:t>
      </w:r>
      <w:r w:rsidR="00B22C7D">
        <w:t>e</w:t>
      </w:r>
      <w:r w:rsidRPr="0030406E">
        <w:t xml:space="preserve"> al Grupo de Tareas con la investigación, la administración de encuestas, la síntesis de datos y las tareas de redacción.</w:t>
      </w:r>
    </w:p>
    <w:p w14:paraId="3CF34059" w14:textId="77777777" w:rsidR="00F92BED" w:rsidRPr="00F92BED" w:rsidRDefault="00F92BED" w:rsidP="000001FA">
      <w:pPr>
        <w:jc w:val="center"/>
      </w:pPr>
      <w:r w:rsidRPr="0030406E">
        <w:t>______________</w:t>
      </w:r>
    </w:p>
    <w:sectPr w:rsidR="00F92BED" w:rsidRPr="00F92BED" w:rsidSect="00C538FC">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11C7B" w14:textId="77777777" w:rsidR="006453FF" w:rsidRDefault="006453FF">
      <w:r>
        <w:separator/>
      </w:r>
    </w:p>
  </w:endnote>
  <w:endnote w:type="continuationSeparator" w:id="0">
    <w:p w14:paraId="7DBB6DD7" w14:textId="77777777" w:rsidR="006453FF" w:rsidRDefault="0064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2579A" w:rsidRPr="00784011" w14:paraId="2422F4BE" w14:textId="77777777" w:rsidTr="00292072">
      <w:trPr>
        <w:jc w:val="center"/>
      </w:trPr>
      <w:tc>
        <w:tcPr>
          <w:tcW w:w="1803" w:type="dxa"/>
          <w:vAlign w:val="center"/>
        </w:tcPr>
        <w:p w14:paraId="17792FAC" w14:textId="3560FC38" w:rsidR="0062579A" w:rsidRDefault="0062579A" w:rsidP="0062579A">
          <w:pPr>
            <w:pStyle w:val="Header"/>
            <w:jc w:val="left"/>
            <w:rPr>
              <w:noProof/>
            </w:rPr>
          </w:pPr>
          <w:r>
            <w:rPr>
              <w:noProof/>
            </w:rPr>
            <w:t>gDoc 2501552</w:t>
          </w:r>
        </w:p>
      </w:tc>
      <w:tc>
        <w:tcPr>
          <w:tcW w:w="8261" w:type="dxa"/>
        </w:tcPr>
        <w:p w14:paraId="1F268758" w14:textId="028E8118" w:rsidR="0062579A" w:rsidRPr="00E06FD5" w:rsidRDefault="0062579A" w:rsidP="0062579A">
          <w:pPr>
            <w:pStyle w:val="Header"/>
            <w:tabs>
              <w:tab w:val="left" w:pos="6450"/>
              <w:tab w:val="right" w:pos="8505"/>
              <w:tab w:val="right" w:pos="9639"/>
            </w:tabs>
            <w:jc w:val="left"/>
            <w:rPr>
              <w:rFonts w:ascii="Arial" w:hAnsi="Arial" w:cs="Arial"/>
              <w:b/>
              <w:bCs/>
              <w:szCs w:val="18"/>
            </w:rPr>
          </w:pPr>
          <w:r>
            <w:rPr>
              <w:bCs/>
            </w:rPr>
            <w:tab/>
          </w:r>
          <w:r w:rsidRPr="0062579A">
            <w:rPr>
              <w:bCs/>
            </w:rPr>
            <w:t>C25/69(Rev.1)-S</w:t>
          </w:r>
          <w:r>
            <w:rPr>
              <w:bCs/>
            </w:rPr>
            <w:tab/>
          </w:r>
          <w:r>
            <w:fldChar w:fldCharType="begin"/>
          </w:r>
          <w:r>
            <w:instrText>PAGE</w:instrText>
          </w:r>
          <w:r>
            <w:fldChar w:fldCharType="separate"/>
          </w:r>
          <w:r>
            <w:t>2</w:t>
          </w:r>
          <w:r>
            <w:rPr>
              <w:noProof/>
            </w:rPr>
            <w:fldChar w:fldCharType="end"/>
          </w:r>
        </w:p>
      </w:tc>
    </w:tr>
  </w:tbl>
  <w:p w14:paraId="023BA61C" w14:textId="77777777" w:rsidR="0062579A" w:rsidRDefault="00625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9F6ECA5" w14:textId="77777777" w:rsidTr="00E31DCE">
      <w:trPr>
        <w:jc w:val="center"/>
      </w:trPr>
      <w:tc>
        <w:tcPr>
          <w:tcW w:w="1803" w:type="dxa"/>
          <w:vAlign w:val="center"/>
        </w:tcPr>
        <w:p w14:paraId="25D0ABB8" w14:textId="4E9147F4"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p>
      </w:tc>
      <w:tc>
        <w:tcPr>
          <w:tcW w:w="8261" w:type="dxa"/>
        </w:tcPr>
        <w:p w14:paraId="515877C0" w14:textId="29E2966F" w:rsidR="00F24B71" w:rsidRPr="00E06FD5" w:rsidRDefault="00F24B71" w:rsidP="0062579A">
          <w:pPr>
            <w:pStyle w:val="Header"/>
            <w:tabs>
              <w:tab w:val="left" w:pos="6450"/>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A80C26">
            <w:rPr>
              <w:bCs/>
            </w:rPr>
            <w:t>69</w:t>
          </w:r>
          <w:r w:rsidR="00B22C7D">
            <w:rPr>
              <w:bCs/>
            </w:rPr>
            <w:t>(Rev.1)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20E1655D"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7B156" w14:textId="77777777" w:rsidR="006453FF" w:rsidRDefault="006453FF">
      <w:r>
        <w:t>____________________</w:t>
      </w:r>
    </w:p>
  </w:footnote>
  <w:footnote w:type="continuationSeparator" w:id="0">
    <w:p w14:paraId="44477F61" w14:textId="77777777" w:rsidR="006453FF" w:rsidRDefault="00645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48C7BB0B" w14:textId="77777777" w:rsidTr="00666D09">
      <w:trPr>
        <w:trHeight w:val="1104"/>
        <w:jc w:val="center"/>
      </w:trPr>
      <w:tc>
        <w:tcPr>
          <w:tcW w:w="5998" w:type="dxa"/>
          <w:vAlign w:val="center"/>
        </w:tcPr>
        <w:p w14:paraId="44DEAD12"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589A44E7" wp14:editId="31524A54">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2DA25C9D" w14:textId="77777777" w:rsidR="00666D09" w:rsidRDefault="00666D09" w:rsidP="001559F5">
          <w:pPr>
            <w:pStyle w:val="Header"/>
            <w:jc w:val="right"/>
            <w:rPr>
              <w:rFonts w:ascii="Arial" w:hAnsi="Arial" w:cs="Arial"/>
              <w:b/>
              <w:bCs/>
              <w:color w:val="009CD6"/>
              <w:szCs w:val="18"/>
            </w:rPr>
          </w:pPr>
        </w:p>
      </w:tc>
    </w:tr>
  </w:tbl>
  <w:p w14:paraId="315F5DD4"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CFA4E62" wp14:editId="699DE595">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CCCD2"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266EC"/>
    <w:multiLevelType w:val="hybridMultilevel"/>
    <w:tmpl w:val="79BA3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78874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26"/>
    <w:rsid w:val="000001FA"/>
    <w:rsid w:val="000007D1"/>
    <w:rsid w:val="0006007D"/>
    <w:rsid w:val="00093EEB"/>
    <w:rsid w:val="000B0D00"/>
    <w:rsid w:val="000B7C15"/>
    <w:rsid w:val="000D1D0F"/>
    <w:rsid w:val="000E3F07"/>
    <w:rsid w:val="000F5290"/>
    <w:rsid w:val="00100F4E"/>
    <w:rsid w:val="0010165C"/>
    <w:rsid w:val="00146BFB"/>
    <w:rsid w:val="001559F5"/>
    <w:rsid w:val="00157AC4"/>
    <w:rsid w:val="0016169C"/>
    <w:rsid w:val="001B6E2B"/>
    <w:rsid w:val="001F14A2"/>
    <w:rsid w:val="002801AA"/>
    <w:rsid w:val="002946E2"/>
    <w:rsid w:val="002A36EF"/>
    <w:rsid w:val="002C3F32"/>
    <w:rsid w:val="002C4676"/>
    <w:rsid w:val="002C70B0"/>
    <w:rsid w:val="002F3CC4"/>
    <w:rsid w:val="003032E2"/>
    <w:rsid w:val="0030406E"/>
    <w:rsid w:val="0031300A"/>
    <w:rsid w:val="003273A4"/>
    <w:rsid w:val="0034796E"/>
    <w:rsid w:val="00473962"/>
    <w:rsid w:val="004B5D49"/>
    <w:rsid w:val="004D3A3C"/>
    <w:rsid w:val="00513630"/>
    <w:rsid w:val="00560125"/>
    <w:rsid w:val="00585553"/>
    <w:rsid w:val="005B34D9"/>
    <w:rsid w:val="005C34CD"/>
    <w:rsid w:val="005D0CCF"/>
    <w:rsid w:val="005F3BCB"/>
    <w:rsid w:val="005F410F"/>
    <w:rsid w:val="0060149A"/>
    <w:rsid w:val="00601924"/>
    <w:rsid w:val="0062579A"/>
    <w:rsid w:val="006447EA"/>
    <w:rsid w:val="0064481D"/>
    <w:rsid w:val="006453FF"/>
    <w:rsid w:val="0064731F"/>
    <w:rsid w:val="00664572"/>
    <w:rsid w:val="00666D09"/>
    <w:rsid w:val="006710F6"/>
    <w:rsid w:val="0067752D"/>
    <w:rsid w:val="00677A97"/>
    <w:rsid w:val="006C1B56"/>
    <w:rsid w:val="006C5D47"/>
    <w:rsid w:val="006D4761"/>
    <w:rsid w:val="006E39AC"/>
    <w:rsid w:val="007179F8"/>
    <w:rsid w:val="00726872"/>
    <w:rsid w:val="00760F1C"/>
    <w:rsid w:val="007657F0"/>
    <w:rsid w:val="0077110E"/>
    <w:rsid w:val="0077252D"/>
    <w:rsid w:val="007955DA"/>
    <w:rsid w:val="007E5DD3"/>
    <w:rsid w:val="007F350B"/>
    <w:rsid w:val="00820BE4"/>
    <w:rsid w:val="008451E8"/>
    <w:rsid w:val="008E5ED1"/>
    <w:rsid w:val="008F6ABC"/>
    <w:rsid w:val="00913B9C"/>
    <w:rsid w:val="00927F93"/>
    <w:rsid w:val="00956E77"/>
    <w:rsid w:val="009A338E"/>
    <w:rsid w:val="009F4811"/>
    <w:rsid w:val="009F4C90"/>
    <w:rsid w:val="00A80C26"/>
    <w:rsid w:val="00A94438"/>
    <w:rsid w:val="00AA390C"/>
    <w:rsid w:val="00AE13F3"/>
    <w:rsid w:val="00B0200A"/>
    <w:rsid w:val="00B060DF"/>
    <w:rsid w:val="00B06E8F"/>
    <w:rsid w:val="00B22C7D"/>
    <w:rsid w:val="00B574DB"/>
    <w:rsid w:val="00B60BE5"/>
    <w:rsid w:val="00B826C2"/>
    <w:rsid w:val="00B8298E"/>
    <w:rsid w:val="00BB0659"/>
    <w:rsid w:val="00BB6FD8"/>
    <w:rsid w:val="00BD0723"/>
    <w:rsid w:val="00BD2518"/>
    <w:rsid w:val="00BF1D1C"/>
    <w:rsid w:val="00C20C59"/>
    <w:rsid w:val="00C2727F"/>
    <w:rsid w:val="00C46EC4"/>
    <w:rsid w:val="00C538FC"/>
    <w:rsid w:val="00C55B1F"/>
    <w:rsid w:val="00CA005C"/>
    <w:rsid w:val="00CF1A67"/>
    <w:rsid w:val="00D2750E"/>
    <w:rsid w:val="00D375E0"/>
    <w:rsid w:val="00D50A36"/>
    <w:rsid w:val="00D62446"/>
    <w:rsid w:val="00DA4EA2"/>
    <w:rsid w:val="00DC3D3E"/>
    <w:rsid w:val="00DE2C90"/>
    <w:rsid w:val="00DE3B24"/>
    <w:rsid w:val="00E06947"/>
    <w:rsid w:val="00E11319"/>
    <w:rsid w:val="00E21444"/>
    <w:rsid w:val="00E34072"/>
    <w:rsid w:val="00E3592D"/>
    <w:rsid w:val="00E50D76"/>
    <w:rsid w:val="00E641C4"/>
    <w:rsid w:val="00E8018B"/>
    <w:rsid w:val="00E92DE8"/>
    <w:rsid w:val="00EB1212"/>
    <w:rsid w:val="00ED65AB"/>
    <w:rsid w:val="00F12850"/>
    <w:rsid w:val="00F24B71"/>
    <w:rsid w:val="00F33BF4"/>
    <w:rsid w:val="00F7105E"/>
    <w:rsid w:val="00F75F57"/>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C54A2"/>
  <w15:docId w15:val="{AE9437D2-67BC-4DD7-B4B1-1F680815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CA005C"/>
    <w:pPr>
      <w:keepNext/>
      <w:keepLines/>
      <w:spacing w:before="36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B60BE5"/>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B60BE5"/>
    <w:pPr>
      <w:keepNext/>
      <w:keepLines/>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Revision">
    <w:name w:val="Revision"/>
    <w:hidden/>
    <w:uiPriority w:val="99"/>
    <w:semiHidden/>
    <w:rsid w:val="006C5D47"/>
    <w:rPr>
      <w:rFonts w:ascii="Calibri" w:hAnsi="Calibri"/>
      <w:sz w:val="24"/>
      <w:lang w:val="es-ES_tradnl" w:eastAsia="en-US"/>
    </w:rPr>
  </w:style>
  <w:style w:type="table" w:styleId="TableGridLight">
    <w:name w:val="Grid Table Light"/>
    <w:basedOn w:val="TableNormal"/>
    <w:uiPriority w:val="40"/>
    <w:rsid w:val="00100F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088326">
      <w:bodyDiv w:val="1"/>
      <w:marLeft w:val="0"/>
      <w:marRight w:val="0"/>
      <w:marTop w:val="0"/>
      <w:marBottom w:val="0"/>
      <w:divBdr>
        <w:top w:val="none" w:sz="0" w:space="0" w:color="auto"/>
        <w:left w:val="none" w:sz="0" w:space="0" w:color="auto"/>
        <w:bottom w:val="none" w:sz="0" w:space="0" w:color="auto"/>
        <w:right w:val="none" w:sz="0" w:space="0" w:color="auto"/>
      </w:divBdr>
    </w:div>
    <w:div w:id="866408681">
      <w:bodyDiv w:val="1"/>
      <w:marLeft w:val="0"/>
      <w:marRight w:val="0"/>
      <w:marTop w:val="0"/>
      <w:marBottom w:val="0"/>
      <w:divBdr>
        <w:top w:val="none" w:sz="0" w:space="0" w:color="auto"/>
        <w:left w:val="none" w:sz="0" w:space="0" w:color="auto"/>
        <w:bottom w:val="none" w:sz="0" w:space="0" w:color="auto"/>
        <w:right w:val="none" w:sz="0" w:space="0" w:color="auto"/>
      </w:divBdr>
    </w:div>
    <w:div w:id="1266111458">
      <w:bodyDiv w:val="1"/>
      <w:marLeft w:val="0"/>
      <w:marRight w:val="0"/>
      <w:marTop w:val="0"/>
      <w:marBottom w:val="0"/>
      <w:divBdr>
        <w:top w:val="none" w:sz="0" w:space="0" w:color="auto"/>
        <w:left w:val="none" w:sz="0" w:space="0" w:color="auto"/>
        <w:bottom w:val="none" w:sz="0" w:space="0" w:color="auto"/>
        <w:right w:val="none" w:sz="0" w:space="0" w:color="auto"/>
      </w:divBdr>
    </w:div>
    <w:div w:id="1280917478">
      <w:bodyDiv w:val="1"/>
      <w:marLeft w:val="0"/>
      <w:marRight w:val="0"/>
      <w:marTop w:val="0"/>
      <w:marBottom w:val="0"/>
      <w:divBdr>
        <w:top w:val="none" w:sz="0" w:space="0" w:color="auto"/>
        <w:left w:val="none" w:sz="0" w:space="0" w:color="auto"/>
        <w:bottom w:val="none" w:sz="0" w:space="0" w:color="auto"/>
        <w:right w:val="none" w:sz="0" w:space="0" w:color="auto"/>
      </w:divBdr>
    </w:div>
    <w:div w:id="155218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25-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tu.int/en/council/Documents/basic-texts/RES-025-S.pdf" TargetMode="External"/><Relationship Id="rId12" Type="http://schemas.openxmlformats.org/officeDocument/2006/relationships/hyperlink" Target="https://www.itu.int/md/S25-CL-C-0050/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s/publications/ITU-D/Pages/publications.aspx?parent=D-TDC-WTDC-2022&amp;media=electroni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en/council/Documents/basic-texts-2023/RES-157-S.pdf" TargetMode="External"/><Relationship Id="rId4" Type="http://schemas.openxmlformats.org/officeDocument/2006/relationships/webSettings" Target="webSettings.xml"/><Relationship Id="rId9" Type="http://schemas.openxmlformats.org/officeDocument/2006/relationships/hyperlink" Target="https://www.itu.int/en/council/Documents/basic-texts-2023/RES-135-S.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6</TotalTime>
  <Pages>5</Pages>
  <Words>1738</Words>
  <Characters>10412</Characters>
  <Application>Microsoft Office Word</Application>
  <DocSecurity>0</DocSecurity>
  <Lines>216</Lines>
  <Paragraphs>132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12018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inicial sobre el examen de la presencia regional de la UIT</dc:title>
  <dc:subject>Consejo 2025 de la UIT</dc:subject>
  <cp:keywords>C2025, C25, Council-25</cp:keywords>
  <dc:description>Revision 1</dc:description>
  <cp:lastPrinted>2006-03-24T09:51:00Z</cp:lastPrinted>
  <dcterms:created xsi:type="dcterms:W3CDTF">2025-06-23T13:24:00Z</dcterms:created>
  <dcterms:modified xsi:type="dcterms:W3CDTF">2025-06-23T14:40:00Z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