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text" w:tblpY="1"/>
        <w:tblOverlap w:val="never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AB610A" w14:paraId="18105FE4" w14:textId="77777777" w:rsidTr="00DA770A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0FC0078" w14:textId="33D31AB6" w:rsidR="00796BD3" w:rsidRPr="00AB610A" w:rsidRDefault="0033025A" w:rsidP="00DA770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AB610A">
              <w:rPr>
                <w:b/>
                <w:lang w:val="ru-RU"/>
              </w:rPr>
              <w:t>Пункт повестки дня:</w:t>
            </w:r>
            <w:r w:rsidR="00A823EE" w:rsidRPr="00AB610A">
              <w:rPr>
                <w:b/>
                <w:lang w:val="ru-RU"/>
              </w:rPr>
              <w:t xml:space="preserve"> </w:t>
            </w:r>
            <w:proofErr w:type="spellStart"/>
            <w:r w:rsidR="00A823EE" w:rsidRPr="00AB610A">
              <w:rPr>
                <w:b/>
                <w:lang w:val="ru-RU"/>
              </w:rPr>
              <w:t>ADM</w:t>
            </w:r>
            <w:proofErr w:type="spellEnd"/>
            <w:r w:rsidR="00A823EE" w:rsidRPr="00AB610A">
              <w:rPr>
                <w:b/>
                <w:lang w:val="ru-RU"/>
              </w:rPr>
              <w:t xml:space="preserve"> 1</w:t>
            </w:r>
          </w:p>
        </w:tc>
        <w:tc>
          <w:tcPr>
            <w:tcW w:w="5245" w:type="dxa"/>
          </w:tcPr>
          <w:p w14:paraId="1EAAC33B" w14:textId="2A6371D5" w:rsidR="00796BD3" w:rsidRPr="00AB610A" w:rsidRDefault="00BE6DDD" w:rsidP="00AB61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AB610A">
              <w:rPr>
                <w:b/>
                <w:lang w:val="ru-RU"/>
              </w:rPr>
              <w:t>Пересмотр 1</w:t>
            </w:r>
            <w:r w:rsidR="00AB610A" w:rsidRPr="00AB610A">
              <w:rPr>
                <w:b/>
                <w:lang w:val="ru-RU"/>
              </w:rPr>
              <w:br/>
            </w:r>
            <w:r w:rsidR="0033025A" w:rsidRPr="00AB610A">
              <w:rPr>
                <w:b/>
                <w:lang w:val="ru-RU"/>
              </w:rPr>
              <w:t>Документ</w:t>
            </w:r>
            <w:r w:rsidRPr="00AB610A">
              <w:rPr>
                <w:b/>
                <w:lang w:val="ru-RU"/>
              </w:rPr>
              <w:t>а</w:t>
            </w:r>
            <w:r w:rsidR="0033025A" w:rsidRPr="00AB610A">
              <w:rPr>
                <w:b/>
                <w:lang w:val="ru-RU"/>
              </w:rPr>
              <w:t xml:space="preserve"> </w:t>
            </w:r>
            <w:proofErr w:type="spellStart"/>
            <w:r w:rsidR="00796BD3" w:rsidRPr="00AB610A">
              <w:rPr>
                <w:b/>
                <w:lang w:val="ru-RU"/>
              </w:rPr>
              <w:t>C2</w:t>
            </w:r>
            <w:r w:rsidR="00D631AA" w:rsidRPr="00AB610A">
              <w:rPr>
                <w:b/>
                <w:lang w:val="ru-RU"/>
              </w:rPr>
              <w:t>5</w:t>
            </w:r>
            <w:proofErr w:type="spellEnd"/>
            <w:r w:rsidR="00796BD3" w:rsidRPr="00AB610A">
              <w:rPr>
                <w:b/>
                <w:lang w:val="ru-RU"/>
              </w:rPr>
              <w:t>/</w:t>
            </w:r>
            <w:r w:rsidR="00A823EE" w:rsidRPr="00AB610A">
              <w:rPr>
                <w:b/>
                <w:lang w:val="ru-RU"/>
              </w:rPr>
              <w:t>69</w:t>
            </w:r>
            <w:r w:rsidR="00796BD3" w:rsidRPr="00AB610A">
              <w:rPr>
                <w:b/>
                <w:lang w:val="ru-RU"/>
              </w:rPr>
              <w:t>-R</w:t>
            </w:r>
          </w:p>
        </w:tc>
      </w:tr>
      <w:tr w:rsidR="00796BD3" w:rsidRPr="00AB610A" w14:paraId="60FBB7AD" w14:textId="77777777" w:rsidTr="00DA770A">
        <w:trPr>
          <w:cantSplit/>
        </w:trPr>
        <w:tc>
          <w:tcPr>
            <w:tcW w:w="3969" w:type="dxa"/>
            <w:vMerge/>
          </w:tcPr>
          <w:p w14:paraId="473B5CCF" w14:textId="6D6F7B13" w:rsidR="00796BD3" w:rsidRPr="00AB610A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4B6446C4" w14:textId="500A187F" w:rsidR="00796BD3" w:rsidRPr="00AB610A" w:rsidRDefault="00BE6DDD" w:rsidP="00DA770A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AB610A">
              <w:rPr>
                <w:b/>
                <w:lang w:val="ru-RU"/>
              </w:rPr>
              <w:t>23</w:t>
            </w:r>
            <w:r w:rsidR="00A823EE" w:rsidRPr="00AB610A">
              <w:rPr>
                <w:b/>
                <w:lang w:val="ru-RU"/>
              </w:rPr>
              <w:t xml:space="preserve"> июня 2025 года</w:t>
            </w:r>
          </w:p>
        </w:tc>
      </w:tr>
      <w:tr w:rsidR="00796BD3" w:rsidRPr="00AB610A" w14:paraId="63D6A3D4" w14:textId="77777777" w:rsidTr="00DA770A">
        <w:trPr>
          <w:cantSplit/>
          <w:trHeight w:val="23"/>
        </w:trPr>
        <w:tc>
          <w:tcPr>
            <w:tcW w:w="3969" w:type="dxa"/>
            <w:vMerge/>
          </w:tcPr>
          <w:p w14:paraId="33C245F5" w14:textId="77777777" w:rsidR="00796BD3" w:rsidRPr="00AB610A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3F02A73D" w14:textId="77777777" w:rsidR="00796BD3" w:rsidRPr="00AB610A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AB610A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AB610A" w14:paraId="64D4EA9B" w14:textId="77777777" w:rsidTr="00DA770A">
        <w:trPr>
          <w:cantSplit/>
          <w:trHeight w:val="23"/>
        </w:trPr>
        <w:tc>
          <w:tcPr>
            <w:tcW w:w="3969" w:type="dxa"/>
          </w:tcPr>
          <w:p w14:paraId="3C57DF99" w14:textId="77777777" w:rsidR="00796BD3" w:rsidRPr="00AB610A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1229B36C" w14:textId="77777777" w:rsidR="00796BD3" w:rsidRPr="00AB610A" w:rsidRDefault="00796BD3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AB610A" w14:paraId="49A26176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7393B3C" w14:textId="77777777" w:rsidR="00796BD3" w:rsidRPr="00AB610A" w:rsidRDefault="0033025A" w:rsidP="00DA770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AB610A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1844B6" w14:paraId="0D796EB7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581BE96" w14:textId="6718659E" w:rsidR="00796BD3" w:rsidRPr="00AB610A" w:rsidRDefault="00A823EE" w:rsidP="00DA770A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AB610A">
              <w:rPr>
                <w:rFonts w:cstheme="minorHAnsi"/>
                <w:sz w:val="32"/>
                <w:szCs w:val="32"/>
                <w:lang w:val="ru-RU"/>
              </w:rPr>
              <w:t>Первоначальный отчет о проведении обзора регионального присутствия МСЭ</w:t>
            </w:r>
          </w:p>
        </w:tc>
      </w:tr>
      <w:tr w:rsidR="00796BD3" w:rsidRPr="001844B6" w14:paraId="6624B2D8" w14:textId="77777777" w:rsidTr="00DA770A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06991D74" w14:textId="77777777" w:rsidR="00796BD3" w:rsidRPr="00AB610A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AB610A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3B0B9CBE" w14:textId="23548DA5" w:rsidR="00796BD3" w:rsidRPr="00AB610A" w:rsidRDefault="00A823EE" w:rsidP="001844B6">
            <w:pPr>
              <w:jc w:val="both"/>
              <w:rPr>
                <w:lang w:val="ru-RU"/>
              </w:rPr>
            </w:pPr>
            <w:r w:rsidRPr="00AB610A">
              <w:rPr>
                <w:rFonts w:eastAsia="Aptos"/>
                <w:lang w:val="ru-RU"/>
              </w:rPr>
              <w:t>В настоящем отчете представлены рекомендации, которыми Совету следует руководствоваться при обсуждении круга ведения для проведения обзора регионального присутствия МСЭ.</w:t>
            </w:r>
          </w:p>
          <w:p w14:paraId="4789084E" w14:textId="77777777" w:rsidR="00796BD3" w:rsidRPr="00AB610A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AB610A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6F1065A9" w14:textId="593C3BD8" w:rsidR="00796BD3" w:rsidRPr="00AB610A" w:rsidRDefault="00A823EE" w:rsidP="00A823EE">
            <w:pPr>
              <w:rPr>
                <w:lang w:val="ru-RU"/>
              </w:rPr>
            </w:pPr>
            <w:r w:rsidRPr="00AB610A">
              <w:rPr>
                <w:lang w:val="ru-RU"/>
              </w:rPr>
              <w:t xml:space="preserve">Совету предлагается </w:t>
            </w:r>
            <w:r w:rsidRPr="00AB610A">
              <w:rPr>
                <w:b/>
                <w:bCs/>
                <w:lang w:val="ru-RU"/>
              </w:rPr>
              <w:t>принять к сведению</w:t>
            </w:r>
            <w:r w:rsidRPr="00AB610A">
              <w:rPr>
                <w:lang w:val="ru-RU"/>
              </w:rPr>
              <w:t xml:space="preserve"> настоящий отчет.</w:t>
            </w:r>
          </w:p>
          <w:p w14:paraId="6318EF9D" w14:textId="77777777" w:rsidR="00796BD3" w:rsidRPr="00AB610A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AB610A">
              <w:rPr>
                <w:b/>
                <w:bCs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4EAD578A" w14:textId="1C6195DE" w:rsidR="00796BD3" w:rsidRPr="00AB610A" w:rsidRDefault="00A823EE" w:rsidP="00A823EE">
            <w:pPr>
              <w:rPr>
                <w:lang w:val="ru-RU"/>
              </w:rPr>
            </w:pPr>
            <w:r w:rsidRPr="00AB610A">
              <w:rPr>
                <w:lang w:val="ru-RU"/>
              </w:rPr>
              <w:t>Региональное присутствие.</w:t>
            </w:r>
          </w:p>
          <w:p w14:paraId="6B042C7C" w14:textId="77777777" w:rsidR="00796BD3" w:rsidRPr="00AB610A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AB610A">
              <w:rPr>
                <w:b/>
                <w:bCs/>
                <w:sz w:val="24"/>
                <w:szCs w:val="24"/>
                <w:lang w:val="ru-RU"/>
              </w:rPr>
              <w:t>Финансовые последствия</w:t>
            </w:r>
          </w:p>
          <w:p w14:paraId="5BA5BF04" w14:textId="767798FA" w:rsidR="00BE6DDD" w:rsidRPr="00AB610A" w:rsidRDefault="001863FB" w:rsidP="00A823EE">
            <w:pPr>
              <w:rPr>
                <w:lang w:val="ru-RU"/>
              </w:rPr>
            </w:pPr>
            <w:r w:rsidRPr="00AB610A">
              <w:rPr>
                <w:color w:val="000000"/>
                <w:lang w:val="ru-RU"/>
              </w:rPr>
              <w:t>Последствия, выходящие за рамки утвержденного бюджета, отсутствуют</w:t>
            </w:r>
            <w:r w:rsidR="00BE6DDD" w:rsidRPr="00AB610A">
              <w:rPr>
                <w:color w:val="000000"/>
                <w:lang w:val="ru-RU"/>
              </w:rPr>
              <w:t>.</w:t>
            </w:r>
          </w:p>
          <w:p w14:paraId="139B5F92" w14:textId="77777777" w:rsidR="00796BD3" w:rsidRPr="00AB610A" w:rsidRDefault="00796BD3" w:rsidP="00DA770A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AB610A">
              <w:rPr>
                <w:sz w:val="20"/>
                <w:szCs w:val="18"/>
                <w:lang w:val="ru-RU"/>
              </w:rPr>
              <w:t>__________________</w:t>
            </w:r>
          </w:p>
          <w:p w14:paraId="4AAE1C16" w14:textId="77777777" w:rsidR="00796BD3" w:rsidRPr="00AB610A" w:rsidRDefault="0033025A" w:rsidP="00DA770A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AB610A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14784CBD" w14:textId="53C3A387" w:rsidR="00796BD3" w:rsidRPr="00AB610A" w:rsidRDefault="00A823EE" w:rsidP="001844B6">
            <w:pPr>
              <w:spacing w:after="160"/>
              <w:jc w:val="both"/>
              <w:rPr>
                <w:i/>
                <w:iCs/>
                <w:lang w:val="ru-RU"/>
              </w:rPr>
            </w:pPr>
            <w:r w:rsidRPr="00AB610A">
              <w:rPr>
                <w:i/>
                <w:iCs/>
                <w:szCs w:val="22"/>
                <w:lang w:val="ru-RU"/>
              </w:rPr>
              <w:t xml:space="preserve">Резолюции </w:t>
            </w:r>
            <w:r>
              <w:fldChar w:fldCharType="begin"/>
            </w:r>
            <w:r>
              <w:instrText>HYPERLINK</w:instrText>
            </w:r>
            <w:r w:rsidRPr="001844B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844B6">
              <w:rPr>
                <w:lang w:val="ru-RU"/>
              </w:rPr>
              <w:instrText>://</w:instrText>
            </w:r>
            <w:r>
              <w:instrText>www</w:instrText>
            </w:r>
            <w:r w:rsidRPr="001844B6">
              <w:rPr>
                <w:lang w:val="ru-RU"/>
              </w:rPr>
              <w:instrText>.</w:instrText>
            </w:r>
            <w:r>
              <w:instrText>itu</w:instrText>
            </w:r>
            <w:r w:rsidRPr="001844B6">
              <w:rPr>
                <w:lang w:val="ru-RU"/>
              </w:rPr>
              <w:instrText>.</w:instrText>
            </w:r>
            <w:r>
              <w:instrText>int</w:instrText>
            </w:r>
            <w:r w:rsidRPr="001844B6">
              <w:rPr>
                <w:lang w:val="ru-RU"/>
              </w:rPr>
              <w:instrText>/</w:instrText>
            </w:r>
            <w:r>
              <w:instrText>en</w:instrText>
            </w:r>
            <w:r w:rsidRPr="001844B6">
              <w:rPr>
                <w:lang w:val="ru-RU"/>
              </w:rPr>
              <w:instrText>/</w:instrText>
            </w:r>
            <w:r>
              <w:instrText>council</w:instrText>
            </w:r>
            <w:r w:rsidRPr="001844B6">
              <w:rPr>
                <w:lang w:val="ru-RU"/>
              </w:rPr>
              <w:instrText>/</w:instrText>
            </w:r>
            <w:r>
              <w:instrText>Documents</w:instrText>
            </w:r>
            <w:r w:rsidRPr="001844B6">
              <w:rPr>
                <w:lang w:val="ru-RU"/>
              </w:rPr>
              <w:instrText>/</w:instrText>
            </w:r>
            <w:r>
              <w:instrText>basic</w:instrText>
            </w:r>
            <w:r w:rsidRPr="001844B6">
              <w:rPr>
                <w:lang w:val="ru-RU"/>
              </w:rPr>
              <w:instrText>-</w:instrText>
            </w:r>
            <w:r>
              <w:instrText>texts</w:instrText>
            </w:r>
            <w:r w:rsidRPr="001844B6">
              <w:rPr>
                <w:lang w:val="ru-RU"/>
              </w:rPr>
              <w:instrText>/</w:instrText>
            </w:r>
            <w:r>
              <w:instrText>RES</w:instrText>
            </w:r>
            <w:r w:rsidRPr="001844B6">
              <w:rPr>
                <w:lang w:val="ru-RU"/>
              </w:rPr>
              <w:instrText>-025-</w:instrText>
            </w:r>
            <w:r>
              <w:instrText>R</w:instrText>
            </w:r>
            <w:r w:rsidRPr="001844B6">
              <w:rPr>
                <w:lang w:val="ru-RU"/>
              </w:rPr>
              <w:instrText>.</w:instrText>
            </w:r>
            <w:r>
              <w:instrText>pdf</w:instrText>
            </w:r>
            <w:r w:rsidRPr="001844B6">
              <w:rPr>
                <w:lang w:val="ru-RU"/>
              </w:rPr>
              <w:instrText>" \</w:instrText>
            </w:r>
            <w:r>
              <w:instrText>t</w:instrText>
            </w:r>
            <w:r w:rsidRPr="001844B6">
              <w:rPr>
                <w:lang w:val="ru-RU"/>
              </w:rPr>
              <w:instrText xml:space="preserve"> "_</w:instrText>
            </w:r>
            <w:r>
              <w:instrText>blank</w:instrText>
            </w:r>
            <w:r w:rsidRPr="001844B6">
              <w:rPr>
                <w:lang w:val="ru-RU"/>
              </w:rPr>
              <w:instrText>"</w:instrText>
            </w:r>
            <w:r>
              <w:fldChar w:fldCharType="separate"/>
            </w:r>
            <w:r w:rsidRPr="00AB610A">
              <w:rPr>
                <w:rStyle w:val="Hyperlink"/>
                <w:i/>
                <w:iCs/>
                <w:szCs w:val="22"/>
                <w:lang w:val="ru-RU"/>
              </w:rPr>
              <w:t>25 (</w:t>
            </w:r>
            <w:proofErr w:type="spellStart"/>
            <w:r w:rsidRPr="00AB610A">
              <w:rPr>
                <w:rStyle w:val="Hyperlink"/>
                <w:i/>
                <w:iCs/>
                <w:szCs w:val="22"/>
                <w:lang w:val="ru-RU"/>
              </w:rPr>
              <w:t>Пересм</w:t>
            </w:r>
            <w:proofErr w:type="spellEnd"/>
            <w:r w:rsidRPr="00AB610A">
              <w:rPr>
                <w:rStyle w:val="Hyperlink"/>
                <w:i/>
                <w:iCs/>
                <w:szCs w:val="22"/>
                <w:lang w:val="ru-RU"/>
              </w:rPr>
              <w:t>. Дубай, 2018 г.)</w:t>
            </w:r>
            <w:r>
              <w:fldChar w:fldCharType="end"/>
            </w:r>
            <w:r w:rsidRPr="00AB610A">
              <w:rPr>
                <w:i/>
                <w:iCs/>
                <w:szCs w:val="22"/>
                <w:lang w:val="ru-RU"/>
              </w:rPr>
              <w:t xml:space="preserve">, </w:t>
            </w:r>
            <w:r>
              <w:fldChar w:fldCharType="begin"/>
            </w:r>
            <w:r>
              <w:instrText>HYPERLINK</w:instrText>
            </w:r>
            <w:r w:rsidRPr="001844B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844B6">
              <w:rPr>
                <w:lang w:val="ru-RU"/>
              </w:rPr>
              <w:instrText>://</w:instrText>
            </w:r>
            <w:r>
              <w:instrText>www</w:instrText>
            </w:r>
            <w:r w:rsidRPr="001844B6">
              <w:rPr>
                <w:lang w:val="ru-RU"/>
              </w:rPr>
              <w:instrText>.</w:instrText>
            </w:r>
            <w:r>
              <w:instrText>itu</w:instrText>
            </w:r>
            <w:r w:rsidRPr="001844B6">
              <w:rPr>
                <w:lang w:val="ru-RU"/>
              </w:rPr>
              <w:instrText>.</w:instrText>
            </w:r>
            <w:r>
              <w:instrText>int</w:instrText>
            </w:r>
            <w:r w:rsidRPr="001844B6">
              <w:rPr>
                <w:lang w:val="ru-RU"/>
              </w:rPr>
              <w:instrText>/</w:instrText>
            </w:r>
            <w:r>
              <w:instrText>en</w:instrText>
            </w:r>
            <w:r w:rsidRPr="001844B6">
              <w:rPr>
                <w:lang w:val="ru-RU"/>
              </w:rPr>
              <w:instrText>/</w:instrText>
            </w:r>
            <w:r>
              <w:instrText>council</w:instrText>
            </w:r>
            <w:r w:rsidRPr="001844B6">
              <w:rPr>
                <w:lang w:val="ru-RU"/>
              </w:rPr>
              <w:instrText>/</w:instrText>
            </w:r>
            <w:r>
              <w:instrText>Documents</w:instrText>
            </w:r>
            <w:r w:rsidRPr="001844B6">
              <w:rPr>
                <w:lang w:val="ru-RU"/>
              </w:rPr>
              <w:instrText>/</w:instrText>
            </w:r>
            <w:r>
              <w:instrText>basic</w:instrText>
            </w:r>
            <w:r w:rsidRPr="001844B6">
              <w:rPr>
                <w:lang w:val="ru-RU"/>
              </w:rPr>
              <w:instrText>-</w:instrText>
            </w:r>
            <w:r>
              <w:instrText>texts</w:instrText>
            </w:r>
            <w:r w:rsidRPr="001844B6">
              <w:rPr>
                <w:lang w:val="ru-RU"/>
              </w:rPr>
              <w:instrText>-2023/</w:instrText>
            </w:r>
            <w:r>
              <w:instrText>RES</w:instrText>
            </w:r>
            <w:r w:rsidRPr="001844B6">
              <w:rPr>
                <w:lang w:val="ru-RU"/>
              </w:rPr>
              <w:instrText>-025-</w:instrText>
            </w:r>
            <w:r>
              <w:instrText>R</w:instrText>
            </w:r>
            <w:r w:rsidRPr="001844B6">
              <w:rPr>
                <w:lang w:val="ru-RU"/>
              </w:rPr>
              <w:instrText>.</w:instrText>
            </w:r>
            <w:r>
              <w:instrText>pdf</w:instrText>
            </w:r>
            <w:r w:rsidRPr="001844B6">
              <w:rPr>
                <w:lang w:val="ru-RU"/>
              </w:rPr>
              <w:instrText>" \</w:instrText>
            </w:r>
            <w:r>
              <w:instrText>t</w:instrText>
            </w:r>
            <w:r w:rsidRPr="001844B6">
              <w:rPr>
                <w:lang w:val="ru-RU"/>
              </w:rPr>
              <w:instrText xml:space="preserve"> "_</w:instrText>
            </w:r>
            <w:r>
              <w:instrText>blank</w:instrText>
            </w:r>
            <w:r w:rsidRPr="001844B6">
              <w:rPr>
                <w:lang w:val="ru-RU"/>
              </w:rPr>
              <w:instrText>"</w:instrText>
            </w:r>
            <w:r>
              <w:fldChar w:fldCharType="separate"/>
            </w:r>
            <w:r w:rsidRPr="00AB610A">
              <w:rPr>
                <w:rStyle w:val="Hyperlink"/>
                <w:i/>
                <w:iCs/>
                <w:szCs w:val="22"/>
                <w:lang w:val="ru-RU"/>
              </w:rPr>
              <w:t>25 (</w:t>
            </w:r>
            <w:proofErr w:type="spellStart"/>
            <w:r w:rsidRPr="00AB610A">
              <w:rPr>
                <w:rStyle w:val="Hyperlink"/>
                <w:i/>
                <w:iCs/>
                <w:szCs w:val="22"/>
                <w:lang w:val="ru-RU"/>
              </w:rPr>
              <w:t>Пересм</w:t>
            </w:r>
            <w:proofErr w:type="spellEnd"/>
            <w:r w:rsidRPr="00AB610A">
              <w:rPr>
                <w:rStyle w:val="Hyperlink"/>
                <w:i/>
                <w:iCs/>
                <w:szCs w:val="22"/>
                <w:lang w:val="ru-RU"/>
              </w:rPr>
              <w:t>. Бухарест, 2022 г.)</w:t>
            </w:r>
            <w:r>
              <w:fldChar w:fldCharType="end"/>
            </w:r>
            <w:r w:rsidRPr="00AB610A">
              <w:rPr>
                <w:i/>
                <w:iCs/>
                <w:szCs w:val="22"/>
                <w:lang w:val="ru-RU"/>
              </w:rPr>
              <w:t xml:space="preserve">, </w:t>
            </w:r>
            <w:r>
              <w:fldChar w:fldCharType="begin"/>
            </w:r>
            <w:r>
              <w:instrText>HYPERLINK</w:instrText>
            </w:r>
            <w:r w:rsidRPr="001844B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844B6">
              <w:rPr>
                <w:lang w:val="ru-RU"/>
              </w:rPr>
              <w:instrText>://</w:instrText>
            </w:r>
            <w:r>
              <w:instrText>www</w:instrText>
            </w:r>
            <w:r w:rsidRPr="001844B6">
              <w:rPr>
                <w:lang w:val="ru-RU"/>
              </w:rPr>
              <w:instrText>.</w:instrText>
            </w:r>
            <w:r>
              <w:instrText>itu</w:instrText>
            </w:r>
            <w:r w:rsidRPr="001844B6">
              <w:rPr>
                <w:lang w:val="ru-RU"/>
              </w:rPr>
              <w:instrText>.</w:instrText>
            </w:r>
            <w:r>
              <w:instrText>int</w:instrText>
            </w:r>
            <w:r w:rsidRPr="001844B6">
              <w:rPr>
                <w:lang w:val="ru-RU"/>
              </w:rPr>
              <w:instrText>/</w:instrText>
            </w:r>
            <w:r>
              <w:instrText>en</w:instrText>
            </w:r>
            <w:r w:rsidRPr="001844B6">
              <w:rPr>
                <w:lang w:val="ru-RU"/>
              </w:rPr>
              <w:instrText>/</w:instrText>
            </w:r>
            <w:r>
              <w:instrText>council</w:instrText>
            </w:r>
            <w:r w:rsidRPr="001844B6">
              <w:rPr>
                <w:lang w:val="ru-RU"/>
              </w:rPr>
              <w:instrText>/</w:instrText>
            </w:r>
            <w:r>
              <w:instrText>Documents</w:instrText>
            </w:r>
            <w:r w:rsidRPr="001844B6">
              <w:rPr>
                <w:lang w:val="ru-RU"/>
              </w:rPr>
              <w:instrText>/</w:instrText>
            </w:r>
            <w:r>
              <w:instrText>basic</w:instrText>
            </w:r>
            <w:r w:rsidRPr="001844B6">
              <w:rPr>
                <w:lang w:val="ru-RU"/>
              </w:rPr>
              <w:instrText>-</w:instrText>
            </w:r>
            <w:r>
              <w:instrText>texts</w:instrText>
            </w:r>
            <w:r w:rsidRPr="001844B6">
              <w:rPr>
                <w:lang w:val="ru-RU"/>
              </w:rPr>
              <w:instrText>-2023/</w:instrText>
            </w:r>
            <w:r>
              <w:instrText>RES</w:instrText>
            </w:r>
            <w:r w:rsidRPr="001844B6">
              <w:rPr>
                <w:lang w:val="ru-RU"/>
              </w:rPr>
              <w:instrText>-135-</w:instrText>
            </w:r>
            <w:r>
              <w:instrText>R</w:instrText>
            </w:r>
            <w:r w:rsidRPr="001844B6">
              <w:rPr>
                <w:lang w:val="ru-RU"/>
              </w:rPr>
              <w:instrText>.</w:instrText>
            </w:r>
            <w:r>
              <w:instrText>pdf</w:instrText>
            </w:r>
            <w:r w:rsidRPr="001844B6">
              <w:rPr>
                <w:lang w:val="ru-RU"/>
              </w:rPr>
              <w:instrText>" \</w:instrText>
            </w:r>
            <w:r>
              <w:instrText>t</w:instrText>
            </w:r>
            <w:r w:rsidRPr="001844B6">
              <w:rPr>
                <w:lang w:val="ru-RU"/>
              </w:rPr>
              <w:instrText xml:space="preserve"> "_</w:instrText>
            </w:r>
            <w:r>
              <w:instrText>blank</w:instrText>
            </w:r>
            <w:r w:rsidRPr="001844B6">
              <w:rPr>
                <w:lang w:val="ru-RU"/>
              </w:rPr>
              <w:instrText>"</w:instrText>
            </w:r>
            <w:r>
              <w:fldChar w:fldCharType="separate"/>
            </w:r>
            <w:r w:rsidRPr="00AB610A">
              <w:rPr>
                <w:rStyle w:val="Hyperlink"/>
                <w:i/>
                <w:iCs/>
                <w:szCs w:val="22"/>
                <w:lang w:val="ru-RU"/>
              </w:rPr>
              <w:t>135 (</w:t>
            </w:r>
            <w:proofErr w:type="spellStart"/>
            <w:r w:rsidRPr="00AB610A">
              <w:rPr>
                <w:rStyle w:val="Hyperlink"/>
                <w:i/>
                <w:iCs/>
                <w:szCs w:val="22"/>
                <w:lang w:val="ru-RU"/>
              </w:rPr>
              <w:t>Пересм</w:t>
            </w:r>
            <w:proofErr w:type="spellEnd"/>
            <w:r w:rsidRPr="00AB610A">
              <w:rPr>
                <w:rStyle w:val="Hyperlink"/>
                <w:i/>
                <w:iCs/>
                <w:szCs w:val="22"/>
                <w:lang w:val="ru-RU"/>
              </w:rPr>
              <w:t>. Бухарест, 2022 г.)</w:t>
            </w:r>
            <w:r>
              <w:fldChar w:fldCharType="end"/>
            </w:r>
            <w:r w:rsidRPr="00AB610A">
              <w:rPr>
                <w:i/>
                <w:iCs/>
                <w:szCs w:val="22"/>
                <w:lang w:val="ru-RU"/>
              </w:rPr>
              <w:t xml:space="preserve"> и </w:t>
            </w:r>
            <w:r>
              <w:fldChar w:fldCharType="begin"/>
            </w:r>
            <w:r>
              <w:instrText>HYPERLINK</w:instrText>
            </w:r>
            <w:r w:rsidRPr="001844B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844B6">
              <w:rPr>
                <w:lang w:val="ru-RU"/>
              </w:rPr>
              <w:instrText>://</w:instrText>
            </w:r>
            <w:r>
              <w:instrText>www</w:instrText>
            </w:r>
            <w:r w:rsidRPr="001844B6">
              <w:rPr>
                <w:lang w:val="ru-RU"/>
              </w:rPr>
              <w:instrText>.</w:instrText>
            </w:r>
            <w:r>
              <w:instrText>itu</w:instrText>
            </w:r>
            <w:r w:rsidRPr="001844B6">
              <w:rPr>
                <w:lang w:val="ru-RU"/>
              </w:rPr>
              <w:instrText>.</w:instrText>
            </w:r>
            <w:r>
              <w:instrText>int</w:instrText>
            </w:r>
            <w:r w:rsidRPr="001844B6">
              <w:rPr>
                <w:lang w:val="ru-RU"/>
              </w:rPr>
              <w:instrText>/</w:instrText>
            </w:r>
            <w:r>
              <w:instrText>en</w:instrText>
            </w:r>
            <w:r w:rsidRPr="001844B6">
              <w:rPr>
                <w:lang w:val="ru-RU"/>
              </w:rPr>
              <w:instrText>/</w:instrText>
            </w:r>
            <w:r>
              <w:instrText>council</w:instrText>
            </w:r>
            <w:r w:rsidRPr="001844B6">
              <w:rPr>
                <w:lang w:val="ru-RU"/>
              </w:rPr>
              <w:instrText>/</w:instrText>
            </w:r>
            <w:r>
              <w:instrText>Documents</w:instrText>
            </w:r>
            <w:r w:rsidRPr="001844B6">
              <w:rPr>
                <w:lang w:val="ru-RU"/>
              </w:rPr>
              <w:instrText>/</w:instrText>
            </w:r>
            <w:r>
              <w:instrText>basic</w:instrText>
            </w:r>
            <w:r w:rsidRPr="001844B6">
              <w:rPr>
                <w:lang w:val="ru-RU"/>
              </w:rPr>
              <w:instrText>-</w:instrText>
            </w:r>
            <w:r>
              <w:instrText>texts</w:instrText>
            </w:r>
            <w:r w:rsidRPr="001844B6">
              <w:rPr>
                <w:lang w:val="ru-RU"/>
              </w:rPr>
              <w:instrText>-2023/</w:instrText>
            </w:r>
            <w:r>
              <w:instrText>RES</w:instrText>
            </w:r>
            <w:r w:rsidRPr="001844B6">
              <w:rPr>
                <w:lang w:val="ru-RU"/>
              </w:rPr>
              <w:instrText>-157-</w:instrText>
            </w:r>
            <w:r>
              <w:instrText>R</w:instrText>
            </w:r>
            <w:r w:rsidRPr="001844B6">
              <w:rPr>
                <w:lang w:val="ru-RU"/>
              </w:rPr>
              <w:instrText>.</w:instrText>
            </w:r>
            <w:r>
              <w:instrText>pdf</w:instrText>
            </w:r>
            <w:r w:rsidRPr="001844B6">
              <w:rPr>
                <w:lang w:val="ru-RU"/>
              </w:rPr>
              <w:instrText>" \</w:instrText>
            </w:r>
            <w:r>
              <w:instrText>t</w:instrText>
            </w:r>
            <w:r w:rsidRPr="001844B6">
              <w:rPr>
                <w:lang w:val="ru-RU"/>
              </w:rPr>
              <w:instrText xml:space="preserve"> "_</w:instrText>
            </w:r>
            <w:r>
              <w:instrText>blank</w:instrText>
            </w:r>
            <w:r w:rsidRPr="001844B6">
              <w:rPr>
                <w:lang w:val="ru-RU"/>
              </w:rPr>
              <w:instrText>"</w:instrText>
            </w:r>
            <w:r>
              <w:fldChar w:fldCharType="separate"/>
            </w:r>
            <w:r w:rsidRPr="00AB610A">
              <w:rPr>
                <w:rStyle w:val="Hyperlink"/>
                <w:i/>
                <w:iCs/>
                <w:szCs w:val="22"/>
                <w:lang w:val="ru-RU"/>
              </w:rPr>
              <w:t>157 (</w:t>
            </w:r>
            <w:r w:rsidRPr="00AB610A">
              <w:rPr>
                <w:lang w:val="ru-RU"/>
              </w:rPr>
              <w:t xml:space="preserve"> </w:t>
            </w:r>
            <w:proofErr w:type="spellStart"/>
            <w:r w:rsidRPr="00AB610A">
              <w:rPr>
                <w:rStyle w:val="Hyperlink"/>
                <w:i/>
                <w:iCs/>
                <w:szCs w:val="22"/>
                <w:lang w:val="ru-RU"/>
              </w:rPr>
              <w:t>Пересм</w:t>
            </w:r>
            <w:proofErr w:type="spellEnd"/>
            <w:r w:rsidRPr="00AB610A">
              <w:rPr>
                <w:rStyle w:val="Hyperlink"/>
                <w:i/>
                <w:iCs/>
                <w:szCs w:val="22"/>
                <w:lang w:val="ru-RU"/>
              </w:rPr>
              <w:t>. Бухарест, 2022 г.)</w:t>
            </w:r>
            <w:r>
              <w:fldChar w:fldCharType="end"/>
            </w:r>
            <w:r w:rsidRPr="00AB610A">
              <w:rPr>
                <w:i/>
                <w:iCs/>
                <w:szCs w:val="22"/>
                <w:lang w:val="ru-RU"/>
              </w:rPr>
              <w:t xml:space="preserve"> Полномочной конференции; </w:t>
            </w:r>
            <w:r>
              <w:fldChar w:fldCharType="begin"/>
            </w:r>
            <w:r>
              <w:instrText>HYPERLINK</w:instrText>
            </w:r>
            <w:r w:rsidRPr="001844B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844B6">
              <w:rPr>
                <w:lang w:val="ru-RU"/>
              </w:rPr>
              <w:instrText>://</w:instrText>
            </w:r>
            <w:r>
              <w:instrText>www</w:instrText>
            </w:r>
            <w:r w:rsidRPr="001844B6">
              <w:rPr>
                <w:lang w:val="ru-RU"/>
              </w:rPr>
              <w:instrText>.</w:instrText>
            </w:r>
            <w:r>
              <w:instrText>itu</w:instrText>
            </w:r>
            <w:r w:rsidRPr="001844B6">
              <w:rPr>
                <w:lang w:val="ru-RU"/>
              </w:rPr>
              <w:instrText>.</w:instrText>
            </w:r>
            <w:r>
              <w:instrText>int</w:instrText>
            </w:r>
            <w:r w:rsidRPr="001844B6">
              <w:rPr>
                <w:lang w:val="ru-RU"/>
              </w:rPr>
              <w:instrText>/</w:instrText>
            </w:r>
            <w:r>
              <w:instrText>dms</w:instrText>
            </w:r>
            <w:r w:rsidRPr="001844B6">
              <w:rPr>
                <w:lang w:val="ru-RU"/>
              </w:rPr>
              <w:instrText>_</w:instrText>
            </w:r>
            <w:r>
              <w:instrText>pub</w:instrText>
            </w:r>
            <w:r w:rsidRPr="001844B6">
              <w:rPr>
                <w:lang w:val="ru-RU"/>
              </w:rPr>
              <w:instrText>/</w:instrText>
            </w:r>
            <w:r>
              <w:instrText>itu</w:instrText>
            </w:r>
            <w:r w:rsidRPr="001844B6">
              <w:rPr>
                <w:lang w:val="ru-RU"/>
              </w:rPr>
              <w:instrText>-</w:instrText>
            </w:r>
            <w:r>
              <w:instrText>d</w:instrText>
            </w:r>
            <w:r w:rsidRPr="001844B6">
              <w:rPr>
                <w:lang w:val="ru-RU"/>
              </w:rPr>
              <w:instrText>/</w:instrText>
            </w:r>
            <w:r>
              <w:instrText>opb</w:instrText>
            </w:r>
            <w:r w:rsidRPr="001844B6">
              <w:rPr>
                <w:lang w:val="ru-RU"/>
              </w:rPr>
              <w:instrText>/</w:instrText>
            </w:r>
            <w:r>
              <w:instrText>tdc</w:instrText>
            </w:r>
            <w:r w:rsidRPr="001844B6">
              <w:rPr>
                <w:lang w:val="ru-RU"/>
              </w:rPr>
              <w:instrText>/</w:instrText>
            </w:r>
            <w:r>
              <w:instrText>D</w:instrText>
            </w:r>
            <w:r w:rsidRPr="001844B6">
              <w:rPr>
                <w:lang w:val="ru-RU"/>
              </w:rPr>
              <w:instrText>-</w:instrText>
            </w:r>
            <w:r>
              <w:instrText>TDC</w:instrText>
            </w:r>
            <w:r w:rsidRPr="001844B6">
              <w:rPr>
                <w:lang w:val="ru-RU"/>
              </w:rPr>
              <w:instrText>-</w:instrText>
            </w:r>
            <w:r>
              <w:instrText>WTDC</w:instrText>
            </w:r>
            <w:r w:rsidRPr="001844B6">
              <w:rPr>
                <w:lang w:val="ru-RU"/>
              </w:rPr>
              <w:instrText>-2022-</w:instrText>
            </w:r>
            <w:r>
              <w:instrText>PDF</w:instrText>
            </w:r>
            <w:r w:rsidRPr="001844B6">
              <w:rPr>
                <w:lang w:val="ru-RU"/>
              </w:rPr>
              <w:instrText>-</w:instrText>
            </w:r>
            <w:r>
              <w:instrText>R</w:instrText>
            </w:r>
            <w:r w:rsidRPr="001844B6">
              <w:rPr>
                <w:lang w:val="ru-RU"/>
              </w:rPr>
              <w:instrText>.</w:instrText>
            </w:r>
            <w:r>
              <w:instrText>pdf</w:instrText>
            </w:r>
            <w:r w:rsidRPr="001844B6">
              <w:rPr>
                <w:lang w:val="ru-RU"/>
              </w:rPr>
              <w:instrText>" \</w:instrText>
            </w:r>
            <w:r>
              <w:instrText>t</w:instrText>
            </w:r>
            <w:r w:rsidRPr="001844B6">
              <w:rPr>
                <w:lang w:val="ru-RU"/>
              </w:rPr>
              <w:instrText xml:space="preserve"> "_</w:instrText>
            </w:r>
            <w:r>
              <w:instrText>blank</w:instrText>
            </w:r>
            <w:r w:rsidRPr="001844B6">
              <w:rPr>
                <w:lang w:val="ru-RU"/>
              </w:rPr>
              <w:instrText>"</w:instrText>
            </w:r>
            <w:r>
              <w:fldChar w:fldCharType="separate"/>
            </w:r>
            <w:proofErr w:type="spellStart"/>
            <w:r w:rsidRPr="00AB610A">
              <w:rPr>
                <w:rStyle w:val="Hyperlink"/>
                <w:i/>
                <w:iCs/>
                <w:szCs w:val="22"/>
                <w:lang w:val="ru-RU"/>
              </w:rPr>
              <w:t>Кигалийский</w:t>
            </w:r>
            <w:proofErr w:type="spellEnd"/>
            <w:r w:rsidRPr="00AB610A">
              <w:rPr>
                <w:rStyle w:val="Hyperlink"/>
                <w:i/>
                <w:iCs/>
                <w:szCs w:val="22"/>
                <w:lang w:val="ru-RU"/>
              </w:rPr>
              <w:t xml:space="preserve"> план действий, Заключительный отчет Всемирной конференции по развитию электросвязи (Кигали, 2022 г.)</w:t>
            </w:r>
            <w:r>
              <w:fldChar w:fldCharType="end"/>
            </w:r>
          </w:p>
        </w:tc>
      </w:tr>
      <w:bookmarkEnd w:id="2"/>
      <w:bookmarkEnd w:id="6"/>
    </w:tbl>
    <w:p w14:paraId="28EDED8C" w14:textId="77777777" w:rsidR="00796BD3" w:rsidRPr="00AB610A" w:rsidRDefault="00796BD3" w:rsidP="00796BD3">
      <w:pPr>
        <w:rPr>
          <w:lang w:val="ru-RU"/>
        </w:rPr>
      </w:pPr>
    </w:p>
    <w:p w14:paraId="4ABEEEF9" w14:textId="77777777" w:rsidR="00165D06" w:rsidRPr="00AB610A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AB610A">
        <w:rPr>
          <w:lang w:val="ru-RU"/>
        </w:rPr>
        <w:br w:type="page"/>
      </w:r>
    </w:p>
    <w:p w14:paraId="59A985D6" w14:textId="77777777" w:rsidR="00A823EE" w:rsidRPr="00AB610A" w:rsidRDefault="00A823EE" w:rsidP="00A823EE">
      <w:pPr>
        <w:pStyle w:val="Heading1"/>
        <w:rPr>
          <w:lang w:val="ru-RU"/>
        </w:rPr>
      </w:pPr>
      <w:r w:rsidRPr="00AB610A">
        <w:rPr>
          <w:lang w:val="ru-RU"/>
        </w:rPr>
        <w:lastRenderedPageBreak/>
        <w:t>1</w:t>
      </w:r>
      <w:r w:rsidRPr="00AB610A">
        <w:rPr>
          <w:lang w:val="ru-RU"/>
        </w:rPr>
        <w:tab/>
        <w:t>Введение/базовая информация</w:t>
      </w:r>
    </w:p>
    <w:p w14:paraId="578054B5" w14:textId="0B8A544C" w:rsidR="00A823EE" w:rsidRPr="00AB610A" w:rsidRDefault="00A823EE" w:rsidP="001844B6">
      <w:pPr>
        <w:jc w:val="both"/>
        <w:rPr>
          <w:rStyle w:val="normaltextrun"/>
          <w:rFonts w:asciiTheme="minorHAnsi" w:eastAsiaTheme="minorEastAsia" w:hAnsiTheme="minorHAnsi" w:cstheme="minorHAnsi"/>
          <w:color w:val="000000" w:themeColor="text1"/>
          <w:szCs w:val="22"/>
          <w:lang w:val="ru-RU"/>
        </w:rPr>
      </w:pPr>
      <w:r w:rsidRPr="00AB610A">
        <w:rPr>
          <w:rFonts w:cstheme="minorHAnsi"/>
          <w:szCs w:val="22"/>
          <w:lang w:val="ru-RU"/>
        </w:rPr>
        <w:t xml:space="preserve">На 19-м собрании Рабочей группы Совета по финансовым и людским ресурсам </w:t>
      </w:r>
      <w:r w:rsidRPr="00AB610A">
        <w:rPr>
          <w:rFonts w:cstheme="minorHAnsi"/>
          <w:color w:val="000000"/>
          <w:szCs w:val="22"/>
          <w:shd w:val="clear" w:color="auto" w:fill="FFFFFF"/>
          <w:lang w:val="ru-RU"/>
        </w:rPr>
        <w:t>(РГС-</w:t>
      </w:r>
      <w:proofErr w:type="spellStart"/>
      <w:r w:rsidRPr="00AB610A">
        <w:rPr>
          <w:rFonts w:cstheme="minorHAnsi"/>
          <w:color w:val="000000"/>
          <w:szCs w:val="22"/>
          <w:shd w:val="clear" w:color="auto" w:fill="FFFFFF"/>
          <w:lang w:val="ru-RU"/>
        </w:rPr>
        <w:t>ФЛР</w:t>
      </w:r>
      <w:proofErr w:type="spellEnd"/>
      <w:r w:rsidRPr="00AB610A">
        <w:rPr>
          <w:rFonts w:cstheme="minorHAnsi"/>
          <w:color w:val="000000"/>
          <w:szCs w:val="22"/>
          <w:shd w:val="clear" w:color="auto" w:fill="FFFFFF"/>
          <w:lang w:val="ru-RU"/>
        </w:rPr>
        <w:t>), состоявшемся с 30 сентября по 11 октября 2024 года, было принято решение создать онлайновую Группу, работающую по переписке (ОГП), для разработки круга ведения для</w:t>
      </w:r>
      <w:r w:rsidR="00AB610A">
        <w:rPr>
          <w:rFonts w:cstheme="minorHAnsi"/>
          <w:color w:val="000000"/>
          <w:szCs w:val="22"/>
          <w:shd w:val="clear" w:color="auto" w:fill="FFFFFF"/>
          <w:lang w:val="ru-RU"/>
        </w:rPr>
        <w:t> </w:t>
      </w:r>
      <w:r w:rsidRPr="00AB610A">
        <w:rPr>
          <w:rFonts w:cstheme="minorHAnsi"/>
          <w:color w:val="000000"/>
          <w:szCs w:val="22"/>
          <w:shd w:val="clear" w:color="auto" w:fill="FFFFFF"/>
          <w:lang w:val="ru-RU"/>
        </w:rPr>
        <w:t xml:space="preserve">проведения обзора регионального присутствия МСЭ в соответствии с </w:t>
      </w:r>
      <w:r>
        <w:fldChar w:fldCharType="begin"/>
      </w:r>
      <w:r>
        <w:instrText>HYPERLINK</w:instrText>
      </w:r>
      <w:r w:rsidRPr="001844B6">
        <w:rPr>
          <w:lang w:val="ru-RU"/>
        </w:rPr>
        <w:instrText xml:space="preserve"> "</w:instrText>
      </w:r>
      <w:r>
        <w:instrText>https</w:instrText>
      </w:r>
      <w:r w:rsidRPr="001844B6">
        <w:rPr>
          <w:lang w:val="ru-RU"/>
        </w:rPr>
        <w:instrText>://</w:instrText>
      </w:r>
      <w:r>
        <w:instrText>www</w:instrText>
      </w:r>
      <w:r w:rsidRPr="001844B6">
        <w:rPr>
          <w:lang w:val="ru-RU"/>
        </w:rPr>
        <w:instrText>.</w:instrText>
      </w:r>
      <w:r>
        <w:instrText>itu</w:instrText>
      </w:r>
      <w:r w:rsidRPr="001844B6">
        <w:rPr>
          <w:lang w:val="ru-RU"/>
        </w:rPr>
        <w:instrText>.</w:instrText>
      </w:r>
      <w:r>
        <w:instrText>int</w:instrText>
      </w:r>
      <w:r w:rsidRPr="001844B6">
        <w:rPr>
          <w:lang w:val="ru-RU"/>
        </w:rPr>
        <w:instrText>/</w:instrText>
      </w:r>
      <w:r>
        <w:instrText>dms</w:instrText>
      </w:r>
      <w:r w:rsidRPr="001844B6">
        <w:rPr>
          <w:lang w:val="ru-RU"/>
        </w:rPr>
        <w:instrText>_</w:instrText>
      </w:r>
      <w:r>
        <w:instrText>pub</w:instrText>
      </w:r>
      <w:r w:rsidRPr="001844B6">
        <w:rPr>
          <w:lang w:val="ru-RU"/>
        </w:rPr>
        <w:instrText>/</w:instrText>
      </w:r>
      <w:r>
        <w:instrText>itu</w:instrText>
      </w:r>
      <w:r w:rsidRPr="001844B6">
        <w:rPr>
          <w:lang w:val="ru-RU"/>
        </w:rPr>
        <w:instrText>-</w:instrText>
      </w:r>
      <w:r>
        <w:instrText>s</w:instrText>
      </w:r>
      <w:r w:rsidRPr="001844B6">
        <w:rPr>
          <w:lang w:val="ru-RU"/>
        </w:rPr>
        <w:instrText>/</w:instrText>
      </w:r>
      <w:r>
        <w:instrText>opb</w:instrText>
      </w:r>
      <w:r w:rsidRPr="001844B6">
        <w:rPr>
          <w:lang w:val="ru-RU"/>
        </w:rPr>
        <w:instrText>/</w:instrText>
      </w:r>
      <w:r>
        <w:instrText>conf</w:instrText>
      </w:r>
      <w:r w:rsidRPr="001844B6">
        <w:rPr>
          <w:lang w:val="ru-RU"/>
        </w:rPr>
        <w:instrText>/</w:instrText>
      </w:r>
      <w:r>
        <w:instrText>S</w:instrText>
      </w:r>
      <w:r w:rsidRPr="001844B6">
        <w:rPr>
          <w:lang w:val="ru-RU"/>
        </w:rPr>
        <w:instrText>-</w:instrText>
      </w:r>
      <w:r>
        <w:instrText>CONF</w:instrText>
      </w:r>
      <w:r w:rsidRPr="001844B6">
        <w:rPr>
          <w:lang w:val="ru-RU"/>
        </w:rPr>
        <w:instrText>-</w:instrText>
      </w:r>
      <w:r>
        <w:instrText>ACTF</w:instrText>
      </w:r>
      <w:r w:rsidRPr="001844B6">
        <w:rPr>
          <w:lang w:val="ru-RU"/>
        </w:rPr>
        <w:instrText>-2022-</w:instrText>
      </w:r>
      <w:r>
        <w:instrText>PDF</w:instrText>
      </w:r>
      <w:r w:rsidRPr="001844B6">
        <w:rPr>
          <w:lang w:val="ru-RU"/>
        </w:rPr>
        <w:instrText>-</w:instrText>
      </w:r>
      <w:r>
        <w:instrText>R</w:instrText>
      </w:r>
      <w:r w:rsidRPr="001844B6">
        <w:rPr>
          <w:lang w:val="ru-RU"/>
        </w:rPr>
        <w:instrText>.</w:instrText>
      </w:r>
      <w:r>
        <w:instrText>pdf</w:instrText>
      </w:r>
      <w:r w:rsidRPr="001844B6">
        <w:rPr>
          <w:lang w:val="ru-RU"/>
        </w:rPr>
        <w:instrText>"</w:instrText>
      </w:r>
      <w:r>
        <w:fldChar w:fldCharType="separate"/>
      </w:r>
      <w:r w:rsidRPr="00AB610A">
        <w:rPr>
          <w:rFonts w:cstheme="minorHAnsi"/>
          <w:szCs w:val="22"/>
          <w:lang w:val="ru-RU"/>
        </w:rPr>
        <w:t>Резолюцией</w:t>
      </w:r>
      <w:r w:rsidR="00AB610A">
        <w:rPr>
          <w:rFonts w:cstheme="minorHAnsi"/>
          <w:szCs w:val="22"/>
          <w:lang w:val="ru-RU"/>
        </w:rPr>
        <w:t> </w:t>
      </w:r>
      <w:r w:rsidRPr="00AB610A">
        <w:rPr>
          <w:rFonts w:cstheme="minorHAnsi"/>
          <w:szCs w:val="22"/>
          <w:lang w:val="ru-RU"/>
        </w:rPr>
        <w:t>25</w:t>
      </w:r>
      <w:r>
        <w:fldChar w:fldCharType="end"/>
      </w:r>
      <w:r w:rsidRPr="00AB610A">
        <w:rPr>
          <w:rFonts w:cstheme="minorHAnsi"/>
          <w:szCs w:val="22"/>
          <w:lang w:val="ru-RU"/>
        </w:rPr>
        <w:t xml:space="preserve"> (</w:t>
      </w:r>
      <w:proofErr w:type="spellStart"/>
      <w:r w:rsidRPr="00AB610A">
        <w:rPr>
          <w:rFonts w:cstheme="minorHAnsi"/>
          <w:szCs w:val="22"/>
          <w:shd w:val="clear" w:color="auto" w:fill="FFFFFF"/>
          <w:lang w:val="ru-RU"/>
        </w:rPr>
        <w:t>Пересм</w:t>
      </w:r>
      <w:proofErr w:type="spellEnd"/>
      <w:r w:rsidRPr="00AB610A">
        <w:rPr>
          <w:rFonts w:cstheme="minorHAnsi"/>
          <w:szCs w:val="22"/>
          <w:shd w:val="clear" w:color="auto" w:fill="FFFFFF"/>
          <w:lang w:val="ru-RU"/>
        </w:rPr>
        <w:t>. Бухарест, 2022 г.</w:t>
      </w:r>
      <w:r w:rsidRPr="00AB610A">
        <w:rPr>
          <w:rFonts w:cstheme="minorHAnsi"/>
          <w:szCs w:val="22"/>
          <w:lang w:val="ru-RU"/>
        </w:rPr>
        <w:t>) "Укрепление регионального присутствия МСЭ"</w:t>
      </w:r>
      <w:r w:rsidRPr="00AB610A">
        <w:rPr>
          <w:rFonts w:cstheme="minorHAnsi"/>
          <w:kern w:val="2"/>
          <w:szCs w:val="22"/>
          <w:lang w:val="ru-RU"/>
          <w14:ligatures w14:val="standardContextual"/>
        </w:rPr>
        <w:t xml:space="preserve">. ОГП было поручено рассмотреть круг ведения, представленный на 19-м собрании </w:t>
      </w:r>
      <w:r w:rsidRPr="00AB610A">
        <w:rPr>
          <w:rFonts w:cstheme="minorHAnsi"/>
          <w:color w:val="000000"/>
          <w:szCs w:val="22"/>
          <w:shd w:val="clear" w:color="auto" w:fill="FFFFFF"/>
          <w:lang w:val="ru-RU"/>
        </w:rPr>
        <w:t>РГС-</w:t>
      </w:r>
      <w:proofErr w:type="spellStart"/>
      <w:r w:rsidRPr="00AB610A">
        <w:rPr>
          <w:rFonts w:cstheme="minorHAnsi"/>
          <w:color w:val="000000"/>
          <w:szCs w:val="22"/>
          <w:shd w:val="clear" w:color="auto" w:fill="FFFFFF"/>
          <w:lang w:val="ru-RU"/>
        </w:rPr>
        <w:t>ФЛР</w:t>
      </w:r>
      <w:proofErr w:type="spellEnd"/>
      <w:r w:rsidRPr="00AB610A">
        <w:rPr>
          <w:rFonts w:cstheme="minorHAnsi"/>
          <w:kern w:val="2"/>
          <w:szCs w:val="22"/>
          <w:lang w:val="ru-RU"/>
          <w14:ligatures w14:val="standardContextual"/>
        </w:rPr>
        <w:t xml:space="preserve">, и представить заключительный отчет на 20-м собрании </w:t>
      </w:r>
      <w:r w:rsidRPr="00AB610A">
        <w:rPr>
          <w:rFonts w:cstheme="minorHAnsi"/>
          <w:color w:val="000000"/>
          <w:szCs w:val="22"/>
          <w:shd w:val="clear" w:color="auto" w:fill="FFFFFF"/>
          <w:lang w:val="ru-RU"/>
        </w:rPr>
        <w:t>РГС-</w:t>
      </w:r>
      <w:proofErr w:type="spellStart"/>
      <w:r w:rsidRPr="00AB610A">
        <w:rPr>
          <w:rFonts w:cstheme="minorHAnsi"/>
          <w:color w:val="000000"/>
          <w:szCs w:val="22"/>
          <w:shd w:val="clear" w:color="auto" w:fill="FFFFFF"/>
          <w:lang w:val="ru-RU"/>
        </w:rPr>
        <w:t>ФЛР</w:t>
      </w:r>
      <w:proofErr w:type="spellEnd"/>
      <w:r w:rsidRPr="00AB610A">
        <w:rPr>
          <w:rFonts w:cstheme="minorHAnsi"/>
          <w:color w:val="000000"/>
          <w:szCs w:val="22"/>
          <w:shd w:val="clear" w:color="auto" w:fill="FFFFFF"/>
          <w:lang w:val="ru-RU"/>
        </w:rPr>
        <w:t xml:space="preserve">. </w:t>
      </w:r>
    </w:p>
    <w:p w14:paraId="713E8828" w14:textId="7E3C1AE3" w:rsidR="00A823EE" w:rsidRPr="00AB610A" w:rsidRDefault="00A823EE" w:rsidP="001844B6">
      <w:pPr>
        <w:jc w:val="both"/>
        <w:rPr>
          <w:rStyle w:val="normaltextrun"/>
          <w:rFonts w:asciiTheme="minorHAnsi" w:eastAsiaTheme="minorEastAsia" w:hAnsiTheme="minorHAnsi" w:cstheme="minorHAnsi"/>
          <w:color w:val="000000" w:themeColor="text1"/>
          <w:szCs w:val="22"/>
          <w:lang w:val="ru-RU"/>
        </w:rPr>
      </w:pPr>
      <w:r w:rsidRPr="00AB610A">
        <w:rPr>
          <w:rStyle w:val="normaltextrun"/>
          <w:rFonts w:asciiTheme="minorHAnsi" w:eastAsiaTheme="minorEastAsia" w:hAnsiTheme="minorHAnsi" w:cstheme="minorHAnsi"/>
          <w:color w:val="000000" w:themeColor="text1"/>
          <w:szCs w:val="22"/>
          <w:lang w:val="ru-RU"/>
        </w:rPr>
        <w:t xml:space="preserve">На 20-м собрании </w:t>
      </w:r>
      <w:r w:rsidRPr="00AB610A">
        <w:rPr>
          <w:rFonts w:cstheme="minorHAnsi"/>
          <w:color w:val="000000"/>
          <w:szCs w:val="22"/>
          <w:shd w:val="clear" w:color="auto" w:fill="FFFFFF"/>
          <w:lang w:val="ru-RU"/>
        </w:rPr>
        <w:t>РГС-</w:t>
      </w:r>
      <w:proofErr w:type="spellStart"/>
      <w:r w:rsidRPr="00AB610A">
        <w:rPr>
          <w:rFonts w:cstheme="minorHAnsi"/>
          <w:color w:val="000000"/>
          <w:szCs w:val="22"/>
          <w:shd w:val="clear" w:color="auto" w:fill="FFFFFF"/>
          <w:lang w:val="ru-RU"/>
        </w:rPr>
        <w:t>ФЛР</w:t>
      </w:r>
      <w:proofErr w:type="spellEnd"/>
      <w:r w:rsidRPr="00AB610A">
        <w:rPr>
          <w:rStyle w:val="normaltextrun"/>
          <w:rFonts w:asciiTheme="minorHAnsi" w:eastAsiaTheme="minorEastAsia" w:hAnsiTheme="minorHAnsi" w:cstheme="minorHAnsi"/>
          <w:color w:val="000000" w:themeColor="text1"/>
          <w:szCs w:val="22"/>
          <w:lang w:val="ru-RU"/>
        </w:rPr>
        <w:t xml:space="preserve">, состоявшемся </w:t>
      </w:r>
      <w:proofErr w:type="gramStart"/>
      <w:r w:rsidRPr="00AB610A">
        <w:rPr>
          <w:rStyle w:val="normaltextrun"/>
          <w:rFonts w:asciiTheme="minorHAnsi" w:eastAsiaTheme="minorEastAsia" w:hAnsiTheme="minorHAnsi" w:cstheme="minorHAnsi"/>
          <w:color w:val="000000" w:themeColor="text1"/>
          <w:szCs w:val="22"/>
          <w:lang w:val="ru-RU"/>
        </w:rPr>
        <w:t>10−21</w:t>
      </w:r>
      <w:proofErr w:type="gramEnd"/>
      <w:r w:rsidRPr="00AB610A">
        <w:rPr>
          <w:rStyle w:val="normaltextrun"/>
          <w:rFonts w:asciiTheme="minorHAnsi" w:eastAsiaTheme="minorEastAsia" w:hAnsiTheme="minorHAnsi" w:cstheme="minorHAnsi"/>
          <w:color w:val="000000" w:themeColor="text1"/>
          <w:szCs w:val="22"/>
          <w:lang w:val="ru-RU"/>
        </w:rPr>
        <w:t xml:space="preserve"> февраля 2025 года, был рассмотрен отчет ОГП, содержащий пересмотренный круг ведения. Впоследствии </w:t>
      </w:r>
      <w:r w:rsidRPr="00AB610A">
        <w:rPr>
          <w:rFonts w:cstheme="minorHAnsi"/>
          <w:color w:val="000000"/>
          <w:szCs w:val="22"/>
          <w:shd w:val="clear" w:color="auto" w:fill="FFFFFF"/>
          <w:lang w:val="ru-RU"/>
        </w:rPr>
        <w:t>РГС-</w:t>
      </w:r>
      <w:proofErr w:type="spellStart"/>
      <w:r w:rsidRPr="00AB610A">
        <w:rPr>
          <w:rFonts w:cstheme="minorHAnsi"/>
          <w:color w:val="000000"/>
          <w:szCs w:val="22"/>
          <w:shd w:val="clear" w:color="auto" w:fill="FFFFFF"/>
          <w:lang w:val="ru-RU"/>
        </w:rPr>
        <w:t>ФЛР</w:t>
      </w:r>
      <w:proofErr w:type="spellEnd"/>
      <w:r w:rsidRPr="00AB610A">
        <w:rPr>
          <w:rStyle w:val="normaltextrun"/>
          <w:rFonts w:asciiTheme="minorHAnsi" w:eastAsiaTheme="minorEastAsia" w:hAnsiTheme="minorHAnsi" w:cstheme="minorHAnsi"/>
          <w:color w:val="000000" w:themeColor="text1"/>
          <w:szCs w:val="22"/>
          <w:lang w:val="ru-RU"/>
        </w:rPr>
        <w:t xml:space="preserve"> рассмотрела и приняла круг ведения в порядке подготовки к рассмотрению сессией Совета в июне 2025 года (Документ </w:t>
      </w:r>
      <w:r>
        <w:fldChar w:fldCharType="begin"/>
      </w:r>
      <w:r>
        <w:instrText>HYPERLINK</w:instrText>
      </w:r>
      <w:r w:rsidRPr="001844B6">
        <w:rPr>
          <w:lang w:val="ru-RU"/>
        </w:rPr>
        <w:instrText xml:space="preserve"> "</w:instrText>
      </w:r>
      <w:r>
        <w:instrText>https</w:instrText>
      </w:r>
      <w:r w:rsidRPr="001844B6">
        <w:rPr>
          <w:lang w:val="ru-RU"/>
        </w:rPr>
        <w:instrText>://</w:instrText>
      </w:r>
      <w:r>
        <w:instrText>www</w:instrText>
      </w:r>
      <w:r w:rsidRPr="001844B6">
        <w:rPr>
          <w:lang w:val="ru-RU"/>
        </w:rPr>
        <w:instrText>.</w:instrText>
      </w:r>
      <w:r>
        <w:instrText>itu</w:instrText>
      </w:r>
      <w:r w:rsidRPr="001844B6">
        <w:rPr>
          <w:lang w:val="ru-RU"/>
        </w:rPr>
        <w:instrText>.</w:instrText>
      </w:r>
      <w:r>
        <w:instrText>int</w:instrText>
      </w:r>
      <w:r w:rsidRPr="001844B6">
        <w:rPr>
          <w:lang w:val="ru-RU"/>
        </w:rPr>
        <w:instrText>/</w:instrText>
      </w:r>
      <w:r>
        <w:instrText>md</w:instrText>
      </w:r>
      <w:r w:rsidRPr="001844B6">
        <w:rPr>
          <w:lang w:val="ru-RU"/>
        </w:rPr>
        <w:instrText>/</w:instrText>
      </w:r>
      <w:r>
        <w:instrText>S</w:instrText>
      </w:r>
      <w:r w:rsidRPr="001844B6">
        <w:rPr>
          <w:lang w:val="ru-RU"/>
        </w:rPr>
        <w:instrText>25-</w:instrText>
      </w:r>
      <w:r>
        <w:instrText>CL</w:instrText>
      </w:r>
      <w:r w:rsidRPr="001844B6">
        <w:rPr>
          <w:lang w:val="ru-RU"/>
        </w:rPr>
        <w:instrText>-</w:instrText>
      </w:r>
      <w:r>
        <w:instrText>C</w:instrText>
      </w:r>
      <w:r w:rsidRPr="001844B6">
        <w:rPr>
          <w:lang w:val="ru-RU"/>
        </w:rPr>
        <w:instrText>-0050/</w:instrText>
      </w:r>
      <w:r>
        <w:instrText>en</w:instrText>
      </w:r>
      <w:r w:rsidRPr="001844B6">
        <w:rPr>
          <w:lang w:val="ru-RU"/>
        </w:rPr>
        <w:instrText>"</w:instrText>
      </w:r>
      <w:r>
        <w:fldChar w:fldCharType="separate"/>
      </w:r>
      <w:proofErr w:type="spellStart"/>
      <w:r w:rsidRPr="00AB610A">
        <w:rPr>
          <w:rStyle w:val="Hyperlink"/>
          <w:rFonts w:asciiTheme="minorHAnsi" w:eastAsiaTheme="minorEastAsia" w:hAnsiTheme="minorHAnsi" w:cstheme="minorHAnsi"/>
          <w:szCs w:val="22"/>
          <w:lang w:val="ru-RU"/>
        </w:rPr>
        <w:t>C25</w:t>
      </w:r>
      <w:proofErr w:type="spellEnd"/>
      <w:r w:rsidRPr="00AB610A">
        <w:rPr>
          <w:rStyle w:val="Hyperlink"/>
          <w:rFonts w:asciiTheme="minorHAnsi" w:eastAsiaTheme="minorEastAsia" w:hAnsiTheme="minorHAnsi" w:cstheme="minorHAnsi"/>
          <w:szCs w:val="22"/>
          <w:lang w:val="ru-RU"/>
        </w:rPr>
        <w:t>/50</w:t>
      </w:r>
      <w:r>
        <w:fldChar w:fldCharType="end"/>
      </w:r>
      <w:r w:rsidRPr="00AB610A">
        <w:rPr>
          <w:rStyle w:val="normaltextrun"/>
          <w:rFonts w:asciiTheme="minorHAnsi" w:eastAsiaTheme="minorEastAsia" w:hAnsiTheme="minorHAnsi" w:cstheme="minorHAnsi"/>
          <w:color w:val="000000" w:themeColor="text1"/>
          <w:szCs w:val="22"/>
          <w:lang w:val="ru-RU"/>
        </w:rPr>
        <w:t>).</w:t>
      </w:r>
    </w:p>
    <w:p w14:paraId="06FA4FA9" w14:textId="3CCE84AA" w:rsidR="00A823EE" w:rsidRPr="00AB610A" w:rsidRDefault="00A823EE" w:rsidP="001844B6">
      <w:pPr>
        <w:jc w:val="both"/>
        <w:rPr>
          <w:rFonts w:asciiTheme="minorHAnsi" w:eastAsiaTheme="minorEastAsia" w:hAnsiTheme="minorHAnsi" w:cstheme="minorBidi"/>
          <w:color w:val="000000" w:themeColor="text1"/>
          <w:szCs w:val="22"/>
          <w:lang w:val="ru-RU"/>
        </w:rPr>
      </w:pPr>
      <w:r w:rsidRPr="00AB610A">
        <w:rPr>
          <w:rFonts w:asciiTheme="minorHAnsi" w:eastAsiaTheme="minorEastAsia" w:hAnsiTheme="minorHAnsi" w:cstheme="minorBidi"/>
          <w:color w:val="000000" w:themeColor="text1"/>
          <w:szCs w:val="22"/>
          <w:lang w:val="ru-RU"/>
        </w:rPr>
        <w:t xml:space="preserve">После принятия </w:t>
      </w:r>
      <w:r w:rsidRPr="00AB610A">
        <w:rPr>
          <w:rFonts w:cstheme="minorHAnsi"/>
          <w:color w:val="000000"/>
          <w:szCs w:val="22"/>
          <w:shd w:val="clear" w:color="auto" w:fill="FFFFFF"/>
          <w:lang w:val="ru-RU"/>
        </w:rPr>
        <w:t>РГС-</w:t>
      </w:r>
      <w:proofErr w:type="spellStart"/>
      <w:r w:rsidRPr="00AB610A">
        <w:rPr>
          <w:rFonts w:cstheme="minorHAnsi"/>
          <w:color w:val="000000"/>
          <w:szCs w:val="22"/>
          <w:shd w:val="clear" w:color="auto" w:fill="FFFFFF"/>
          <w:lang w:val="ru-RU"/>
        </w:rPr>
        <w:t>ФЛР</w:t>
      </w:r>
      <w:proofErr w:type="spellEnd"/>
      <w:r w:rsidRPr="00AB610A">
        <w:rPr>
          <w:rFonts w:asciiTheme="minorHAnsi" w:eastAsiaTheme="minorEastAsia" w:hAnsiTheme="minorHAnsi" w:cstheme="minorBidi"/>
          <w:color w:val="000000" w:themeColor="text1"/>
          <w:szCs w:val="22"/>
          <w:lang w:val="ru-RU"/>
        </w:rPr>
        <w:t xml:space="preserve"> круга ведения была создана </w:t>
      </w:r>
      <w:proofErr w:type="spellStart"/>
      <w:r w:rsidRPr="00AB610A">
        <w:rPr>
          <w:rFonts w:asciiTheme="minorHAnsi" w:eastAsiaTheme="minorEastAsia" w:hAnsiTheme="minorHAnsi" w:cstheme="minorBidi"/>
          <w:color w:val="000000" w:themeColor="text1"/>
          <w:szCs w:val="22"/>
          <w:lang w:val="ru-RU"/>
        </w:rPr>
        <w:t>Межсекторальная</w:t>
      </w:r>
      <w:proofErr w:type="spellEnd"/>
      <w:r w:rsidRPr="00AB610A">
        <w:rPr>
          <w:rFonts w:asciiTheme="minorHAnsi" w:eastAsiaTheme="minorEastAsia" w:hAnsiTheme="minorHAnsi" w:cstheme="minorBidi"/>
          <w:color w:val="000000" w:themeColor="text1"/>
          <w:szCs w:val="22"/>
          <w:lang w:val="ru-RU"/>
        </w:rPr>
        <w:t xml:space="preserve"> целевая группа для</w:t>
      </w:r>
      <w:r w:rsidR="00AB610A">
        <w:rPr>
          <w:rFonts w:asciiTheme="minorHAnsi" w:eastAsiaTheme="minorEastAsia" w:hAnsiTheme="minorHAnsi" w:cstheme="minorBidi"/>
          <w:color w:val="000000" w:themeColor="text1"/>
          <w:szCs w:val="22"/>
          <w:lang w:val="ru-RU"/>
        </w:rPr>
        <w:t> </w:t>
      </w:r>
      <w:r w:rsidRPr="00AB610A">
        <w:rPr>
          <w:rFonts w:asciiTheme="minorHAnsi" w:eastAsiaTheme="minorEastAsia" w:hAnsiTheme="minorHAnsi" w:cstheme="minorBidi"/>
          <w:color w:val="000000" w:themeColor="text1"/>
          <w:szCs w:val="22"/>
          <w:lang w:val="ru-RU"/>
        </w:rPr>
        <w:t xml:space="preserve">обеспечения применения скоординированного стратегического подхода к проведению обзора. В состав Целевой группы, действующей под председательством Генерального секретаря, вошли директора </w:t>
      </w:r>
      <w:r w:rsidR="00BE6DDD" w:rsidRPr="00AB610A">
        <w:rPr>
          <w:rFonts w:asciiTheme="minorHAnsi" w:eastAsiaTheme="minorEastAsia" w:hAnsiTheme="minorHAnsi" w:cstheme="minorBidi"/>
          <w:color w:val="000000" w:themeColor="text1"/>
          <w:szCs w:val="22"/>
          <w:lang w:val="ru-RU"/>
        </w:rPr>
        <w:t xml:space="preserve">всех </w:t>
      </w:r>
      <w:r w:rsidRPr="00AB610A">
        <w:rPr>
          <w:rFonts w:asciiTheme="minorHAnsi" w:eastAsiaTheme="minorEastAsia" w:hAnsiTheme="minorHAnsi" w:cstheme="minorBidi"/>
          <w:color w:val="000000" w:themeColor="text1"/>
          <w:szCs w:val="22"/>
          <w:lang w:val="ru-RU"/>
        </w:rPr>
        <w:t>региональ</w:t>
      </w:r>
      <w:r w:rsidR="00BE6DDD" w:rsidRPr="00AB610A">
        <w:rPr>
          <w:rFonts w:asciiTheme="minorHAnsi" w:eastAsiaTheme="minorEastAsia" w:hAnsiTheme="minorHAnsi" w:cstheme="minorBidi"/>
          <w:color w:val="000000" w:themeColor="text1"/>
          <w:szCs w:val="22"/>
          <w:lang w:val="ru-RU"/>
        </w:rPr>
        <w:t>ных отделений</w:t>
      </w:r>
      <w:r w:rsidR="0021551B" w:rsidRPr="00AB610A">
        <w:rPr>
          <w:rFonts w:asciiTheme="minorHAnsi" w:eastAsiaTheme="minorEastAsia" w:hAnsiTheme="minorHAnsi" w:cstheme="minorBidi"/>
          <w:color w:val="000000" w:themeColor="text1"/>
          <w:szCs w:val="22"/>
          <w:lang w:val="ru-RU"/>
        </w:rPr>
        <w:t>, а также</w:t>
      </w:r>
      <w:r w:rsidR="00BE6DDD" w:rsidRPr="00AB610A">
        <w:rPr>
          <w:rFonts w:asciiTheme="minorHAnsi" w:eastAsiaTheme="minorEastAsia" w:hAnsiTheme="minorHAnsi" w:cstheme="minorBidi"/>
          <w:color w:val="000000" w:themeColor="text1"/>
          <w:szCs w:val="22"/>
          <w:lang w:val="ru-RU"/>
        </w:rPr>
        <w:t xml:space="preserve"> представители </w:t>
      </w:r>
      <w:r w:rsidRPr="00AB610A">
        <w:rPr>
          <w:rFonts w:asciiTheme="minorHAnsi" w:eastAsiaTheme="minorEastAsia" w:hAnsiTheme="minorHAnsi" w:cstheme="minorBidi"/>
          <w:color w:val="000000" w:themeColor="text1"/>
          <w:szCs w:val="22"/>
          <w:lang w:val="ru-RU"/>
        </w:rPr>
        <w:t xml:space="preserve">Бюро </w:t>
      </w:r>
      <w:r w:rsidR="00BE6DDD" w:rsidRPr="00AB610A">
        <w:rPr>
          <w:rFonts w:asciiTheme="minorHAnsi" w:eastAsiaTheme="minorEastAsia" w:hAnsiTheme="minorHAnsi" w:cstheme="minorBidi"/>
          <w:color w:val="000000" w:themeColor="text1"/>
          <w:szCs w:val="22"/>
          <w:lang w:val="ru-RU"/>
        </w:rPr>
        <w:t xml:space="preserve">развития электросвязи, Бюро радиосвязи, </w:t>
      </w:r>
      <w:r w:rsidR="00405948" w:rsidRPr="00AB610A">
        <w:rPr>
          <w:rFonts w:asciiTheme="minorHAnsi" w:eastAsiaTheme="minorEastAsia" w:hAnsiTheme="minorHAnsi" w:cstheme="minorBidi"/>
          <w:color w:val="000000" w:themeColor="text1"/>
          <w:szCs w:val="22"/>
          <w:lang w:val="ru-RU"/>
        </w:rPr>
        <w:t xml:space="preserve">Бюро </w:t>
      </w:r>
      <w:r w:rsidR="00BE6DDD" w:rsidRPr="00AB610A">
        <w:rPr>
          <w:rFonts w:asciiTheme="minorHAnsi" w:eastAsiaTheme="minorEastAsia" w:hAnsiTheme="minorHAnsi" w:cstheme="minorBidi"/>
          <w:color w:val="000000" w:themeColor="text1"/>
          <w:szCs w:val="22"/>
          <w:lang w:val="ru-RU"/>
        </w:rPr>
        <w:t>ст</w:t>
      </w:r>
      <w:r w:rsidR="00405948" w:rsidRPr="00AB610A">
        <w:rPr>
          <w:rFonts w:asciiTheme="minorHAnsi" w:eastAsiaTheme="minorEastAsia" w:hAnsiTheme="minorHAnsi" w:cstheme="minorBidi"/>
          <w:color w:val="000000" w:themeColor="text1"/>
          <w:szCs w:val="22"/>
          <w:lang w:val="ru-RU"/>
        </w:rPr>
        <w:t>андартизации электросвязи</w:t>
      </w:r>
      <w:r w:rsidR="0021551B" w:rsidRPr="00AB610A">
        <w:rPr>
          <w:rFonts w:asciiTheme="minorHAnsi" w:eastAsiaTheme="minorEastAsia" w:hAnsiTheme="minorHAnsi" w:cstheme="minorBidi"/>
          <w:color w:val="000000" w:themeColor="text1"/>
          <w:szCs w:val="22"/>
          <w:lang w:val="ru-RU"/>
        </w:rPr>
        <w:t xml:space="preserve"> и </w:t>
      </w:r>
      <w:r w:rsidR="00405948" w:rsidRPr="00AB610A">
        <w:rPr>
          <w:rFonts w:asciiTheme="minorHAnsi" w:eastAsiaTheme="minorEastAsia" w:hAnsiTheme="minorHAnsi" w:cstheme="minorBidi"/>
          <w:color w:val="000000" w:themeColor="text1"/>
          <w:szCs w:val="22"/>
          <w:lang w:val="ru-RU"/>
        </w:rPr>
        <w:t>Генерального секретариата</w:t>
      </w:r>
      <w:r w:rsidRPr="00AB610A">
        <w:rPr>
          <w:rFonts w:asciiTheme="minorHAnsi" w:eastAsiaTheme="minorEastAsia" w:hAnsiTheme="minorHAnsi" w:cstheme="minorBidi"/>
          <w:color w:val="000000" w:themeColor="text1"/>
          <w:szCs w:val="22"/>
          <w:lang w:val="ru-RU"/>
        </w:rPr>
        <w:t>. Целевой группе было поручено выполнить следующую работу:</w:t>
      </w:r>
    </w:p>
    <w:p w14:paraId="4BCEB3E0" w14:textId="279155A7" w:rsidR="00A823EE" w:rsidRPr="00AB610A" w:rsidRDefault="00AB610A" w:rsidP="001844B6">
      <w:pPr>
        <w:pStyle w:val="enumlev1"/>
        <w:jc w:val="both"/>
        <w:rPr>
          <w:rFonts w:eastAsiaTheme="minorEastAsia"/>
          <w:lang w:val="ru-RU"/>
        </w:rPr>
      </w:pPr>
      <w:r>
        <w:rPr>
          <w:rFonts w:eastAsiaTheme="minorEastAsia" w:cs="Calibri"/>
          <w:lang w:val="ru-RU"/>
        </w:rPr>
        <w:t>−</w:t>
      </w:r>
      <w:r w:rsidR="00A823EE" w:rsidRPr="00AB610A">
        <w:rPr>
          <w:rFonts w:eastAsiaTheme="minorEastAsia"/>
          <w:lang w:val="ru-RU"/>
        </w:rPr>
        <w:tab/>
      </w:r>
      <w:r w:rsidRPr="00AB610A">
        <w:rPr>
          <w:rFonts w:eastAsiaTheme="minorEastAsia"/>
          <w:lang w:val="ru-RU"/>
        </w:rPr>
        <w:t xml:space="preserve">подготовить </w:t>
      </w:r>
      <w:r w:rsidR="00A823EE" w:rsidRPr="00AB610A">
        <w:rPr>
          <w:rFonts w:eastAsiaTheme="minorEastAsia"/>
          <w:lang w:val="ru-RU"/>
        </w:rPr>
        <w:t>первоначальный отчет, в котором должны быть изложены методика проведения обзора, его структура и продолжительность, возможности для проведения консультаций с заинтересованными сторонами, процесс принятия решений и</w:t>
      </w:r>
      <w:r>
        <w:rPr>
          <w:rFonts w:eastAsiaTheme="minorEastAsia"/>
          <w:lang w:val="ru-RU"/>
        </w:rPr>
        <w:t> </w:t>
      </w:r>
      <w:r w:rsidR="00A823EE" w:rsidRPr="00AB610A">
        <w:rPr>
          <w:rFonts w:eastAsiaTheme="minorEastAsia"/>
          <w:lang w:val="ru-RU"/>
        </w:rPr>
        <w:t>потребности в ресурсах для проведения обзора</w:t>
      </w:r>
      <w:r>
        <w:rPr>
          <w:rFonts w:eastAsiaTheme="minorEastAsia"/>
          <w:lang w:val="ru-RU"/>
        </w:rPr>
        <w:t>;</w:t>
      </w:r>
    </w:p>
    <w:p w14:paraId="53D77C07" w14:textId="72BAD61F" w:rsidR="00A823EE" w:rsidRPr="00AB610A" w:rsidRDefault="00AB610A" w:rsidP="001844B6">
      <w:pPr>
        <w:pStyle w:val="enumlev1"/>
        <w:jc w:val="both"/>
        <w:rPr>
          <w:rFonts w:eastAsiaTheme="minorEastAsia"/>
          <w:lang w:val="ru-RU"/>
        </w:rPr>
      </w:pPr>
      <w:r>
        <w:rPr>
          <w:rFonts w:eastAsiaTheme="minorEastAsia" w:cs="Calibri"/>
          <w:lang w:val="ru-RU"/>
        </w:rPr>
        <w:t>−</w:t>
      </w:r>
      <w:r w:rsidR="00A823EE" w:rsidRPr="00AB610A">
        <w:rPr>
          <w:rFonts w:eastAsiaTheme="minorEastAsia"/>
          <w:lang w:val="ru-RU"/>
        </w:rPr>
        <w:tab/>
      </w:r>
      <w:r w:rsidRPr="00AB610A">
        <w:rPr>
          <w:rFonts w:eastAsiaTheme="minorEastAsia"/>
          <w:lang w:val="ru-RU"/>
        </w:rPr>
        <w:t xml:space="preserve">провести </w:t>
      </w:r>
      <w:r w:rsidR="00405948" w:rsidRPr="00AB610A">
        <w:rPr>
          <w:rFonts w:eastAsiaTheme="minorEastAsia"/>
          <w:lang w:val="ru-RU"/>
        </w:rPr>
        <w:t>обзор</w:t>
      </w:r>
      <w:r w:rsidR="00A823EE" w:rsidRPr="00AB610A">
        <w:rPr>
          <w:rFonts w:eastAsiaTheme="minorEastAsia"/>
          <w:lang w:val="ru-RU"/>
        </w:rPr>
        <w:t xml:space="preserve"> в соответствии с кругом ведения, обеспечивая соответствие стратегической концепции МСЭ и Резолюции 25</w:t>
      </w:r>
      <w:r>
        <w:rPr>
          <w:rFonts w:eastAsiaTheme="minorEastAsia"/>
          <w:lang w:val="ru-RU"/>
        </w:rPr>
        <w:t>;</w:t>
      </w:r>
    </w:p>
    <w:p w14:paraId="0CBE08B7" w14:textId="383D5F6D" w:rsidR="00A823EE" w:rsidRPr="00AB610A" w:rsidRDefault="00AB610A" w:rsidP="001844B6">
      <w:pPr>
        <w:pStyle w:val="enumlev1"/>
        <w:jc w:val="both"/>
        <w:rPr>
          <w:rFonts w:eastAsiaTheme="minorEastAsia"/>
          <w:lang w:val="ru-RU"/>
        </w:rPr>
      </w:pPr>
      <w:r>
        <w:rPr>
          <w:rFonts w:eastAsiaTheme="minorEastAsia" w:cs="Calibri"/>
          <w:lang w:val="ru-RU"/>
        </w:rPr>
        <w:t>−</w:t>
      </w:r>
      <w:r w:rsidR="00A823EE" w:rsidRPr="00AB610A">
        <w:rPr>
          <w:rFonts w:eastAsiaTheme="minorEastAsia"/>
          <w:lang w:val="ru-RU"/>
        </w:rPr>
        <w:tab/>
      </w:r>
      <w:r w:rsidRPr="00AB610A">
        <w:rPr>
          <w:rFonts w:eastAsiaTheme="minorEastAsia"/>
          <w:lang w:val="ru-RU"/>
        </w:rPr>
        <w:t xml:space="preserve">содействовать </w:t>
      </w:r>
      <w:r w:rsidR="00A823EE" w:rsidRPr="00AB610A">
        <w:rPr>
          <w:rFonts w:eastAsiaTheme="minorEastAsia"/>
          <w:lang w:val="ru-RU"/>
        </w:rPr>
        <w:t>сотрудничеству между Секторами, региональными отделениями и</w:t>
      </w:r>
      <w:r>
        <w:rPr>
          <w:rFonts w:eastAsiaTheme="minorEastAsia"/>
          <w:lang w:val="ru-RU"/>
        </w:rPr>
        <w:t> </w:t>
      </w:r>
      <w:r w:rsidR="00A823EE" w:rsidRPr="00AB610A">
        <w:rPr>
          <w:rFonts w:eastAsiaTheme="minorEastAsia"/>
          <w:lang w:val="ru-RU"/>
        </w:rPr>
        <w:t>ключевыми департаментами для обеспечения всесторонней и эффективной оценки регионального присутствия МСЭ</w:t>
      </w:r>
      <w:r>
        <w:rPr>
          <w:rFonts w:eastAsiaTheme="minorEastAsia"/>
          <w:lang w:val="ru-RU"/>
        </w:rPr>
        <w:t>;</w:t>
      </w:r>
    </w:p>
    <w:p w14:paraId="716104BB" w14:textId="35AD0651" w:rsidR="00A823EE" w:rsidRPr="00AB610A" w:rsidRDefault="00AB610A" w:rsidP="001844B6">
      <w:pPr>
        <w:pStyle w:val="enumlev1"/>
        <w:jc w:val="both"/>
        <w:rPr>
          <w:rFonts w:eastAsiaTheme="minorEastAsia"/>
          <w:lang w:val="ru-RU"/>
        </w:rPr>
      </w:pPr>
      <w:r>
        <w:rPr>
          <w:rFonts w:eastAsiaTheme="minorEastAsia" w:cs="Calibri"/>
          <w:lang w:val="ru-RU"/>
        </w:rPr>
        <w:t>−</w:t>
      </w:r>
      <w:r w:rsidR="00A823EE" w:rsidRPr="00AB610A">
        <w:rPr>
          <w:rFonts w:eastAsiaTheme="minorEastAsia"/>
          <w:lang w:val="ru-RU"/>
        </w:rPr>
        <w:tab/>
      </w:r>
      <w:r w:rsidRPr="00AB610A">
        <w:rPr>
          <w:rFonts w:eastAsiaTheme="minorEastAsia"/>
          <w:lang w:val="ru-RU"/>
        </w:rPr>
        <w:t xml:space="preserve">провести </w:t>
      </w:r>
      <w:r w:rsidR="00405948" w:rsidRPr="00AB610A">
        <w:rPr>
          <w:rFonts w:eastAsiaTheme="minorEastAsia"/>
          <w:lang w:val="ru-RU"/>
        </w:rPr>
        <w:t>оценку результатов</w:t>
      </w:r>
      <w:r w:rsidR="00A823EE" w:rsidRPr="00AB610A">
        <w:rPr>
          <w:rFonts w:eastAsiaTheme="minorEastAsia"/>
          <w:lang w:val="ru-RU"/>
        </w:rPr>
        <w:t xml:space="preserve"> для выработки обоснованных рекомендаций с целью повышения эффективности и результативности деятельности МСЭ в регионах</w:t>
      </w:r>
      <w:r>
        <w:rPr>
          <w:rFonts w:eastAsiaTheme="minorEastAsia"/>
          <w:lang w:val="ru-RU"/>
        </w:rPr>
        <w:t>;</w:t>
      </w:r>
    </w:p>
    <w:p w14:paraId="31FF793D" w14:textId="082EE703" w:rsidR="00A823EE" w:rsidRPr="00AB610A" w:rsidRDefault="00AB610A" w:rsidP="001844B6">
      <w:pPr>
        <w:pStyle w:val="enumlev1"/>
        <w:jc w:val="both"/>
        <w:rPr>
          <w:rStyle w:val="normaltextrun"/>
          <w:rFonts w:asciiTheme="minorHAnsi" w:eastAsiaTheme="minorEastAsia" w:hAnsiTheme="minorHAnsi" w:cstheme="minorHAnsi"/>
          <w:color w:val="000000" w:themeColor="text1"/>
          <w:szCs w:val="22"/>
          <w:lang w:val="ru-RU"/>
        </w:rPr>
      </w:pPr>
      <w:r>
        <w:rPr>
          <w:rFonts w:eastAsiaTheme="minorEastAsia" w:cs="Calibri"/>
          <w:lang w:val="ru-RU"/>
        </w:rPr>
        <w:t>−</w:t>
      </w:r>
      <w:r w:rsidR="00A823EE" w:rsidRPr="00AB610A">
        <w:rPr>
          <w:rFonts w:eastAsiaTheme="minorEastAsia"/>
          <w:lang w:val="ru-RU"/>
        </w:rPr>
        <w:tab/>
      </w:r>
      <w:r w:rsidRPr="00AB610A">
        <w:rPr>
          <w:rFonts w:eastAsiaTheme="minorEastAsia"/>
          <w:lang w:val="ru-RU"/>
        </w:rPr>
        <w:t xml:space="preserve">содействовать </w:t>
      </w:r>
      <w:r w:rsidR="00A823EE" w:rsidRPr="00AB610A">
        <w:rPr>
          <w:rFonts w:eastAsiaTheme="minorEastAsia"/>
          <w:lang w:val="ru-RU"/>
        </w:rPr>
        <w:t>представлению отчетности руководящим органам и консультативным группам МСЭ</w:t>
      </w:r>
      <w:r w:rsidR="00A823EE" w:rsidRPr="00AB610A">
        <w:rPr>
          <w:rFonts w:eastAsiaTheme="minorEastAsia" w:cstheme="minorHAnsi"/>
          <w:lang w:val="ru-RU"/>
        </w:rPr>
        <w:t>.</w:t>
      </w:r>
    </w:p>
    <w:p w14:paraId="30DAE404" w14:textId="6C2CAFFF" w:rsidR="00A823EE" w:rsidRPr="00AB610A" w:rsidRDefault="00A823EE" w:rsidP="001844B6">
      <w:pPr>
        <w:jc w:val="both"/>
        <w:rPr>
          <w:rFonts w:eastAsia="Aptos"/>
          <w:lang w:val="ru-RU"/>
        </w:rPr>
      </w:pPr>
      <w:r w:rsidRPr="00AB610A">
        <w:rPr>
          <w:rFonts w:eastAsia="Aptos"/>
          <w:lang w:val="ru-RU"/>
        </w:rPr>
        <w:t>Принимая во внимание статьи 1 и 21 Устава МСЭ, статью 5 Конвенции МСЭ и Резолюцию</w:t>
      </w:r>
      <w:r w:rsidR="00AB610A">
        <w:rPr>
          <w:rFonts w:eastAsia="Aptos"/>
          <w:lang w:val="ru-RU"/>
        </w:rPr>
        <w:t> </w:t>
      </w:r>
      <w:r w:rsidRPr="00AB610A">
        <w:rPr>
          <w:rFonts w:eastAsia="Aptos"/>
          <w:lang w:val="ru-RU"/>
        </w:rPr>
        <w:t>25 (</w:t>
      </w:r>
      <w:proofErr w:type="spellStart"/>
      <w:r w:rsidRPr="00AB610A">
        <w:rPr>
          <w:rFonts w:eastAsia="Aptos"/>
          <w:lang w:val="ru-RU"/>
        </w:rPr>
        <w:t>Пересм</w:t>
      </w:r>
      <w:proofErr w:type="spellEnd"/>
      <w:r w:rsidRPr="00AB610A">
        <w:rPr>
          <w:rFonts w:eastAsia="Aptos"/>
          <w:lang w:val="ru-RU"/>
        </w:rPr>
        <w:t xml:space="preserve">. Бухарест, 2022 г.), в настоящем первоначальном отчете представлен ряд рекомендаций в поддержку обсуждения круга ведения. Рекомендации были разработаны </w:t>
      </w:r>
      <w:proofErr w:type="spellStart"/>
      <w:r w:rsidRPr="00AB610A">
        <w:rPr>
          <w:rFonts w:eastAsia="Aptos"/>
          <w:lang w:val="ru-RU"/>
        </w:rPr>
        <w:t>Межсекторальной</w:t>
      </w:r>
      <w:proofErr w:type="spellEnd"/>
      <w:r w:rsidRPr="00AB610A">
        <w:rPr>
          <w:rFonts w:eastAsia="Aptos"/>
          <w:lang w:val="ru-RU"/>
        </w:rPr>
        <w:t xml:space="preserve"> целевой группой по региональному присутствию.</w:t>
      </w:r>
    </w:p>
    <w:p w14:paraId="586A3289" w14:textId="2BB4678A" w:rsidR="00A823EE" w:rsidRPr="00AB610A" w:rsidRDefault="00A823EE" w:rsidP="001844B6">
      <w:pPr>
        <w:jc w:val="both"/>
        <w:rPr>
          <w:rFonts w:eastAsia="Aptos" w:cstheme="minorHAnsi"/>
          <w:lang w:val="ru-RU"/>
        </w:rPr>
      </w:pPr>
      <w:r w:rsidRPr="00AB610A">
        <w:rPr>
          <w:rFonts w:eastAsia="Aptos" w:cstheme="minorHAnsi"/>
          <w:lang w:val="ru-RU"/>
        </w:rPr>
        <w:t xml:space="preserve">Эти рекомендации призваны внести </w:t>
      </w:r>
      <w:proofErr w:type="spellStart"/>
      <w:r w:rsidRPr="00AB610A">
        <w:rPr>
          <w:rFonts w:eastAsia="Aptos" w:cstheme="minorHAnsi"/>
          <w:lang w:val="ru-RU"/>
        </w:rPr>
        <w:t>бóльшую</w:t>
      </w:r>
      <w:proofErr w:type="spellEnd"/>
      <w:r w:rsidRPr="00AB610A">
        <w:rPr>
          <w:rFonts w:eastAsia="Aptos" w:cstheme="minorHAnsi"/>
          <w:lang w:val="ru-RU"/>
        </w:rPr>
        <w:t xml:space="preserve"> ясность в отношении методики, сроков, сферы охвата обзора, подхода к привлечению заинтересованных сторон и необходимых ресурсов.</w:t>
      </w:r>
    </w:p>
    <w:p w14:paraId="7D219DBD" w14:textId="77777777" w:rsidR="00A823EE" w:rsidRPr="00AB610A" w:rsidRDefault="00A823EE" w:rsidP="001844B6">
      <w:pPr>
        <w:jc w:val="both"/>
        <w:rPr>
          <w:rFonts w:eastAsia="Aptos"/>
          <w:lang w:val="ru-RU"/>
        </w:rPr>
      </w:pPr>
      <w:r w:rsidRPr="00AB610A">
        <w:rPr>
          <w:rFonts w:eastAsia="Aptos"/>
          <w:lang w:val="ru-RU"/>
        </w:rPr>
        <w:t>Отчет построен следующим образом:</w:t>
      </w:r>
    </w:p>
    <w:p w14:paraId="0DAD520D" w14:textId="24FD575E" w:rsidR="00A823EE" w:rsidRPr="00AB610A" w:rsidRDefault="00A823EE" w:rsidP="001844B6">
      <w:pPr>
        <w:pStyle w:val="enumlev1"/>
        <w:jc w:val="both"/>
        <w:rPr>
          <w:rFonts w:eastAsia="Aptos"/>
          <w:lang w:val="ru-RU"/>
        </w:rPr>
      </w:pPr>
      <w:r w:rsidRPr="00AB610A">
        <w:rPr>
          <w:rFonts w:eastAsia="Aptos"/>
          <w:lang w:val="ru-RU"/>
        </w:rPr>
        <w:t>1</w:t>
      </w:r>
      <w:r w:rsidRPr="00AB610A">
        <w:rPr>
          <w:rFonts w:eastAsia="Aptos"/>
          <w:lang w:val="ru-RU"/>
        </w:rPr>
        <w:tab/>
        <w:t>Методика обзора − описание общих принципов обзора и подхода к его проведению.</w:t>
      </w:r>
    </w:p>
    <w:p w14:paraId="4D316FE6" w14:textId="2A589FF6" w:rsidR="00A823EE" w:rsidRPr="00AB610A" w:rsidRDefault="00405948" w:rsidP="001844B6">
      <w:pPr>
        <w:pStyle w:val="enumlev1"/>
        <w:jc w:val="both"/>
        <w:rPr>
          <w:rFonts w:eastAsia="Aptos"/>
          <w:lang w:val="ru-RU"/>
        </w:rPr>
      </w:pPr>
      <w:r w:rsidRPr="00AB610A">
        <w:rPr>
          <w:rFonts w:eastAsia="Aptos"/>
          <w:lang w:val="ru-RU"/>
        </w:rPr>
        <w:t>2</w:t>
      </w:r>
      <w:r w:rsidR="00A823EE" w:rsidRPr="00AB610A">
        <w:rPr>
          <w:rFonts w:eastAsia="Aptos"/>
          <w:lang w:val="ru-RU"/>
        </w:rPr>
        <w:tab/>
        <w:t>Структура и продолжительность обзора − определение этапов, сроков и намеченных результатов процесса обзора.</w:t>
      </w:r>
    </w:p>
    <w:p w14:paraId="7C9EA6B7" w14:textId="242D7A82" w:rsidR="00A823EE" w:rsidRPr="00AB610A" w:rsidRDefault="00405948" w:rsidP="001844B6">
      <w:pPr>
        <w:pStyle w:val="enumlev1"/>
        <w:jc w:val="both"/>
        <w:rPr>
          <w:rFonts w:eastAsia="Aptos"/>
          <w:lang w:val="ru-RU"/>
        </w:rPr>
      </w:pPr>
      <w:r w:rsidRPr="00AB610A">
        <w:rPr>
          <w:rFonts w:eastAsia="Aptos"/>
          <w:lang w:val="ru-RU"/>
        </w:rPr>
        <w:t>3</w:t>
      </w:r>
      <w:r w:rsidR="00A823EE" w:rsidRPr="00AB610A">
        <w:rPr>
          <w:rFonts w:eastAsia="Aptos"/>
          <w:lang w:val="ru-RU"/>
        </w:rPr>
        <w:tab/>
        <w:t>Консультации с заинтересованными сторонами − определение потенциальных форумов для всеобъемлющего взаимодействия с заинтересованными сторонами для</w:t>
      </w:r>
      <w:r w:rsidR="00AB610A">
        <w:rPr>
          <w:rFonts w:eastAsia="Aptos"/>
          <w:lang w:val="ru-RU"/>
        </w:rPr>
        <w:t> </w:t>
      </w:r>
      <w:r w:rsidR="00A823EE" w:rsidRPr="00AB610A">
        <w:rPr>
          <w:rFonts w:eastAsia="Aptos"/>
          <w:lang w:val="ru-RU"/>
        </w:rPr>
        <w:t>обеспечения всесторонней оценки.</w:t>
      </w:r>
    </w:p>
    <w:p w14:paraId="6D6EA45A" w14:textId="4116A129" w:rsidR="00A823EE" w:rsidRPr="00AB610A" w:rsidRDefault="00405948" w:rsidP="001844B6">
      <w:pPr>
        <w:pStyle w:val="enumlev1"/>
        <w:jc w:val="both"/>
        <w:rPr>
          <w:rFonts w:eastAsia="Aptos"/>
          <w:lang w:val="ru-RU"/>
        </w:rPr>
      </w:pPr>
      <w:r w:rsidRPr="00AB610A">
        <w:rPr>
          <w:rFonts w:eastAsia="Aptos"/>
          <w:lang w:val="ru-RU"/>
        </w:rPr>
        <w:t>4</w:t>
      </w:r>
      <w:r w:rsidR="00A823EE" w:rsidRPr="00AB610A">
        <w:rPr>
          <w:rFonts w:eastAsia="Aptos"/>
          <w:lang w:val="ru-RU"/>
        </w:rPr>
        <w:tab/>
        <w:t>Процессы принятия решений − рекомендации в отношении процедур проверки и</w:t>
      </w:r>
      <w:r w:rsidR="00AB610A">
        <w:rPr>
          <w:rFonts w:eastAsia="Aptos"/>
          <w:lang w:val="ru-RU"/>
        </w:rPr>
        <w:t> </w:t>
      </w:r>
      <w:r w:rsidR="00A823EE" w:rsidRPr="00AB610A">
        <w:rPr>
          <w:rFonts w:eastAsia="Aptos"/>
          <w:lang w:val="ru-RU"/>
        </w:rPr>
        <w:t>утверждения в ходе обзора.</w:t>
      </w:r>
    </w:p>
    <w:p w14:paraId="48A403DC" w14:textId="450E5C72" w:rsidR="00A823EE" w:rsidRPr="00AB610A" w:rsidRDefault="00A823EE" w:rsidP="001844B6">
      <w:pPr>
        <w:pStyle w:val="enumlev1"/>
        <w:jc w:val="both"/>
        <w:rPr>
          <w:rFonts w:eastAsia="Aptos"/>
          <w:lang w:val="ru-RU"/>
        </w:rPr>
      </w:pPr>
      <w:r w:rsidRPr="00AB610A">
        <w:rPr>
          <w:rFonts w:eastAsia="Aptos"/>
          <w:lang w:val="ru-RU"/>
        </w:rPr>
        <w:lastRenderedPageBreak/>
        <w:t>5</w:t>
      </w:r>
      <w:r w:rsidRPr="00AB610A">
        <w:rPr>
          <w:rFonts w:eastAsia="Aptos"/>
          <w:lang w:val="ru-RU"/>
        </w:rPr>
        <w:tab/>
      </w:r>
      <w:proofErr w:type="gramStart"/>
      <w:r w:rsidRPr="00AB610A">
        <w:rPr>
          <w:rFonts w:eastAsia="Aptos"/>
          <w:lang w:val="ru-RU"/>
        </w:rPr>
        <w:t>Потребности</w:t>
      </w:r>
      <w:proofErr w:type="gramEnd"/>
      <w:r w:rsidRPr="00AB610A">
        <w:rPr>
          <w:rFonts w:eastAsia="Aptos"/>
          <w:lang w:val="ru-RU"/>
        </w:rPr>
        <w:t xml:space="preserve"> в ресурсах − определение ресурсов, необходимых для эффективного проведения обзора.</w:t>
      </w:r>
    </w:p>
    <w:p w14:paraId="5734EFCE" w14:textId="77777777" w:rsidR="00A823EE" w:rsidRPr="00AB610A" w:rsidRDefault="00A823EE" w:rsidP="001844B6">
      <w:pPr>
        <w:pStyle w:val="Heading1"/>
        <w:jc w:val="both"/>
        <w:rPr>
          <w:lang w:val="ru-RU"/>
        </w:rPr>
      </w:pPr>
      <w:r w:rsidRPr="00AB610A">
        <w:rPr>
          <w:lang w:val="ru-RU"/>
        </w:rPr>
        <w:t>2</w:t>
      </w:r>
      <w:r w:rsidRPr="00AB610A">
        <w:rPr>
          <w:lang w:val="ru-RU"/>
        </w:rPr>
        <w:tab/>
        <w:t>Методика обзора</w:t>
      </w:r>
    </w:p>
    <w:p w14:paraId="24E0865B" w14:textId="77777777" w:rsidR="00A823EE" w:rsidRPr="00AB610A" w:rsidRDefault="00A823EE" w:rsidP="001844B6">
      <w:pPr>
        <w:jc w:val="both"/>
        <w:rPr>
          <w:lang w:val="ru-RU"/>
        </w:rPr>
      </w:pPr>
      <w:r w:rsidRPr="00AB610A">
        <w:rPr>
          <w:lang w:val="ru-RU"/>
        </w:rPr>
        <w:t>Методика, изложенная в Круге ведения, формирует основу для тщательного и многоаспектного обзора. Она включает следующее:</w:t>
      </w:r>
    </w:p>
    <w:p w14:paraId="548F26B3" w14:textId="3FB20A1D" w:rsidR="00A823EE" w:rsidRPr="00AB610A" w:rsidRDefault="00A823EE" w:rsidP="001844B6">
      <w:pPr>
        <w:pStyle w:val="enumlev1"/>
        <w:jc w:val="both"/>
        <w:rPr>
          <w:lang w:val="ru-RU"/>
        </w:rPr>
      </w:pPr>
      <w:r w:rsidRPr="00AB610A">
        <w:rPr>
          <w:lang w:val="ru-RU"/>
        </w:rPr>
        <w:t>−</w:t>
      </w:r>
      <w:r w:rsidRPr="00AB610A">
        <w:rPr>
          <w:lang w:val="ru-RU"/>
        </w:rPr>
        <w:tab/>
        <w:t>Анализ документов: всесторонний аналитический обзор важнейших документов по</w:t>
      </w:r>
      <w:r w:rsidR="00AB610A">
        <w:rPr>
          <w:lang w:val="ru-RU"/>
        </w:rPr>
        <w:t> </w:t>
      </w:r>
      <w:r w:rsidRPr="00AB610A">
        <w:rPr>
          <w:lang w:val="ru-RU"/>
        </w:rPr>
        <w:t xml:space="preserve">политике МСЭ, стратегических планов, отчетов об аудите, а также результатов внутренних и внешних оценок. </w:t>
      </w:r>
    </w:p>
    <w:p w14:paraId="12CC9279" w14:textId="2353DA24" w:rsidR="00A823EE" w:rsidRPr="00AB610A" w:rsidRDefault="00A823EE" w:rsidP="001844B6">
      <w:pPr>
        <w:pStyle w:val="enumlev1"/>
        <w:jc w:val="both"/>
        <w:rPr>
          <w:lang w:val="ru-RU"/>
        </w:rPr>
      </w:pPr>
      <w:r w:rsidRPr="00AB610A">
        <w:rPr>
          <w:lang w:val="ru-RU"/>
        </w:rPr>
        <w:t>−</w:t>
      </w:r>
      <w:r w:rsidRPr="00AB610A">
        <w:rPr>
          <w:lang w:val="ru-RU"/>
        </w:rPr>
        <w:tab/>
        <w:t xml:space="preserve">Анализ данных: углубленное изучение операционных, финансовых и кадровых данных для выявления тенденций, оценки эффективности работы МСЭ и расширения возможностей. </w:t>
      </w:r>
    </w:p>
    <w:p w14:paraId="4D1BDF95" w14:textId="439DAAF9" w:rsidR="00A823EE" w:rsidRPr="00AB610A" w:rsidRDefault="00A823EE" w:rsidP="001844B6">
      <w:pPr>
        <w:pStyle w:val="enumlev1"/>
        <w:jc w:val="both"/>
        <w:rPr>
          <w:lang w:val="ru-RU"/>
        </w:rPr>
      </w:pPr>
      <w:r w:rsidRPr="00AB610A">
        <w:rPr>
          <w:lang w:val="ru-RU"/>
        </w:rPr>
        <w:t>−</w:t>
      </w:r>
      <w:r w:rsidRPr="00AB610A">
        <w:rPr>
          <w:lang w:val="ru-RU"/>
        </w:rPr>
        <w:tab/>
        <w:t>Консультации с заинтересованными сторонами: структурированное взаимодействие с</w:t>
      </w:r>
      <w:r w:rsidR="00AB610A">
        <w:rPr>
          <w:lang w:val="ru-RU"/>
        </w:rPr>
        <w:t> </w:t>
      </w:r>
      <w:r w:rsidRPr="00AB610A">
        <w:rPr>
          <w:lang w:val="ru-RU"/>
        </w:rPr>
        <w:t>внутренними и внешними заинтересованными сторонами для получения разнообразной информации об эффективности работы в регионах и выполняемых штаб-квартирой функций по оказанию поддержки.</w:t>
      </w:r>
    </w:p>
    <w:p w14:paraId="415D36BD" w14:textId="6B64536A" w:rsidR="00A823EE" w:rsidRPr="00AB610A" w:rsidRDefault="00A823EE" w:rsidP="001844B6">
      <w:pPr>
        <w:pStyle w:val="enumlev1"/>
        <w:jc w:val="both"/>
        <w:rPr>
          <w:lang w:val="ru-RU"/>
        </w:rPr>
      </w:pPr>
      <w:r w:rsidRPr="00AB610A">
        <w:rPr>
          <w:lang w:val="ru-RU"/>
        </w:rPr>
        <w:t>−</w:t>
      </w:r>
      <w:r w:rsidRPr="00AB610A">
        <w:rPr>
          <w:lang w:val="ru-RU"/>
        </w:rPr>
        <w:tab/>
        <w:t>Опросы заинтересованных сторон: широкомасштабные опросы Государств-Членов, соответствующих учреждений ООН и членов МСЭ, проводимые для того, чтобы определить, насколько опрашиваемые удовлетворены работой МСЭ, каковы их ожидания, и какие проблемы необходимо решить.</w:t>
      </w:r>
    </w:p>
    <w:p w14:paraId="3009C1CF" w14:textId="0400D468" w:rsidR="00A823EE" w:rsidRPr="00AB610A" w:rsidRDefault="00A823EE" w:rsidP="001844B6">
      <w:pPr>
        <w:jc w:val="both"/>
        <w:rPr>
          <w:lang w:val="ru-RU"/>
        </w:rPr>
      </w:pPr>
      <w:r w:rsidRPr="00AB610A">
        <w:rPr>
          <w:lang w:val="ru-RU"/>
        </w:rPr>
        <w:t xml:space="preserve">Для того, чтобы анализ был более точным, а обзор – более актуальным, </w:t>
      </w:r>
      <w:proofErr w:type="spellStart"/>
      <w:r w:rsidR="00405948" w:rsidRPr="00AB610A">
        <w:rPr>
          <w:rFonts w:asciiTheme="minorHAnsi" w:eastAsiaTheme="minorEastAsia" w:hAnsiTheme="minorHAnsi" w:cstheme="minorBidi"/>
          <w:color w:val="000000" w:themeColor="text1"/>
          <w:szCs w:val="22"/>
          <w:lang w:val="ru-RU"/>
        </w:rPr>
        <w:t>Межсекторальная</w:t>
      </w:r>
      <w:proofErr w:type="spellEnd"/>
      <w:r w:rsidR="00405948" w:rsidRPr="00AB610A">
        <w:rPr>
          <w:rFonts w:asciiTheme="minorHAnsi" w:eastAsiaTheme="minorEastAsia" w:hAnsiTheme="minorHAnsi" w:cstheme="minorBidi"/>
          <w:color w:val="000000" w:themeColor="text1"/>
          <w:szCs w:val="22"/>
          <w:lang w:val="ru-RU"/>
        </w:rPr>
        <w:t xml:space="preserve"> целевая группа</w:t>
      </w:r>
      <w:r w:rsidRPr="00AB610A">
        <w:rPr>
          <w:lang w:val="ru-RU"/>
        </w:rPr>
        <w:t xml:space="preserve"> также рекомендует включить в обзор следующее:</w:t>
      </w:r>
    </w:p>
    <w:p w14:paraId="015CF12E" w14:textId="65B91227" w:rsidR="00A823EE" w:rsidRPr="00AB610A" w:rsidRDefault="00A823EE" w:rsidP="001844B6">
      <w:pPr>
        <w:pStyle w:val="enumlev1"/>
        <w:jc w:val="both"/>
        <w:rPr>
          <w:lang w:val="ru-RU"/>
        </w:rPr>
      </w:pPr>
      <w:r w:rsidRPr="00AB610A">
        <w:rPr>
          <w:lang w:val="ru-RU"/>
        </w:rPr>
        <w:t>−</w:t>
      </w:r>
      <w:r w:rsidRPr="00AB610A">
        <w:rPr>
          <w:lang w:val="ru-RU"/>
        </w:rPr>
        <w:tab/>
        <w:t>Сравнительный анализ: оценка региональных и зональных отделений МСЭ в</w:t>
      </w:r>
      <w:r w:rsidR="00AB610A">
        <w:rPr>
          <w:lang w:val="ru-RU"/>
        </w:rPr>
        <w:t> </w:t>
      </w:r>
      <w:r w:rsidRPr="00AB610A">
        <w:rPr>
          <w:lang w:val="ru-RU"/>
        </w:rPr>
        <w:t>сравнении с аналогичными учреждениями системы ООН.</w:t>
      </w:r>
    </w:p>
    <w:p w14:paraId="659D100E" w14:textId="3DF15268" w:rsidR="00A823EE" w:rsidRPr="00AB610A" w:rsidRDefault="00A823EE" w:rsidP="001844B6">
      <w:pPr>
        <w:pStyle w:val="enumlev1"/>
        <w:jc w:val="both"/>
        <w:rPr>
          <w:lang w:val="ru-RU"/>
        </w:rPr>
      </w:pPr>
      <w:r w:rsidRPr="00AB610A">
        <w:rPr>
          <w:lang w:val="ru-RU"/>
        </w:rPr>
        <w:t>−</w:t>
      </w:r>
      <w:r w:rsidRPr="00AB610A">
        <w:rPr>
          <w:lang w:val="ru-RU"/>
        </w:rPr>
        <w:tab/>
        <w:t>Комбинированная методология: обеспечение того, чтобы обзор основывался на</w:t>
      </w:r>
      <w:r w:rsidR="00AB610A">
        <w:rPr>
          <w:lang w:val="ru-RU"/>
        </w:rPr>
        <w:t> </w:t>
      </w:r>
      <w:r w:rsidRPr="00AB610A">
        <w:rPr>
          <w:lang w:val="ru-RU"/>
        </w:rPr>
        <w:t>фактических данных, был всеобъемлющим и стратегически ориентированным на</w:t>
      </w:r>
      <w:r w:rsidR="00AB610A">
        <w:rPr>
          <w:lang w:val="ru-RU"/>
        </w:rPr>
        <w:t> </w:t>
      </w:r>
      <w:r w:rsidRPr="00AB610A">
        <w:rPr>
          <w:lang w:val="ru-RU"/>
        </w:rPr>
        <w:t>меняющиеся потребности МСЭ, в частности на задачи его регионального присутствия.</w:t>
      </w:r>
    </w:p>
    <w:p w14:paraId="557DD894" w14:textId="77777777" w:rsidR="00A823EE" w:rsidRPr="00AB610A" w:rsidRDefault="00A823EE" w:rsidP="001844B6">
      <w:pPr>
        <w:pStyle w:val="Heading1"/>
        <w:jc w:val="both"/>
        <w:rPr>
          <w:lang w:val="ru-RU"/>
        </w:rPr>
      </w:pPr>
      <w:r w:rsidRPr="00AB610A">
        <w:rPr>
          <w:lang w:val="ru-RU"/>
        </w:rPr>
        <w:t>3</w:t>
      </w:r>
      <w:r w:rsidRPr="00AB610A">
        <w:rPr>
          <w:lang w:val="ru-RU"/>
        </w:rPr>
        <w:tab/>
        <w:t>Структура и продолжительность обзора</w:t>
      </w:r>
    </w:p>
    <w:p w14:paraId="57EA95DB" w14:textId="6672C260" w:rsidR="00A823EE" w:rsidRPr="00AB610A" w:rsidRDefault="00405948" w:rsidP="001844B6">
      <w:pPr>
        <w:jc w:val="both"/>
        <w:rPr>
          <w:rFonts w:eastAsia="Aptos"/>
          <w:lang w:val="ru-RU"/>
        </w:rPr>
      </w:pPr>
      <w:r w:rsidRPr="00AB610A">
        <w:rPr>
          <w:rFonts w:eastAsia="Aptos"/>
          <w:lang w:val="ru-RU"/>
        </w:rPr>
        <w:t xml:space="preserve">Обзор продлится </w:t>
      </w:r>
      <w:r w:rsidR="00AB610A">
        <w:rPr>
          <w:rFonts w:eastAsia="Aptos"/>
          <w:lang w:val="ru-RU"/>
        </w:rPr>
        <w:t>десять</w:t>
      </w:r>
      <w:r w:rsidR="00A823EE" w:rsidRPr="00AB610A">
        <w:rPr>
          <w:rFonts w:eastAsia="Aptos"/>
          <w:lang w:val="ru-RU"/>
        </w:rPr>
        <w:t xml:space="preserve"> месяцев и будет проводиться в четыре последовательных этапа. Последовательность действий на каждом из этапов обзора и намеченные результаты описаны ниже.</w:t>
      </w:r>
    </w:p>
    <w:p w14:paraId="5D83E892" w14:textId="55343CD1" w:rsidR="00A823EE" w:rsidRPr="00AB610A" w:rsidRDefault="00A823EE" w:rsidP="001844B6">
      <w:pPr>
        <w:pStyle w:val="Headingb"/>
        <w:jc w:val="both"/>
        <w:rPr>
          <w:lang w:val="ru-RU"/>
        </w:rPr>
      </w:pPr>
      <w:r w:rsidRPr="00AB610A">
        <w:rPr>
          <w:rFonts w:eastAsia="Aptos"/>
          <w:lang w:val="ru-RU"/>
        </w:rPr>
        <w:t>Этап 1: Предварительная оценка (июль−август 2025 г.)</w:t>
      </w:r>
    </w:p>
    <w:p w14:paraId="287E061A" w14:textId="77777777" w:rsidR="00A823EE" w:rsidRPr="00AB610A" w:rsidRDefault="00A823EE" w:rsidP="001844B6">
      <w:pPr>
        <w:pStyle w:val="enumlev1"/>
        <w:jc w:val="both"/>
        <w:rPr>
          <w:szCs w:val="22"/>
          <w:lang w:val="ru-RU"/>
        </w:rPr>
      </w:pPr>
      <w:r w:rsidRPr="00AB610A">
        <w:rPr>
          <w:szCs w:val="22"/>
          <w:lang w:val="ru-RU"/>
        </w:rPr>
        <w:t>Результаты:</w:t>
      </w:r>
    </w:p>
    <w:p w14:paraId="05BCDDDA" w14:textId="0DA1693F" w:rsidR="00A823EE" w:rsidRPr="00AB610A" w:rsidRDefault="00A823EE" w:rsidP="001844B6">
      <w:pPr>
        <w:pStyle w:val="enumlev1"/>
        <w:jc w:val="both"/>
        <w:rPr>
          <w:lang w:val="ru-RU"/>
        </w:rPr>
      </w:pPr>
      <w:r w:rsidRPr="00AB610A">
        <w:rPr>
          <w:lang w:val="ru-RU"/>
        </w:rPr>
        <w:t>−</w:t>
      </w:r>
      <w:r w:rsidRPr="00AB610A">
        <w:rPr>
          <w:lang w:val="ru-RU"/>
        </w:rPr>
        <w:tab/>
        <w:t>Формирование рабочей группы для проведения обзора и разработка рабочих протоколов.</w:t>
      </w:r>
    </w:p>
    <w:p w14:paraId="3997B5D5" w14:textId="044F45B2" w:rsidR="00A823EE" w:rsidRPr="00AB610A" w:rsidRDefault="00A823EE" w:rsidP="001844B6">
      <w:pPr>
        <w:pStyle w:val="enumlev1"/>
        <w:jc w:val="both"/>
        <w:rPr>
          <w:lang w:val="ru-RU"/>
        </w:rPr>
      </w:pPr>
      <w:r w:rsidRPr="00AB610A">
        <w:rPr>
          <w:lang w:val="ru-RU"/>
        </w:rPr>
        <w:t>−</w:t>
      </w:r>
      <w:r w:rsidRPr="00AB610A">
        <w:rPr>
          <w:lang w:val="ru-RU"/>
        </w:rPr>
        <w:tab/>
        <w:t>Формулирование цели проверки и определение методики.</w:t>
      </w:r>
    </w:p>
    <w:p w14:paraId="0C278AB8" w14:textId="5A03D36D" w:rsidR="00A823EE" w:rsidRPr="00AB610A" w:rsidRDefault="00A823EE" w:rsidP="001844B6">
      <w:pPr>
        <w:pStyle w:val="enumlev1"/>
        <w:jc w:val="both"/>
        <w:rPr>
          <w:lang w:val="ru-RU"/>
        </w:rPr>
      </w:pPr>
      <w:r w:rsidRPr="00AB610A">
        <w:rPr>
          <w:lang w:val="ru-RU"/>
        </w:rPr>
        <w:t>−</w:t>
      </w:r>
      <w:r w:rsidRPr="00AB610A">
        <w:rPr>
          <w:lang w:val="ru-RU"/>
        </w:rPr>
        <w:tab/>
        <w:t>Разработка специальных инструментов для сбора данных (например, анкет, вопросов для интервью).</w:t>
      </w:r>
    </w:p>
    <w:p w14:paraId="64015C41" w14:textId="76E677B5" w:rsidR="00A823EE" w:rsidRPr="00AB610A" w:rsidRDefault="00A823EE" w:rsidP="001844B6">
      <w:pPr>
        <w:pStyle w:val="enumlev1"/>
        <w:jc w:val="both"/>
        <w:rPr>
          <w:lang w:val="ru-RU"/>
        </w:rPr>
      </w:pPr>
      <w:r w:rsidRPr="00AB610A">
        <w:rPr>
          <w:lang w:val="ru-RU"/>
        </w:rPr>
        <w:t>−</w:t>
      </w:r>
      <w:r w:rsidRPr="00AB610A">
        <w:rPr>
          <w:lang w:val="ru-RU"/>
        </w:rPr>
        <w:tab/>
        <w:t>Согласование показателей обзора с ключевыми показателями деятельности (KPI) и стратегическими целями МСЭ.</w:t>
      </w:r>
    </w:p>
    <w:p w14:paraId="233D1849" w14:textId="41E9F741" w:rsidR="00A823EE" w:rsidRPr="00AB610A" w:rsidRDefault="00A823EE" w:rsidP="001844B6">
      <w:pPr>
        <w:pStyle w:val="Headingb"/>
        <w:jc w:val="both"/>
        <w:rPr>
          <w:lang w:val="ru-RU"/>
        </w:rPr>
      </w:pPr>
      <w:r w:rsidRPr="00AB610A">
        <w:rPr>
          <w:rFonts w:eastAsia="Aptos"/>
          <w:bCs/>
          <w:lang w:val="ru-RU"/>
        </w:rPr>
        <w:lastRenderedPageBreak/>
        <w:t>Этап</w:t>
      </w:r>
      <w:r w:rsidRPr="00AB610A">
        <w:rPr>
          <w:rFonts w:eastAsia="Aptos"/>
          <w:lang w:val="ru-RU"/>
        </w:rPr>
        <w:t xml:space="preserve"> </w:t>
      </w:r>
      <w:r w:rsidRPr="00AB610A">
        <w:rPr>
          <w:lang w:val="ru-RU"/>
        </w:rPr>
        <w:t>2: Сбор данных и предварительный анализ (</w:t>
      </w:r>
      <w:proofErr w:type="gramStart"/>
      <w:r w:rsidRPr="00AB610A">
        <w:rPr>
          <w:lang w:val="ru-RU"/>
        </w:rPr>
        <w:t>сентябрь–ноябрь</w:t>
      </w:r>
      <w:proofErr w:type="gramEnd"/>
      <w:r w:rsidRPr="00AB610A">
        <w:rPr>
          <w:lang w:val="ru-RU"/>
        </w:rPr>
        <w:t xml:space="preserve"> 2025 г.)</w:t>
      </w:r>
    </w:p>
    <w:p w14:paraId="79D966DB" w14:textId="77777777" w:rsidR="00A823EE" w:rsidRPr="00AB610A" w:rsidRDefault="00A823EE" w:rsidP="001844B6">
      <w:pPr>
        <w:keepNext/>
        <w:keepLines/>
        <w:jc w:val="both"/>
        <w:rPr>
          <w:lang w:val="ru-RU"/>
        </w:rPr>
      </w:pPr>
      <w:r w:rsidRPr="00AB610A">
        <w:rPr>
          <w:lang w:val="ru-RU"/>
        </w:rPr>
        <w:t xml:space="preserve">Результаты: </w:t>
      </w:r>
    </w:p>
    <w:p w14:paraId="244BE48F" w14:textId="5FD2D28A" w:rsidR="00A823EE" w:rsidRPr="00AB610A" w:rsidRDefault="00A823EE" w:rsidP="001844B6">
      <w:pPr>
        <w:pStyle w:val="enumlev1"/>
        <w:jc w:val="both"/>
        <w:rPr>
          <w:lang w:val="ru-RU"/>
        </w:rPr>
      </w:pPr>
      <w:r w:rsidRPr="00AB610A">
        <w:rPr>
          <w:lang w:val="ru-RU"/>
        </w:rPr>
        <w:t>−</w:t>
      </w:r>
      <w:r w:rsidRPr="00AB610A">
        <w:rPr>
          <w:lang w:val="ru-RU"/>
        </w:rPr>
        <w:tab/>
        <w:t>Проведение интервью и опросов среди групп заинтересованных сторон.</w:t>
      </w:r>
    </w:p>
    <w:p w14:paraId="0E8C0550" w14:textId="35E3DF16" w:rsidR="00A823EE" w:rsidRPr="00AB610A" w:rsidRDefault="00A823EE" w:rsidP="001844B6">
      <w:pPr>
        <w:pStyle w:val="enumlev1"/>
        <w:jc w:val="both"/>
        <w:rPr>
          <w:lang w:val="ru-RU"/>
        </w:rPr>
      </w:pPr>
      <w:r w:rsidRPr="00AB610A">
        <w:rPr>
          <w:lang w:val="ru-RU"/>
        </w:rPr>
        <w:t>−</w:t>
      </w:r>
      <w:r w:rsidRPr="00AB610A">
        <w:rPr>
          <w:lang w:val="ru-RU"/>
        </w:rPr>
        <w:tab/>
        <w:t>Сравнительный анализ.</w:t>
      </w:r>
    </w:p>
    <w:p w14:paraId="2CB48CDB" w14:textId="714F7AD4" w:rsidR="00A823EE" w:rsidRPr="00AB610A" w:rsidRDefault="00A823EE" w:rsidP="001844B6">
      <w:pPr>
        <w:pStyle w:val="enumlev1"/>
        <w:jc w:val="both"/>
        <w:rPr>
          <w:lang w:val="ru-RU"/>
        </w:rPr>
      </w:pPr>
      <w:r w:rsidRPr="00AB610A">
        <w:rPr>
          <w:lang w:val="ru-RU"/>
        </w:rPr>
        <w:t>−</w:t>
      </w:r>
      <w:r w:rsidRPr="00AB610A">
        <w:rPr>
          <w:lang w:val="ru-RU"/>
        </w:rPr>
        <w:tab/>
        <w:t>Предварительный анализ и выявление новых тенденций и ключевых тем.</w:t>
      </w:r>
    </w:p>
    <w:p w14:paraId="258C6947" w14:textId="77777777" w:rsidR="00A823EE" w:rsidRPr="00AB610A" w:rsidRDefault="00A823EE" w:rsidP="001844B6">
      <w:pPr>
        <w:pStyle w:val="Headingb"/>
        <w:jc w:val="both"/>
        <w:rPr>
          <w:lang w:val="ru-RU"/>
        </w:rPr>
      </w:pPr>
      <w:r w:rsidRPr="00AB610A">
        <w:rPr>
          <w:lang w:val="ru-RU"/>
        </w:rPr>
        <w:t>Этап 3: Подробный анализ и подготовка отчета (декабрь 2025 г. – февраль 2026 г.)</w:t>
      </w:r>
    </w:p>
    <w:p w14:paraId="16AF99B8" w14:textId="77777777" w:rsidR="00A823EE" w:rsidRPr="00AB610A" w:rsidRDefault="00A823EE" w:rsidP="001844B6">
      <w:pPr>
        <w:jc w:val="both"/>
        <w:rPr>
          <w:lang w:val="ru-RU"/>
        </w:rPr>
      </w:pPr>
      <w:r w:rsidRPr="00AB610A">
        <w:rPr>
          <w:lang w:val="ru-RU"/>
        </w:rPr>
        <w:t xml:space="preserve">Результаты: </w:t>
      </w:r>
    </w:p>
    <w:p w14:paraId="69A8E1E9" w14:textId="01F21880" w:rsidR="00A823EE" w:rsidRPr="00AB610A" w:rsidRDefault="00A823EE" w:rsidP="001844B6">
      <w:pPr>
        <w:pStyle w:val="enumlev1"/>
        <w:jc w:val="both"/>
        <w:rPr>
          <w:lang w:val="ru-RU"/>
        </w:rPr>
      </w:pPr>
      <w:r w:rsidRPr="00AB610A">
        <w:rPr>
          <w:lang w:val="ru-RU"/>
        </w:rPr>
        <w:t>−</w:t>
      </w:r>
      <w:r w:rsidRPr="00AB610A">
        <w:rPr>
          <w:lang w:val="ru-RU"/>
        </w:rPr>
        <w:tab/>
        <w:t>Всесторонний анализ результатов обзора на основе результатов предварительного анализа.</w:t>
      </w:r>
    </w:p>
    <w:p w14:paraId="0EEF9F15" w14:textId="22AD0A1A" w:rsidR="00A823EE" w:rsidRPr="00AB610A" w:rsidRDefault="00A823EE" w:rsidP="001844B6">
      <w:pPr>
        <w:pStyle w:val="enumlev1"/>
        <w:jc w:val="both"/>
        <w:rPr>
          <w:lang w:val="ru-RU"/>
        </w:rPr>
      </w:pPr>
      <w:r w:rsidRPr="00AB610A">
        <w:rPr>
          <w:lang w:val="ru-RU"/>
        </w:rPr>
        <w:t>−</w:t>
      </w:r>
      <w:r w:rsidRPr="00AB610A">
        <w:rPr>
          <w:lang w:val="ru-RU"/>
        </w:rPr>
        <w:tab/>
        <w:t>Подготовка проекта отчета о проведении обзора, включающего предварительные рекомендации.</w:t>
      </w:r>
    </w:p>
    <w:p w14:paraId="19B6B0A3" w14:textId="1454A096" w:rsidR="00A823EE" w:rsidRPr="00AB610A" w:rsidRDefault="00A823EE" w:rsidP="001844B6">
      <w:pPr>
        <w:pStyle w:val="Headingb"/>
        <w:jc w:val="both"/>
        <w:rPr>
          <w:lang w:val="ru-RU"/>
        </w:rPr>
      </w:pPr>
      <w:r w:rsidRPr="00AB610A">
        <w:rPr>
          <w:lang w:val="ru-RU"/>
        </w:rPr>
        <w:t>Этап 4: Проверка информации и пр</w:t>
      </w:r>
      <w:r w:rsidR="00405948" w:rsidRPr="00AB610A">
        <w:rPr>
          <w:lang w:val="ru-RU"/>
        </w:rPr>
        <w:t>едставление отчетности (</w:t>
      </w:r>
      <w:proofErr w:type="gramStart"/>
      <w:r w:rsidR="00405948" w:rsidRPr="00AB610A">
        <w:rPr>
          <w:lang w:val="ru-RU"/>
        </w:rPr>
        <w:t>март–апрель</w:t>
      </w:r>
      <w:proofErr w:type="gramEnd"/>
      <w:r w:rsidRPr="00AB610A">
        <w:rPr>
          <w:lang w:val="ru-RU"/>
        </w:rPr>
        <w:t xml:space="preserve"> 2026 г.)</w:t>
      </w:r>
    </w:p>
    <w:p w14:paraId="10A3260C" w14:textId="77777777" w:rsidR="00A823EE" w:rsidRPr="00AB610A" w:rsidRDefault="00A823EE" w:rsidP="001844B6">
      <w:pPr>
        <w:jc w:val="both"/>
        <w:rPr>
          <w:lang w:val="ru-RU"/>
        </w:rPr>
      </w:pPr>
      <w:r w:rsidRPr="00AB610A">
        <w:rPr>
          <w:lang w:val="ru-RU"/>
        </w:rPr>
        <w:t xml:space="preserve">Результаты: </w:t>
      </w:r>
    </w:p>
    <w:p w14:paraId="5DF7631D" w14:textId="5AA3D7C3" w:rsidR="00A823EE" w:rsidRPr="00AB610A" w:rsidRDefault="00A823EE" w:rsidP="001844B6">
      <w:pPr>
        <w:pStyle w:val="enumlev1"/>
        <w:jc w:val="both"/>
        <w:rPr>
          <w:lang w:val="ru-RU"/>
        </w:rPr>
      </w:pPr>
      <w:r w:rsidRPr="00AB610A">
        <w:rPr>
          <w:lang w:val="ru-RU"/>
        </w:rPr>
        <w:t>−</w:t>
      </w:r>
      <w:r w:rsidRPr="00AB610A">
        <w:rPr>
          <w:lang w:val="ru-RU"/>
        </w:rPr>
        <w:tab/>
        <w:t>Проверка информации, содержащейся в отчете о проведении обзора.</w:t>
      </w:r>
    </w:p>
    <w:p w14:paraId="76A237AF" w14:textId="43C4A380" w:rsidR="00A823EE" w:rsidRPr="00AB610A" w:rsidRDefault="00A823EE" w:rsidP="001844B6">
      <w:pPr>
        <w:pStyle w:val="enumlev1"/>
        <w:jc w:val="both"/>
        <w:rPr>
          <w:lang w:val="ru-RU"/>
        </w:rPr>
      </w:pPr>
      <w:r w:rsidRPr="00AB610A">
        <w:rPr>
          <w:lang w:val="ru-RU"/>
        </w:rPr>
        <w:t>−</w:t>
      </w:r>
      <w:r w:rsidRPr="00AB610A">
        <w:rPr>
          <w:lang w:val="ru-RU"/>
        </w:rPr>
        <w:tab/>
        <w:t xml:space="preserve">Учет отзывов и замечаний по результатам проверки информации. </w:t>
      </w:r>
    </w:p>
    <w:p w14:paraId="483F20D8" w14:textId="3614F95D" w:rsidR="00A823EE" w:rsidRPr="00AB610A" w:rsidRDefault="00A823EE" w:rsidP="001844B6">
      <w:pPr>
        <w:pStyle w:val="enumlev1"/>
        <w:jc w:val="both"/>
        <w:rPr>
          <w:lang w:val="ru-RU"/>
        </w:rPr>
      </w:pPr>
      <w:r w:rsidRPr="00AB610A">
        <w:rPr>
          <w:lang w:val="ru-RU"/>
        </w:rPr>
        <w:t>−</w:t>
      </w:r>
      <w:r w:rsidRPr="00AB610A">
        <w:rPr>
          <w:lang w:val="ru-RU"/>
        </w:rPr>
        <w:tab/>
        <w:t>Подготовка заключительного отчета о проведении обзора для рассмотрения Советом и Полномочной конференцией 2026 года (ПК-26).</w:t>
      </w:r>
    </w:p>
    <w:p w14:paraId="38DBEA71" w14:textId="77777777" w:rsidR="00A823EE" w:rsidRPr="00AB610A" w:rsidRDefault="00A823EE" w:rsidP="001844B6">
      <w:pPr>
        <w:pStyle w:val="Heading1"/>
        <w:jc w:val="both"/>
        <w:rPr>
          <w:lang w:val="ru-RU"/>
        </w:rPr>
      </w:pPr>
      <w:r w:rsidRPr="00AB610A">
        <w:rPr>
          <w:lang w:val="ru-RU"/>
        </w:rPr>
        <w:t>4</w:t>
      </w:r>
      <w:r w:rsidRPr="00AB610A">
        <w:rPr>
          <w:lang w:val="ru-RU"/>
        </w:rPr>
        <w:tab/>
        <w:t>Консультации с заинтересованными сторонами</w:t>
      </w:r>
    </w:p>
    <w:p w14:paraId="67BDC112" w14:textId="3FA2A13E" w:rsidR="00A823EE" w:rsidRPr="00AB610A" w:rsidRDefault="00A823EE" w:rsidP="001844B6">
      <w:pPr>
        <w:jc w:val="both"/>
        <w:rPr>
          <w:lang w:val="ru-RU"/>
        </w:rPr>
      </w:pPr>
      <w:r w:rsidRPr="00AB610A">
        <w:rPr>
          <w:lang w:val="ru-RU"/>
        </w:rPr>
        <w:t>Принципиальное значение для успешного проведения обзора будет иметь взаимодействие с заинтересованными сторонами, которое гарантирует, что при проведении анализа будут полностью отражены идеи и опыт тех, кого непосредственно затрагивает деятельность в регионах. Тщательно продуманный и эффективный процесс консультаций сделает результаты обзора не только более значимыми, но также более достоверными, обоснованными и устойчивыми. Учет широкого спектра мнений также поможет выявить новые точки зрения, повысит качество рекомендаций и обеспечит целостность оценки.</w:t>
      </w:r>
    </w:p>
    <w:p w14:paraId="75A4CF70" w14:textId="77777777" w:rsidR="00A823EE" w:rsidRPr="00AB610A" w:rsidRDefault="00A823EE" w:rsidP="001844B6">
      <w:pPr>
        <w:jc w:val="both"/>
        <w:rPr>
          <w:lang w:val="ru-RU"/>
        </w:rPr>
      </w:pPr>
      <w:r w:rsidRPr="00AB610A">
        <w:rPr>
          <w:lang w:val="ru-RU"/>
        </w:rPr>
        <w:t>В круге ведения ключевыми группами, участвующими в консультациях, названы внутренний Секретариат МСЭ (Генеральный секретариат, Бюро и региональные/зональные отделения), Государства-Члены, региональные организации электросвязи, Члены Сектора и академические организации.</w:t>
      </w:r>
    </w:p>
    <w:p w14:paraId="4EB6FE36" w14:textId="77777777" w:rsidR="00A823EE" w:rsidRPr="00AB610A" w:rsidRDefault="00A823EE" w:rsidP="001844B6">
      <w:pPr>
        <w:jc w:val="both"/>
        <w:rPr>
          <w:lang w:val="ru-RU"/>
        </w:rPr>
      </w:pPr>
      <w:r w:rsidRPr="00AB610A">
        <w:rPr>
          <w:lang w:val="ru-RU"/>
        </w:rPr>
        <w:t xml:space="preserve">Инструменты и механизмы консультаций будут включать онлайновые обследования, </w:t>
      </w:r>
      <w:proofErr w:type="spellStart"/>
      <w:r w:rsidRPr="00AB610A">
        <w:rPr>
          <w:lang w:val="ru-RU"/>
        </w:rPr>
        <w:t>полуструктурированные</w:t>
      </w:r>
      <w:proofErr w:type="spellEnd"/>
      <w:r w:rsidRPr="00AB610A">
        <w:rPr>
          <w:lang w:val="ru-RU"/>
        </w:rPr>
        <w:t xml:space="preserve"> интервью, семинары-практикумы для заинтересованных сторон и интерактивное виртуальное взаимодействие.</w:t>
      </w:r>
    </w:p>
    <w:p w14:paraId="5D4347A4" w14:textId="1BF62E91" w:rsidR="00A823EE" w:rsidRPr="00AB610A" w:rsidRDefault="00A823EE" w:rsidP="001844B6">
      <w:pPr>
        <w:spacing w:after="120"/>
        <w:jc w:val="both"/>
        <w:rPr>
          <w:lang w:val="ru-RU"/>
        </w:rPr>
      </w:pPr>
      <w:r w:rsidRPr="00AB610A">
        <w:rPr>
          <w:lang w:val="ru-RU"/>
        </w:rPr>
        <w:t>В таблице</w:t>
      </w:r>
      <w:r w:rsidR="00196551" w:rsidRPr="00AB610A">
        <w:rPr>
          <w:lang w:val="ru-RU"/>
        </w:rPr>
        <w:t>,</w:t>
      </w:r>
      <w:r w:rsidRPr="00AB610A">
        <w:rPr>
          <w:lang w:val="ru-RU"/>
        </w:rPr>
        <w:t xml:space="preserve"> ниже</w:t>
      </w:r>
      <w:r w:rsidR="00196551" w:rsidRPr="00AB610A">
        <w:rPr>
          <w:lang w:val="ru-RU"/>
        </w:rPr>
        <w:t>,</w:t>
      </w:r>
      <w:r w:rsidRPr="00AB610A">
        <w:rPr>
          <w:lang w:val="ru-RU"/>
        </w:rPr>
        <w:t xml:space="preserve"> представлен предварительный и неисчерпывающий перечень мероприятий, в которых заинтересованные стороны могут принимать участие в рамках процесса консультаций. Эти мероприятия дают возможность собрать информацию, подтвердить выводы и обеспечить учет различных точек зрения при проведении обзора. Участники консультаций с заинтересованными сторонами будут тщательно отобраны с учетом целесообразности их участия и их значимости для проведения исследования.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440"/>
        <w:gridCol w:w="2953"/>
        <w:gridCol w:w="2243"/>
      </w:tblGrid>
      <w:tr w:rsidR="00A823EE" w:rsidRPr="00AB610A" w14:paraId="4D09F43D" w14:textId="77777777" w:rsidTr="00A823EE">
        <w:trPr>
          <w:tblHeader/>
        </w:trPr>
        <w:tc>
          <w:tcPr>
            <w:tcW w:w="2425" w:type="dxa"/>
          </w:tcPr>
          <w:p w14:paraId="6440D11E" w14:textId="77777777" w:rsidR="00A823EE" w:rsidRPr="00AB610A" w:rsidRDefault="00A823EE" w:rsidP="001844B6">
            <w:pPr>
              <w:pStyle w:val="Tablehead"/>
              <w:keepLines/>
              <w:rPr>
                <w:lang w:val="ru-RU"/>
              </w:rPr>
            </w:pPr>
            <w:r w:rsidRPr="00AB610A">
              <w:rPr>
                <w:lang w:val="ru-RU"/>
              </w:rPr>
              <w:lastRenderedPageBreak/>
              <w:t>Дата</w:t>
            </w:r>
          </w:p>
        </w:tc>
        <w:tc>
          <w:tcPr>
            <w:tcW w:w="1440" w:type="dxa"/>
          </w:tcPr>
          <w:p w14:paraId="25A364C2" w14:textId="77777777" w:rsidR="00A823EE" w:rsidRPr="00AB610A" w:rsidRDefault="00A823EE" w:rsidP="001844B6">
            <w:pPr>
              <w:pStyle w:val="Tablehead"/>
              <w:keepLines/>
              <w:rPr>
                <w:lang w:val="ru-RU"/>
              </w:rPr>
            </w:pPr>
            <w:r w:rsidRPr="00AB610A">
              <w:rPr>
                <w:lang w:val="ru-RU"/>
              </w:rPr>
              <w:t>Сектор</w:t>
            </w:r>
          </w:p>
        </w:tc>
        <w:tc>
          <w:tcPr>
            <w:tcW w:w="2953" w:type="dxa"/>
          </w:tcPr>
          <w:p w14:paraId="085D3FCB" w14:textId="77777777" w:rsidR="00A823EE" w:rsidRPr="00AB610A" w:rsidRDefault="00A823EE" w:rsidP="001844B6">
            <w:pPr>
              <w:pStyle w:val="Tablehead"/>
              <w:keepLines/>
              <w:rPr>
                <w:lang w:val="ru-RU"/>
              </w:rPr>
            </w:pPr>
            <w:r w:rsidRPr="00AB610A">
              <w:rPr>
                <w:lang w:val="ru-RU"/>
              </w:rPr>
              <w:t>Название</w:t>
            </w:r>
          </w:p>
        </w:tc>
        <w:tc>
          <w:tcPr>
            <w:tcW w:w="2243" w:type="dxa"/>
          </w:tcPr>
          <w:p w14:paraId="7C651600" w14:textId="77777777" w:rsidR="00A823EE" w:rsidRPr="00AB610A" w:rsidRDefault="00A823EE" w:rsidP="001844B6">
            <w:pPr>
              <w:pStyle w:val="Tablehead"/>
              <w:keepLines/>
              <w:rPr>
                <w:lang w:val="ru-RU"/>
              </w:rPr>
            </w:pPr>
            <w:r w:rsidRPr="00AB610A">
              <w:rPr>
                <w:lang w:val="ru-RU"/>
              </w:rPr>
              <w:t>Место</w:t>
            </w:r>
          </w:p>
        </w:tc>
      </w:tr>
      <w:tr w:rsidR="00A823EE" w:rsidRPr="00AB610A" w14:paraId="71C36753" w14:textId="77777777" w:rsidTr="003666F3">
        <w:tc>
          <w:tcPr>
            <w:tcW w:w="2425" w:type="dxa"/>
          </w:tcPr>
          <w:p w14:paraId="11EB93EA" w14:textId="265EA85B" w:rsidR="00A823EE" w:rsidRPr="00AB610A" w:rsidRDefault="00A823EE" w:rsidP="001844B6">
            <w:pPr>
              <w:pStyle w:val="Tabletext"/>
              <w:keepNext/>
              <w:keepLines/>
              <w:rPr>
                <w:lang w:val="ru-RU"/>
              </w:rPr>
            </w:pPr>
            <w:proofErr w:type="gramStart"/>
            <w:r w:rsidRPr="00AB610A">
              <w:rPr>
                <w:lang w:val="ru-RU"/>
              </w:rPr>
              <w:t>22−23</w:t>
            </w:r>
            <w:proofErr w:type="gramEnd"/>
            <w:r w:rsidRPr="00AB610A">
              <w:rPr>
                <w:lang w:val="ru-RU"/>
              </w:rPr>
              <w:t xml:space="preserve"> сентября 2025 г.</w:t>
            </w:r>
          </w:p>
        </w:tc>
        <w:tc>
          <w:tcPr>
            <w:tcW w:w="1440" w:type="dxa"/>
          </w:tcPr>
          <w:p w14:paraId="159643FD" w14:textId="77777777" w:rsidR="00A823EE" w:rsidRPr="00AB610A" w:rsidRDefault="00A823EE" w:rsidP="001844B6">
            <w:pPr>
              <w:pStyle w:val="Tabletext"/>
              <w:keepNext/>
              <w:keepLines/>
              <w:jc w:val="center"/>
              <w:rPr>
                <w:lang w:val="ru-RU"/>
              </w:rPr>
            </w:pPr>
            <w:r w:rsidRPr="00AB610A">
              <w:rPr>
                <w:lang w:val="ru-RU"/>
              </w:rPr>
              <w:t>МСЭ-D</w:t>
            </w:r>
          </w:p>
        </w:tc>
        <w:tc>
          <w:tcPr>
            <w:tcW w:w="2953" w:type="dxa"/>
          </w:tcPr>
          <w:p w14:paraId="40BAFB6E" w14:textId="77777777" w:rsidR="00A823EE" w:rsidRPr="00AB610A" w:rsidRDefault="00A823EE" w:rsidP="001844B6">
            <w:pPr>
              <w:pStyle w:val="Tabletext"/>
              <w:keepNext/>
              <w:keepLines/>
              <w:rPr>
                <w:lang w:val="ru-RU"/>
              </w:rPr>
            </w:pPr>
            <w:r w:rsidRPr="00AB610A">
              <w:rPr>
                <w:lang w:val="ru-RU"/>
              </w:rPr>
              <w:t>20-й Симпозиум по всемирным показателям в области электросвязи/ИКТ</w:t>
            </w:r>
          </w:p>
        </w:tc>
        <w:tc>
          <w:tcPr>
            <w:tcW w:w="2243" w:type="dxa"/>
          </w:tcPr>
          <w:p w14:paraId="604C7F7A" w14:textId="77777777" w:rsidR="00A823EE" w:rsidRPr="00AB610A" w:rsidRDefault="00A823EE" w:rsidP="001844B6">
            <w:pPr>
              <w:pStyle w:val="Tabletext"/>
              <w:keepNext/>
              <w:keepLines/>
              <w:rPr>
                <w:lang w:val="ru-RU"/>
              </w:rPr>
            </w:pPr>
            <w:r w:rsidRPr="00AB610A">
              <w:rPr>
                <w:lang w:val="ru-RU"/>
              </w:rPr>
              <w:t>Женева, Швейцария</w:t>
            </w:r>
          </w:p>
        </w:tc>
      </w:tr>
      <w:tr w:rsidR="00A823EE" w:rsidRPr="00AB610A" w14:paraId="6BD14F98" w14:textId="77777777" w:rsidTr="003666F3">
        <w:tc>
          <w:tcPr>
            <w:tcW w:w="2425" w:type="dxa"/>
          </w:tcPr>
          <w:p w14:paraId="705FCC97" w14:textId="034D152C" w:rsidR="00A823EE" w:rsidRPr="00AB610A" w:rsidRDefault="00A823EE" w:rsidP="00A823EE">
            <w:pPr>
              <w:pStyle w:val="Tabletext"/>
              <w:rPr>
                <w:lang w:val="ru-RU"/>
              </w:rPr>
            </w:pPr>
            <w:proofErr w:type="gramStart"/>
            <w:r w:rsidRPr="00AB610A">
              <w:rPr>
                <w:lang w:val="ru-RU"/>
              </w:rPr>
              <w:t>17−28</w:t>
            </w:r>
            <w:proofErr w:type="gramEnd"/>
            <w:r w:rsidRPr="00AB610A">
              <w:rPr>
                <w:lang w:val="ru-RU"/>
              </w:rPr>
              <w:t xml:space="preserve"> ноября 2025 г.</w:t>
            </w:r>
          </w:p>
        </w:tc>
        <w:tc>
          <w:tcPr>
            <w:tcW w:w="1440" w:type="dxa"/>
          </w:tcPr>
          <w:p w14:paraId="2638BD5C" w14:textId="77777777" w:rsidR="00A823EE" w:rsidRPr="00AB610A" w:rsidRDefault="00A823EE" w:rsidP="003666F3">
            <w:pPr>
              <w:pStyle w:val="Tabletext"/>
              <w:jc w:val="center"/>
              <w:rPr>
                <w:lang w:val="ru-RU"/>
              </w:rPr>
            </w:pPr>
            <w:r w:rsidRPr="00AB610A">
              <w:rPr>
                <w:lang w:val="ru-RU"/>
              </w:rPr>
              <w:t>МСЭ-D</w:t>
            </w:r>
          </w:p>
        </w:tc>
        <w:tc>
          <w:tcPr>
            <w:tcW w:w="2953" w:type="dxa"/>
          </w:tcPr>
          <w:p w14:paraId="69C539AD" w14:textId="77777777" w:rsidR="00A823EE" w:rsidRPr="00AB610A" w:rsidRDefault="00A823EE" w:rsidP="00A823EE">
            <w:pPr>
              <w:pStyle w:val="Tabletext"/>
              <w:rPr>
                <w:lang w:val="ru-RU"/>
              </w:rPr>
            </w:pPr>
            <w:r w:rsidRPr="00AB610A">
              <w:rPr>
                <w:lang w:val="ru-RU"/>
              </w:rPr>
              <w:t>Всемирная конференция по развитию электросвязи 2025 года</w:t>
            </w:r>
          </w:p>
        </w:tc>
        <w:tc>
          <w:tcPr>
            <w:tcW w:w="2243" w:type="dxa"/>
          </w:tcPr>
          <w:p w14:paraId="4E429815" w14:textId="77777777" w:rsidR="00A823EE" w:rsidRPr="00AB610A" w:rsidRDefault="00A823EE" w:rsidP="00A823EE">
            <w:pPr>
              <w:pStyle w:val="Tabletext"/>
              <w:rPr>
                <w:lang w:val="ru-RU"/>
              </w:rPr>
            </w:pPr>
            <w:r w:rsidRPr="00AB610A">
              <w:rPr>
                <w:lang w:val="ru-RU"/>
              </w:rPr>
              <w:t>Баку, Азербайджан</w:t>
            </w:r>
          </w:p>
        </w:tc>
      </w:tr>
      <w:tr w:rsidR="00A823EE" w:rsidRPr="00AB610A" w14:paraId="0EF896FA" w14:textId="77777777" w:rsidTr="003666F3">
        <w:tc>
          <w:tcPr>
            <w:tcW w:w="2425" w:type="dxa"/>
          </w:tcPr>
          <w:p w14:paraId="57E75E9F" w14:textId="6A715398" w:rsidR="00A823EE" w:rsidRPr="00AB610A" w:rsidRDefault="00A823EE" w:rsidP="00A823EE">
            <w:pPr>
              <w:pStyle w:val="Tabletext"/>
              <w:rPr>
                <w:lang w:val="ru-RU"/>
              </w:rPr>
            </w:pPr>
            <w:proofErr w:type="gramStart"/>
            <w:r w:rsidRPr="00AB610A">
              <w:rPr>
                <w:rFonts w:eastAsiaTheme="minorEastAsia"/>
                <w:lang w:val="ru-RU"/>
              </w:rPr>
              <w:t>26−30</w:t>
            </w:r>
            <w:proofErr w:type="gramEnd"/>
            <w:r w:rsidRPr="00AB610A">
              <w:rPr>
                <w:rFonts w:eastAsiaTheme="minorEastAsia"/>
                <w:lang w:val="ru-RU"/>
              </w:rPr>
              <w:t xml:space="preserve"> января 2026 г. [подлежит уточнению]</w:t>
            </w:r>
          </w:p>
        </w:tc>
        <w:tc>
          <w:tcPr>
            <w:tcW w:w="1440" w:type="dxa"/>
          </w:tcPr>
          <w:p w14:paraId="6225E2E2" w14:textId="77777777" w:rsidR="00A823EE" w:rsidRPr="00AB610A" w:rsidRDefault="00A823EE" w:rsidP="003666F3">
            <w:pPr>
              <w:pStyle w:val="Tabletext"/>
              <w:jc w:val="center"/>
              <w:rPr>
                <w:lang w:val="ru-RU"/>
              </w:rPr>
            </w:pPr>
            <w:r w:rsidRPr="00AB610A">
              <w:rPr>
                <w:lang w:val="ru-RU"/>
              </w:rPr>
              <w:t>МСЭ-Т</w:t>
            </w:r>
          </w:p>
        </w:tc>
        <w:tc>
          <w:tcPr>
            <w:tcW w:w="2953" w:type="dxa"/>
          </w:tcPr>
          <w:p w14:paraId="627DF23C" w14:textId="77777777" w:rsidR="00A823EE" w:rsidRPr="00AB610A" w:rsidRDefault="00A823EE" w:rsidP="00A823EE">
            <w:pPr>
              <w:pStyle w:val="Tabletext"/>
              <w:rPr>
                <w:lang w:val="ru-RU"/>
              </w:rPr>
            </w:pPr>
            <w:r w:rsidRPr="00AB610A">
              <w:rPr>
                <w:rFonts w:eastAsiaTheme="minorEastAsia"/>
                <w:lang w:val="ru-RU"/>
              </w:rPr>
              <w:t>Консультативная группа по стандартизации электросвязи</w:t>
            </w:r>
          </w:p>
        </w:tc>
        <w:tc>
          <w:tcPr>
            <w:tcW w:w="2243" w:type="dxa"/>
          </w:tcPr>
          <w:p w14:paraId="14C2C47C" w14:textId="77777777" w:rsidR="00A823EE" w:rsidRPr="00AB610A" w:rsidRDefault="00A823EE" w:rsidP="00A823EE">
            <w:pPr>
              <w:pStyle w:val="Tabletext"/>
              <w:rPr>
                <w:lang w:val="ru-RU"/>
              </w:rPr>
            </w:pPr>
            <w:r w:rsidRPr="00AB610A">
              <w:rPr>
                <w:lang w:val="ru-RU"/>
              </w:rPr>
              <w:t>Подлежит уточнению</w:t>
            </w:r>
          </w:p>
        </w:tc>
      </w:tr>
      <w:tr w:rsidR="00A823EE" w:rsidRPr="00AB610A" w14:paraId="0F7CBAD1" w14:textId="77777777" w:rsidTr="003666F3">
        <w:tc>
          <w:tcPr>
            <w:tcW w:w="2425" w:type="dxa"/>
          </w:tcPr>
          <w:p w14:paraId="71C4A4B2" w14:textId="1CE4D4CD" w:rsidR="00A823EE" w:rsidRPr="00AB610A" w:rsidRDefault="00A823EE" w:rsidP="00A823EE">
            <w:pPr>
              <w:pStyle w:val="Tabletext"/>
              <w:rPr>
                <w:lang w:val="ru-RU"/>
              </w:rPr>
            </w:pPr>
            <w:r w:rsidRPr="00AB610A">
              <w:rPr>
                <w:lang w:val="ru-RU"/>
              </w:rPr>
              <w:t xml:space="preserve">30 </w:t>
            </w:r>
            <w:proofErr w:type="gramStart"/>
            <w:r w:rsidRPr="00AB610A">
              <w:rPr>
                <w:lang w:val="ru-RU"/>
              </w:rPr>
              <w:t>марта − 1</w:t>
            </w:r>
            <w:proofErr w:type="gramEnd"/>
            <w:r w:rsidRPr="00AB610A">
              <w:rPr>
                <w:lang w:val="ru-RU"/>
              </w:rPr>
              <w:t xml:space="preserve"> апреля 2026 г.</w:t>
            </w:r>
          </w:p>
        </w:tc>
        <w:tc>
          <w:tcPr>
            <w:tcW w:w="1440" w:type="dxa"/>
          </w:tcPr>
          <w:p w14:paraId="1FEF437E" w14:textId="77777777" w:rsidR="00A823EE" w:rsidRPr="00AB610A" w:rsidRDefault="00A823EE" w:rsidP="003666F3">
            <w:pPr>
              <w:pStyle w:val="Tabletext"/>
              <w:jc w:val="center"/>
              <w:rPr>
                <w:lang w:val="ru-RU"/>
              </w:rPr>
            </w:pPr>
            <w:r w:rsidRPr="00AB610A">
              <w:rPr>
                <w:lang w:val="ru-RU"/>
              </w:rPr>
              <w:t>МСЭ-R</w:t>
            </w:r>
          </w:p>
        </w:tc>
        <w:tc>
          <w:tcPr>
            <w:tcW w:w="2953" w:type="dxa"/>
          </w:tcPr>
          <w:p w14:paraId="38FCF1F2" w14:textId="77777777" w:rsidR="00A823EE" w:rsidRPr="00AB610A" w:rsidRDefault="00A823EE" w:rsidP="00A823EE">
            <w:pPr>
              <w:pStyle w:val="Tabletext"/>
              <w:rPr>
                <w:lang w:val="ru-RU"/>
              </w:rPr>
            </w:pPr>
            <w:r w:rsidRPr="00AB610A">
              <w:rPr>
                <w:lang w:val="ru-RU"/>
              </w:rPr>
              <w:t>Консультативная группа по радиосвязи</w:t>
            </w:r>
          </w:p>
        </w:tc>
        <w:tc>
          <w:tcPr>
            <w:tcW w:w="2243" w:type="dxa"/>
          </w:tcPr>
          <w:p w14:paraId="5ADA9B17" w14:textId="77777777" w:rsidR="00A823EE" w:rsidRPr="00AB610A" w:rsidRDefault="00A823EE" w:rsidP="00A823EE">
            <w:pPr>
              <w:pStyle w:val="Tabletext"/>
              <w:rPr>
                <w:lang w:val="ru-RU"/>
              </w:rPr>
            </w:pPr>
            <w:r w:rsidRPr="00AB610A">
              <w:rPr>
                <w:lang w:val="ru-RU"/>
              </w:rPr>
              <w:t>Женева, Швейцария</w:t>
            </w:r>
          </w:p>
        </w:tc>
      </w:tr>
      <w:tr w:rsidR="00A823EE" w:rsidRPr="00AB610A" w14:paraId="3C3EA4D0" w14:textId="77777777" w:rsidTr="003666F3">
        <w:tc>
          <w:tcPr>
            <w:tcW w:w="2425" w:type="dxa"/>
          </w:tcPr>
          <w:p w14:paraId="3F17A843" w14:textId="5D10B0F3" w:rsidR="00A823EE" w:rsidRPr="00AB610A" w:rsidRDefault="00A823EE" w:rsidP="00A823EE">
            <w:pPr>
              <w:pStyle w:val="Tabletext"/>
              <w:rPr>
                <w:lang w:val="ru-RU"/>
              </w:rPr>
            </w:pPr>
            <w:r w:rsidRPr="00AB610A">
              <w:rPr>
                <w:lang w:val="ru-RU"/>
              </w:rPr>
              <w:t>Разные даты</w:t>
            </w:r>
          </w:p>
        </w:tc>
        <w:tc>
          <w:tcPr>
            <w:tcW w:w="1440" w:type="dxa"/>
          </w:tcPr>
          <w:p w14:paraId="099EDEFF" w14:textId="77777777" w:rsidR="00A823EE" w:rsidRPr="00AB610A" w:rsidRDefault="00A823EE" w:rsidP="003666F3">
            <w:pPr>
              <w:pStyle w:val="Tabletext"/>
              <w:jc w:val="center"/>
              <w:rPr>
                <w:lang w:val="ru-RU"/>
              </w:rPr>
            </w:pPr>
            <w:r w:rsidRPr="00AB610A">
              <w:rPr>
                <w:lang w:val="ru-RU"/>
              </w:rPr>
              <w:t>МСЭ-D</w:t>
            </w:r>
          </w:p>
        </w:tc>
        <w:tc>
          <w:tcPr>
            <w:tcW w:w="2953" w:type="dxa"/>
          </w:tcPr>
          <w:p w14:paraId="2EDD8925" w14:textId="77777777" w:rsidR="00A823EE" w:rsidRPr="00AB610A" w:rsidRDefault="00A823EE" w:rsidP="00A823EE">
            <w:pPr>
              <w:pStyle w:val="Tabletext"/>
              <w:rPr>
                <w:lang w:val="ru-RU"/>
              </w:rPr>
            </w:pPr>
            <w:r w:rsidRPr="00AB610A">
              <w:rPr>
                <w:lang w:val="ru-RU"/>
              </w:rPr>
              <w:t>Встречи региональных организаций электросвязи</w:t>
            </w:r>
          </w:p>
        </w:tc>
        <w:tc>
          <w:tcPr>
            <w:tcW w:w="2243" w:type="dxa"/>
          </w:tcPr>
          <w:p w14:paraId="03E3263D" w14:textId="77777777" w:rsidR="00A823EE" w:rsidRPr="00AB610A" w:rsidRDefault="00A823EE" w:rsidP="00A823EE">
            <w:pPr>
              <w:pStyle w:val="Tabletext"/>
              <w:rPr>
                <w:lang w:val="ru-RU"/>
              </w:rPr>
            </w:pPr>
            <w:r w:rsidRPr="00AB610A">
              <w:rPr>
                <w:lang w:val="ru-RU"/>
              </w:rPr>
              <w:t>Разные места</w:t>
            </w:r>
          </w:p>
        </w:tc>
      </w:tr>
    </w:tbl>
    <w:p w14:paraId="69E4640E" w14:textId="77777777" w:rsidR="00A823EE" w:rsidRPr="00AB610A" w:rsidRDefault="00A823EE" w:rsidP="00A823EE">
      <w:pPr>
        <w:pStyle w:val="Heading1"/>
        <w:rPr>
          <w:lang w:val="ru-RU"/>
        </w:rPr>
      </w:pPr>
      <w:r w:rsidRPr="00AB610A">
        <w:rPr>
          <w:lang w:val="ru-RU"/>
        </w:rPr>
        <w:t>5</w:t>
      </w:r>
      <w:r w:rsidRPr="00AB610A">
        <w:rPr>
          <w:lang w:val="ru-RU"/>
        </w:rPr>
        <w:tab/>
        <w:t>Процесс принятия решений</w:t>
      </w:r>
    </w:p>
    <w:p w14:paraId="79DF5D8D" w14:textId="6194CBCD" w:rsidR="00A823EE" w:rsidRPr="00AB610A" w:rsidRDefault="00A823EE" w:rsidP="001844B6">
      <w:pPr>
        <w:jc w:val="both"/>
        <w:rPr>
          <w:lang w:val="ru-RU"/>
        </w:rPr>
      </w:pPr>
      <w:r w:rsidRPr="00AB610A">
        <w:rPr>
          <w:lang w:val="ru-RU"/>
        </w:rPr>
        <w:t>Обзор будет проводиться в рамках существующей системы управления МСЭ для обеспечения прозрачности, подотчетности и институциональной ответственности. Он будет включать следующее:</w:t>
      </w:r>
    </w:p>
    <w:p w14:paraId="0914DCB7" w14:textId="50C2D552" w:rsidR="00A823EE" w:rsidRPr="00AB610A" w:rsidRDefault="00A823EE" w:rsidP="001844B6">
      <w:pPr>
        <w:pStyle w:val="enumlev1"/>
        <w:jc w:val="both"/>
        <w:rPr>
          <w:lang w:val="ru-RU"/>
        </w:rPr>
      </w:pPr>
      <w:r w:rsidRPr="00AB610A">
        <w:rPr>
          <w:lang w:val="ru-RU"/>
        </w:rPr>
        <w:t>−</w:t>
      </w:r>
      <w:r w:rsidRPr="00AB610A">
        <w:rPr>
          <w:lang w:val="ru-RU"/>
        </w:rPr>
        <w:tab/>
      </w:r>
      <w:proofErr w:type="spellStart"/>
      <w:r w:rsidR="00405948" w:rsidRPr="00AB610A">
        <w:rPr>
          <w:lang w:val="ru-RU"/>
        </w:rPr>
        <w:t>Межсекторальная</w:t>
      </w:r>
      <w:proofErr w:type="spellEnd"/>
      <w:r w:rsidRPr="00AB610A">
        <w:rPr>
          <w:lang w:val="ru-RU"/>
        </w:rPr>
        <w:t xml:space="preserve"> </w:t>
      </w:r>
      <w:r w:rsidR="00405948" w:rsidRPr="00AB610A">
        <w:rPr>
          <w:lang w:val="ru-RU"/>
        </w:rPr>
        <w:t xml:space="preserve">целевая группа по региональному присутствию </w:t>
      </w:r>
      <w:r w:rsidRPr="00AB610A">
        <w:rPr>
          <w:lang w:val="ru-RU"/>
        </w:rPr>
        <w:t>отчитывается перед Координационным комитетом.</w:t>
      </w:r>
    </w:p>
    <w:p w14:paraId="006420F1" w14:textId="5E1D4F8D" w:rsidR="00A823EE" w:rsidRPr="00AB610A" w:rsidRDefault="00A823EE" w:rsidP="001844B6">
      <w:pPr>
        <w:pStyle w:val="enumlev1"/>
        <w:jc w:val="both"/>
        <w:rPr>
          <w:lang w:val="ru-RU"/>
        </w:rPr>
      </w:pPr>
      <w:r w:rsidRPr="00AB610A">
        <w:rPr>
          <w:lang w:val="ru-RU"/>
        </w:rPr>
        <w:t>−</w:t>
      </w:r>
      <w:r w:rsidRPr="00AB610A">
        <w:rPr>
          <w:lang w:val="ru-RU"/>
        </w:rPr>
        <w:tab/>
        <w:t xml:space="preserve">Информация о ходе работы и результатах </w:t>
      </w:r>
      <w:r w:rsidR="00822F22" w:rsidRPr="00AB610A">
        <w:rPr>
          <w:lang w:val="ru-RU"/>
        </w:rPr>
        <w:t>будет предоставляться</w:t>
      </w:r>
      <w:r w:rsidR="00405948" w:rsidRPr="00AB610A">
        <w:rPr>
          <w:lang w:val="ru-RU"/>
        </w:rPr>
        <w:t xml:space="preserve"> РГС-</w:t>
      </w:r>
      <w:proofErr w:type="spellStart"/>
      <w:r w:rsidR="00405948" w:rsidRPr="00AB610A">
        <w:rPr>
          <w:lang w:val="ru-RU"/>
        </w:rPr>
        <w:t>ФЛР</w:t>
      </w:r>
      <w:proofErr w:type="spellEnd"/>
      <w:r w:rsidR="00405948" w:rsidRPr="00AB610A">
        <w:rPr>
          <w:lang w:val="ru-RU"/>
        </w:rPr>
        <w:t xml:space="preserve">, </w:t>
      </w:r>
      <w:r w:rsidR="00822F22" w:rsidRPr="00AB610A">
        <w:rPr>
          <w:lang w:val="ru-RU"/>
        </w:rPr>
        <w:t xml:space="preserve">после чего она будет </w:t>
      </w:r>
      <w:r w:rsidR="00405948" w:rsidRPr="00AB610A">
        <w:rPr>
          <w:lang w:val="ru-RU"/>
        </w:rPr>
        <w:t>рассматриваться Советом</w:t>
      </w:r>
      <w:r w:rsidR="00822F22" w:rsidRPr="00AB610A">
        <w:rPr>
          <w:lang w:val="ru-RU"/>
        </w:rPr>
        <w:t>, а затем –</w:t>
      </w:r>
      <w:r w:rsidRPr="00AB610A">
        <w:rPr>
          <w:lang w:val="ru-RU"/>
        </w:rPr>
        <w:t xml:space="preserve"> </w:t>
      </w:r>
      <w:r w:rsidR="00405948" w:rsidRPr="00AB610A">
        <w:rPr>
          <w:lang w:val="ru-RU"/>
        </w:rPr>
        <w:t>Полномочной конференцией</w:t>
      </w:r>
      <w:r w:rsidRPr="00AB610A">
        <w:rPr>
          <w:lang w:val="ru-RU"/>
        </w:rPr>
        <w:t>.</w:t>
      </w:r>
    </w:p>
    <w:p w14:paraId="1C506378" w14:textId="61113BCA" w:rsidR="00A823EE" w:rsidRPr="00AB610A" w:rsidRDefault="00A823EE" w:rsidP="001844B6">
      <w:pPr>
        <w:jc w:val="both"/>
        <w:rPr>
          <w:lang w:val="ru-RU"/>
        </w:rPr>
      </w:pPr>
      <w:r w:rsidRPr="00AB610A">
        <w:rPr>
          <w:lang w:val="ru-RU"/>
        </w:rPr>
        <w:t xml:space="preserve">Для повышения легитимности и обеспечения активного участия Государств-Членов Секретариат предлагает создать </w:t>
      </w:r>
      <w:r w:rsidRPr="00AB610A">
        <w:rPr>
          <w:b/>
          <w:bCs/>
          <w:lang w:val="ru-RU"/>
        </w:rPr>
        <w:t>Консультативную группу Государств-Членов по</w:t>
      </w:r>
      <w:r w:rsidR="00AB610A">
        <w:rPr>
          <w:b/>
          <w:bCs/>
          <w:lang w:val="ru-RU"/>
        </w:rPr>
        <w:t> </w:t>
      </w:r>
      <w:r w:rsidRPr="00AB610A">
        <w:rPr>
          <w:b/>
          <w:bCs/>
          <w:lang w:val="ru-RU"/>
        </w:rPr>
        <w:t>региональному присутствию</w:t>
      </w:r>
      <w:r w:rsidRPr="00AB610A">
        <w:rPr>
          <w:lang w:val="ru-RU"/>
        </w:rPr>
        <w:t>. Эта группа будет выполнять следующие функции:</w:t>
      </w:r>
    </w:p>
    <w:p w14:paraId="1EE4B8B6" w14:textId="0DC7B73D" w:rsidR="00822F22" w:rsidRPr="00AB610A" w:rsidRDefault="00822F22" w:rsidP="001844B6">
      <w:pPr>
        <w:pStyle w:val="enumlev1"/>
        <w:jc w:val="both"/>
        <w:rPr>
          <w:lang w:val="ru-RU"/>
        </w:rPr>
      </w:pPr>
      <w:r w:rsidRPr="00AB610A">
        <w:rPr>
          <w:lang w:val="ru-RU"/>
        </w:rPr>
        <w:t>–</w:t>
      </w:r>
      <w:r w:rsidRPr="00AB610A">
        <w:rPr>
          <w:lang w:val="ru-RU"/>
        </w:rPr>
        <w:tab/>
        <w:t>Служить платформой для взаимодействия Государств-Членов на протяжении всего обзора.</w:t>
      </w:r>
    </w:p>
    <w:p w14:paraId="5304A2A0" w14:textId="03568AB9" w:rsidR="00A823EE" w:rsidRPr="00AB610A" w:rsidRDefault="00A823EE" w:rsidP="001844B6">
      <w:pPr>
        <w:pStyle w:val="enumlev1"/>
        <w:jc w:val="both"/>
        <w:rPr>
          <w:lang w:val="ru-RU"/>
        </w:rPr>
      </w:pPr>
      <w:r w:rsidRPr="00AB610A">
        <w:rPr>
          <w:lang w:val="ru-RU"/>
        </w:rPr>
        <w:t>−</w:t>
      </w:r>
      <w:r w:rsidR="00822F22" w:rsidRPr="00AB610A">
        <w:rPr>
          <w:lang w:val="ru-RU"/>
        </w:rPr>
        <w:tab/>
        <w:t>Обеспечивать стратегическое консультирование</w:t>
      </w:r>
      <w:r w:rsidRPr="00AB610A">
        <w:rPr>
          <w:lang w:val="ru-RU"/>
        </w:rPr>
        <w:t xml:space="preserve"> и руководство на протяжении всего обзора.</w:t>
      </w:r>
    </w:p>
    <w:p w14:paraId="0E1D2264" w14:textId="0EBCFD85" w:rsidR="00822F22" w:rsidRPr="00AB610A" w:rsidRDefault="00A823EE" w:rsidP="001844B6">
      <w:pPr>
        <w:pStyle w:val="enumlev1"/>
        <w:jc w:val="both"/>
        <w:rPr>
          <w:lang w:val="ru-RU"/>
        </w:rPr>
      </w:pPr>
      <w:r w:rsidRPr="00AB610A">
        <w:rPr>
          <w:lang w:val="ru-RU"/>
        </w:rPr>
        <w:t>−</w:t>
      </w:r>
      <w:r w:rsidRPr="00AB610A">
        <w:rPr>
          <w:lang w:val="ru-RU"/>
        </w:rPr>
        <w:tab/>
        <w:t xml:space="preserve">Высказывать свои замечания по предварительным выводам. </w:t>
      </w:r>
    </w:p>
    <w:p w14:paraId="66051B34" w14:textId="3D9AB551" w:rsidR="00A823EE" w:rsidRPr="00AB610A" w:rsidRDefault="00A823EE" w:rsidP="001844B6">
      <w:pPr>
        <w:pStyle w:val="enumlev1"/>
        <w:jc w:val="both"/>
        <w:rPr>
          <w:lang w:val="ru-RU"/>
        </w:rPr>
      </w:pPr>
      <w:r w:rsidRPr="00AB610A">
        <w:rPr>
          <w:lang w:val="ru-RU"/>
        </w:rPr>
        <w:t>−</w:t>
      </w:r>
      <w:r w:rsidRPr="00AB610A">
        <w:rPr>
          <w:lang w:val="ru-RU"/>
        </w:rPr>
        <w:tab/>
        <w:t>Анализировать и подтверждать рекомендации по результатам обзора перед их представлением руководящим органам МСЭ.</w:t>
      </w:r>
    </w:p>
    <w:p w14:paraId="6CF18BB4" w14:textId="77777777" w:rsidR="00A823EE" w:rsidRPr="00AB610A" w:rsidRDefault="00A823EE" w:rsidP="001844B6">
      <w:pPr>
        <w:pStyle w:val="Heading1"/>
        <w:jc w:val="both"/>
        <w:rPr>
          <w:lang w:val="ru-RU"/>
        </w:rPr>
      </w:pPr>
      <w:r w:rsidRPr="00AB610A">
        <w:rPr>
          <w:lang w:val="ru-RU"/>
        </w:rPr>
        <w:t>6</w:t>
      </w:r>
      <w:r w:rsidRPr="00AB610A">
        <w:rPr>
          <w:lang w:val="ru-RU"/>
        </w:rPr>
        <w:tab/>
        <w:t>Потребности в ресурсах</w:t>
      </w:r>
    </w:p>
    <w:p w14:paraId="0989753A" w14:textId="3A09DA04" w:rsidR="00A823EE" w:rsidRPr="00AB610A" w:rsidRDefault="00A823EE" w:rsidP="001844B6">
      <w:pPr>
        <w:jc w:val="both"/>
        <w:rPr>
          <w:lang w:val="ru-RU"/>
        </w:rPr>
      </w:pPr>
      <w:r w:rsidRPr="00AB610A">
        <w:rPr>
          <w:lang w:val="ru-RU"/>
        </w:rPr>
        <w:t xml:space="preserve">Тщательный и обоснованный обзор требует как финансовых, так и людских ресурсов, чтобы обеспечить его всеобъемлющий характер, методологическую обоснованность и практическую осуществимость. Эти ресурсы необходимы для проведения анализа, основанного на фактических данных, и привлечения широкого круга заинтересованных сторон. Что касается необходимых ресурсов, то ожидается, что необходимо будет привлечь </w:t>
      </w:r>
      <w:r w:rsidR="001863FB" w:rsidRPr="00AB610A">
        <w:rPr>
          <w:lang w:val="ru-RU"/>
        </w:rPr>
        <w:t xml:space="preserve">подрядчика в рамках соглашения о специальных услугах </w:t>
      </w:r>
      <w:r w:rsidRPr="00AB610A">
        <w:rPr>
          <w:lang w:val="ru-RU"/>
        </w:rPr>
        <w:t>для оказания поддержки Целевой группе в проведении исследований, опросов, обобщении данных и составлении проектов документов.</w:t>
      </w:r>
    </w:p>
    <w:p w14:paraId="7C360B8A" w14:textId="77777777" w:rsidR="00796BD3" w:rsidRPr="00AB610A" w:rsidRDefault="00C462C5" w:rsidP="001844B6">
      <w:pPr>
        <w:spacing w:before="360"/>
        <w:jc w:val="center"/>
        <w:rPr>
          <w:lang w:val="ru-RU"/>
        </w:rPr>
      </w:pPr>
      <w:r w:rsidRPr="00AB610A">
        <w:rPr>
          <w:lang w:val="ru-RU"/>
        </w:rPr>
        <w:t>______________</w:t>
      </w:r>
    </w:p>
    <w:sectPr w:rsidR="00796BD3" w:rsidRPr="00AB610A" w:rsidSect="00796BD3">
      <w:footerReference w:type="default" r:id="rId7"/>
      <w:headerReference w:type="first" r:id="rId8"/>
      <w:footerReference w:type="first" r:id="rId9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04A19" w14:textId="77777777" w:rsidR="007E6C88" w:rsidRDefault="007E6C88">
      <w:r>
        <w:separator/>
      </w:r>
    </w:p>
  </w:endnote>
  <w:endnote w:type="continuationSeparator" w:id="0">
    <w:p w14:paraId="3F94147E" w14:textId="77777777" w:rsidR="007E6C88" w:rsidRDefault="007E6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5CCA7D9C" w14:textId="77777777" w:rsidTr="00E31DCE">
      <w:trPr>
        <w:jc w:val="center"/>
      </w:trPr>
      <w:tc>
        <w:tcPr>
          <w:tcW w:w="1803" w:type="dxa"/>
          <w:vAlign w:val="center"/>
        </w:tcPr>
        <w:p w14:paraId="16DFE729" w14:textId="47DB2E82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6B3DA4D" w14:textId="78A65A98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proofErr w:type="spellEnd"/>
          <w:r w:rsidRPr="00623AE3">
            <w:rPr>
              <w:bCs/>
            </w:rPr>
            <w:t>/</w:t>
          </w:r>
          <w:r w:rsidR="00A823EE">
            <w:rPr>
              <w:bCs/>
              <w:lang w:val="ru-RU"/>
            </w:rPr>
            <w:t>69</w:t>
          </w:r>
          <w:r w:rsidR="001863FB">
            <w:rPr>
              <w:bCs/>
            </w:rPr>
            <w:t>(</w:t>
          </w:r>
          <w:proofErr w:type="spellStart"/>
          <w:r w:rsidR="001863FB">
            <w:rPr>
              <w:bCs/>
            </w:rPr>
            <w:t>Rev.1</w:t>
          </w:r>
          <w:proofErr w:type="spellEnd"/>
          <w:r w:rsidR="001863FB">
            <w:rPr>
              <w:bCs/>
            </w:rPr>
            <w:t>)-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1863FB">
            <w:rPr>
              <w:noProof/>
            </w:rPr>
            <w:t>5</w:t>
          </w:r>
          <w:r>
            <w:rPr>
              <w:noProof/>
            </w:rPr>
            <w:fldChar w:fldCharType="end"/>
          </w:r>
        </w:p>
      </w:tc>
    </w:tr>
  </w:tbl>
  <w:p w14:paraId="5F41A801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2926A2F8" w14:textId="77777777" w:rsidTr="00E31DCE">
      <w:trPr>
        <w:jc w:val="center"/>
      </w:trPr>
      <w:tc>
        <w:tcPr>
          <w:tcW w:w="1803" w:type="dxa"/>
          <w:vAlign w:val="center"/>
        </w:tcPr>
        <w:p w14:paraId="49E1B31C" w14:textId="77777777" w:rsidR="00672F8A" w:rsidRDefault="00D631AA" w:rsidP="00672F8A">
          <w:pPr>
            <w:pStyle w:val="Header"/>
            <w:jc w:val="left"/>
            <w:rPr>
              <w:noProof/>
            </w:rPr>
          </w:pPr>
          <w:r w:rsidRPr="00D631AA">
            <w:rPr>
              <w:color w:val="0563C1"/>
              <w:szCs w:val="14"/>
            </w:rPr>
            <w:t>council.itu.int/2025</w:t>
          </w:r>
        </w:p>
      </w:tc>
      <w:tc>
        <w:tcPr>
          <w:tcW w:w="8261" w:type="dxa"/>
        </w:tcPr>
        <w:p w14:paraId="72A1181A" w14:textId="623DD1CC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proofErr w:type="spellEnd"/>
          <w:r w:rsidRPr="00623AE3">
            <w:rPr>
              <w:bCs/>
            </w:rPr>
            <w:t>/</w:t>
          </w:r>
          <w:r w:rsidR="00A823EE">
            <w:rPr>
              <w:bCs/>
              <w:lang w:val="ru-RU"/>
            </w:rPr>
            <w:t>69</w:t>
          </w:r>
          <w:r w:rsidR="00BE6DDD">
            <w:rPr>
              <w:bCs/>
            </w:rPr>
            <w:t>(</w:t>
          </w:r>
          <w:proofErr w:type="spellStart"/>
          <w:r w:rsidR="00BE6DDD">
            <w:rPr>
              <w:bCs/>
            </w:rPr>
            <w:t>Rev.1</w:t>
          </w:r>
          <w:proofErr w:type="spellEnd"/>
          <w:r w:rsidR="00BE6DDD">
            <w:rPr>
              <w:bCs/>
            </w:rPr>
            <w:t>)-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1863FB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4A46D1F2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41749" w14:textId="77777777" w:rsidR="007E6C88" w:rsidRDefault="007E6C88">
      <w:r>
        <w:t>____________________</w:t>
      </w:r>
    </w:p>
  </w:footnote>
  <w:footnote w:type="continuationSeparator" w:id="0">
    <w:p w14:paraId="4CF25D18" w14:textId="77777777" w:rsidR="007E6C88" w:rsidRDefault="007E6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59"/>
      <w:gridCol w:w="3661"/>
    </w:tblGrid>
    <w:tr w:rsidR="00156890" w:rsidRPr="00784011" w14:paraId="5549DBBB" w14:textId="77777777" w:rsidTr="00156890">
      <w:trPr>
        <w:trHeight w:val="1104"/>
        <w:jc w:val="center"/>
      </w:trPr>
      <w:tc>
        <w:tcPr>
          <w:tcW w:w="6359" w:type="dxa"/>
          <w:vAlign w:val="center"/>
        </w:tcPr>
        <w:p w14:paraId="7C53772A" w14:textId="77777777" w:rsidR="00156890" w:rsidRDefault="00156890" w:rsidP="00796BD3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  <w:lang w:val="ru-RU" w:eastAsia="ru-RU"/>
            </w:rPr>
            <w:drawing>
              <wp:inline distT="0" distB="0" distL="0" distR="0" wp14:anchorId="373D28D4" wp14:editId="40540CC8">
                <wp:extent cx="3901233" cy="612000"/>
                <wp:effectExtent l="0" t="0" r="0" b="0"/>
                <wp:docPr id="1838873251" name="Picture 2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8873251" name="Picture 2" descr="A black background with blue letters and numbers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1233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1" w:type="dxa"/>
        </w:tcPr>
        <w:p w14:paraId="290F9167" w14:textId="77777777" w:rsidR="00156890" w:rsidRDefault="00156890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0D7F816F" w14:textId="77777777" w:rsidR="0014229E" w:rsidRDefault="00796BD3" w:rsidP="0014229E">
    <w:pPr>
      <w:pStyle w:val="Header"/>
      <w:spacing w:after="240"/>
    </w:pPr>
    <w:r w:rsidRPr="00802C2C">
      <w:rPr>
        <w:rFonts w:ascii="Avenir Nxt2 W1G Medium" w:eastAsia="Avenir Nxt2 W1G Medium" w:hAnsi="Avenir Nxt2 W1G Medium" w:cs="Avenir Nxt2 W1G Medium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7B1E3C" wp14:editId="5543CBDF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A3198C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7266EC"/>
    <w:multiLevelType w:val="hybridMultilevel"/>
    <w:tmpl w:val="79BA3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292243">
    <w:abstractNumId w:val="0"/>
  </w:num>
  <w:num w:numId="2" w16cid:durableId="1856117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3EE"/>
    <w:rsid w:val="00005BE0"/>
    <w:rsid w:val="0002183E"/>
    <w:rsid w:val="000569B4"/>
    <w:rsid w:val="0006007D"/>
    <w:rsid w:val="00080E82"/>
    <w:rsid w:val="000B2DE7"/>
    <w:rsid w:val="000E568E"/>
    <w:rsid w:val="0014229E"/>
    <w:rsid w:val="0014734F"/>
    <w:rsid w:val="00156890"/>
    <w:rsid w:val="0015710D"/>
    <w:rsid w:val="00163A32"/>
    <w:rsid w:val="00165D06"/>
    <w:rsid w:val="001844B6"/>
    <w:rsid w:val="001863FB"/>
    <w:rsid w:val="00192B41"/>
    <w:rsid w:val="00196551"/>
    <w:rsid w:val="001B7B09"/>
    <w:rsid w:val="001E6719"/>
    <w:rsid w:val="001E7F50"/>
    <w:rsid w:val="0021551B"/>
    <w:rsid w:val="00225368"/>
    <w:rsid w:val="00227FF0"/>
    <w:rsid w:val="00291EB6"/>
    <w:rsid w:val="002C3F32"/>
    <w:rsid w:val="002D2F57"/>
    <w:rsid w:val="002D48C5"/>
    <w:rsid w:val="002E6743"/>
    <w:rsid w:val="00326C6E"/>
    <w:rsid w:val="0033025A"/>
    <w:rsid w:val="00332DD5"/>
    <w:rsid w:val="00345D2A"/>
    <w:rsid w:val="003666F3"/>
    <w:rsid w:val="003F099E"/>
    <w:rsid w:val="003F235E"/>
    <w:rsid w:val="00401FD7"/>
    <w:rsid w:val="004023E0"/>
    <w:rsid w:val="00403DD8"/>
    <w:rsid w:val="00405948"/>
    <w:rsid w:val="00442515"/>
    <w:rsid w:val="0045686C"/>
    <w:rsid w:val="00467443"/>
    <w:rsid w:val="004918C4"/>
    <w:rsid w:val="00497703"/>
    <w:rsid w:val="004A0374"/>
    <w:rsid w:val="004A45B5"/>
    <w:rsid w:val="004D0129"/>
    <w:rsid w:val="00515795"/>
    <w:rsid w:val="005A64D5"/>
    <w:rsid w:val="005B3DEC"/>
    <w:rsid w:val="00601994"/>
    <w:rsid w:val="00660449"/>
    <w:rsid w:val="00672F8A"/>
    <w:rsid w:val="006B7ACF"/>
    <w:rsid w:val="006E2D42"/>
    <w:rsid w:val="00703676"/>
    <w:rsid w:val="00707304"/>
    <w:rsid w:val="007179F8"/>
    <w:rsid w:val="00732269"/>
    <w:rsid w:val="00762555"/>
    <w:rsid w:val="0077110E"/>
    <w:rsid w:val="00785ABD"/>
    <w:rsid w:val="00796BD3"/>
    <w:rsid w:val="007A2DD4"/>
    <w:rsid w:val="007D38B5"/>
    <w:rsid w:val="007E6C88"/>
    <w:rsid w:val="007E7EA0"/>
    <w:rsid w:val="00807255"/>
    <w:rsid w:val="0081023E"/>
    <w:rsid w:val="008173AA"/>
    <w:rsid w:val="00822F22"/>
    <w:rsid w:val="00840A14"/>
    <w:rsid w:val="008B62B4"/>
    <w:rsid w:val="008D2D7B"/>
    <w:rsid w:val="008E0737"/>
    <w:rsid w:val="008E62EC"/>
    <w:rsid w:val="008F7C2C"/>
    <w:rsid w:val="00930BEA"/>
    <w:rsid w:val="00940E96"/>
    <w:rsid w:val="00950A82"/>
    <w:rsid w:val="009B0BAE"/>
    <w:rsid w:val="009C1C89"/>
    <w:rsid w:val="009F3448"/>
    <w:rsid w:val="00A01CF9"/>
    <w:rsid w:val="00A20B63"/>
    <w:rsid w:val="00A71773"/>
    <w:rsid w:val="00A823EE"/>
    <w:rsid w:val="00AB610A"/>
    <w:rsid w:val="00AE2C85"/>
    <w:rsid w:val="00AF340C"/>
    <w:rsid w:val="00B0107F"/>
    <w:rsid w:val="00B12A37"/>
    <w:rsid w:val="00B41837"/>
    <w:rsid w:val="00B63EF2"/>
    <w:rsid w:val="00BA7D89"/>
    <w:rsid w:val="00BC0D39"/>
    <w:rsid w:val="00BC7BC0"/>
    <w:rsid w:val="00BD57B7"/>
    <w:rsid w:val="00BE63E2"/>
    <w:rsid w:val="00BE6DDD"/>
    <w:rsid w:val="00C462C5"/>
    <w:rsid w:val="00C47B27"/>
    <w:rsid w:val="00CB1459"/>
    <w:rsid w:val="00CD2009"/>
    <w:rsid w:val="00CF629C"/>
    <w:rsid w:val="00D631AA"/>
    <w:rsid w:val="00D92EEA"/>
    <w:rsid w:val="00DA5D4E"/>
    <w:rsid w:val="00DA770A"/>
    <w:rsid w:val="00E05752"/>
    <w:rsid w:val="00E176BA"/>
    <w:rsid w:val="00E423EC"/>
    <w:rsid w:val="00E55121"/>
    <w:rsid w:val="00EB4FCB"/>
    <w:rsid w:val="00EC6BC5"/>
    <w:rsid w:val="00F348D0"/>
    <w:rsid w:val="00F35898"/>
    <w:rsid w:val="00F5225B"/>
    <w:rsid w:val="00FC66DC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EE83FF3"/>
  <w15:docId w15:val="{8575328D-1EB4-4BC4-85EB-BB8F527A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qFormat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1844B6"/>
    <w:rPr>
      <w:color w:val="0070C0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D631AA"/>
    <w:rPr>
      <w:color w:val="666666"/>
    </w:rPr>
  </w:style>
  <w:style w:type="character" w:customStyle="1" w:styleId="normaltextrun">
    <w:name w:val="normaltextrun"/>
    <w:basedOn w:val="DefaultParagraphFont"/>
    <w:uiPriority w:val="1"/>
    <w:rsid w:val="00A823EE"/>
    <w:rPr>
      <w:rFonts w:ascii="CG Times" w:eastAsia="Times New Roman" w:hAnsi="CG Times" w:cs="Times New Roman"/>
    </w:rPr>
  </w:style>
  <w:style w:type="paragraph" w:styleId="BalloonText">
    <w:name w:val="Balloon Text"/>
    <w:basedOn w:val="Normal"/>
    <w:link w:val="BalloonTextChar"/>
    <w:semiHidden/>
    <w:unhideWhenUsed/>
    <w:rsid w:val="00BE6DD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E6DDD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GS\PR_Council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PR_Council25.dotx</Template>
  <TotalTime>0</TotalTime>
  <Pages>5</Pages>
  <Words>1328</Words>
  <Characters>9596</Characters>
  <Application>Microsoft Office Word</Application>
  <DocSecurity>0</DocSecurity>
  <Lines>213</Lines>
  <Paragraphs>106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10828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Inception report on the review of ITU regional presence</dc:title>
  <dc:subject>ITU Council 2025</dc:subject>
  <cp:keywords>C2025, C25, Council-25</cp:keywords>
  <dc:description>Revision 1</dc:description>
  <cp:lastPrinted>2006-03-28T16:12:00Z</cp:lastPrinted>
  <dcterms:created xsi:type="dcterms:W3CDTF">2025-06-23T13:57:00Z</dcterms:created>
  <dcterms:modified xsi:type="dcterms:W3CDTF">2025-06-23T13:57:00Z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GrammarlyDocumentId">
    <vt:lpwstr>9788a1e2cff90a8b0a0b89c964e56f6e6a612f9769bc84c067c7d1a91603ee22</vt:lpwstr>
  </property>
</Properties>
</file>