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2E149" w14:textId="77777777" w:rsidR="007D4532" w:rsidRDefault="007D4532"/>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74DBD713" w14:textId="77777777" w:rsidTr="0C25FD7E">
        <w:trPr>
          <w:cantSplit/>
          <w:trHeight w:val="23"/>
        </w:trPr>
        <w:tc>
          <w:tcPr>
            <w:tcW w:w="3969" w:type="dxa"/>
            <w:vMerge w:val="restart"/>
            <w:tcMar>
              <w:left w:w="0" w:type="dxa"/>
            </w:tcMar>
          </w:tcPr>
          <w:p w14:paraId="4BDAEE7F" w14:textId="25EEB83E"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C0458D">
              <w:rPr>
                <w:b/>
              </w:rPr>
              <w:t xml:space="preserve">Agenda item: </w:t>
            </w:r>
            <w:r w:rsidR="00272B89">
              <w:rPr>
                <w:b/>
              </w:rPr>
              <w:t>ADM 1</w:t>
            </w:r>
          </w:p>
        </w:tc>
        <w:tc>
          <w:tcPr>
            <w:tcW w:w="5245" w:type="dxa"/>
          </w:tcPr>
          <w:p w14:paraId="28FC5F2C" w14:textId="58C6B491" w:rsidR="00AD3606" w:rsidRPr="00C0458D" w:rsidRDefault="007218C7" w:rsidP="00472BAD">
            <w:pPr>
              <w:tabs>
                <w:tab w:val="left" w:pos="851"/>
              </w:tabs>
              <w:spacing w:before="0" w:line="240" w:lineRule="atLeast"/>
              <w:jc w:val="right"/>
              <w:rPr>
                <w:b/>
              </w:rPr>
            </w:pPr>
            <w:r>
              <w:rPr>
                <w:b/>
              </w:rPr>
              <w:t>Revision 1 to</w:t>
            </w:r>
            <w:r>
              <w:rPr>
                <w:b/>
              </w:rPr>
              <w:br/>
            </w:r>
            <w:r w:rsidR="00AD3606" w:rsidRPr="00C0458D">
              <w:rPr>
                <w:b/>
              </w:rPr>
              <w:t>Document C2</w:t>
            </w:r>
            <w:r w:rsidR="00BF1FDE" w:rsidRPr="00C0458D">
              <w:rPr>
                <w:b/>
              </w:rPr>
              <w:t>5</w:t>
            </w:r>
            <w:r w:rsidR="00AD3606" w:rsidRPr="00C0458D">
              <w:rPr>
                <w:b/>
              </w:rPr>
              <w:t>/</w:t>
            </w:r>
            <w:r w:rsidR="007A4DD6">
              <w:rPr>
                <w:b/>
              </w:rPr>
              <w:t>69</w:t>
            </w:r>
            <w:r w:rsidR="00AD3606" w:rsidRPr="00C0458D">
              <w:rPr>
                <w:b/>
              </w:rPr>
              <w:t>-E</w:t>
            </w:r>
          </w:p>
        </w:tc>
      </w:tr>
      <w:tr w:rsidR="00AD3606" w:rsidRPr="00C0458D" w14:paraId="06515B19" w14:textId="77777777" w:rsidTr="0C25FD7E">
        <w:trPr>
          <w:cantSplit/>
        </w:trPr>
        <w:tc>
          <w:tcPr>
            <w:tcW w:w="3969" w:type="dxa"/>
            <w:vMerge/>
          </w:tcPr>
          <w:p w14:paraId="30D6E7AB"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3F825706" w14:textId="661AB2CB" w:rsidR="00AD3606" w:rsidRPr="00C0458D" w:rsidRDefault="007218C7" w:rsidP="00AD3606">
            <w:pPr>
              <w:tabs>
                <w:tab w:val="left" w:pos="851"/>
              </w:tabs>
              <w:spacing w:before="0"/>
              <w:jc w:val="right"/>
              <w:rPr>
                <w:b/>
              </w:rPr>
            </w:pPr>
            <w:r>
              <w:rPr>
                <w:b/>
              </w:rPr>
              <w:t>23 June</w:t>
            </w:r>
            <w:r w:rsidR="00AD2FC8">
              <w:rPr>
                <w:b/>
              </w:rPr>
              <w:t xml:space="preserve"> 2025</w:t>
            </w:r>
          </w:p>
        </w:tc>
      </w:tr>
      <w:tr w:rsidR="00AD3606" w:rsidRPr="00C0458D" w14:paraId="494B3B0D" w14:textId="77777777" w:rsidTr="0C25FD7E">
        <w:trPr>
          <w:cantSplit/>
          <w:trHeight w:val="23"/>
        </w:trPr>
        <w:tc>
          <w:tcPr>
            <w:tcW w:w="3969" w:type="dxa"/>
            <w:vMerge/>
          </w:tcPr>
          <w:p w14:paraId="7A20805B"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4BE91EB1"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2AFF5C4C" w14:textId="77777777" w:rsidTr="0C25FD7E">
        <w:trPr>
          <w:cantSplit/>
          <w:trHeight w:val="23"/>
        </w:trPr>
        <w:tc>
          <w:tcPr>
            <w:tcW w:w="3969" w:type="dxa"/>
          </w:tcPr>
          <w:p w14:paraId="662537E3" w14:textId="77777777" w:rsidR="00472BAD" w:rsidRPr="00C0458D" w:rsidRDefault="00472BAD" w:rsidP="00AD3606">
            <w:pPr>
              <w:tabs>
                <w:tab w:val="left" w:pos="851"/>
              </w:tabs>
              <w:spacing w:line="240" w:lineRule="atLeast"/>
              <w:rPr>
                <w:b/>
              </w:rPr>
            </w:pPr>
          </w:p>
        </w:tc>
        <w:tc>
          <w:tcPr>
            <w:tcW w:w="5245" w:type="dxa"/>
          </w:tcPr>
          <w:p w14:paraId="3CDDFB52" w14:textId="77777777" w:rsidR="00472BAD" w:rsidRPr="00C0458D" w:rsidRDefault="00472BAD" w:rsidP="00AD3606">
            <w:pPr>
              <w:tabs>
                <w:tab w:val="left" w:pos="851"/>
              </w:tabs>
              <w:spacing w:before="0" w:line="240" w:lineRule="atLeast"/>
              <w:jc w:val="right"/>
              <w:rPr>
                <w:b/>
              </w:rPr>
            </w:pPr>
          </w:p>
        </w:tc>
      </w:tr>
      <w:tr w:rsidR="00AD3606" w:rsidRPr="00C0458D" w14:paraId="74E7A62D" w14:textId="77777777" w:rsidTr="0C25FD7E">
        <w:trPr>
          <w:cantSplit/>
        </w:trPr>
        <w:tc>
          <w:tcPr>
            <w:tcW w:w="9214" w:type="dxa"/>
            <w:gridSpan w:val="2"/>
            <w:tcMar>
              <w:left w:w="0" w:type="dxa"/>
            </w:tcMar>
          </w:tcPr>
          <w:p w14:paraId="21848B7B" w14:textId="77777777" w:rsidR="00AD3606" w:rsidRPr="00C0458D" w:rsidRDefault="00AD3606" w:rsidP="00AD3606">
            <w:pPr>
              <w:pStyle w:val="Source"/>
              <w:framePr w:hSpace="0" w:wrap="auto" w:vAnchor="margin" w:hAnchor="text" w:yAlign="inline"/>
            </w:pPr>
            <w:bookmarkStart w:id="8" w:name="dsource" w:colFirst="0" w:colLast="0"/>
            <w:bookmarkEnd w:id="7"/>
            <w:r w:rsidRPr="00C0458D">
              <w:t>Report by the Secretary-General</w:t>
            </w:r>
          </w:p>
        </w:tc>
      </w:tr>
      <w:tr w:rsidR="00AD3606" w:rsidRPr="00C0458D" w14:paraId="08B211D1" w14:textId="77777777" w:rsidTr="0C25FD7E">
        <w:trPr>
          <w:cantSplit/>
        </w:trPr>
        <w:tc>
          <w:tcPr>
            <w:tcW w:w="9214" w:type="dxa"/>
            <w:gridSpan w:val="2"/>
            <w:tcMar>
              <w:left w:w="0" w:type="dxa"/>
            </w:tcMar>
          </w:tcPr>
          <w:p w14:paraId="75DF0AE6" w14:textId="77777777" w:rsidR="00AD3606" w:rsidRPr="00176F47" w:rsidRDefault="00AD2FC8" w:rsidP="00176F47">
            <w:pPr>
              <w:pStyle w:val="Subtitle"/>
              <w:framePr w:hSpace="0" w:wrap="auto" w:hAnchor="text" w:xAlign="left" w:yAlign="inline"/>
            </w:pPr>
            <w:bookmarkStart w:id="9" w:name="dtitle1" w:colFirst="0" w:colLast="0"/>
            <w:bookmarkEnd w:id="8"/>
            <w:r w:rsidRPr="007E66C3">
              <w:t>INCEPTION REPORT ON THE REVIEW OF ITU REGIONAL PRESENCE</w:t>
            </w:r>
          </w:p>
        </w:tc>
      </w:tr>
      <w:tr w:rsidR="00AD3606" w:rsidRPr="00C0458D" w14:paraId="04CEEF05" w14:textId="77777777" w:rsidTr="0C25FD7E">
        <w:trPr>
          <w:cantSplit/>
        </w:trPr>
        <w:tc>
          <w:tcPr>
            <w:tcW w:w="9214" w:type="dxa"/>
            <w:gridSpan w:val="2"/>
            <w:tcBorders>
              <w:top w:val="single" w:sz="4" w:space="0" w:color="auto"/>
              <w:bottom w:val="single" w:sz="4" w:space="0" w:color="auto"/>
            </w:tcBorders>
            <w:tcMar>
              <w:left w:w="0" w:type="dxa"/>
            </w:tcMar>
          </w:tcPr>
          <w:p w14:paraId="326246EF" w14:textId="4D42F90B" w:rsidR="00AD3606" w:rsidRPr="00C0458D" w:rsidRDefault="00F16BAB" w:rsidP="00F16BAB">
            <w:pPr>
              <w:spacing w:before="160"/>
              <w:rPr>
                <w:b/>
                <w:bCs/>
                <w:sz w:val="26"/>
                <w:szCs w:val="26"/>
              </w:rPr>
            </w:pPr>
            <w:r w:rsidRPr="2CAF11D6">
              <w:rPr>
                <w:b/>
                <w:bCs/>
                <w:sz w:val="26"/>
                <w:szCs w:val="26"/>
              </w:rPr>
              <w:t>Purpose</w:t>
            </w:r>
          </w:p>
          <w:p w14:paraId="7F4807A7" w14:textId="5AA58ADC" w:rsidR="00AD3606" w:rsidRPr="00C0458D" w:rsidRDefault="4E885681" w:rsidP="00E75227">
            <w:pPr>
              <w:jc w:val="both"/>
              <w:rPr>
                <w:rFonts w:asciiTheme="minorHAnsi" w:eastAsia="Aptos" w:hAnsiTheme="minorHAnsi" w:cstheme="minorBidi"/>
              </w:rPr>
            </w:pPr>
            <w:r w:rsidRPr="190AA22D">
              <w:rPr>
                <w:rFonts w:asciiTheme="minorHAnsi" w:eastAsia="Aptos" w:hAnsiTheme="minorHAnsi" w:cstheme="minorBidi"/>
              </w:rPr>
              <w:t>This report presents recommendations to guide the Council</w:t>
            </w:r>
            <w:r w:rsidR="005E0921">
              <w:rPr>
                <w:rFonts w:asciiTheme="minorHAnsi" w:eastAsia="Aptos" w:hAnsiTheme="minorHAnsi" w:cstheme="minorBidi"/>
              </w:rPr>
              <w:t>’</w:t>
            </w:r>
            <w:r w:rsidRPr="190AA22D">
              <w:rPr>
                <w:rFonts w:asciiTheme="minorHAnsi" w:eastAsia="Aptos" w:hAnsiTheme="minorHAnsi" w:cstheme="minorBidi"/>
              </w:rPr>
              <w:t>s deliberations on the Terms of Reference</w:t>
            </w:r>
            <w:r w:rsidR="00BE3629">
              <w:rPr>
                <w:rFonts w:asciiTheme="minorHAnsi" w:eastAsia="Aptos" w:hAnsiTheme="minorHAnsi" w:cstheme="minorBidi"/>
              </w:rPr>
              <w:t xml:space="preserve"> (ToRs)</w:t>
            </w:r>
            <w:r w:rsidRPr="190AA22D">
              <w:rPr>
                <w:rFonts w:asciiTheme="minorHAnsi" w:eastAsia="Aptos" w:hAnsiTheme="minorHAnsi" w:cstheme="minorBidi"/>
              </w:rPr>
              <w:t xml:space="preserve"> for the </w:t>
            </w:r>
            <w:r w:rsidR="00464B4F" w:rsidRPr="190AA22D">
              <w:rPr>
                <w:rFonts w:asciiTheme="minorHAnsi" w:eastAsia="Aptos" w:hAnsiTheme="minorHAnsi" w:cstheme="minorBidi"/>
              </w:rPr>
              <w:t xml:space="preserve">review </w:t>
            </w:r>
            <w:r w:rsidRPr="190AA22D">
              <w:rPr>
                <w:rFonts w:asciiTheme="minorHAnsi" w:eastAsia="Aptos" w:hAnsiTheme="minorHAnsi" w:cstheme="minorBidi"/>
              </w:rPr>
              <w:t>of the ITU</w:t>
            </w:r>
            <w:r w:rsidR="005E0921">
              <w:rPr>
                <w:rFonts w:asciiTheme="minorHAnsi" w:eastAsia="Aptos" w:hAnsiTheme="minorHAnsi" w:cstheme="minorBidi"/>
              </w:rPr>
              <w:t>’</w:t>
            </w:r>
            <w:r w:rsidRPr="190AA22D">
              <w:rPr>
                <w:rFonts w:asciiTheme="minorHAnsi" w:eastAsia="Aptos" w:hAnsiTheme="minorHAnsi" w:cstheme="minorBidi"/>
              </w:rPr>
              <w:t>s Regional Presence.</w:t>
            </w:r>
          </w:p>
          <w:p w14:paraId="095A80CA" w14:textId="77777777" w:rsidR="00AD3606" w:rsidRDefault="00AD3606" w:rsidP="00E75227">
            <w:pPr>
              <w:spacing w:before="160"/>
              <w:jc w:val="both"/>
              <w:rPr>
                <w:b/>
                <w:bCs/>
                <w:sz w:val="26"/>
                <w:szCs w:val="26"/>
              </w:rPr>
            </w:pPr>
            <w:r w:rsidRPr="00C0458D">
              <w:rPr>
                <w:b/>
                <w:bCs/>
                <w:sz w:val="26"/>
                <w:szCs w:val="26"/>
              </w:rPr>
              <w:t>Action required</w:t>
            </w:r>
            <w:r w:rsidR="00F16BAB" w:rsidRPr="00C0458D">
              <w:rPr>
                <w:b/>
                <w:bCs/>
                <w:sz w:val="26"/>
                <w:szCs w:val="26"/>
              </w:rPr>
              <w:t xml:space="preserve"> by the Council</w:t>
            </w:r>
          </w:p>
          <w:p w14:paraId="700B873E" w14:textId="50600DB6" w:rsidR="00722551" w:rsidRDefault="00BE3629" w:rsidP="00E75227">
            <w:pPr>
              <w:jc w:val="both"/>
            </w:pPr>
            <w:r>
              <w:t xml:space="preserve">The </w:t>
            </w:r>
            <w:r w:rsidR="7E38B503">
              <w:t xml:space="preserve">Council is invited </w:t>
            </w:r>
            <w:r w:rsidR="7E38B503" w:rsidRPr="007F69B3">
              <w:rPr>
                <w:b/>
                <w:bCs/>
              </w:rPr>
              <w:t>to consider</w:t>
            </w:r>
            <w:r w:rsidR="7E38B503">
              <w:t xml:space="preserve"> the report.</w:t>
            </w:r>
          </w:p>
          <w:p w14:paraId="055048C4" w14:textId="77777777" w:rsidR="00722551" w:rsidRDefault="00722551" w:rsidP="00E75227">
            <w:pPr>
              <w:spacing w:before="160"/>
              <w:jc w:val="both"/>
              <w:rPr>
                <w:b/>
                <w:bCs/>
                <w:sz w:val="26"/>
                <w:szCs w:val="26"/>
              </w:rPr>
            </w:pPr>
            <w:r>
              <w:rPr>
                <w:b/>
                <w:bCs/>
                <w:sz w:val="26"/>
                <w:szCs w:val="26"/>
              </w:rPr>
              <w:t>Relevant link</w:t>
            </w:r>
            <w:r w:rsidR="00176F47">
              <w:rPr>
                <w:b/>
                <w:bCs/>
                <w:sz w:val="26"/>
                <w:szCs w:val="26"/>
              </w:rPr>
              <w:t>(s)</w:t>
            </w:r>
            <w:r>
              <w:rPr>
                <w:b/>
                <w:bCs/>
                <w:sz w:val="26"/>
                <w:szCs w:val="26"/>
              </w:rPr>
              <w:t xml:space="preserve"> with the Strategic Plan</w:t>
            </w:r>
          </w:p>
          <w:p w14:paraId="6CDD5620" w14:textId="6802214C" w:rsidR="76BC12F6" w:rsidRDefault="004B2CD9" w:rsidP="00E75227">
            <w:pPr>
              <w:jc w:val="both"/>
            </w:pPr>
            <w:r>
              <w:t>Regional presence</w:t>
            </w:r>
            <w:r w:rsidR="00A45C2C">
              <w:t>.</w:t>
            </w:r>
          </w:p>
          <w:p w14:paraId="63685E91" w14:textId="77777777" w:rsidR="00722551" w:rsidRDefault="00722551" w:rsidP="00722551">
            <w:pPr>
              <w:spacing w:before="160"/>
              <w:rPr>
                <w:b/>
                <w:bCs/>
                <w:sz w:val="26"/>
                <w:szCs w:val="26"/>
              </w:rPr>
            </w:pPr>
            <w:r>
              <w:rPr>
                <w:b/>
                <w:bCs/>
                <w:sz w:val="26"/>
                <w:szCs w:val="26"/>
              </w:rPr>
              <w:t>Financial implications</w:t>
            </w:r>
          </w:p>
          <w:p w14:paraId="3600D916" w14:textId="54791C59" w:rsidR="00453079" w:rsidRPr="00453079" w:rsidRDefault="00A96FC8" w:rsidP="00F16BAB">
            <w:pPr>
              <w:spacing w:before="160"/>
            </w:pPr>
            <w:r>
              <w:t xml:space="preserve">No implications beyond the approved budget. </w:t>
            </w:r>
          </w:p>
          <w:p w14:paraId="5994F6DC" w14:textId="77777777" w:rsidR="00C0458D" w:rsidRDefault="00C0458D">
            <w:r>
              <w:t>_______________</w:t>
            </w:r>
          </w:p>
          <w:p w14:paraId="42CF35E8" w14:textId="77777777" w:rsidR="00AD3606" w:rsidRPr="00C0458D" w:rsidRDefault="00AD3606" w:rsidP="00F16BAB">
            <w:pPr>
              <w:spacing w:before="160"/>
              <w:rPr>
                <w:b/>
                <w:bCs/>
                <w:sz w:val="26"/>
                <w:szCs w:val="26"/>
              </w:rPr>
            </w:pPr>
            <w:r w:rsidRPr="00C0458D">
              <w:rPr>
                <w:b/>
                <w:bCs/>
                <w:sz w:val="26"/>
                <w:szCs w:val="26"/>
              </w:rPr>
              <w:t>References</w:t>
            </w:r>
          </w:p>
          <w:p w14:paraId="2253D2E9" w14:textId="2356B2FE" w:rsidR="00AD3606" w:rsidRPr="007218C7" w:rsidRDefault="00556C30" w:rsidP="00E75227">
            <w:pPr>
              <w:spacing w:after="160"/>
              <w:jc w:val="both"/>
              <w:rPr>
                <w:i/>
                <w:iCs/>
                <w:sz w:val="22"/>
                <w:szCs w:val="22"/>
              </w:rPr>
            </w:pPr>
            <w:r w:rsidRPr="007218C7">
              <w:rPr>
                <w:i/>
                <w:iCs/>
                <w:sz w:val="22"/>
                <w:szCs w:val="22"/>
              </w:rPr>
              <w:t xml:space="preserve">Resolutions </w:t>
            </w:r>
            <w:hyperlink r:id="rId11" w:tgtFrame="_blank" w:history="1">
              <w:r w:rsidRPr="007218C7">
                <w:rPr>
                  <w:rStyle w:val="Hyperlink"/>
                  <w:i/>
                  <w:iCs/>
                  <w:sz w:val="22"/>
                  <w:szCs w:val="22"/>
                </w:rPr>
                <w:t>25 (Rev. Dubai, 2018)</w:t>
              </w:r>
            </w:hyperlink>
            <w:r w:rsidRPr="007218C7">
              <w:rPr>
                <w:i/>
                <w:iCs/>
                <w:sz w:val="22"/>
                <w:szCs w:val="22"/>
              </w:rPr>
              <w:t xml:space="preserve">, </w:t>
            </w:r>
            <w:hyperlink r:id="rId12" w:tgtFrame="_blank" w:history="1">
              <w:r w:rsidRPr="007218C7">
                <w:rPr>
                  <w:rStyle w:val="Hyperlink"/>
                  <w:i/>
                  <w:iCs/>
                  <w:sz w:val="22"/>
                  <w:szCs w:val="22"/>
                </w:rPr>
                <w:t>25 (Rev. Bucharest, 2022)</w:t>
              </w:r>
            </w:hyperlink>
            <w:r w:rsidRPr="007218C7">
              <w:rPr>
                <w:i/>
                <w:iCs/>
                <w:sz w:val="22"/>
                <w:szCs w:val="22"/>
              </w:rPr>
              <w:t xml:space="preserve">, </w:t>
            </w:r>
            <w:hyperlink r:id="rId13" w:tgtFrame="_blank" w:history="1">
              <w:r w:rsidRPr="007218C7">
                <w:rPr>
                  <w:rStyle w:val="Hyperlink"/>
                  <w:i/>
                  <w:iCs/>
                  <w:sz w:val="22"/>
                  <w:szCs w:val="22"/>
                </w:rPr>
                <w:t>135 (Rev. Bucharest, 2022)</w:t>
              </w:r>
            </w:hyperlink>
            <w:r w:rsidRPr="007218C7">
              <w:rPr>
                <w:i/>
                <w:iCs/>
                <w:sz w:val="22"/>
                <w:szCs w:val="22"/>
              </w:rPr>
              <w:t xml:space="preserve"> and </w:t>
            </w:r>
            <w:hyperlink r:id="rId14" w:tgtFrame="_blank" w:history="1">
              <w:r w:rsidRPr="007218C7">
                <w:rPr>
                  <w:rStyle w:val="Hyperlink"/>
                  <w:i/>
                  <w:iCs/>
                  <w:sz w:val="22"/>
                  <w:szCs w:val="22"/>
                </w:rPr>
                <w:t>157 (Rev.</w:t>
              </w:r>
              <w:r w:rsidR="00464B4F">
                <w:rPr>
                  <w:rStyle w:val="Hyperlink"/>
                  <w:i/>
                  <w:iCs/>
                  <w:sz w:val="22"/>
                  <w:szCs w:val="22"/>
                </w:rPr>
                <w:t> </w:t>
              </w:r>
              <w:r w:rsidRPr="007218C7">
                <w:rPr>
                  <w:rStyle w:val="Hyperlink"/>
                  <w:i/>
                  <w:iCs/>
                  <w:sz w:val="22"/>
                  <w:szCs w:val="22"/>
                </w:rPr>
                <w:t>Bucharest, 2022)</w:t>
              </w:r>
            </w:hyperlink>
            <w:r w:rsidRPr="007218C7">
              <w:rPr>
                <w:i/>
                <w:iCs/>
                <w:sz w:val="22"/>
                <w:szCs w:val="22"/>
              </w:rPr>
              <w:t xml:space="preserve"> of the Plenipotentiary Conference; </w:t>
            </w:r>
            <w:hyperlink r:id="rId15" w:tgtFrame="_blank" w:history="1">
              <w:r w:rsidRPr="007218C7">
                <w:rPr>
                  <w:rStyle w:val="Hyperlink"/>
                  <w:i/>
                  <w:iCs/>
                  <w:sz w:val="22"/>
                  <w:szCs w:val="22"/>
                </w:rPr>
                <w:t>Kigali Action Plan Final Report of the World Telecommunication Development Conference (Kigali, 2022)</w:t>
              </w:r>
            </w:hyperlink>
            <w:r w:rsidR="00E75227" w:rsidRPr="007218C7">
              <w:rPr>
                <w:i/>
                <w:iCs/>
                <w:sz w:val="22"/>
                <w:szCs w:val="22"/>
              </w:rPr>
              <w:t>.</w:t>
            </w:r>
          </w:p>
        </w:tc>
      </w:tr>
    </w:tbl>
    <w:p w14:paraId="4916BE28"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bookmarkStart w:id="10" w:name="_Hlk133421428"/>
      <w:bookmarkEnd w:id="2"/>
      <w:bookmarkEnd w:id="3"/>
      <w:bookmarkEnd w:id="4"/>
      <w:bookmarkEnd w:id="9"/>
      <w:r w:rsidRPr="00C0458D">
        <w:br w:type="page"/>
      </w:r>
    </w:p>
    <w:bookmarkEnd w:id="5"/>
    <w:bookmarkEnd w:id="10"/>
    <w:p w14:paraId="0889CEDD" w14:textId="2913B621" w:rsidR="007E66C3" w:rsidRPr="000A596C" w:rsidRDefault="007E66C3" w:rsidP="000A596C">
      <w:pPr>
        <w:pStyle w:val="Heading1"/>
      </w:pPr>
      <w:r w:rsidRPr="000A596C">
        <w:lastRenderedPageBreak/>
        <w:t>1</w:t>
      </w:r>
      <w:r w:rsidRPr="000A596C">
        <w:tab/>
        <w:t>Introduction/background</w:t>
      </w:r>
    </w:p>
    <w:p w14:paraId="29D1AEF5" w14:textId="4D7F82C7" w:rsidR="007E66C3" w:rsidRPr="007E66C3" w:rsidRDefault="007E66C3" w:rsidP="00A45C2C">
      <w:pPr>
        <w:tabs>
          <w:tab w:val="clear" w:pos="567"/>
          <w:tab w:val="clear" w:pos="1134"/>
          <w:tab w:val="clear" w:pos="1701"/>
          <w:tab w:val="clear" w:pos="2268"/>
          <w:tab w:val="clear" w:pos="2835"/>
        </w:tabs>
        <w:jc w:val="both"/>
        <w:rPr>
          <w:rStyle w:val="normaltextrun"/>
          <w:rFonts w:asciiTheme="minorHAnsi" w:eastAsiaTheme="minorEastAsia" w:hAnsiTheme="minorHAnsi" w:cstheme="minorHAnsi"/>
          <w:color w:val="000000" w:themeColor="text1"/>
        </w:rPr>
      </w:pPr>
      <w:r w:rsidRPr="007E66C3">
        <w:rPr>
          <w:rStyle w:val="normaltextrun"/>
          <w:rFonts w:asciiTheme="minorHAnsi" w:eastAsiaTheme="minorEastAsia" w:hAnsiTheme="minorHAnsi" w:cstheme="minorHAnsi"/>
          <w:color w:val="000000" w:themeColor="text1"/>
        </w:rPr>
        <w:t>At its 19</w:t>
      </w:r>
      <w:r w:rsidRPr="007E66C3">
        <w:rPr>
          <w:rStyle w:val="normaltextrun"/>
          <w:rFonts w:asciiTheme="minorHAnsi" w:eastAsiaTheme="minorEastAsia" w:hAnsiTheme="minorHAnsi" w:cstheme="minorHAnsi"/>
          <w:color w:val="000000" w:themeColor="text1"/>
          <w:vertAlign w:val="superscript"/>
        </w:rPr>
        <w:t>th</w:t>
      </w:r>
      <w:r w:rsidRPr="007E66C3">
        <w:rPr>
          <w:rStyle w:val="normaltextrun"/>
          <w:rFonts w:asciiTheme="minorHAnsi" w:eastAsiaTheme="minorEastAsia" w:hAnsiTheme="minorHAnsi" w:cstheme="minorHAnsi"/>
          <w:color w:val="000000" w:themeColor="text1"/>
        </w:rPr>
        <w:t xml:space="preserve"> meeting, held from 30 September to 11 October 2024, the Council Working Group on </w:t>
      </w:r>
      <w:r w:rsidR="00E70BDE" w:rsidRPr="007E66C3">
        <w:rPr>
          <w:rStyle w:val="normaltextrun"/>
          <w:rFonts w:asciiTheme="minorHAnsi" w:eastAsiaTheme="minorEastAsia" w:hAnsiTheme="minorHAnsi" w:cstheme="minorHAnsi"/>
          <w:color w:val="000000" w:themeColor="text1"/>
        </w:rPr>
        <w:t xml:space="preserve">financial </w:t>
      </w:r>
      <w:r w:rsidRPr="007E66C3">
        <w:rPr>
          <w:rStyle w:val="normaltextrun"/>
          <w:rFonts w:asciiTheme="minorHAnsi" w:eastAsiaTheme="minorEastAsia" w:hAnsiTheme="minorHAnsi" w:cstheme="minorHAnsi"/>
          <w:color w:val="000000" w:themeColor="text1"/>
        </w:rPr>
        <w:t xml:space="preserve">and </w:t>
      </w:r>
      <w:r w:rsidR="00E70BDE" w:rsidRPr="007E66C3">
        <w:rPr>
          <w:rStyle w:val="normaltextrun"/>
          <w:rFonts w:asciiTheme="minorHAnsi" w:eastAsiaTheme="minorEastAsia" w:hAnsiTheme="minorHAnsi" w:cstheme="minorHAnsi"/>
          <w:color w:val="000000" w:themeColor="text1"/>
        </w:rPr>
        <w:t xml:space="preserve">human resources </w:t>
      </w:r>
      <w:r w:rsidRPr="007E66C3">
        <w:rPr>
          <w:rStyle w:val="normaltextrun"/>
          <w:rFonts w:asciiTheme="minorHAnsi" w:eastAsiaTheme="minorEastAsia" w:hAnsiTheme="minorHAnsi" w:cstheme="minorHAnsi"/>
          <w:color w:val="000000" w:themeColor="text1"/>
        </w:rPr>
        <w:t>(CWG-FHR) decided to establish an Online Correspondence Group (OCG) to develop Terms of Reference (ToR) for ITU</w:t>
      </w:r>
      <w:r w:rsidR="005E0921">
        <w:rPr>
          <w:rStyle w:val="normaltextrun"/>
          <w:rFonts w:asciiTheme="minorHAnsi" w:eastAsiaTheme="minorEastAsia" w:hAnsiTheme="minorHAnsi" w:cstheme="minorHAnsi"/>
          <w:color w:val="000000" w:themeColor="text1"/>
        </w:rPr>
        <w:t>’</w:t>
      </w:r>
      <w:r w:rsidRPr="007E66C3">
        <w:rPr>
          <w:rStyle w:val="normaltextrun"/>
          <w:rFonts w:asciiTheme="minorHAnsi" w:eastAsiaTheme="minorEastAsia" w:hAnsiTheme="minorHAnsi" w:cstheme="minorHAnsi"/>
          <w:color w:val="000000" w:themeColor="text1"/>
        </w:rPr>
        <w:t xml:space="preserve">s review of its regional presence, in accordance with Resolution 25, </w:t>
      </w:r>
      <w:r w:rsidR="005E0921">
        <w:rPr>
          <w:rStyle w:val="normaltextrun"/>
          <w:rFonts w:asciiTheme="minorHAnsi" w:eastAsiaTheme="minorEastAsia" w:hAnsiTheme="minorHAnsi" w:cstheme="minorHAnsi"/>
          <w:color w:val="000000" w:themeColor="text1"/>
        </w:rPr>
        <w:t>“</w:t>
      </w:r>
      <w:r w:rsidRPr="007E66C3">
        <w:rPr>
          <w:rStyle w:val="normaltextrun"/>
          <w:rFonts w:asciiTheme="minorHAnsi" w:eastAsiaTheme="minorEastAsia" w:hAnsiTheme="minorHAnsi" w:cstheme="minorHAnsi"/>
          <w:color w:val="000000" w:themeColor="text1"/>
        </w:rPr>
        <w:t xml:space="preserve">Strengthening the ITU </w:t>
      </w:r>
      <w:r w:rsidR="00B42716" w:rsidRPr="007E66C3">
        <w:rPr>
          <w:rStyle w:val="normaltextrun"/>
          <w:rFonts w:asciiTheme="minorHAnsi" w:eastAsiaTheme="minorEastAsia" w:hAnsiTheme="minorHAnsi" w:cstheme="minorHAnsi"/>
          <w:color w:val="000000" w:themeColor="text1"/>
        </w:rPr>
        <w:t>regional presence</w:t>
      </w:r>
      <w:r w:rsidR="005E0921">
        <w:rPr>
          <w:rStyle w:val="normaltextrun"/>
          <w:rFonts w:asciiTheme="minorHAnsi" w:eastAsiaTheme="minorEastAsia" w:hAnsiTheme="minorHAnsi" w:cstheme="minorHAnsi"/>
          <w:color w:val="000000" w:themeColor="text1"/>
        </w:rPr>
        <w:t>”</w:t>
      </w:r>
      <w:r w:rsidRPr="007E66C3">
        <w:rPr>
          <w:rStyle w:val="normaltextrun"/>
          <w:rFonts w:asciiTheme="minorHAnsi" w:eastAsiaTheme="minorEastAsia" w:hAnsiTheme="minorHAnsi" w:cstheme="minorHAnsi"/>
          <w:color w:val="000000" w:themeColor="text1"/>
        </w:rPr>
        <w:t xml:space="preserve"> (Rev. Bucharest, 2022). The OCG was tasked with reviewing a draft ToR presented during the 19</w:t>
      </w:r>
      <w:r w:rsidRPr="007E66C3">
        <w:rPr>
          <w:rStyle w:val="normaltextrun"/>
          <w:rFonts w:asciiTheme="minorHAnsi" w:eastAsiaTheme="minorEastAsia" w:hAnsiTheme="minorHAnsi" w:cstheme="minorHAnsi"/>
          <w:color w:val="000000" w:themeColor="text1"/>
          <w:vertAlign w:val="superscript"/>
        </w:rPr>
        <w:t>th</w:t>
      </w:r>
      <w:r w:rsidRPr="007E66C3">
        <w:rPr>
          <w:rStyle w:val="normaltextrun"/>
          <w:rFonts w:asciiTheme="minorHAnsi" w:eastAsiaTheme="minorEastAsia" w:hAnsiTheme="minorHAnsi" w:cstheme="minorHAnsi"/>
          <w:color w:val="000000" w:themeColor="text1"/>
        </w:rPr>
        <w:t xml:space="preserve"> meeting and submitting its final report to the 20</w:t>
      </w:r>
      <w:r w:rsidRPr="007E66C3">
        <w:rPr>
          <w:rStyle w:val="normaltextrun"/>
          <w:rFonts w:asciiTheme="minorHAnsi" w:eastAsiaTheme="minorEastAsia" w:hAnsiTheme="minorHAnsi" w:cstheme="minorHAnsi"/>
          <w:color w:val="000000" w:themeColor="text1"/>
          <w:vertAlign w:val="superscript"/>
        </w:rPr>
        <w:t>th</w:t>
      </w:r>
      <w:r w:rsidRPr="007E66C3">
        <w:rPr>
          <w:rStyle w:val="normaltextrun"/>
          <w:rFonts w:asciiTheme="minorHAnsi" w:eastAsiaTheme="minorEastAsia" w:hAnsiTheme="minorHAnsi" w:cstheme="minorHAnsi"/>
          <w:color w:val="000000" w:themeColor="text1"/>
        </w:rPr>
        <w:t xml:space="preserve"> meeting of the CWG-FHR.</w:t>
      </w:r>
    </w:p>
    <w:p w14:paraId="6C31A918" w14:textId="5E540EB1" w:rsidR="007E66C3" w:rsidRDefault="007E66C3" w:rsidP="00A45C2C">
      <w:pPr>
        <w:tabs>
          <w:tab w:val="clear" w:pos="567"/>
          <w:tab w:val="clear" w:pos="1134"/>
          <w:tab w:val="clear" w:pos="1701"/>
          <w:tab w:val="clear" w:pos="2268"/>
          <w:tab w:val="clear" w:pos="2835"/>
        </w:tabs>
        <w:jc w:val="both"/>
        <w:rPr>
          <w:rStyle w:val="normaltextrun"/>
          <w:rFonts w:asciiTheme="minorHAnsi" w:eastAsiaTheme="minorEastAsia" w:hAnsiTheme="minorHAnsi" w:cstheme="minorHAnsi"/>
          <w:color w:val="000000" w:themeColor="text1"/>
        </w:rPr>
      </w:pPr>
      <w:r w:rsidRPr="007E66C3">
        <w:rPr>
          <w:rStyle w:val="normaltextrun"/>
          <w:rFonts w:asciiTheme="minorHAnsi" w:eastAsiaTheme="minorEastAsia" w:hAnsiTheme="minorHAnsi" w:cstheme="minorHAnsi"/>
          <w:color w:val="000000" w:themeColor="text1"/>
        </w:rPr>
        <w:t>The 20</w:t>
      </w:r>
      <w:r w:rsidRPr="007E66C3">
        <w:rPr>
          <w:rStyle w:val="normaltextrun"/>
          <w:rFonts w:asciiTheme="minorHAnsi" w:eastAsiaTheme="minorEastAsia" w:hAnsiTheme="minorHAnsi" w:cstheme="minorHAnsi"/>
          <w:color w:val="000000" w:themeColor="text1"/>
          <w:vertAlign w:val="superscript"/>
        </w:rPr>
        <w:t>th</w:t>
      </w:r>
      <w:r w:rsidRPr="007E66C3">
        <w:rPr>
          <w:rStyle w:val="normaltextrun"/>
          <w:rFonts w:asciiTheme="minorHAnsi" w:eastAsiaTheme="minorEastAsia" w:hAnsiTheme="minorHAnsi" w:cstheme="minorHAnsi"/>
          <w:color w:val="000000" w:themeColor="text1"/>
        </w:rPr>
        <w:t xml:space="preserve"> meeting of the CWG-FHR, held from 10 to 21 February 2025, reviewed the OCG</w:t>
      </w:r>
      <w:r w:rsidR="005E0921">
        <w:rPr>
          <w:rStyle w:val="normaltextrun"/>
          <w:rFonts w:asciiTheme="minorHAnsi" w:eastAsiaTheme="minorEastAsia" w:hAnsiTheme="minorHAnsi" w:cstheme="minorHAnsi"/>
          <w:color w:val="000000" w:themeColor="text1"/>
        </w:rPr>
        <w:t>’</w:t>
      </w:r>
      <w:r w:rsidRPr="007E66C3">
        <w:rPr>
          <w:rStyle w:val="normaltextrun"/>
          <w:rFonts w:asciiTheme="minorHAnsi" w:eastAsiaTheme="minorEastAsia" w:hAnsiTheme="minorHAnsi" w:cstheme="minorHAnsi"/>
          <w:color w:val="000000" w:themeColor="text1"/>
        </w:rPr>
        <w:t>s report, which included revised ToR. The CWG-FHR subsequently considered and adopted the ToR in preparation for their consideration by the Council at its June 2025 session</w:t>
      </w:r>
      <w:r w:rsidR="00235E77">
        <w:rPr>
          <w:rStyle w:val="normaltextrun"/>
          <w:rFonts w:asciiTheme="minorHAnsi" w:eastAsiaTheme="minorEastAsia" w:hAnsiTheme="minorHAnsi" w:cstheme="minorHAnsi"/>
          <w:color w:val="000000" w:themeColor="text1"/>
        </w:rPr>
        <w:t xml:space="preserve"> (Document</w:t>
      </w:r>
      <w:r w:rsidR="007218C7">
        <w:rPr>
          <w:rStyle w:val="normaltextrun"/>
          <w:rFonts w:asciiTheme="minorHAnsi" w:eastAsiaTheme="minorEastAsia" w:hAnsiTheme="minorHAnsi" w:cstheme="minorHAnsi"/>
          <w:color w:val="000000" w:themeColor="text1"/>
        </w:rPr>
        <w:t> </w:t>
      </w:r>
      <w:hyperlink r:id="rId16" w:history="1">
        <w:r w:rsidR="00235E77" w:rsidRPr="00A1394F">
          <w:rPr>
            <w:rStyle w:val="Hyperlink"/>
            <w:rFonts w:asciiTheme="minorHAnsi" w:eastAsiaTheme="minorEastAsia" w:hAnsiTheme="minorHAnsi" w:cstheme="minorHAnsi"/>
          </w:rPr>
          <w:t>C25/50</w:t>
        </w:r>
      </w:hyperlink>
      <w:r w:rsidR="00235E77">
        <w:rPr>
          <w:rStyle w:val="normaltextrun"/>
          <w:rFonts w:asciiTheme="minorHAnsi" w:eastAsiaTheme="minorEastAsia" w:hAnsiTheme="minorHAnsi" w:cstheme="minorHAnsi"/>
          <w:color w:val="000000" w:themeColor="text1"/>
        </w:rPr>
        <w:t>)</w:t>
      </w:r>
      <w:r w:rsidRPr="007E66C3">
        <w:rPr>
          <w:rStyle w:val="normaltextrun"/>
          <w:rFonts w:asciiTheme="minorHAnsi" w:eastAsiaTheme="minorEastAsia" w:hAnsiTheme="minorHAnsi" w:cstheme="minorHAnsi"/>
          <w:color w:val="000000" w:themeColor="text1"/>
        </w:rPr>
        <w:t>.</w:t>
      </w:r>
    </w:p>
    <w:p w14:paraId="0AD5E96A" w14:textId="09FD2E95" w:rsidR="003E6159" w:rsidRPr="003E6159" w:rsidRDefault="2024CF82" w:rsidP="0C25FD7E">
      <w:pPr>
        <w:tabs>
          <w:tab w:val="clear" w:pos="567"/>
          <w:tab w:val="clear" w:pos="1134"/>
          <w:tab w:val="clear" w:pos="1701"/>
          <w:tab w:val="clear" w:pos="2268"/>
          <w:tab w:val="clear" w:pos="2835"/>
        </w:tabs>
        <w:jc w:val="both"/>
        <w:rPr>
          <w:rFonts w:asciiTheme="minorHAnsi" w:eastAsiaTheme="minorEastAsia" w:hAnsiTheme="minorHAnsi" w:cstheme="minorBidi"/>
          <w:color w:val="000000" w:themeColor="text1"/>
        </w:rPr>
      </w:pPr>
      <w:r w:rsidRPr="0C25FD7E">
        <w:rPr>
          <w:rFonts w:asciiTheme="minorHAnsi" w:eastAsiaTheme="minorEastAsia" w:hAnsiTheme="minorHAnsi" w:cstheme="minorBidi"/>
          <w:color w:val="000000" w:themeColor="text1"/>
        </w:rPr>
        <w:t xml:space="preserve">Following the adoption by the CWG-FHR of the ToR, an Inter-Sectoral Task Force was established to ensure a coordinated and strategic approach to the review. Chaired by the Deputy Secretary-General, the Task Force comprises </w:t>
      </w:r>
      <w:r w:rsidR="0B2E4E8A" w:rsidRPr="0C25FD7E">
        <w:rPr>
          <w:rFonts w:asciiTheme="minorHAnsi" w:eastAsiaTheme="minorEastAsia" w:hAnsiTheme="minorHAnsi" w:cstheme="minorBidi"/>
          <w:color w:val="000000" w:themeColor="text1"/>
        </w:rPr>
        <w:t xml:space="preserve">all </w:t>
      </w:r>
      <w:r w:rsidRPr="0C25FD7E">
        <w:rPr>
          <w:rFonts w:asciiTheme="minorHAnsi" w:eastAsiaTheme="minorEastAsia" w:hAnsiTheme="minorHAnsi" w:cstheme="minorBidi"/>
          <w:color w:val="000000" w:themeColor="text1"/>
        </w:rPr>
        <w:t>Regional Directors</w:t>
      </w:r>
      <w:r w:rsidR="00F23AFA">
        <w:rPr>
          <w:rFonts w:asciiTheme="minorHAnsi" w:eastAsiaTheme="minorEastAsia" w:hAnsiTheme="minorHAnsi" w:cstheme="minorBidi"/>
          <w:color w:val="000000" w:themeColor="text1"/>
        </w:rPr>
        <w:t>,</w:t>
      </w:r>
      <w:r w:rsidRPr="0C25FD7E">
        <w:rPr>
          <w:rFonts w:asciiTheme="minorHAnsi" w:eastAsiaTheme="minorEastAsia" w:hAnsiTheme="minorHAnsi" w:cstheme="minorBidi"/>
          <w:color w:val="000000" w:themeColor="text1"/>
        </w:rPr>
        <w:t xml:space="preserve"> </w:t>
      </w:r>
      <w:r w:rsidR="002552B3" w:rsidRPr="6D8FA35A">
        <w:rPr>
          <w:rFonts w:asciiTheme="minorHAnsi" w:eastAsiaTheme="minorEastAsia" w:hAnsiTheme="minorHAnsi" w:cstheme="minorBidi"/>
          <w:color w:val="000000" w:themeColor="text1"/>
        </w:rPr>
        <w:t>representatives from the Development Bureau, Radiocommunication Bureau and Standardization Bureau as well as the General Secretariat</w:t>
      </w:r>
      <w:r w:rsidRPr="0C25FD7E">
        <w:rPr>
          <w:rFonts w:asciiTheme="minorHAnsi" w:eastAsiaTheme="minorEastAsia" w:hAnsiTheme="minorHAnsi" w:cstheme="minorBidi"/>
          <w:color w:val="000000" w:themeColor="text1"/>
        </w:rPr>
        <w:t xml:space="preserve">. The Task Force was mandated to: </w:t>
      </w:r>
    </w:p>
    <w:p w14:paraId="4B683417" w14:textId="1C6091F6" w:rsidR="003E6159" w:rsidRPr="003E6159" w:rsidRDefault="007218C7" w:rsidP="007218C7">
      <w:pPr>
        <w:pStyle w:val="enumlev1"/>
        <w:jc w:val="both"/>
        <w:rPr>
          <w:rFonts w:eastAsiaTheme="minorEastAsia"/>
        </w:rPr>
      </w:pPr>
      <w:r>
        <w:rPr>
          <w:rFonts w:eastAsiaTheme="minorEastAsia"/>
        </w:rPr>
        <w:t>–</w:t>
      </w:r>
      <w:r>
        <w:rPr>
          <w:rFonts w:eastAsiaTheme="minorEastAsia"/>
        </w:rPr>
        <w:tab/>
      </w:r>
      <w:r w:rsidR="2024CF82" w:rsidRPr="0C25FD7E">
        <w:rPr>
          <w:rFonts w:eastAsiaTheme="minorEastAsia"/>
        </w:rPr>
        <w:t xml:space="preserve">Draft the inception report, outlining the methodology, </w:t>
      </w:r>
      <w:r w:rsidR="0044186E">
        <w:rPr>
          <w:rFonts w:eastAsiaTheme="minorEastAsia"/>
        </w:rPr>
        <w:t xml:space="preserve">structure and duration, </w:t>
      </w:r>
      <w:r w:rsidR="00FF0140">
        <w:rPr>
          <w:rFonts w:eastAsiaTheme="minorEastAsia"/>
        </w:rPr>
        <w:t xml:space="preserve">avenues for stakeholder </w:t>
      </w:r>
      <w:r w:rsidR="00FB5466">
        <w:rPr>
          <w:rFonts w:eastAsiaTheme="minorEastAsia"/>
        </w:rPr>
        <w:t>consultation</w:t>
      </w:r>
      <w:r w:rsidR="00FF0140">
        <w:rPr>
          <w:rFonts w:eastAsiaTheme="minorEastAsia"/>
        </w:rPr>
        <w:t xml:space="preserve">s, decision-making processes and </w:t>
      </w:r>
      <w:r w:rsidR="2024CF82" w:rsidRPr="0C25FD7E">
        <w:rPr>
          <w:rFonts w:eastAsiaTheme="minorEastAsia"/>
        </w:rPr>
        <w:t>resource requirements, to guide the review.</w:t>
      </w:r>
    </w:p>
    <w:p w14:paraId="77A3331D" w14:textId="6628A5AF" w:rsidR="003E6159" w:rsidRPr="003E6159" w:rsidRDefault="007218C7" w:rsidP="007218C7">
      <w:pPr>
        <w:pStyle w:val="enumlev1"/>
        <w:jc w:val="both"/>
        <w:rPr>
          <w:rFonts w:eastAsiaTheme="minorEastAsia" w:cstheme="minorHAnsi"/>
        </w:rPr>
      </w:pPr>
      <w:r>
        <w:rPr>
          <w:rFonts w:eastAsiaTheme="minorEastAsia"/>
        </w:rPr>
        <w:t>–</w:t>
      </w:r>
      <w:r>
        <w:rPr>
          <w:rFonts w:eastAsiaTheme="minorEastAsia"/>
        </w:rPr>
        <w:tab/>
      </w:r>
      <w:r w:rsidR="002552B3">
        <w:rPr>
          <w:rFonts w:eastAsiaTheme="minorEastAsia" w:cstheme="minorHAnsi"/>
        </w:rPr>
        <w:t xml:space="preserve">Undertake the review </w:t>
      </w:r>
      <w:r w:rsidR="003E6159" w:rsidRPr="003E6159">
        <w:rPr>
          <w:rFonts w:eastAsiaTheme="minorEastAsia" w:cstheme="minorHAnsi"/>
        </w:rPr>
        <w:t>in accordance with the ToR, ensuring alignment with the ITU</w:t>
      </w:r>
      <w:r w:rsidR="005E0921">
        <w:rPr>
          <w:rFonts w:eastAsiaTheme="minorEastAsia" w:cstheme="minorHAnsi"/>
        </w:rPr>
        <w:t>’</w:t>
      </w:r>
      <w:r w:rsidR="003E6159" w:rsidRPr="003E6159">
        <w:rPr>
          <w:rFonts w:eastAsiaTheme="minorEastAsia" w:cstheme="minorHAnsi"/>
        </w:rPr>
        <w:t>s strategic vision and Resolution 25.</w:t>
      </w:r>
    </w:p>
    <w:p w14:paraId="4AECDACB" w14:textId="40692828" w:rsidR="003E6159" w:rsidRPr="003E6159" w:rsidRDefault="007218C7" w:rsidP="007218C7">
      <w:pPr>
        <w:pStyle w:val="enumlev1"/>
        <w:jc w:val="both"/>
        <w:rPr>
          <w:rFonts w:eastAsiaTheme="minorEastAsia" w:cstheme="minorHAnsi"/>
        </w:rPr>
      </w:pPr>
      <w:r>
        <w:rPr>
          <w:rFonts w:eastAsiaTheme="minorEastAsia"/>
        </w:rPr>
        <w:t>–</w:t>
      </w:r>
      <w:r>
        <w:rPr>
          <w:rFonts w:eastAsiaTheme="minorEastAsia"/>
        </w:rPr>
        <w:tab/>
      </w:r>
      <w:r w:rsidR="003E6159" w:rsidRPr="003E6159">
        <w:rPr>
          <w:rFonts w:eastAsiaTheme="minorEastAsia" w:cstheme="minorHAnsi"/>
        </w:rPr>
        <w:t>Facilitate collaboration across sectors, regional offices, and key departments to ensure a comprehensive and effective assessment of the ITU</w:t>
      </w:r>
      <w:r w:rsidR="005E0921">
        <w:rPr>
          <w:rFonts w:eastAsiaTheme="minorEastAsia" w:cstheme="minorHAnsi"/>
        </w:rPr>
        <w:t>’</w:t>
      </w:r>
      <w:r w:rsidR="003E6159" w:rsidRPr="003E6159">
        <w:rPr>
          <w:rFonts w:eastAsiaTheme="minorEastAsia" w:cstheme="minorHAnsi"/>
        </w:rPr>
        <w:t>s regional presence.</w:t>
      </w:r>
    </w:p>
    <w:p w14:paraId="2263705F" w14:textId="46D493F2" w:rsidR="001016EF" w:rsidRDefault="007218C7" w:rsidP="007218C7">
      <w:pPr>
        <w:pStyle w:val="enumlev1"/>
        <w:jc w:val="both"/>
        <w:rPr>
          <w:rFonts w:eastAsiaTheme="minorEastAsia" w:cstheme="minorHAnsi"/>
        </w:rPr>
      </w:pPr>
      <w:r>
        <w:rPr>
          <w:rFonts w:eastAsiaTheme="minorEastAsia"/>
        </w:rPr>
        <w:t>–</w:t>
      </w:r>
      <w:r>
        <w:rPr>
          <w:rFonts w:eastAsiaTheme="minorEastAsia"/>
        </w:rPr>
        <w:tab/>
      </w:r>
      <w:r w:rsidR="005F5979">
        <w:rPr>
          <w:rFonts w:eastAsiaTheme="minorEastAsia" w:cstheme="minorHAnsi"/>
        </w:rPr>
        <w:t>E</w:t>
      </w:r>
      <w:r w:rsidR="005F5979" w:rsidRPr="003E6159">
        <w:rPr>
          <w:rFonts w:eastAsiaTheme="minorEastAsia" w:cstheme="minorHAnsi"/>
        </w:rPr>
        <w:t xml:space="preserve">valuate </w:t>
      </w:r>
      <w:r w:rsidR="003E6159" w:rsidRPr="003E6159">
        <w:rPr>
          <w:rFonts w:eastAsiaTheme="minorEastAsia" w:cstheme="minorHAnsi"/>
        </w:rPr>
        <w:t>findings to provide informed recommendations aimed at enhancing the efficiency and impact of the ITU</w:t>
      </w:r>
      <w:r w:rsidR="005E0921">
        <w:rPr>
          <w:rFonts w:eastAsiaTheme="minorEastAsia" w:cstheme="minorHAnsi"/>
        </w:rPr>
        <w:t>’</w:t>
      </w:r>
      <w:r w:rsidR="003E6159" w:rsidRPr="003E6159">
        <w:rPr>
          <w:rFonts w:eastAsiaTheme="minorEastAsia" w:cstheme="minorHAnsi"/>
        </w:rPr>
        <w:t>s regional operations.</w:t>
      </w:r>
    </w:p>
    <w:p w14:paraId="1AC63081" w14:textId="1D364A7E" w:rsidR="003E6159" w:rsidRPr="001016EF" w:rsidRDefault="007218C7" w:rsidP="007218C7">
      <w:pPr>
        <w:pStyle w:val="enumlev1"/>
        <w:rPr>
          <w:rStyle w:val="normaltextrun"/>
          <w:rFonts w:asciiTheme="minorHAnsi" w:eastAsiaTheme="minorEastAsia" w:hAnsiTheme="minorHAnsi" w:cstheme="minorHAnsi"/>
          <w:color w:val="000000" w:themeColor="text1"/>
        </w:rPr>
      </w:pPr>
      <w:r>
        <w:rPr>
          <w:rFonts w:eastAsiaTheme="minorEastAsia"/>
        </w:rPr>
        <w:t>–</w:t>
      </w:r>
      <w:r>
        <w:rPr>
          <w:rFonts w:eastAsiaTheme="minorEastAsia"/>
        </w:rPr>
        <w:tab/>
      </w:r>
      <w:r w:rsidR="003E6159" w:rsidRPr="001016EF">
        <w:rPr>
          <w:rFonts w:eastAsiaTheme="minorEastAsia" w:cstheme="minorHAnsi"/>
        </w:rPr>
        <w:t>Facilitate reporting to ITU governing bodies and advisory groups.</w:t>
      </w:r>
    </w:p>
    <w:p w14:paraId="1ABBF0D1" w14:textId="33A3222E" w:rsidR="00E62087" w:rsidRDefault="696B13B9" w:rsidP="0C25FD7E">
      <w:pPr>
        <w:tabs>
          <w:tab w:val="clear" w:pos="567"/>
          <w:tab w:val="clear" w:pos="1134"/>
          <w:tab w:val="clear" w:pos="1701"/>
          <w:tab w:val="clear" w:pos="2268"/>
          <w:tab w:val="clear" w:pos="2835"/>
        </w:tabs>
        <w:jc w:val="both"/>
        <w:rPr>
          <w:rFonts w:asciiTheme="minorHAnsi" w:eastAsia="Aptos" w:hAnsiTheme="minorHAnsi" w:cstheme="minorBidi"/>
        </w:rPr>
      </w:pPr>
      <w:r w:rsidRPr="0C25FD7E">
        <w:rPr>
          <w:rFonts w:asciiTheme="minorHAnsi" w:eastAsia="Aptos" w:hAnsiTheme="minorHAnsi" w:cstheme="minorBidi"/>
        </w:rPr>
        <w:t xml:space="preserve">Taking into account Article 1 and Article 21 of the ITU Constitution, Article 5 of the ITU Convention, and Resolution 25 (Rev. Bucharest, 2022), this inception report presents a set of recommendations to </w:t>
      </w:r>
      <w:r w:rsidR="34F3EA36" w:rsidRPr="0C25FD7E">
        <w:rPr>
          <w:rFonts w:asciiTheme="minorHAnsi" w:eastAsia="Aptos" w:hAnsiTheme="minorHAnsi" w:cstheme="minorBidi"/>
        </w:rPr>
        <w:t xml:space="preserve">support </w:t>
      </w:r>
      <w:r w:rsidRPr="0C25FD7E">
        <w:rPr>
          <w:rFonts w:asciiTheme="minorHAnsi" w:eastAsia="Aptos" w:hAnsiTheme="minorHAnsi" w:cstheme="minorBidi"/>
        </w:rPr>
        <w:t>the Council</w:t>
      </w:r>
      <w:r w:rsidR="4EA5ABFB" w:rsidRPr="0C25FD7E">
        <w:rPr>
          <w:rFonts w:asciiTheme="minorHAnsi" w:eastAsia="Aptos" w:hAnsiTheme="minorHAnsi" w:cstheme="minorBidi"/>
        </w:rPr>
        <w:t>’</w:t>
      </w:r>
      <w:r w:rsidRPr="0C25FD7E">
        <w:rPr>
          <w:rFonts w:asciiTheme="minorHAnsi" w:eastAsia="Aptos" w:hAnsiTheme="minorHAnsi" w:cstheme="minorBidi"/>
        </w:rPr>
        <w:t xml:space="preserve">s deliberations on the ToR. </w:t>
      </w:r>
      <w:r w:rsidR="4E2998AD" w:rsidRPr="0C25FD7E">
        <w:rPr>
          <w:rFonts w:asciiTheme="minorHAnsi" w:eastAsia="Aptos" w:hAnsiTheme="minorHAnsi" w:cstheme="minorBidi"/>
        </w:rPr>
        <w:t xml:space="preserve">The recommendations have been developed by the Inter-Sectoral Task Force on </w:t>
      </w:r>
      <w:r w:rsidR="2C4FEFA0" w:rsidRPr="0C25FD7E">
        <w:rPr>
          <w:rFonts w:asciiTheme="minorHAnsi" w:eastAsia="Aptos" w:hAnsiTheme="minorHAnsi" w:cstheme="minorBidi"/>
        </w:rPr>
        <w:t>regional presence</w:t>
      </w:r>
      <w:r w:rsidR="4E2998AD" w:rsidRPr="0C25FD7E">
        <w:rPr>
          <w:rFonts w:asciiTheme="minorHAnsi" w:eastAsia="Aptos" w:hAnsiTheme="minorHAnsi" w:cstheme="minorBidi"/>
        </w:rPr>
        <w:t>.</w:t>
      </w:r>
    </w:p>
    <w:p w14:paraId="4830F17C" w14:textId="25437D1E" w:rsidR="007E66C3" w:rsidRPr="007E66C3" w:rsidRDefault="007E66C3" w:rsidP="00A45C2C">
      <w:pPr>
        <w:tabs>
          <w:tab w:val="clear" w:pos="567"/>
          <w:tab w:val="clear" w:pos="1134"/>
          <w:tab w:val="clear" w:pos="1701"/>
          <w:tab w:val="clear" w:pos="2268"/>
          <w:tab w:val="clear" w:pos="2835"/>
        </w:tabs>
        <w:jc w:val="both"/>
        <w:rPr>
          <w:rFonts w:asciiTheme="minorHAnsi" w:eastAsia="Aptos" w:hAnsiTheme="minorHAnsi" w:cstheme="minorHAnsi"/>
        </w:rPr>
      </w:pPr>
      <w:r w:rsidRPr="007E66C3">
        <w:rPr>
          <w:rFonts w:asciiTheme="minorHAnsi" w:eastAsia="Aptos" w:hAnsiTheme="minorHAnsi" w:cstheme="minorHAnsi"/>
        </w:rPr>
        <w:t>These recommendations are intended to provide greater clarity on the review</w:t>
      </w:r>
      <w:r w:rsidR="005E0921">
        <w:rPr>
          <w:rFonts w:asciiTheme="minorHAnsi" w:eastAsia="Aptos" w:hAnsiTheme="minorHAnsi" w:cstheme="minorHAnsi"/>
        </w:rPr>
        <w:t>’</w:t>
      </w:r>
      <w:r w:rsidRPr="007E66C3">
        <w:rPr>
          <w:rFonts w:asciiTheme="minorHAnsi" w:eastAsia="Aptos" w:hAnsiTheme="minorHAnsi" w:cstheme="minorHAnsi"/>
        </w:rPr>
        <w:t xml:space="preserve">s methodology, timeline, scope, stakeholder engagement approach and resourcing requirements. </w:t>
      </w:r>
    </w:p>
    <w:p w14:paraId="18ACEDF4" w14:textId="77777777" w:rsidR="007E66C3" w:rsidRPr="007E66C3" w:rsidRDefault="007E66C3" w:rsidP="00A45C2C">
      <w:pPr>
        <w:tabs>
          <w:tab w:val="clear" w:pos="567"/>
          <w:tab w:val="clear" w:pos="1134"/>
          <w:tab w:val="clear" w:pos="1701"/>
          <w:tab w:val="clear" w:pos="2268"/>
          <w:tab w:val="clear" w:pos="2835"/>
        </w:tabs>
        <w:jc w:val="both"/>
        <w:rPr>
          <w:rFonts w:asciiTheme="minorHAnsi" w:eastAsia="Aptos" w:hAnsiTheme="minorHAnsi" w:cstheme="minorHAnsi"/>
        </w:rPr>
      </w:pPr>
      <w:r w:rsidRPr="007E66C3">
        <w:rPr>
          <w:rFonts w:asciiTheme="minorHAnsi" w:eastAsia="Aptos" w:hAnsiTheme="minorHAnsi" w:cstheme="minorHAnsi"/>
        </w:rPr>
        <w:t>The report is structured as follows:</w:t>
      </w:r>
    </w:p>
    <w:p w14:paraId="3D315D31" w14:textId="3C5F95AC" w:rsidR="007E66C3" w:rsidRPr="000A596C" w:rsidRDefault="007E66C3" w:rsidP="000A596C">
      <w:pPr>
        <w:pStyle w:val="enumlev1"/>
        <w:jc w:val="both"/>
        <w:rPr>
          <w:rFonts w:eastAsia="Aptos"/>
        </w:rPr>
      </w:pPr>
      <w:r w:rsidRPr="000A596C">
        <w:rPr>
          <w:rFonts w:eastAsia="Aptos"/>
        </w:rPr>
        <w:t>1</w:t>
      </w:r>
      <w:r w:rsidRPr="000A596C">
        <w:rPr>
          <w:rFonts w:eastAsia="Aptos"/>
        </w:rPr>
        <w:tab/>
        <w:t xml:space="preserve">Methodology of the </w:t>
      </w:r>
      <w:r w:rsidR="00E62087" w:rsidRPr="000A596C">
        <w:rPr>
          <w:rFonts w:eastAsia="Aptos"/>
        </w:rPr>
        <w:t>r</w:t>
      </w:r>
      <w:r w:rsidRPr="000A596C">
        <w:rPr>
          <w:rFonts w:eastAsia="Aptos"/>
        </w:rPr>
        <w:t xml:space="preserve">eview – outlining the framework and approach for conducting the </w:t>
      </w:r>
      <w:r w:rsidR="003627B9" w:rsidRPr="000A596C">
        <w:rPr>
          <w:rFonts w:eastAsia="Aptos"/>
        </w:rPr>
        <w:t>review</w:t>
      </w:r>
      <w:r w:rsidRPr="000A596C">
        <w:rPr>
          <w:rFonts w:eastAsia="Aptos"/>
        </w:rPr>
        <w:t>.</w:t>
      </w:r>
    </w:p>
    <w:p w14:paraId="29D0F971" w14:textId="39FDB7BC" w:rsidR="007E66C3" w:rsidRPr="000A596C" w:rsidRDefault="007E66C3" w:rsidP="000A596C">
      <w:pPr>
        <w:pStyle w:val="enumlev1"/>
        <w:jc w:val="both"/>
        <w:rPr>
          <w:rFonts w:eastAsia="Aptos"/>
        </w:rPr>
      </w:pPr>
      <w:r w:rsidRPr="000A596C">
        <w:rPr>
          <w:rFonts w:eastAsia="Aptos"/>
        </w:rPr>
        <w:t>2</w:t>
      </w:r>
      <w:r w:rsidRPr="000A596C">
        <w:rPr>
          <w:rFonts w:eastAsia="Aptos"/>
        </w:rPr>
        <w:tab/>
        <w:t xml:space="preserve">Structure and </w:t>
      </w:r>
      <w:r w:rsidR="00E62087" w:rsidRPr="000A596C">
        <w:rPr>
          <w:rFonts w:eastAsia="Aptos"/>
        </w:rPr>
        <w:t>d</w:t>
      </w:r>
      <w:r w:rsidRPr="000A596C">
        <w:rPr>
          <w:rFonts w:eastAsia="Aptos"/>
        </w:rPr>
        <w:t xml:space="preserve">uration of the </w:t>
      </w:r>
      <w:r w:rsidR="00E62087" w:rsidRPr="000A596C">
        <w:rPr>
          <w:rFonts w:eastAsia="Aptos"/>
        </w:rPr>
        <w:t>r</w:t>
      </w:r>
      <w:r w:rsidRPr="000A596C">
        <w:rPr>
          <w:rFonts w:eastAsia="Aptos"/>
        </w:rPr>
        <w:t>eview – defining the phases, milestones, and deliverables of the review process.</w:t>
      </w:r>
    </w:p>
    <w:p w14:paraId="50FE3952" w14:textId="557E6F60" w:rsidR="007E66C3" w:rsidRPr="000A596C" w:rsidRDefault="007E66C3" w:rsidP="000A596C">
      <w:pPr>
        <w:pStyle w:val="enumlev1"/>
        <w:jc w:val="both"/>
        <w:rPr>
          <w:rFonts w:eastAsia="Aptos"/>
        </w:rPr>
      </w:pPr>
      <w:r w:rsidRPr="000A596C">
        <w:rPr>
          <w:rFonts w:eastAsia="Aptos"/>
        </w:rPr>
        <w:t>3</w:t>
      </w:r>
      <w:r w:rsidRPr="000A596C">
        <w:rPr>
          <w:rFonts w:eastAsia="Aptos"/>
        </w:rPr>
        <w:tab/>
        <w:t>Stakeholder consultations – identifying potential forums for inclusive stakeholder engagement to ensure a well-rounded assessment.</w:t>
      </w:r>
    </w:p>
    <w:p w14:paraId="43E9CD64" w14:textId="6E83AC09" w:rsidR="007E66C3" w:rsidRPr="000A596C" w:rsidRDefault="007E66C3" w:rsidP="000A596C">
      <w:pPr>
        <w:pStyle w:val="enumlev1"/>
        <w:jc w:val="both"/>
        <w:rPr>
          <w:rFonts w:eastAsia="Aptos"/>
        </w:rPr>
      </w:pPr>
      <w:r w:rsidRPr="000A596C">
        <w:rPr>
          <w:rFonts w:eastAsia="Aptos"/>
        </w:rPr>
        <w:t>4</w:t>
      </w:r>
      <w:r w:rsidRPr="000A596C">
        <w:rPr>
          <w:rFonts w:eastAsia="Aptos"/>
        </w:rPr>
        <w:tab/>
        <w:t>Decision-making processes – recommending procedures for validation</w:t>
      </w:r>
      <w:r w:rsidR="0036042F" w:rsidRPr="000A596C">
        <w:rPr>
          <w:rFonts w:eastAsia="Aptos"/>
        </w:rPr>
        <w:t xml:space="preserve"> and</w:t>
      </w:r>
      <w:r w:rsidRPr="000A596C">
        <w:rPr>
          <w:rFonts w:eastAsia="Aptos"/>
        </w:rPr>
        <w:t xml:space="preserve"> approval during the </w:t>
      </w:r>
      <w:r w:rsidR="00E04CB2" w:rsidRPr="000A596C">
        <w:rPr>
          <w:rFonts w:eastAsia="Aptos"/>
        </w:rPr>
        <w:t>r</w:t>
      </w:r>
      <w:r w:rsidRPr="000A596C">
        <w:rPr>
          <w:rFonts w:eastAsia="Aptos"/>
        </w:rPr>
        <w:t xml:space="preserve">eview process. </w:t>
      </w:r>
    </w:p>
    <w:p w14:paraId="7B793D8E" w14:textId="4C6BC044" w:rsidR="007E66C3" w:rsidRPr="000A596C" w:rsidRDefault="007E66C3" w:rsidP="000A596C">
      <w:pPr>
        <w:pStyle w:val="enumlev1"/>
        <w:jc w:val="both"/>
        <w:rPr>
          <w:rFonts w:eastAsia="Aptos"/>
        </w:rPr>
      </w:pPr>
      <w:r w:rsidRPr="000A596C">
        <w:rPr>
          <w:rFonts w:eastAsia="Aptos"/>
        </w:rPr>
        <w:lastRenderedPageBreak/>
        <w:t>5</w:t>
      </w:r>
      <w:r w:rsidRPr="000A596C">
        <w:rPr>
          <w:rFonts w:eastAsia="Aptos"/>
        </w:rPr>
        <w:tab/>
      </w:r>
      <w:r w:rsidR="002328EC" w:rsidRPr="000A596C">
        <w:rPr>
          <w:rFonts w:eastAsia="Aptos"/>
        </w:rPr>
        <w:t>Resource requirements – identifying resources needed to support the effective execution of the review.</w:t>
      </w:r>
    </w:p>
    <w:p w14:paraId="753B74AE" w14:textId="3C8F8B23" w:rsidR="007E66C3" w:rsidRPr="00973596" w:rsidRDefault="007E66C3" w:rsidP="00464B4F">
      <w:pPr>
        <w:pStyle w:val="Heading1"/>
        <w:spacing w:before="240"/>
      </w:pPr>
      <w:r w:rsidRPr="00814507">
        <w:t>2</w:t>
      </w:r>
      <w:r w:rsidRPr="00814507">
        <w:tab/>
      </w:r>
      <w:r w:rsidR="00695199" w:rsidRPr="000A596C">
        <w:t>Methodology</w:t>
      </w:r>
      <w:r w:rsidR="00695199" w:rsidRPr="00973596">
        <w:t xml:space="preserve"> of the review</w:t>
      </w:r>
    </w:p>
    <w:p w14:paraId="0A027D5D" w14:textId="77777777" w:rsidR="00B67E49" w:rsidRPr="00B67E49" w:rsidRDefault="00B67E49" w:rsidP="000A596C">
      <w:pPr>
        <w:jc w:val="both"/>
      </w:pPr>
      <w:r w:rsidRPr="00B67E49">
        <w:t>The methodology outlined in the ToR forms the foundation of a rigorous and multidimensional review process. It includes:</w:t>
      </w:r>
    </w:p>
    <w:p w14:paraId="1C90000D" w14:textId="77777777" w:rsidR="00B67E49" w:rsidRPr="000A596C" w:rsidRDefault="00B67E49" w:rsidP="000A596C">
      <w:pPr>
        <w:pStyle w:val="enumlev1"/>
        <w:jc w:val="both"/>
      </w:pPr>
      <w:r w:rsidRPr="000A596C">
        <w:t>–</w:t>
      </w:r>
      <w:r w:rsidRPr="000A596C">
        <w:tab/>
        <w:t>Document analysis: A comprehensive desk review of key ITU policy documents, strategic plans, audit reports, and internal and external assessments.</w:t>
      </w:r>
    </w:p>
    <w:p w14:paraId="5B5EAD17" w14:textId="77777777" w:rsidR="00B67E49" w:rsidRPr="000A596C" w:rsidRDefault="00B67E49" w:rsidP="000A596C">
      <w:pPr>
        <w:pStyle w:val="enumlev1"/>
        <w:jc w:val="both"/>
      </w:pPr>
      <w:r w:rsidRPr="000A596C">
        <w:t>–</w:t>
      </w:r>
      <w:r w:rsidRPr="000A596C">
        <w:tab/>
        <w:t>Data analysis: In-depth examination of operational, financial, and staffing data to uncover trends, assess ITU performance, and improve opportunities.</w:t>
      </w:r>
    </w:p>
    <w:p w14:paraId="5A23384D" w14:textId="079922AB" w:rsidR="00B67E49" w:rsidRPr="000A596C" w:rsidRDefault="00B67E49" w:rsidP="000A596C">
      <w:pPr>
        <w:pStyle w:val="enumlev1"/>
        <w:jc w:val="both"/>
      </w:pPr>
      <w:r w:rsidRPr="000A596C">
        <w:t>–</w:t>
      </w:r>
      <w:r w:rsidRPr="000A596C">
        <w:tab/>
        <w:t>Stakeholder consultations: Structured engagements with internal and external stakeholders to capture diverse insights on the effectiveness of regional operations and HQ</w:t>
      </w:r>
      <w:r w:rsidR="005E0921" w:rsidRPr="000A596C">
        <w:t>’</w:t>
      </w:r>
      <w:r w:rsidRPr="000A596C">
        <w:t>s support functions</w:t>
      </w:r>
    </w:p>
    <w:p w14:paraId="1433BFDC" w14:textId="77777777" w:rsidR="00B67E49" w:rsidRPr="000A596C" w:rsidRDefault="00B67E49" w:rsidP="000A596C">
      <w:pPr>
        <w:pStyle w:val="enumlev1"/>
        <w:jc w:val="both"/>
      </w:pPr>
      <w:r w:rsidRPr="000A596C">
        <w:t>–</w:t>
      </w:r>
      <w:r w:rsidRPr="000A596C">
        <w:tab/>
        <w:t>Stakeholder surveys: Broad-based surveys targeting Member States, relevant UN agencies, and ITU memberships to assess satisfaction, challenges, and expectations.</w:t>
      </w:r>
    </w:p>
    <w:p w14:paraId="20542541" w14:textId="40ABF502" w:rsidR="00B67E49" w:rsidRPr="00B67E49" w:rsidRDefault="00B67E49" w:rsidP="000A596C">
      <w:pPr>
        <w:jc w:val="both"/>
      </w:pPr>
      <w:r w:rsidRPr="00B67E49">
        <w:t xml:space="preserve">To strengthen the analytical rigor and relevance of the review, the </w:t>
      </w:r>
      <w:r w:rsidR="00B032A7">
        <w:t>Inter-Sectoral Task Force</w:t>
      </w:r>
      <w:r w:rsidR="00B032A7" w:rsidRPr="00B67E49">
        <w:t xml:space="preserve"> </w:t>
      </w:r>
      <w:r w:rsidRPr="00B67E49">
        <w:t>further recommends the inclusion of:</w:t>
      </w:r>
    </w:p>
    <w:p w14:paraId="5725E948" w14:textId="0A926573" w:rsidR="00B67E49" w:rsidRPr="000A596C" w:rsidRDefault="00B67E49" w:rsidP="000A596C">
      <w:pPr>
        <w:pStyle w:val="enumlev1"/>
        <w:jc w:val="both"/>
      </w:pPr>
      <w:r w:rsidRPr="000A596C">
        <w:t>–</w:t>
      </w:r>
      <w:r w:rsidRPr="000A596C">
        <w:tab/>
        <w:t>Benchmarking analysis: To study of ITU</w:t>
      </w:r>
      <w:r w:rsidR="005E0921" w:rsidRPr="000A596C">
        <w:t>’</w:t>
      </w:r>
      <w:r w:rsidRPr="000A596C">
        <w:t xml:space="preserve">s </w:t>
      </w:r>
      <w:r w:rsidR="00E86B6A" w:rsidRPr="000A596C">
        <w:t xml:space="preserve">regional </w:t>
      </w:r>
      <w:r w:rsidRPr="000A596C">
        <w:t xml:space="preserve">and </w:t>
      </w:r>
      <w:r w:rsidR="00E86B6A" w:rsidRPr="000A596C">
        <w:t xml:space="preserve">area offices </w:t>
      </w:r>
      <w:r w:rsidRPr="000A596C">
        <w:t>against peer institutions in the UN system.</w:t>
      </w:r>
    </w:p>
    <w:p w14:paraId="34D43E07" w14:textId="5CCF395F" w:rsidR="007E66C3" w:rsidRPr="000A596C" w:rsidRDefault="00B67E49" w:rsidP="000A596C">
      <w:pPr>
        <w:pStyle w:val="enumlev1"/>
        <w:jc w:val="both"/>
      </w:pPr>
      <w:r w:rsidRPr="000A596C">
        <w:t>–</w:t>
      </w:r>
      <w:r w:rsidRPr="000A596C">
        <w:tab/>
        <w:t xml:space="preserve">Combined methodology: To ensure the review is evidence-based, inclusive, and strategically oriented to the evolving needs of ITU, </w:t>
      </w:r>
      <w:r w:rsidR="00511284" w:rsidRPr="000A596C">
        <w:t xml:space="preserve">in particular </w:t>
      </w:r>
      <w:r w:rsidRPr="000A596C">
        <w:t xml:space="preserve">its </w:t>
      </w:r>
      <w:r w:rsidR="005C67CC" w:rsidRPr="000A596C">
        <w:t>regional presence</w:t>
      </w:r>
      <w:r w:rsidRPr="000A596C">
        <w:t>.</w:t>
      </w:r>
    </w:p>
    <w:p w14:paraId="4D5C72C0" w14:textId="77777777" w:rsidR="007E66C3" w:rsidRPr="000A596C" w:rsidRDefault="007E66C3" w:rsidP="00464B4F">
      <w:pPr>
        <w:pStyle w:val="Heading1"/>
        <w:spacing w:before="240"/>
      </w:pPr>
      <w:r w:rsidRPr="000A596C">
        <w:t>3</w:t>
      </w:r>
      <w:r w:rsidRPr="000A596C">
        <w:tab/>
      </w:r>
      <w:r w:rsidR="005E4FC9" w:rsidRPr="000A596C">
        <w:t>Structure and duration of the review</w:t>
      </w:r>
    </w:p>
    <w:p w14:paraId="6EAB1247" w14:textId="1FE31A1E" w:rsidR="007E66C3" w:rsidRPr="00814507" w:rsidRDefault="004C62C1" w:rsidP="00A45C2C">
      <w:pPr>
        <w:tabs>
          <w:tab w:val="clear" w:pos="567"/>
          <w:tab w:val="clear" w:pos="1134"/>
          <w:tab w:val="clear" w:pos="1701"/>
          <w:tab w:val="clear" w:pos="2268"/>
          <w:tab w:val="clear" w:pos="2835"/>
        </w:tabs>
        <w:jc w:val="both"/>
        <w:rPr>
          <w:rFonts w:eastAsia="Aptos"/>
        </w:rPr>
      </w:pPr>
      <w:r w:rsidRPr="004C62C1">
        <w:rPr>
          <w:rFonts w:eastAsia="Aptos"/>
        </w:rPr>
        <w:t xml:space="preserve">The review will span </w:t>
      </w:r>
      <w:r w:rsidR="00537664" w:rsidRPr="004C62C1">
        <w:rPr>
          <w:rFonts w:eastAsia="Aptos"/>
        </w:rPr>
        <w:t>1</w:t>
      </w:r>
      <w:r w:rsidR="00537664">
        <w:rPr>
          <w:rFonts w:eastAsia="Aptos"/>
        </w:rPr>
        <w:t>0</w:t>
      </w:r>
      <w:r w:rsidR="00537664" w:rsidRPr="004C62C1">
        <w:rPr>
          <w:rFonts w:eastAsia="Aptos"/>
        </w:rPr>
        <w:t xml:space="preserve"> </w:t>
      </w:r>
      <w:r w:rsidRPr="004C62C1">
        <w:rPr>
          <w:rFonts w:eastAsia="Aptos"/>
        </w:rPr>
        <w:t>months and will be organized into four sequential phases. The sequencing and deliverables from each phase of the review are detailed below.</w:t>
      </w:r>
    </w:p>
    <w:p w14:paraId="33E92887" w14:textId="77777777" w:rsidR="007E66C3" w:rsidRPr="00814507" w:rsidRDefault="007E66C3" w:rsidP="000A596C">
      <w:pPr>
        <w:pStyle w:val="Headingb"/>
      </w:pPr>
      <w:r w:rsidRPr="00814507">
        <w:rPr>
          <w:rFonts w:eastAsia="Aptos"/>
        </w:rPr>
        <w:t xml:space="preserve">Phase 1: Preliminary </w:t>
      </w:r>
      <w:r w:rsidR="00695199" w:rsidRPr="00814507">
        <w:rPr>
          <w:rFonts w:eastAsia="Aptos"/>
        </w:rPr>
        <w:t xml:space="preserve">assessment </w:t>
      </w:r>
      <w:r w:rsidRPr="00814507">
        <w:rPr>
          <w:rFonts w:eastAsia="Aptos"/>
        </w:rPr>
        <w:t>(July – August 2025)</w:t>
      </w:r>
    </w:p>
    <w:p w14:paraId="7ACB5E60" w14:textId="1F887739" w:rsidR="00155538" w:rsidRPr="00155538" w:rsidRDefault="00155538" w:rsidP="000A596C">
      <w:r w:rsidRPr="00155538">
        <w:t>Deliverables:</w:t>
      </w:r>
    </w:p>
    <w:p w14:paraId="66F07020" w14:textId="77777777" w:rsidR="00155538" w:rsidRPr="000A596C" w:rsidRDefault="00155538" w:rsidP="000A596C">
      <w:pPr>
        <w:pStyle w:val="enumlev1"/>
        <w:jc w:val="both"/>
      </w:pPr>
      <w:r w:rsidRPr="000A596C">
        <w:t>–</w:t>
      </w:r>
      <w:r w:rsidRPr="000A596C">
        <w:tab/>
        <w:t>Formation of the review team and establishment of working protocols.</w:t>
      </w:r>
    </w:p>
    <w:p w14:paraId="310A6127" w14:textId="0C710EC3" w:rsidR="00155538" w:rsidRPr="000A596C" w:rsidRDefault="00155538" w:rsidP="000A596C">
      <w:pPr>
        <w:pStyle w:val="enumlev1"/>
        <w:jc w:val="both"/>
      </w:pPr>
      <w:r w:rsidRPr="000A596C">
        <w:t>–</w:t>
      </w:r>
      <w:r w:rsidRPr="000A596C">
        <w:tab/>
        <w:t>Articulation of the objective of the review with methodology.</w:t>
      </w:r>
    </w:p>
    <w:p w14:paraId="763DF3B9" w14:textId="77777777" w:rsidR="00155538" w:rsidRPr="000A596C" w:rsidRDefault="00155538" w:rsidP="000A596C">
      <w:pPr>
        <w:pStyle w:val="enumlev1"/>
        <w:jc w:val="both"/>
      </w:pPr>
      <w:r w:rsidRPr="000A596C">
        <w:t>–</w:t>
      </w:r>
      <w:r w:rsidRPr="000A596C">
        <w:tab/>
        <w:t>Development of tailored tools for data collection (e.g. surveys, interview questions).</w:t>
      </w:r>
    </w:p>
    <w:p w14:paraId="41BC0940" w14:textId="22A232E9" w:rsidR="00155538" w:rsidRPr="000A596C" w:rsidRDefault="00155538" w:rsidP="000A596C">
      <w:pPr>
        <w:pStyle w:val="enumlev1"/>
        <w:jc w:val="both"/>
      </w:pPr>
      <w:r w:rsidRPr="000A596C">
        <w:t>–</w:t>
      </w:r>
      <w:r w:rsidRPr="000A596C">
        <w:tab/>
        <w:t>Alignment of review metrics with ITU</w:t>
      </w:r>
      <w:r w:rsidR="005E0921" w:rsidRPr="000A596C">
        <w:t>’</w:t>
      </w:r>
      <w:r w:rsidRPr="000A596C">
        <w:t>s KPIs and strategic objectives.</w:t>
      </w:r>
    </w:p>
    <w:p w14:paraId="65BBBEA1" w14:textId="77777777" w:rsidR="00155538" w:rsidRPr="00155538" w:rsidRDefault="00155538" w:rsidP="000A596C">
      <w:pPr>
        <w:pStyle w:val="Headingb"/>
      </w:pPr>
      <w:r w:rsidRPr="00155538">
        <w:t>Phase 2: Data collection and initial analysis (September – November 2025)</w:t>
      </w:r>
    </w:p>
    <w:p w14:paraId="6E8D1348" w14:textId="77777777" w:rsidR="00155538" w:rsidRPr="00155538" w:rsidRDefault="00155538" w:rsidP="000A596C">
      <w:r w:rsidRPr="00155538">
        <w:t xml:space="preserve">Deliverables: </w:t>
      </w:r>
    </w:p>
    <w:p w14:paraId="3529A778" w14:textId="77777777" w:rsidR="00155538" w:rsidRPr="000A596C" w:rsidRDefault="00155538" w:rsidP="000A596C">
      <w:pPr>
        <w:pStyle w:val="enumlev1"/>
        <w:jc w:val="both"/>
      </w:pPr>
      <w:r w:rsidRPr="000A596C">
        <w:t>–</w:t>
      </w:r>
      <w:r w:rsidRPr="000A596C">
        <w:tab/>
        <w:t>Implementation of interviews and surveys across stakeholder groups.</w:t>
      </w:r>
    </w:p>
    <w:p w14:paraId="1A0A793E" w14:textId="5FCC85A1" w:rsidR="00155538" w:rsidRPr="000A596C" w:rsidRDefault="00155538" w:rsidP="000A596C">
      <w:pPr>
        <w:pStyle w:val="enumlev1"/>
        <w:jc w:val="both"/>
      </w:pPr>
      <w:r w:rsidRPr="000A596C">
        <w:t>–</w:t>
      </w:r>
      <w:r w:rsidRPr="000A596C">
        <w:tab/>
        <w:t>Benchmarking exercises.</w:t>
      </w:r>
    </w:p>
    <w:p w14:paraId="1EDA006A" w14:textId="77777777" w:rsidR="00155538" w:rsidRPr="000A596C" w:rsidRDefault="00155538" w:rsidP="000A596C">
      <w:pPr>
        <w:pStyle w:val="enumlev1"/>
        <w:jc w:val="both"/>
      </w:pPr>
      <w:r w:rsidRPr="000A596C">
        <w:t>–</w:t>
      </w:r>
      <w:r w:rsidRPr="000A596C">
        <w:tab/>
        <w:t>Initial analysis and identification of emerging patterns and key themes.</w:t>
      </w:r>
    </w:p>
    <w:p w14:paraId="2C4EA186" w14:textId="77777777" w:rsidR="00155538" w:rsidRPr="00155538" w:rsidRDefault="00155538" w:rsidP="000A596C">
      <w:pPr>
        <w:pStyle w:val="Headingb"/>
      </w:pPr>
      <w:r w:rsidRPr="00155538">
        <w:t>Phase 3: Detailed analysis and drafting (December 2025 – February 2026)</w:t>
      </w:r>
    </w:p>
    <w:p w14:paraId="5F97624D" w14:textId="77777777" w:rsidR="00155538" w:rsidRPr="00155538" w:rsidRDefault="00155538" w:rsidP="000A596C">
      <w:r w:rsidRPr="00155538">
        <w:t xml:space="preserve">Deliverables: </w:t>
      </w:r>
    </w:p>
    <w:p w14:paraId="4DA30EE5" w14:textId="77777777" w:rsidR="00155538" w:rsidRPr="000A596C" w:rsidRDefault="00155538" w:rsidP="000A596C">
      <w:pPr>
        <w:pStyle w:val="enumlev1"/>
        <w:jc w:val="both"/>
      </w:pPr>
      <w:r w:rsidRPr="000A596C">
        <w:t>–</w:t>
      </w:r>
      <w:r w:rsidRPr="000A596C">
        <w:tab/>
        <w:t>Comprehensive analysis of findings based on the findings and initial analysis.</w:t>
      </w:r>
    </w:p>
    <w:p w14:paraId="037F48C1" w14:textId="77777777" w:rsidR="00155538" w:rsidRPr="000A596C" w:rsidRDefault="00155538" w:rsidP="000A596C">
      <w:pPr>
        <w:pStyle w:val="enumlev1"/>
        <w:jc w:val="both"/>
      </w:pPr>
      <w:r w:rsidRPr="000A596C">
        <w:lastRenderedPageBreak/>
        <w:t>–</w:t>
      </w:r>
      <w:r w:rsidRPr="000A596C">
        <w:tab/>
        <w:t>Preparation of a draft review report including preliminary recommendations.</w:t>
      </w:r>
    </w:p>
    <w:p w14:paraId="4516B442" w14:textId="666DBE86" w:rsidR="00155538" w:rsidRPr="00155538" w:rsidRDefault="00155538" w:rsidP="000A596C">
      <w:pPr>
        <w:pStyle w:val="Headingb"/>
      </w:pPr>
      <w:r w:rsidRPr="00155538">
        <w:t xml:space="preserve">Phase 4: Validation and reporting (March – </w:t>
      </w:r>
      <w:r w:rsidR="00537664">
        <w:t>April</w:t>
      </w:r>
      <w:r w:rsidR="00537664" w:rsidRPr="00155538">
        <w:t xml:space="preserve"> </w:t>
      </w:r>
      <w:r w:rsidRPr="00155538">
        <w:t>2026)</w:t>
      </w:r>
    </w:p>
    <w:p w14:paraId="130E1EE5" w14:textId="77777777" w:rsidR="00155538" w:rsidRPr="00155538" w:rsidRDefault="00155538" w:rsidP="000A596C">
      <w:r w:rsidRPr="00155538">
        <w:t xml:space="preserve">Deliverables: </w:t>
      </w:r>
    </w:p>
    <w:p w14:paraId="1FC405A5" w14:textId="2C28172C" w:rsidR="00155538" w:rsidRPr="000A596C" w:rsidRDefault="00155538" w:rsidP="000A596C">
      <w:pPr>
        <w:pStyle w:val="enumlev1"/>
        <w:jc w:val="both"/>
      </w:pPr>
      <w:r w:rsidRPr="000A596C">
        <w:t>–</w:t>
      </w:r>
      <w:r w:rsidRPr="000A596C">
        <w:tab/>
        <w:t>Validation of draft review report.</w:t>
      </w:r>
    </w:p>
    <w:p w14:paraId="3E19453C" w14:textId="07C125CB" w:rsidR="00155538" w:rsidRPr="000A596C" w:rsidRDefault="00155538" w:rsidP="000A596C">
      <w:pPr>
        <w:pStyle w:val="enumlev1"/>
        <w:jc w:val="both"/>
      </w:pPr>
      <w:r w:rsidRPr="000A596C">
        <w:t>–</w:t>
      </w:r>
      <w:r w:rsidRPr="000A596C">
        <w:tab/>
        <w:t>Incorporation of feedback from validation.</w:t>
      </w:r>
    </w:p>
    <w:p w14:paraId="6A81F4C6" w14:textId="14D8E966" w:rsidR="00155538" w:rsidRPr="000A596C" w:rsidRDefault="00155538" w:rsidP="000A596C">
      <w:pPr>
        <w:pStyle w:val="enumlev1"/>
        <w:jc w:val="both"/>
      </w:pPr>
      <w:r w:rsidRPr="000A596C">
        <w:t>–</w:t>
      </w:r>
      <w:r w:rsidRPr="000A596C">
        <w:tab/>
        <w:t xml:space="preserve">Drafting of final review report for consideration by </w:t>
      </w:r>
      <w:r w:rsidR="0092642E" w:rsidRPr="000A596C">
        <w:t xml:space="preserve">the </w:t>
      </w:r>
      <w:r w:rsidRPr="000A596C">
        <w:t xml:space="preserve">Council and </w:t>
      </w:r>
      <w:r w:rsidR="00E87343" w:rsidRPr="000A596C">
        <w:t>the 2026 Plenipotentiary Conference (</w:t>
      </w:r>
      <w:r w:rsidRPr="000A596C">
        <w:t>PP</w:t>
      </w:r>
      <w:r w:rsidR="0092642E" w:rsidRPr="000A596C">
        <w:t>-</w:t>
      </w:r>
      <w:r w:rsidRPr="000A596C">
        <w:t>26</w:t>
      </w:r>
      <w:r w:rsidR="00E87343" w:rsidRPr="000A596C">
        <w:t>)</w:t>
      </w:r>
      <w:r w:rsidRPr="000A596C">
        <w:t>.</w:t>
      </w:r>
    </w:p>
    <w:p w14:paraId="2611C895" w14:textId="043AE9DF" w:rsidR="007E66C3" w:rsidRPr="000A596C" w:rsidRDefault="007E66C3" w:rsidP="000A596C">
      <w:pPr>
        <w:pStyle w:val="Heading1"/>
      </w:pPr>
      <w:r w:rsidRPr="000A596C">
        <w:t>4</w:t>
      </w:r>
      <w:r w:rsidRPr="000A596C">
        <w:tab/>
      </w:r>
      <w:r w:rsidR="00695199" w:rsidRPr="000A596C">
        <w:t>Stakeholder consultations</w:t>
      </w:r>
    </w:p>
    <w:p w14:paraId="1348CEC7" w14:textId="17250C91" w:rsidR="007E66C3" w:rsidRPr="00814507" w:rsidRDefault="007E66C3" w:rsidP="000A596C">
      <w:pPr>
        <w:jc w:val="both"/>
      </w:pPr>
      <w:r w:rsidRPr="00814507">
        <w:t xml:space="preserve">Stakeholder engagement will be fundamental to the success of the review, ensuring that the insights and experiences of those directly impacted by regional operations are fully reflected in the analysis. A strong consultation process will not only strengthen the outcomes of the </w:t>
      </w:r>
      <w:r w:rsidR="00F45E30" w:rsidRPr="00814507">
        <w:t xml:space="preserve">review </w:t>
      </w:r>
      <w:r w:rsidRPr="00814507">
        <w:t xml:space="preserve">but also enhance their legitimacy and sustainability. Engaging a broad range of perspectives will also help surface new perspectives, enrich the quality of the recommendations, and support a holistic assessment. </w:t>
      </w:r>
    </w:p>
    <w:p w14:paraId="6B31692E" w14:textId="789F86B1" w:rsidR="007E66C3" w:rsidRPr="00814507" w:rsidRDefault="000E2F64" w:rsidP="000A596C">
      <w:pPr>
        <w:jc w:val="both"/>
      </w:pPr>
      <w:r w:rsidRPr="000E2F64">
        <w:t xml:space="preserve">The ToR highlights key consultation groups as </w:t>
      </w:r>
      <w:r w:rsidR="004E4A75">
        <w:t>i</w:t>
      </w:r>
      <w:r w:rsidRPr="000E2F64">
        <w:t xml:space="preserve">nternal ITU </w:t>
      </w:r>
      <w:r w:rsidR="004E4A75">
        <w:t>s</w:t>
      </w:r>
      <w:r w:rsidRPr="000E2F64">
        <w:t>ecretariat (General Secretariat, Bureaux, and regional/area offices), Member States, Regional Telecommunication Organizations, Sector Members</w:t>
      </w:r>
      <w:r w:rsidR="004E4A75">
        <w:t>,</w:t>
      </w:r>
      <w:r w:rsidRPr="000E2F64">
        <w:t xml:space="preserve"> and Academia.</w:t>
      </w:r>
    </w:p>
    <w:p w14:paraId="619CEF16" w14:textId="55270F91" w:rsidR="007E66C3" w:rsidRPr="00814507" w:rsidRDefault="007E66C3" w:rsidP="000A596C">
      <w:pPr>
        <w:jc w:val="both"/>
      </w:pPr>
      <w:r w:rsidRPr="00814507">
        <w:t>Consultation tools and mechanisms will include</w:t>
      </w:r>
      <w:r>
        <w:t xml:space="preserve"> o</w:t>
      </w:r>
      <w:r w:rsidRPr="00814507">
        <w:t>nline surveys</w:t>
      </w:r>
      <w:r>
        <w:t>, s</w:t>
      </w:r>
      <w:r w:rsidRPr="00814507">
        <w:t xml:space="preserve">emi-structured interviews, </w:t>
      </w:r>
      <w:r>
        <w:t>s</w:t>
      </w:r>
      <w:r w:rsidRPr="00814507">
        <w:t>takeholder workshop</w:t>
      </w:r>
      <w:r w:rsidR="004E4A75">
        <w:t>s,</w:t>
      </w:r>
      <w:r w:rsidR="000E2F64">
        <w:t xml:space="preserve"> and</w:t>
      </w:r>
      <w:r>
        <w:t xml:space="preserve"> i</w:t>
      </w:r>
      <w:r w:rsidRPr="00814507">
        <w:t>nteractive virtual engagement</w:t>
      </w:r>
      <w:r>
        <w:t>.</w:t>
      </w:r>
    </w:p>
    <w:p w14:paraId="5C8D160D" w14:textId="35EEB7FD" w:rsidR="007E66C3" w:rsidRDefault="007E66C3" w:rsidP="000A596C">
      <w:pPr>
        <w:jc w:val="both"/>
      </w:pPr>
      <w:r w:rsidRPr="00814507">
        <w:t xml:space="preserve">The table below highlights an initial </w:t>
      </w:r>
      <w:r w:rsidR="000E2F64">
        <w:t xml:space="preserve">non-exhaustive </w:t>
      </w:r>
      <w:r w:rsidRPr="00814507">
        <w:t>list of events where stakeholders may be engaged as part of the consultation process. These events provide opportunities to gather input, validate findings, and ensure that diverse perspectives are reflected in the review. The participants to stakeholder consultations will be carefully selected for the appropriateness and relevance to the study.</w:t>
      </w:r>
    </w:p>
    <w:p w14:paraId="17909447" w14:textId="77777777" w:rsidR="00716DEC" w:rsidRDefault="00716DEC" w:rsidP="00A45C2C">
      <w:pPr>
        <w:tabs>
          <w:tab w:val="clear" w:pos="567"/>
          <w:tab w:val="clear" w:pos="1134"/>
          <w:tab w:val="clear" w:pos="1701"/>
          <w:tab w:val="clear" w:pos="2268"/>
          <w:tab w:val="clear" w:pos="2835"/>
        </w:tabs>
        <w:spacing w:before="0"/>
        <w:jc w:val="both"/>
      </w:pPr>
    </w:p>
    <w:tbl>
      <w:tblPr>
        <w:tblStyle w:val="TableGrid"/>
        <w:tblW w:w="0" w:type="auto"/>
        <w:jc w:val="center"/>
        <w:tblLook w:val="04A0" w:firstRow="1" w:lastRow="0" w:firstColumn="1" w:lastColumn="0" w:noHBand="0" w:noVBand="1"/>
      </w:tblPr>
      <w:tblGrid>
        <w:gridCol w:w="2425"/>
        <w:gridCol w:w="1539"/>
        <w:gridCol w:w="2854"/>
        <w:gridCol w:w="2243"/>
      </w:tblGrid>
      <w:tr w:rsidR="00C23C94" w14:paraId="142AABB6" w14:textId="77777777" w:rsidTr="00910907">
        <w:trPr>
          <w:cantSplit/>
          <w:jc w:val="center"/>
        </w:trPr>
        <w:tc>
          <w:tcPr>
            <w:tcW w:w="2425" w:type="dxa"/>
          </w:tcPr>
          <w:p w14:paraId="2B93E29D" w14:textId="77777777" w:rsidR="00C23C94" w:rsidRDefault="00C23C94" w:rsidP="00A45C2C">
            <w:pPr>
              <w:pStyle w:val="Tablehead"/>
            </w:pPr>
            <w:r w:rsidRPr="00814507">
              <w:t>Date</w:t>
            </w:r>
          </w:p>
        </w:tc>
        <w:tc>
          <w:tcPr>
            <w:tcW w:w="1539" w:type="dxa"/>
          </w:tcPr>
          <w:p w14:paraId="63697E78" w14:textId="77777777" w:rsidR="00C23C94" w:rsidRDefault="00C23C94" w:rsidP="00A45C2C">
            <w:pPr>
              <w:pStyle w:val="Tablehead"/>
            </w:pPr>
            <w:r w:rsidRPr="00814507">
              <w:t>Sector</w:t>
            </w:r>
          </w:p>
        </w:tc>
        <w:tc>
          <w:tcPr>
            <w:tcW w:w="2854" w:type="dxa"/>
          </w:tcPr>
          <w:p w14:paraId="6125AED6" w14:textId="77777777" w:rsidR="00C23C94" w:rsidRDefault="00C23C94" w:rsidP="00A45C2C">
            <w:pPr>
              <w:pStyle w:val="Tablehead"/>
            </w:pPr>
            <w:r w:rsidRPr="00814507">
              <w:t xml:space="preserve">Title </w:t>
            </w:r>
          </w:p>
        </w:tc>
        <w:tc>
          <w:tcPr>
            <w:tcW w:w="2243" w:type="dxa"/>
          </w:tcPr>
          <w:p w14:paraId="7DB1417F" w14:textId="77777777" w:rsidR="00C23C94" w:rsidRDefault="00C23C94" w:rsidP="00A45C2C">
            <w:pPr>
              <w:pStyle w:val="Tablehead"/>
            </w:pPr>
            <w:r w:rsidRPr="00814507">
              <w:t>Place</w:t>
            </w:r>
          </w:p>
        </w:tc>
      </w:tr>
      <w:tr w:rsidR="00C23C94" w14:paraId="0468156A" w14:textId="77777777" w:rsidTr="00910907">
        <w:trPr>
          <w:cantSplit/>
          <w:jc w:val="center"/>
        </w:trPr>
        <w:tc>
          <w:tcPr>
            <w:tcW w:w="2425" w:type="dxa"/>
          </w:tcPr>
          <w:p w14:paraId="626AAAF2" w14:textId="50A43C16" w:rsidR="00C23C94" w:rsidRDefault="00C23C94" w:rsidP="00A45C2C">
            <w:pPr>
              <w:pStyle w:val="Tabletext"/>
            </w:pPr>
            <w:r w:rsidRPr="000B04B1">
              <w:t>22–23 Sep</w:t>
            </w:r>
            <w:r w:rsidR="00E87343">
              <w:t>tember</w:t>
            </w:r>
            <w:r w:rsidRPr="000B04B1">
              <w:t xml:space="preserve"> 2025</w:t>
            </w:r>
          </w:p>
        </w:tc>
        <w:tc>
          <w:tcPr>
            <w:tcW w:w="1539" w:type="dxa"/>
          </w:tcPr>
          <w:p w14:paraId="312CE0E1" w14:textId="77777777" w:rsidR="00C23C94" w:rsidRDefault="00C23C94" w:rsidP="00A45C2C">
            <w:pPr>
              <w:pStyle w:val="Tabletext"/>
              <w:jc w:val="center"/>
            </w:pPr>
            <w:r w:rsidRPr="00814507">
              <w:t>ITU-D</w:t>
            </w:r>
          </w:p>
        </w:tc>
        <w:tc>
          <w:tcPr>
            <w:tcW w:w="2854" w:type="dxa"/>
          </w:tcPr>
          <w:p w14:paraId="21BBDED9" w14:textId="09E335D8" w:rsidR="00C23C94" w:rsidRDefault="00C23C94" w:rsidP="00A45C2C">
            <w:pPr>
              <w:pStyle w:val="Tabletext"/>
            </w:pPr>
            <w:r w:rsidRPr="000B04B1">
              <w:t>20</w:t>
            </w:r>
            <w:r w:rsidRPr="00814507">
              <w:rPr>
                <w:vertAlign w:val="superscript"/>
              </w:rPr>
              <w:t>th</w:t>
            </w:r>
            <w:r w:rsidRPr="00814507">
              <w:t xml:space="preserve"> World Telecommunication/ICT Indicators </w:t>
            </w:r>
            <w:r w:rsidRPr="000B04B1">
              <w:t>Symposium</w:t>
            </w:r>
          </w:p>
        </w:tc>
        <w:tc>
          <w:tcPr>
            <w:tcW w:w="2243" w:type="dxa"/>
          </w:tcPr>
          <w:p w14:paraId="3F60ECC5" w14:textId="77777777" w:rsidR="00C23C94" w:rsidRDefault="00C23C94" w:rsidP="00A45C2C">
            <w:pPr>
              <w:pStyle w:val="Tabletext"/>
            </w:pPr>
            <w:r w:rsidRPr="000B04B1">
              <w:t>Geneva, Switzerland</w:t>
            </w:r>
          </w:p>
        </w:tc>
      </w:tr>
      <w:tr w:rsidR="00C23C94" w14:paraId="4E98CBC5" w14:textId="77777777" w:rsidTr="00910907">
        <w:trPr>
          <w:cantSplit/>
          <w:jc w:val="center"/>
        </w:trPr>
        <w:tc>
          <w:tcPr>
            <w:tcW w:w="2425" w:type="dxa"/>
          </w:tcPr>
          <w:p w14:paraId="280A40CD" w14:textId="2DE9E9A6" w:rsidR="00C23C94" w:rsidRDefault="00C23C94" w:rsidP="00A45C2C">
            <w:pPr>
              <w:pStyle w:val="Tabletext"/>
            </w:pPr>
            <w:r w:rsidRPr="000B04B1">
              <w:t>17</w:t>
            </w:r>
            <w:r>
              <w:t>-</w:t>
            </w:r>
            <w:r w:rsidRPr="000B04B1">
              <w:t>28</w:t>
            </w:r>
            <w:r>
              <w:t xml:space="preserve"> </w:t>
            </w:r>
            <w:r w:rsidRPr="000B04B1">
              <w:t>Nov</w:t>
            </w:r>
            <w:r w:rsidR="00E87343">
              <w:t>ember</w:t>
            </w:r>
            <w:r w:rsidRPr="000B04B1">
              <w:t xml:space="preserve"> 2025</w:t>
            </w:r>
          </w:p>
        </w:tc>
        <w:tc>
          <w:tcPr>
            <w:tcW w:w="1539" w:type="dxa"/>
          </w:tcPr>
          <w:p w14:paraId="2C64C247" w14:textId="77777777" w:rsidR="00C23C94" w:rsidRDefault="00C23C94" w:rsidP="00A45C2C">
            <w:pPr>
              <w:pStyle w:val="Tabletext"/>
              <w:jc w:val="center"/>
            </w:pPr>
            <w:r w:rsidRPr="00814507">
              <w:t>ITU-D</w:t>
            </w:r>
          </w:p>
        </w:tc>
        <w:tc>
          <w:tcPr>
            <w:tcW w:w="2854" w:type="dxa"/>
          </w:tcPr>
          <w:p w14:paraId="307DF469" w14:textId="77777777" w:rsidR="00C23C94" w:rsidRDefault="00C23C94" w:rsidP="00A45C2C">
            <w:pPr>
              <w:pStyle w:val="Tabletext"/>
            </w:pPr>
            <w:r w:rsidRPr="000B04B1">
              <w:t>World Telecommunication Development Conference 2025</w:t>
            </w:r>
          </w:p>
        </w:tc>
        <w:tc>
          <w:tcPr>
            <w:tcW w:w="2243" w:type="dxa"/>
          </w:tcPr>
          <w:p w14:paraId="6B163915" w14:textId="77777777" w:rsidR="00C23C94" w:rsidRDefault="00C23C94" w:rsidP="00A45C2C">
            <w:pPr>
              <w:pStyle w:val="Tabletext"/>
            </w:pPr>
            <w:r w:rsidRPr="00814507">
              <w:t>Baku, Azerbaijan</w:t>
            </w:r>
          </w:p>
        </w:tc>
      </w:tr>
      <w:tr w:rsidR="00C23C94" w14:paraId="68501EBD" w14:textId="77777777" w:rsidTr="00910907">
        <w:trPr>
          <w:cantSplit/>
          <w:jc w:val="center"/>
        </w:trPr>
        <w:tc>
          <w:tcPr>
            <w:tcW w:w="2425" w:type="dxa"/>
          </w:tcPr>
          <w:p w14:paraId="56CE2932" w14:textId="0B4765FC" w:rsidR="00C23C94" w:rsidRDefault="00C23C94" w:rsidP="00A45C2C">
            <w:pPr>
              <w:pStyle w:val="Tabletext"/>
            </w:pPr>
            <w:r w:rsidRPr="00814507">
              <w:rPr>
                <w:rFonts w:eastAsiaTheme="minorEastAsia"/>
              </w:rPr>
              <w:t>26</w:t>
            </w:r>
            <w:r>
              <w:rPr>
                <w:rFonts w:eastAsiaTheme="minorEastAsia"/>
              </w:rPr>
              <w:t>-</w:t>
            </w:r>
            <w:r w:rsidRPr="00814507">
              <w:rPr>
                <w:rFonts w:eastAsiaTheme="minorEastAsia"/>
              </w:rPr>
              <w:t>30 January 2026 [TBC]</w:t>
            </w:r>
          </w:p>
        </w:tc>
        <w:tc>
          <w:tcPr>
            <w:tcW w:w="1539" w:type="dxa"/>
          </w:tcPr>
          <w:p w14:paraId="3E0F3AD5" w14:textId="1B32FB6A" w:rsidR="00C23C94" w:rsidRDefault="00C23C94" w:rsidP="00A45C2C">
            <w:pPr>
              <w:pStyle w:val="Tabletext"/>
              <w:jc w:val="center"/>
            </w:pPr>
            <w:r w:rsidRPr="00814507">
              <w:t>ITU-</w:t>
            </w:r>
            <w:r w:rsidR="009173F3">
              <w:t>T</w:t>
            </w:r>
          </w:p>
        </w:tc>
        <w:tc>
          <w:tcPr>
            <w:tcW w:w="2854" w:type="dxa"/>
          </w:tcPr>
          <w:p w14:paraId="6950C4C9" w14:textId="25A94A04" w:rsidR="00C23C94" w:rsidRDefault="00C23C94" w:rsidP="00A45C2C">
            <w:pPr>
              <w:pStyle w:val="Tabletext"/>
            </w:pPr>
            <w:r w:rsidRPr="00814507">
              <w:rPr>
                <w:rFonts w:eastAsiaTheme="minorEastAsia"/>
              </w:rPr>
              <w:t>Telecommunication Standards Advisory Group</w:t>
            </w:r>
          </w:p>
        </w:tc>
        <w:tc>
          <w:tcPr>
            <w:tcW w:w="2243" w:type="dxa"/>
          </w:tcPr>
          <w:p w14:paraId="5A9A30D4" w14:textId="77777777" w:rsidR="00C23C94" w:rsidRDefault="00C23C94" w:rsidP="00A45C2C">
            <w:pPr>
              <w:pStyle w:val="Tabletext"/>
            </w:pPr>
            <w:r w:rsidRPr="00814507">
              <w:t>TBC</w:t>
            </w:r>
          </w:p>
        </w:tc>
      </w:tr>
      <w:tr w:rsidR="00C23C94" w14:paraId="62EBF1EA" w14:textId="77777777" w:rsidTr="00910907">
        <w:trPr>
          <w:cantSplit/>
          <w:jc w:val="center"/>
        </w:trPr>
        <w:tc>
          <w:tcPr>
            <w:tcW w:w="2425" w:type="dxa"/>
          </w:tcPr>
          <w:p w14:paraId="64B81DD0" w14:textId="345F15E8" w:rsidR="00C23C94" w:rsidRDefault="00C23C94" w:rsidP="00A45C2C">
            <w:pPr>
              <w:pStyle w:val="Tabletext"/>
            </w:pPr>
            <w:r w:rsidRPr="000B04B1">
              <w:t>30 Mar</w:t>
            </w:r>
            <w:r w:rsidR="00E87343">
              <w:t>ch</w:t>
            </w:r>
            <w:r w:rsidRPr="000B04B1">
              <w:t xml:space="preserve"> –1</w:t>
            </w:r>
            <w:r>
              <w:t xml:space="preserve"> </w:t>
            </w:r>
            <w:r w:rsidRPr="000B04B1">
              <w:t>Apr</w:t>
            </w:r>
            <w:r w:rsidR="00E87343">
              <w:t>il</w:t>
            </w:r>
            <w:r w:rsidRPr="000B04B1">
              <w:t xml:space="preserve"> 2026</w:t>
            </w:r>
          </w:p>
        </w:tc>
        <w:tc>
          <w:tcPr>
            <w:tcW w:w="1539" w:type="dxa"/>
          </w:tcPr>
          <w:p w14:paraId="065C96A6" w14:textId="77777777" w:rsidR="00C23C94" w:rsidRDefault="00C23C94" w:rsidP="00A45C2C">
            <w:pPr>
              <w:pStyle w:val="Tabletext"/>
              <w:jc w:val="center"/>
            </w:pPr>
            <w:r w:rsidRPr="00814507">
              <w:t>ITU-R</w:t>
            </w:r>
          </w:p>
        </w:tc>
        <w:tc>
          <w:tcPr>
            <w:tcW w:w="2854" w:type="dxa"/>
          </w:tcPr>
          <w:p w14:paraId="290C08DE" w14:textId="77777777" w:rsidR="00C23C94" w:rsidRDefault="00C23C94" w:rsidP="00A45C2C">
            <w:pPr>
              <w:pStyle w:val="Tabletext"/>
            </w:pPr>
            <w:r w:rsidRPr="000B04B1">
              <w:t>Radiocommunication Advisory Group</w:t>
            </w:r>
          </w:p>
        </w:tc>
        <w:tc>
          <w:tcPr>
            <w:tcW w:w="2243" w:type="dxa"/>
          </w:tcPr>
          <w:p w14:paraId="4DBCE6B8" w14:textId="77777777" w:rsidR="00C23C94" w:rsidRDefault="00C23C94" w:rsidP="00A45C2C">
            <w:pPr>
              <w:pStyle w:val="Tabletext"/>
            </w:pPr>
            <w:r w:rsidRPr="000B04B1">
              <w:t>Geneva, Switzerland</w:t>
            </w:r>
          </w:p>
        </w:tc>
      </w:tr>
      <w:tr w:rsidR="0062284D" w14:paraId="58BB5235" w14:textId="77777777" w:rsidTr="00910907">
        <w:trPr>
          <w:cantSplit/>
          <w:jc w:val="center"/>
        </w:trPr>
        <w:tc>
          <w:tcPr>
            <w:tcW w:w="2425" w:type="dxa"/>
          </w:tcPr>
          <w:p w14:paraId="1E6AE2A8" w14:textId="4BC98CA5" w:rsidR="0062284D" w:rsidRPr="000B04B1" w:rsidRDefault="0062284D" w:rsidP="00A45C2C">
            <w:pPr>
              <w:pStyle w:val="Tabletext"/>
            </w:pPr>
            <w:r>
              <w:t xml:space="preserve">Various </w:t>
            </w:r>
          </w:p>
        </w:tc>
        <w:tc>
          <w:tcPr>
            <w:tcW w:w="1539" w:type="dxa"/>
          </w:tcPr>
          <w:p w14:paraId="05860719" w14:textId="0E25721B" w:rsidR="0062284D" w:rsidRPr="00814507" w:rsidRDefault="0062284D" w:rsidP="00A45C2C">
            <w:pPr>
              <w:pStyle w:val="Tabletext"/>
              <w:jc w:val="center"/>
            </w:pPr>
            <w:r w:rsidRPr="00814507">
              <w:t>ITU-D</w:t>
            </w:r>
          </w:p>
        </w:tc>
        <w:tc>
          <w:tcPr>
            <w:tcW w:w="2854" w:type="dxa"/>
          </w:tcPr>
          <w:p w14:paraId="01CB092D" w14:textId="6A89373E" w:rsidR="0062284D" w:rsidRPr="000B04B1" w:rsidRDefault="0062284D" w:rsidP="00A45C2C">
            <w:pPr>
              <w:pStyle w:val="Tabletext"/>
            </w:pPr>
            <w:r>
              <w:t>Meetings of Regional Telecommunication Organizations</w:t>
            </w:r>
          </w:p>
        </w:tc>
        <w:tc>
          <w:tcPr>
            <w:tcW w:w="2243" w:type="dxa"/>
          </w:tcPr>
          <w:p w14:paraId="652BB493" w14:textId="3D7ECB84" w:rsidR="0062284D" w:rsidRPr="000B04B1" w:rsidRDefault="0062284D" w:rsidP="00A45C2C">
            <w:pPr>
              <w:pStyle w:val="Tabletext"/>
            </w:pPr>
            <w:r>
              <w:t xml:space="preserve">Various </w:t>
            </w:r>
          </w:p>
        </w:tc>
      </w:tr>
    </w:tbl>
    <w:p w14:paraId="10AC8C61" w14:textId="77777777" w:rsidR="00C23C94" w:rsidRDefault="00C23C94" w:rsidP="00464B4F">
      <w:pPr>
        <w:pStyle w:val="Tablefin"/>
      </w:pPr>
    </w:p>
    <w:p w14:paraId="46922E12" w14:textId="3D4A059B" w:rsidR="007E66C3" w:rsidRPr="00464B4F" w:rsidRDefault="007E66C3" w:rsidP="00464B4F">
      <w:pPr>
        <w:pStyle w:val="Heading1"/>
      </w:pPr>
      <w:r w:rsidRPr="00464B4F">
        <w:lastRenderedPageBreak/>
        <w:t>5</w:t>
      </w:r>
      <w:r w:rsidRPr="00464B4F">
        <w:tab/>
      </w:r>
      <w:r w:rsidR="005E4FC9" w:rsidRPr="00464B4F">
        <w:t>Decision-making</w:t>
      </w:r>
      <w:r w:rsidR="00E84743" w:rsidRPr="00464B4F">
        <w:t xml:space="preserve"> </w:t>
      </w:r>
      <w:r w:rsidR="005E4FC9" w:rsidRPr="00464B4F">
        <w:t>processes</w:t>
      </w:r>
    </w:p>
    <w:p w14:paraId="70FE314B" w14:textId="4B0F5F31" w:rsidR="007E66C3" w:rsidRPr="00814507" w:rsidRDefault="007E66C3" w:rsidP="00A45C2C">
      <w:pPr>
        <w:tabs>
          <w:tab w:val="clear" w:pos="567"/>
          <w:tab w:val="clear" w:pos="1134"/>
          <w:tab w:val="clear" w:pos="1701"/>
          <w:tab w:val="clear" w:pos="2268"/>
          <w:tab w:val="clear" w:pos="2835"/>
        </w:tabs>
        <w:jc w:val="both"/>
        <w:rPr>
          <w:rFonts w:cs="Calibri"/>
        </w:rPr>
      </w:pPr>
      <w:r w:rsidRPr="00814507">
        <w:rPr>
          <w:rFonts w:cs="Calibri"/>
        </w:rPr>
        <w:t xml:space="preserve">The </w:t>
      </w:r>
      <w:r w:rsidR="00E84743" w:rsidRPr="00814507">
        <w:rPr>
          <w:rFonts w:cs="Calibri"/>
        </w:rPr>
        <w:t xml:space="preserve">review </w:t>
      </w:r>
      <w:r w:rsidRPr="00814507">
        <w:rPr>
          <w:rFonts w:cs="Calibri"/>
        </w:rPr>
        <w:t>will be embedded within ITU</w:t>
      </w:r>
      <w:r w:rsidR="005E0921">
        <w:rPr>
          <w:rFonts w:cs="Calibri"/>
        </w:rPr>
        <w:t>’</w:t>
      </w:r>
      <w:r w:rsidRPr="00814507">
        <w:rPr>
          <w:rFonts w:cs="Calibri"/>
        </w:rPr>
        <w:t xml:space="preserve">s existing governance framework to ensure transparency, accountability, and institutional ownership. This shall consist of: </w:t>
      </w:r>
    </w:p>
    <w:p w14:paraId="62B5F265" w14:textId="7B070771" w:rsidR="007E66C3" w:rsidRPr="00464B4F" w:rsidRDefault="00D91C9B" w:rsidP="00464B4F">
      <w:pPr>
        <w:pStyle w:val="enumlev1"/>
        <w:jc w:val="both"/>
      </w:pPr>
      <w:r w:rsidRPr="00464B4F">
        <w:t>–</w:t>
      </w:r>
      <w:r w:rsidRPr="00464B4F">
        <w:tab/>
      </w:r>
      <w:r w:rsidR="0042699C" w:rsidRPr="00464B4F">
        <w:t>T</w:t>
      </w:r>
      <w:r w:rsidR="007E66C3" w:rsidRPr="00464B4F">
        <w:t xml:space="preserve">he Inter-Sectoral Task Force on </w:t>
      </w:r>
      <w:r w:rsidR="0042699C" w:rsidRPr="00464B4F">
        <w:t>R</w:t>
      </w:r>
      <w:r w:rsidR="00E84743" w:rsidRPr="00464B4F">
        <w:t xml:space="preserve">egional </w:t>
      </w:r>
      <w:r w:rsidR="0042699C" w:rsidRPr="00464B4F">
        <w:t>P</w:t>
      </w:r>
      <w:r w:rsidR="00E84743" w:rsidRPr="00464B4F">
        <w:t>resence</w:t>
      </w:r>
      <w:r w:rsidR="007E66C3" w:rsidRPr="00464B4F">
        <w:t>, with reporting to the Coordination Committee.</w:t>
      </w:r>
    </w:p>
    <w:p w14:paraId="7920F91C" w14:textId="57B5833E" w:rsidR="007E66C3" w:rsidRPr="00464B4F" w:rsidRDefault="00D91C9B" w:rsidP="00464B4F">
      <w:pPr>
        <w:pStyle w:val="enumlev1"/>
        <w:jc w:val="both"/>
      </w:pPr>
      <w:r w:rsidRPr="00464B4F">
        <w:t>–</w:t>
      </w:r>
      <w:r w:rsidRPr="00464B4F">
        <w:tab/>
      </w:r>
      <w:r w:rsidR="007E66C3" w:rsidRPr="00464B4F">
        <w:t xml:space="preserve">Progress and outputs will be </w:t>
      </w:r>
      <w:r w:rsidR="0042699C" w:rsidRPr="00464B4F">
        <w:t xml:space="preserve">reported to CWG-FHR following which they shall be considered by Council and subsequently the Plenipotentiary Conference. </w:t>
      </w:r>
    </w:p>
    <w:p w14:paraId="0101A102" w14:textId="146316AE" w:rsidR="007E66C3" w:rsidRDefault="696B13B9" w:rsidP="00A45C2C">
      <w:pPr>
        <w:tabs>
          <w:tab w:val="clear" w:pos="567"/>
          <w:tab w:val="clear" w:pos="1134"/>
          <w:tab w:val="clear" w:pos="1701"/>
          <w:tab w:val="clear" w:pos="2268"/>
          <w:tab w:val="clear" w:pos="2835"/>
        </w:tabs>
        <w:jc w:val="both"/>
        <w:rPr>
          <w:rFonts w:cs="Calibri"/>
        </w:rPr>
      </w:pPr>
      <w:r w:rsidRPr="0C25FD7E">
        <w:rPr>
          <w:rFonts w:cs="Calibri"/>
        </w:rPr>
        <w:t>To enhance legitimacy and ensure Member States</w:t>
      </w:r>
      <w:r w:rsidR="4EA5ABFB" w:rsidRPr="0C25FD7E">
        <w:rPr>
          <w:rFonts w:cs="Calibri"/>
        </w:rPr>
        <w:t>’</w:t>
      </w:r>
      <w:r w:rsidRPr="0C25FD7E">
        <w:rPr>
          <w:rFonts w:cs="Calibri"/>
        </w:rPr>
        <w:t xml:space="preserve"> ownership, the </w:t>
      </w:r>
      <w:r w:rsidR="16756A4C" w:rsidRPr="0C25FD7E">
        <w:rPr>
          <w:rFonts w:cs="Calibri"/>
        </w:rPr>
        <w:t>s</w:t>
      </w:r>
      <w:r w:rsidRPr="0C25FD7E">
        <w:rPr>
          <w:rFonts w:cs="Calibri"/>
        </w:rPr>
        <w:t xml:space="preserve">ecretariat proposes the establishment of a </w:t>
      </w:r>
      <w:r w:rsidRPr="0C25FD7E">
        <w:rPr>
          <w:rFonts w:cs="Calibri"/>
          <w:b/>
          <w:bCs/>
        </w:rPr>
        <w:t xml:space="preserve">Member States Advisory Group on </w:t>
      </w:r>
      <w:r w:rsidR="0F2123D5" w:rsidRPr="0C25FD7E">
        <w:rPr>
          <w:rFonts w:cs="Calibri"/>
          <w:b/>
          <w:bCs/>
        </w:rPr>
        <w:t>regional presence</w:t>
      </w:r>
      <w:r w:rsidRPr="0C25FD7E">
        <w:rPr>
          <w:rFonts w:cs="Calibri"/>
        </w:rPr>
        <w:t>. This group w</w:t>
      </w:r>
      <w:r w:rsidR="7EB50C9E" w:rsidRPr="0C25FD7E">
        <w:rPr>
          <w:rFonts w:cs="Calibri"/>
        </w:rPr>
        <w:t>ould</w:t>
      </w:r>
      <w:r w:rsidRPr="0C25FD7E">
        <w:rPr>
          <w:rFonts w:cs="Calibri"/>
        </w:rPr>
        <w:t>:</w:t>
      </w:r>
    </w:p>
    <w:p w14:paraId="292287FE" w14:textId="77777777" w:rsidR="0042699C" w:rsidRPr="00464B4F" w:rsidRDefault="0042699C" w:rsidP="00464B4F">
      <w:pPr>
        <w:pStyle w:val="enumlev1"/>
        <w:jc w:val="both"/>
      </w:pPr>
      <w:r w:rsidRPr="00464B4F">
        <w:t>–</w:t>
      </w:r>
      <w:r w:rsidRPr="00464B4F">
        <w:tab/>
        <w:t xml:space="preserve">Serve as a platform for engagement of Member States throughout the review. </w:t>
      </w:r>
    </w:p>
    <w:p w14:paraId="368A8AB1" w14:textId="6978D1D7" w:rsidR="007E66C3" w:rsidRPr="00464B4F" w:rsidRDefault="00D91C9B" w:rsidP="00464B4F">
      <w:pPr>
        <w:pStyle w:val="enumlev1"/>
        <w:jc w:val="both"/>
      </w:pPr>
      <w:r w:rsidRPr="00464B4F">
        <w:t>–</w:t>
      </w:r>
      <w:r w:rsidRPr="00464B4F">
        <w:tab/>
      </w:r>
      <w:r w:rsidR="007E66C3" w:rsidRPr="00464B4F">
        <w:t xml:space="preserve">Provide strategic </w:t>
      </w:r>
      <w:r w:rsidR="0042699C" w:rsidRPr="00464B4F">
        <w:t xml:space="preserve">advice </w:t>
      </w:r>
      <w:r w:rsidR="007E66C3" w:rsidRPr="00464B4F">
        <w:t xml:space="preserve">and guidance throughout the </w:t>
      </w:r>
      <w:r w:rsidR="00E84743" w:rsidRPr="00464B4F">
        <w:t>review</w:t>
      </w:r>
      <w:r w:rsidR="007E66C3" w:rsidRPr="00464B4F">
        <w:t>.</w:t>
      </w:r>
    </w:p>
    <w:p w14:paraId="7BF76E48" w14:textId="53A6FD38" w:rsidR="007E66C3" w:rsidRPr="00464B4F" w:rsidRDefault="00D91C9B" w:rsidP="00464B4F">
      <w:pPr>
        <w:pStyle w:val="enumlev1"/>
        <w:jc w:val="both"/>
      </w:pPr>
      <w:r w:rsidRPr="00464B4F">
        <w:t>–</w:t>
      </w:r>
      <w:r w:rsidRPr="00464B4F">
        <w:tab/>
      </w:r>
      <w:r w:rsidR="00C373E8" w:rsidRPr="00464B4F">
        <w:t>Offer feedback on preliminary findings.</w:t>
      </w:r>
    </w:p>
    <w:p w14:paraId="5E4EBE7C" w14:textId="3BCE6AC2" w:rsidR="007E66C3" w:rsidRPr="00464B4F" w:rsidRDefault="00D91C9B" w:rsidP="00464B4F">
      <w:pPr>
        <w:pStyle w:val="enumlev1"/>
        <w:jc w:val="both"/>
      </w:pPr>
      <w:r w:rsidRPr="00464B4F">
        <w:t>–</w:t>
      </w:r>
      <w:r w:rsidRPr="00464B4F">
        <w:tab/>
      </w:r>
      <w:r w:rsidR="007E66C3" w:rsidRPr="00464B4F">
        <w:t xml:space="preserve">Review and validate recommendations from the </w:t>
      </w:r>
      <w:r w:rsidR="00E84743" w:rsidRPr="00464B4F">
        <w:t xml:space="preserve">review </w:t>
      </w:r>
      <w:r w:rsidR="007E66C3" w:rsidRPr="00464B4F">
        <w:t>before submission to ITU Governing Bodies.</w:t>
      </w:r>
    </w:p>
    <w:p w14:paraId="0DEE7E7B" w14:textId="77777777" w:rsidR="007E66C3" w:rsidRPr="00464B4F" w:rsidRDefault="007E66C3" w:rsidP="00464B4F">
      <w:pPr>
        <w:pStyle w:val="Heading1"/>
      </w:pPr>
      <w:r w:rsidRPr="00464B4F">
        <w:t>6</w:t>
      </w:r>
      <w:r w:rsidRPr="00464B4F">
        <w:tab/>
      </w:r>
      <w:r w:rsidR="005E4FC9" w:rsidRPr="00464B4F">
        <w:t>Resource requirements</w:t>
      </w:r>
    </w:p>
    <w:p w14:paraId="53FFEEB2" w14:textId="66B20906" w:rsidR="008B377F" w:rsidRDefault="00C45CCD" w:rsidP="00464B4F">
      <w:pPr>
        <w:jc w:val="both"/>
      </w:pPr>
      <w:r w:rsidRPr="00C45CCD">
        <w:t xml:space="preserve">A robust and well-supported review requires both financial and human resources to ensure it is inclusive, methodologically sound, and operationally feasible. These resources are essential to enable evidence-based analysis and broad stakeholder engagement. Resources envisioned include the recruitment of a </w:t>
      </w:r>
      <w:r w:rsidR="0042699C">
        <w:t xml:space="preserve">Special Service Agreement contractor </w:t>
      </w:r>
      <w:r w:rsidRPr="00C45CCD">
        <w:t>to support the Task Force with research, administration of surveys, data synthesis, and drafting tasks</w:t>
      </w:r>
      <w:r w:rsidR="00665CBA">
        <w:t xml:space="preserve">. </w:t>
      </w:r>
    </w:p>
    <w:p w14:paraId="67792729" w14:textId="77777777" w:rsidR="007A3FCD" w:rsidRPr="00C0458D" w:rsidRDefault="007A3FCD" w:rsidP="00E86B6A">
      <w:pPr>
        <w:tabs>
          <w:tab w:val="clear" w:pos="567"/>
          <w:tab w:val="clear" w:pos="1134"/>
          <w:tab w:val="clear" w:pos="1701"/>
          <w:tab w:val="clear" w:pos="2268"/>
          <w:tab w:val="clear" w:pos="2835"/>
        </w:tabs>
        <w:spacing w:before="600"/>
        <w:jc w:val="center"/>
      </w:pPr>
      <w:r>
        <w:t>______________</w:t>
      </w:r>
    </w:p>
    <w:sectPr w:rsidR="007A3FCD" w:rsidRPr="00C0458D" w:rsidSect="00AD360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55DE0" w14:textId="77777777" w:rsidR="00907549" w:rsidRDefault="00907549">
      <w:r>
        <w:separator/>
      </w:r>
    </w:p>
  </w:endnote>
  <w:endnote w:type="continuationSeparator" w:id="0">
    <w:p w14:paraId="611B82B5" w14:textId="77777777" w:rsidR="00907549" w:rsidRDefault="00907549">
      <w:r>
        <w:continuationSeparator/>
      </w:r>
    </w:p>
  </w:endnote>
  <w:endnote w:type="continuationNotice" w:id="1">
    <w:p w14:paraId="7879231B" w14:textId="77777777" w:rsidR="00907549" w:rsidRDefault="0090754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6364726" w14:textId="77777777">
      <w:trPr>
        <w:jc w:val="center"/>
      </w:trPr>
      <w:tc>
        <w:tcPr>
          <w:tcW w:w="1803" w:type="dxa"/>
          <w:vAlign w:val="center"/>
        </w:tcPr>
        <w:p w14:paraId="53052598" w14:textId="77777777" w:rsidR="00EE49E8" w:rsidRDefault="00C6520B" w:rsidP="00EE49E8">
          <w:pPr>
            <w:pStyle w:val="Header"/>
            <w:jc w:val="left"/>
            <w:rPr>
              <w:noProof/>
            </w:rPr>
          </w:pPr>
          <w:r>
            <w:rPr>
              <w:noProof/>
            </w:rPr>
            <w:t>gDoc #</w:t>
          </w:r>
        </w:p>
      </w:tc>
      <w:tc>
        <w:tcPr>
          <w:tcW w:w="8261" w:type="dxa"/>
        </w:tcPr>
        <w:p w14:paraId="07800B18" w14:textId="04C0A104" w:rsidR="00EE49E8" w:rsidRPr="00E06FD5" w:rsidRDefault="00EE49E8" w:rsidP="007218C7">
          <w:pPr>
            <w:pStyle w:val="Header"/>
            <w:tabs>
              <w:tab w:val="left" w:pos="6451"/>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7E66C3">
            <w:rPr>
              <w:bCs/>
            </w:rPr>
            <w:t>69</w:t>
          </w:r>
          <w:r w:rsidR="007218C7">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7B5455D1"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0E6ECBEE" w14:textId="77777777" w:rsidTr="006B77F1">
      <w:trPr>
        <w:jc w:val="center"/>
      </w:trPr>
      <w:tc>
        <w:tcPr>
          <w:tcW w:w="1803" w:type="dxa"/>
          <w:vAlign w:val="center"/>
        </w:tcPr>
        <w:p w14:paraId="274B1EF6"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07EF9D36" w14:textId="1AD7E651" w:rsidR="00EE49E8" w:rsidRPr="00E06FD5" w:rsidRDefault="00EE49E8" w:rsidP="007218C7">
          <w:pPr>
            <w:pStyle w:val="Header"/>
            <w:tabs>
              <w:tab w:val="left" w:pos="6451"/>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7E66C3">
            <w:rPr>
              <w:bCs/>
            </w:rPr>
            <w:t>69</w:t>
          </w:r>
          <w:r w:rsidR="007218C7">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4B921C7D"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C4D32" w14:textId="77777777" w:rsidR="00907549" w:rsidRDefault="00907549">
      <w:r>
        <w:t>____________________</w:t>
      </w:r>
    </w:p>
  </w:footnote>
  <w:footnote w:type="continuationSeparator" w:id="0">
    <w:p w14:paraId="7E1E3FC9" w14:textId="77777777" w:rsidR="00907549" w:rsidRDefault="00907549">
      <w:r>
        <w:continuationSeparator/>
      </w:r>
    </w:p>
  </w:footnote>
  <w:footnote w:type="continuationNotice" w:id="1">
    <w:p w14:paraId="3BE6D318" w14:textId="77777777" w:rsidR="00907549" w:rsidRDefault="0090754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7D37743A" w14:textId="77777777">
      <w:trPr>
        <w:trHeight w:val="1104"/>
        <w:jc w:val="center"/>
      </w:trPr>
      <w:tc>
        <w:tcPr>
          <w:tcW w:w="4390" w:type="dxa"/>
          <w:vAlign w:val="center"/>
        </w:tcPr>
        <w:p w14:paraId="1018D8B5" w14:textId="77777777" w:rsidR="00AD3606" w:rsidRPr="009621F8" w:rsidRDefault="003936D3" w:rsidP="00CF4A2B">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7CA96B11" wp14:editId="0A7D726D">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43E428A" w14:textId="77777777" w:rsidR="00AD3606" w:rsidRDefault="00AD3606" w:rsidP="00AD3606">
          <w:pPr>
            <w:pStyle w:val="Header"/>
            <w:jc w:val="right"/>
            <w:rPr>
              <w:rFonts w:ascii="Arial" w:hAnsi="Arial" w:cs="Arial"/>
              <w:b/>
              <w:bCs/>
              <w:color w:val="009CD6"/>
              <w:szCs w:val="18"/>
            </w:rPr>
          </w:pPr>
        </w:p>
        <w:p w14:paraId="038B771C" w14:textId="77777777" w:rsidR="00AD3606" w:rsidRDefault="00AD3606" w:rsidP="00AD3606">
          <w:pPr>
            <w:pStyle w:val="Header"/>
            <w:jc w:val="right"/>
            <w:rPr>
              <w:rFonts w:ascii="Arial" w:hAnsi="Arial" w:cs="Arial"/>
              <w:b/>
              <w:bCs/>
              <w:color w:val="009CD6"/>
              <w:szCs w:val="18"/>
            </w:rPr>
          </w:pPr>
        </w:p>
        <w:p w14:paraId="186531E2"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5372E010"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099B6DD5" wp14:editId="2AD13AA1">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4FF05"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7266EC"/>
    <w:multiLevelType w:val="hybridMultilevel"/>
    <w:tmpl w:val="79BA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747115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D6"/>
    <w:rsid w:val="000210D4"/>
    <w:rsid w:val="0006007D"/>
    <w:rsid w:val="00063016"/>
    <w:rsid w:val="00066795"/>
    <w:rsid w:val="00076AF6"/>
    <w:rsid w:val="00085CF2"/>
    <w:rsid w:val="00095A90"/>
    <w:rsid w:val="000A0CE9"/>
    <w:rsid w:val="000A596C"/>
    <w:rsid w:val="000A64BF"/>
    <w:rsid w:val="000B1705"/>
    <w:rsid w:val="000D443A"/>
    <w:rsid w:val="000D75B2"/>
    <w:rsid w:val="000D75B6"/>
    <w:rsid w:val="000E03BB"/>
    <w:rsid w:val="000E2F64"/>
    <w:rsid w:val="000F5DDB"/>
    <w:rsid w:val="001016EF"/>
    <w:rsid w:val="001121F5"/>
    <w:rsid w:val="0012615A"/>
    <w:rsid w:val="001400DC"/>
    <w:rsid w:val="00140CE1"/>
    <w:rsid w:val="0014307B"/>
    <w:rsid w:val="00155538"/>
    <w:rsid w:val="00171ACC"/>
    <w:rsid w:val="0017539C"/>
    <w:rsid w:val="00175AC2"/>
    <w:rsid w:val="0017609F"/>
    <w:rsid w:val="00176F47"/>
    <w:rsid w:val="001A3154"/>
    <w:rsid w:val="001A7D1D"/>
    <w:rsid w:val="001B51DD"/>
    <w:rsid w:val="001C32D2"/>
    <w:rsid w:val="001C628E"/>
    <w:rsid w:val="001D3638"/>
    <w:rsid w:val="001E0F7B"/>
    <w:rsid w:val="001F5569"/>
    <w:rsid w:val="002119FD"/>
    <w:rsid w:val="002130E0"/>
    <w:rsid w:val="00221F46"/>
    <w:rsid w:val="002328EC"/>
    <w:rsid w:val="00235E77"/>
    <w:rsid w:val="00254AFB"/>
    <w:rsid w:val="002552B3"/>
    <w:rsid w:val="00264425"/>
    <w:rsid w:val="00265875"/>
    <w:rsid w:val="00272B89"/>
    <w:rsid w:val="0027303B"/>
    <w:rsid w:val="0028109B"/>
    <w:rsid w:val="0029637A"/>
    <w:rsid w:val="002971C8"/>
    <w:rsid w:val="002A2188"/>
    <w:rsid w:val="002B1F58"/>
    <w:rsid w:val="002C1C7A"/>
    <w:rsid w:val="002C3F32"/>
    <w:rsid w:val="002C54E2"/>
    <w:rsid w:val="002D409F"/>
    <w:rsid w:val="002E444C"/>
    <w:rsid w:val="0030160F"/>
    <w:rsid w:val="00320223"/>
    <w:rsid w:val="00322D0D"/>
    <w:rsid w:val="0033208C"/>
    <w:rsid w:val="00336F5B"/>
    <w:rsid w:val="00342A12"/>
    <w:rsid w:val="0036042F"/>
    <w:rsid w:val="00361465"/>
    <w:rsid w:val="003627B9"/>
    <w:rsid w:val="0037699A"/>
    <w:rsid w:val="00386B18"/>
    <w:rsid w:val="003877F5"/>
    <w:rsid w:val="003936D3"/>
    <w:rsid w:val="003942D4"/>
    <w:rsid w:val="003958A8"/>
    <w:rsid w:val="003A6E56"/>
    <w:rsid w:val="003B2094"/>
    <w:rsid w:val="003B29C2"/>
    <w:rsid w:val="003B4FAF"/>
    <w:rsid w:val="003C2533"/>
    <w:rsid w:val="003D5A7F"/>
    <w:rsid w:val="003E2DC2"/>
    <w:rsid w:val="003E6159"/>
    <w:rsid w:val="003F3EA4"/>
    <w:rsid w:val="0040435A"/>
    <w:rsid w:val="00416A24"/>
    <w:rsid w:val="0042699C"/>
    <w:rsid w:val="00431D9E"/>
    <w:rsid w:val="00433CE8"/>
    <w:rsid w:val="00434A5C"/>
    <w:rsid w:val="0044186E"/>
    <w:rsid w:val="00453079"/>
    <w:rsid w:val="004544D9"/>
    <w:rsid w:val="00464B4F"/>
    <w:rsid w:val="00472BAD"/>
    <w:rsid w:val="00476EC8"/>
    <w:rsid w:val="00484009"/>
    <w:rsid w:val="00490E72"/>
    <w:rsid w:val="00491157"/>
    <w:rsid w:val="00491BA9"/>
    <w:rsid w:val="004921C8"/>
    <w:rsid w:val="00495B0B"/>
    <w:rsid w:val="004A1B8B"/>
    <w:rsid w:val="004B2CD9"/>
    <w:rsid w:val="004C3D48"/>
    <w:rsid w:val="004C62C1"/>
    <w:rsid w:val="004D1851"/>
    <w:rsid w:val="004D599D"/>
    <w:rsid w:val="004E2EA5"/>
    <w:rsid w:val="004E3AEB"/>
    <w:rsid w:val="004E4A75"/>
    <w:rsid w:val="0050223C"/>
    <w:rsid w:val="005054D3"/>
    <w:rsid w:val="00511284"/>
    <w:rsid w:val="005243FF"/>
    <w:rsid w:val="00537664"/>
    <w:rsid w:val="005520D1"/>
    <w:rsid w:val="00556C30"/>
    <w:rsid w:val="00564FBC"/>
    <w:rsid w:val="00575FC6"/>
    <w:rsid w:val="005800BC"/>
    <w:rsid w:val="00581467"/>
    <w:rsid w:val="00582442"/>
    <w:rsid w:val="005A28F4"/>
    <w:rsid w:val="005A4F77"/>
    <w:rsid w:val="005C67CC"/>
    <w:rsid w:val="005E0921"/>
    <w:rsid w:val="005E4FC9"/>
    <w:rsid w:val="005F3269"/>
    <w:rsid w:val="005F5979"/>
    <w:rsid w:val="0060279C"/>
    <w:rsid w:val="0061136D"/>
    <w:rsid w:val="006227C5"/>
    <w:rsid w:val="0062284D"/>
    <w:rsid w:val="00623AE3"/>
    <w:rsid w:val="006248A9"/>
    <w:rsid w:val="0064737F"/>
    <w:rsid w:val="006535F1"/>
    <w:rsid w:val="00653FA5"/>
    <w:rsid w:val="0065557D"/>
    <w:rsid w:val="00660D50"/>
    <w:rsid w:val="00662984"/>
    <w:rsid w:val="00665CBA"/>
    <w:rsid w:val="006716BB"/>
    <w:rsid w:val="00695199"/>
    <w:rsid w:val="006B1859"/>
    <w:rsid w:val="006B6680"/>
    <w:rsid w:val="006B6DCC"/>
    <w:rsid w:val="006B77F1"/>
    <w:rsid w:val="006C47E2"/>
    <w:rsid w:val="006F7A76"/>
    <w:rsid w:val="00702DEF"/>
    <w:rsid w:val="00706861"/>
    <w:rsid w:val="00712E6C"/>
    <w:rsid w:val="00716DEC"/>
    <w:rsid w:val="007179F8"/>
    <w:rsid w:val="00720866"/>
    <w:rsid w:val="00721087"/>
    <w:rsid w:val="007218C7"/>
    <w:rsid w:val="00722551"/>
    <w:rsid w:val="0075051B"/>
    <w:rsid w:val="00766B20"/>
    <w:rsid w:val="0077110E"/>
    <w:rsid w:val="00781FED"/>
    <w:rsid w:val="00793188"/>
    <w:rsid w:val="00794D34"/>
    <w:rsid w:val="007A3FCD"/>
    <w:rsid w:val="007A4DD6"/>
    <w:rsid w:val="007B19CF"/>
    <w:rsid w:val="007D01AF"/>
    <w:rsid w:val="007D4532"/>
    <w:rsid w:val="007E66C3"/>
    <w:rsid w:val="007F69B3"/>
    <w:rsid w:val="00813E5E"/>
    <w:rsid w:val="00834062"/>
    <w:rsid w:val="0083581B"/>
    <w:rsid w:val="008361D3"/>
    <w:rsid w:val="00863874"/>
    <w:rsid w:val="00864AFF"/>
    <w:rsid w:val="00865925"/>
    <w:rsid w:val="00884E38"/>
    <w:rsid w:val="008B377F"/>
    <w:rsid w:val="008B4A6A"/>
    <w:rsid w:val="008B7954"/>
    <w:rsid w:val="008C7E27"/>
    <w:rsid w:val="008D06A0"/>
    <w:rsid w:val="008E2E05"/>
    <w:rsid w:val="008E6472"/>
    <w:rsid w:val="008F7448"/>
    <w:rsid w:val="0090147A"/>
    <w:rsid w:val="00907549"/>
    <w:rsid w:val="00910907"/>
    <w:rsid w:val="009173EF"/>
    <w:rsid w:val="009173F3"/>
    <w:rsid w:val="00924D97"/>
    <w:rsid w:val="0092642E"/>
    <w:rsid w:val="00932906"/>
    <w:rsid w:val="009554A9"/>
    <w:rsid w:val="00961B0B"/>
    <w:rsid w:val="009625D0"/>
    <w:rsid w:val="00962D33"/>
    <w:rsid w:val="009B38C3"/>
    <w:rsid w:val="009C369D"/>
    <w:rsid w:val="009E17BD"/>
    <w:rsid w:val="009E485A"/>
    <w:rsid w:val="00A04CEC"/>
    <w:rsid w:val="00A1394F"/>
    <w:rsid w:val="00A27F92"/>
    <w:rsid w:val="00A32257"/>
    <w:rsid w:val="00A33051"/>
    <w:rsid w:val="00A36D20"/>
    <w:rsid w:val="00A45C2C"/>
    <w:rsid w:val="00A465A2"/>
    <w:rsid w:val="00A514A4"/>
    <w:rsid w:val="00A55622"/>
    <w:rsid w:val="00A65DD1"/>
    <w:rsid w:val="00A83502"/>
    <w:rsid w:val="00A94BAB"/>
    <w:rsid w:val="00A96FC8"/>
    <w:rsid w:val="00AD15B3"/>
    <w:rsid w:val="00AD2FC8"/>
    <w:rsid w:val="00AD3606"/>
    <w:rsid w:val="00AD4A3D"/>
    <w:rsid w:val="00AE3292"/>
    <w:rsid w:val="00AE4952"/>
    <w:rsid w:val="00AF6300"/>
    <w:rsid w:val="00AF6E49"/>
    <w:rsid w:val="00B032A7"/>
    <w:rsid w:val="00B04A67"/>
    <w:rsid w:val="00B0583C"/>
    <w:rsid w:val="00B40A81"/>
    <w:rsid w:val="00B42716"/>
    <w:rsid w:val="00B4366F"/>
    <w:rsid w:val="00B44910"/>
    <w:rsid w:val="00B67E49"/>
    <w:rsid w:val="00B72267"/>
    <w:rsid w:val="00B76EB6"/>
    <w:rsid w:val="00B7737B"/>
    <w:rsid w:val="00B824C8"/>
    <w:rsid w:val="00B84B9D"/>
    <w:rsid w:val="00B9131F"/>
    <w:rsid w:val="00BB0646"/>
    <w:rsid w:val="00BB4250"/>
    <w:rsid w:val="00BB66C4"/>
    <w:rsid w:val="00BC251A"/>
    <w:rsid w:val="00BC4A20"/>
    <w:rsid w:val="00BD032B"/>
    <w:rsid w:val="00BE01C6"/>
    <w:rsid w:val="00BE2640"/>
    <w:rsid w:val="00BE3629"/>
    <w:rsid w:val="00BF1FDE"/>
    <w:rsid w:val="00C01189"/>
    <w:rsid w:val="00C0458D"/>
    <w:rsid w:val="00C23C94"/>
    <w:rsid w:val="00C373E8"/>
    <w:rsid w:val="00C374DE"/>
    <w:rsid w:val="00C42ACC"/>
    <w:rsid w:val="00C45CCD"/>
    <w:rsid w:val="00C47AD4"/>
    <w:rsid w:val="00C52D81"/>
    <w:rsid w:val="00C55198"/>
    <w:rsid w:val="00C6520B"/>
    <w:rsid w:val="00C66953"/>
    <w:rsid w:val="00CA6393"/>
    <w:rsid w:val="00CA7995"/>
    <w:rsid w:val="00CB18FF"/>
    <w:rsid w:val="00CD0C08"/>
    <w:rsid w:val="00CE03FB"/>
    <w:rsid w:val="00CE433C"/>
    <w:rsid w:val="00CE47A6"/>
    <w:rsid w:val="00CF0161"/>
    <w:rsid w:val="00CF33F3"/>
    <w:rsid w:val="00CF4A2B"/>
    <w:rsid w:val="00D024CA"/>
    <w:rsid w:val="00D06183"/>
    <w:rsid w:val="00D07F05"/>
    <w:rsid w:val="00D22C42"/>
    <w:rsid w:val="00D240D3"/>
    <w:rsid w:val="00D42E38"/>
    <w:rsid w:val="00D61E5D"/>
    <w:rsid w:val="00D65041"/>
    <w:rsid w:val="00D91C9B"/>
    <w:rsid w:val="00DB1936"/>
    <w:rsid w:val="00DB384B"/>
    <w:rsid w:val="00DB61C7"/>
    <w:rsid w:val="00DF0189"/>
    <w:rsid w:val="00E04CB2"/>
    <w:rsid w:val="00E06FD5"/>
    <w:rsid w:val="00E10E80"/>
    <w:rsid w:val="00E124F0"/>
    <w:rsid w:val="00E227F3"/>
    <w:rsid w:val="00E545C6"/>
    <w:rsid w:val="00E60F04"/>
    <w:rsid w:val="00E62087"/>
    <w:rsid w:val="00E65B24"/>
    <w:rsid w:val="00E70BDE"/>
    <w:rsid w:val="00E70F48"/>
    <w:rsid w:val="00E75227"/>
    <w:rsid w:val="00E84743"/>
    <w:rsid w:val="00E854E4"/>
    <w:rsid w:val="00E86B6A"/>
    <w:rsid w:val="00E86DBF"/>
    <w:rsid w:val="00E87343"/>
    <w:rsid w:val="00E969AF"/>
    <w:rsid w:val="00EB0D6F"/>
    <w:rsid w:val="00EB2232"/>
    <w:rsid w:val="00EB7925"/>
    <w:rsid w:val="00EC5337"/>
    <w:rsid w:val="00ED50EA"/>
    <w:rsid w:val="00EE49E8"/>
    <w:rsid w:val="00EF1839"/>
    <w:rsid w:val="00EF48C8"/>
    <w:rsid w:val="00F16BAB"/>
    <w:rsid w:val="00F2150A"/>
    <w:rsid w:val="00F2265D"/>
    <w:rsid w:val="00F231D8"/>
    <w:rsid w:val="00F23AFA"/>
    <w:rsid w:val="00F44C00"/>
    <w:rsid w:val="00F45D2C"/>
    <w:rsid w:val="00F45E30"/>
    <w:rsid w:val="00F46C5F"/>
    <w:rsid w:val="00F568BB"/>
    <w:rsid w:val="00F632C0"/>
    <w:rsid w:val="00F641E1"/>
    <w:rsid w:val="00F909D5"/>
    <w:rsid w:val="00F91EA1"/>
    <w:rsid w:val="00F94A63"/>
    <w:rsid w:val="00F9799D"/>
    <w:rsid w:val="00FA1C28"/>
    <w:rsid w:val="00FB1279"/>
    <w:rsid w:val="00FB5466"/>
    <w:rsid w:val="00FB6B76"/>
    <w:rsid w:val="00FB7596"/>
    <w:rsid w:val="00FE4077"/>
    <w:rsid w:val="00FE500D"/>
    <w:rsid w:val="00FE77D2"/>
    <w:rsid w:val="00FF0140"/>
    <w:rsid w:val="00FF39B1"/>
    <w:rsid w:val="05283B30"/>
    <w:rsid w:val="0B2E4E8A"/>
    <w:rsid w:val="0B9D050C"/>
    <w:rsid w:val="0C25FD7E"/>
    <w:rsid w:val="0F2123D5"/>
    <w:rsid w:val="16756A4C"/>
    <w:rsid w:val="190AA22D"/>
    <w:rsid w:val="1F9208E7"/>
    <w:rsid w:val="2024CF82"/>
    <w:rsid w:val="2C4FEFA0"/>
    <w:rsid w:val="2CAF11D6"/>
    <w:rsid w:val="34F3EA36"/>
    <w:rsid w:val="448FA3E2"/>
    <w:rsid w:val="4B51B31B"/>
    <w:rsid w:val="4E2998AD"/>
    <w:rsid w:val="4E885681"/>
    <w:rsid w:val="4EA5ABFB"/>
    <w:rsid w:val="517A4C64"/>
    <w:rsid w:val="53B42D7F"/>
    <w:rsid w:val="68E4948A"/>
    <w:rsid w:val="696B13B9"/>
    <w:rsid w:val="6BB2B643"/>
    <w:rsid w:val="76BC12F6"/>
    <w:rsid w:val="7E38B503"/>
    <w:rsid w:val="7EB50C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864C7"/>
  <w15:docId w15:val="{3083AF6D-BD2A-44C0-A5CE-82DE90E1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176F47"/>
    <w:pPr>
      <w:framePr w:wrap="around" w:vAnchor="margin" w:hAnchor="page" w:x="1821" w:y="2317"/>
      <w:spacing w:before="120" w:after="120"/>
    </w:pPr>
    <w:rPr>
      <w:sz w:val="32"/>
      <w:szCs w:val="32"/>
    </w:r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7A3FC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styleId="ListParagraph">
    <w:name w:val="List Paragraph"/>
    <w:basedOn w:val="Normal"/>
    <w:uiPriority w:val="34"/>
    <w:qFormat/>
    <w:rsid w:val="007E66C3"/>
    <w:pPr>
      <w:tabs>
        <w:tab w:val="clear" w:pos="567"/>
        <w:tab w:val="clear" w:pos="1134"/>
        <w:tab w:val="clear" w:pos="1701"/>
        <w:tab w:val="clear" w:pos="2268"/>
        <w:tab w:val="clear" w:pos="2835"/>
      </w:tabs>
      <w:overflowPunct/>
      <w:autoSpaceDE/>
      <w:autoSpaceDN/>
      <w:adjustRightInd/>
      <w:spacing w:before="0" w:after="160" w:line="278" w:lineRule="auto"/>
      <w:ind w:left="720"/>
      <w:contextualSpacing/>
      <w:textAlignment w:val="auto"/>
    </w:pPr>
    <w:rPr>
      <w:rFonts w:asciiTheme="minorHAnsi" w:eastAsiaTheme="minorHAnsi" w:hAnsiTheme="minorHAnsi" w:cstheme="minorBidi"/>
      <w:kern w:val="2"/>
      <w:szCs w:val="24"/>
      <w14:ligatures w14:val="standardContextual"/>
    </w:rPr>
  </w:style>
  <w:style w:type="character" w:customStyle="1" w:styleId="normaltextrun">
    <w:name w:val="normaltextrun"/>
    <w:basedOn w:val="DefaultParagraphFont"/>
    <w:uiPriority w:val="1"/>
    <w:rsid w:val="007E66C3"/>
    <w:rPr>
      <w:rFonts w:ascii="CG Times" w:eastAsia="Times New Roman" w:hAnsi="CG Times" w:cs="Times New Roman"/>
    </w:rPr>
  </w:style>
  <w:style w:type="paragraph" w:customStyle="1" w:styleId="Tablefin">
    <w:name w:val="Table_fin"/>
    <w:basedOn w:val="Tabletext"/>
    <w:rsid w:val="005E4FC9"/>
    <w:pPr>
      <w:spacing w:before="0" w:after="0"/>
    </w:pPr>
  </w:style>
  <w:style w:type="paragraph" w:customStyle="1" w:styleId="NormalAsianBodyCalibri">
    <w:name w:val="Normal + (Asian) +Body (Calibri)"/>
    <w:aliases w:val="(Complex) +Body CS (Arial),(Complex) 11 pt..."/>
    <w:basedOn w:val="Normal"/>
    <w:rsid w:val="00C23C94"/>
    <w:pPr>
      <w:jc w:val="both"/>
    </w:pPr>
    <w:rPr>
      <w:rFonts w:eastAsiaTheme="minorHAnsi" w:cstheme="minorBidi"/>
      <w:szCs w:val="22"/>
    </w:rPr>
  </w:style>
  <w:style w:type="paragraph" w:styleId="Revision">
    <w:name w:val="Revision"/>
    <w:hidden/>
    <w:uiPriority w:val="99"/>
    <w:semiHidden/>
    <w:rsid w:val="00235E77"/>
    <w:rPr>
      <w:rFonts w:ascii="Calibri" w:hAnsi="Calibri"/>
      <w:sz w:val="24"/>
      <w:lang w:val="en-GB" w:eastAsia="en-US"/>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D240D3"/>
    <w:rPr>
      <w:b/>
      <w:bCs/>
    </w:rPr>
  </w:style>
  <w:style w:type="character" w:customStyle="1" w:styleId="CommentSubjectChar">
    <w:name w:val="Comment Subject Char"/>
    <w:basedOn w:val="CommentTextChar"/>
    <w:link w:val="CommentSubject"/>
    <w:semiHidden/>
    <w:rsid w:val="00D240D3"/>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2023/RES-135-E.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en/council/Documents/basic-texts-2023/RES-025-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S25-CL-C-0050/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RES-025-E.pdf" TargetMode="External"/><Relationship Id="rId5" Type="http://schemas.openxmlformats.org/officeDocument/2006/relationships/numbering" Target="numbering.xml"/><Relationship Id="rId15" Type="http://schemas.openxmlformats.org/officeDocument/2006/relationships/hyperlink" Target="https://www.itu.int/en/publications/ITU-D/pages/publications.aspx?parent=D-TDC-WTDC-2022&amp;media=electronic"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RES-157-E.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E9F658E2-10F5-407F-B4A2-268B35210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417803-7FC5-45E6-8399-6A6F429D2107}">
  <ds:schemaRefs>
    <ds:schemaRef ds:uri="http://schemas.microsoft.com/sharepoint/v3/contenttype/forms"/>
  </ds:schemaRefs>
</ds:datastoreItem>
</file>

<file path=customXml/itemProps4.xml><?xml version="1.0" encoding="utf-8"?>
<ds:datastoreItem xmlns:ds="http://schemas.openxmlformats.org/officeDocument/2006/customXml" ds:itemID="{A94D9E4A-47DC-4527-91DB-BD7DE12C76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PE_Council25.dotx</Template>
  <TotalTime>11</TotalTime>
  <Pages>5</Pages>
  <Words>1392</Words>
  <Characters>8757</Characters>
  <Application>Microsoft Office Word</Application>
  <DocSecurity>0</DocSecurity>
  <Lines>199</Lines>
  <Paragraphs>130</Paragraphs>
  <ScaleCrop>false</ScaleCrop>
  <HeadingPairs>
    <vt:vector size="2" baseType="variant">
      <vt:variant>
        <vt:lpstr>Title</vt:lpstr>
      </vt:variant>
      <vt:variant>
        <vt:i4>1</vt:i4>
      </vt:variant>
    </vt:vector>
  </HeadingPairs>
  <TitlesOfParts>
    <vt:vector size="1" baseType="lpstr">
      <vt:lpstr>Inception report on the review of ITU regional presence</vt:lpstr>
    </vt:vector>
  </TitlesOfParts>
  <Manager>General Secretariat</Manager>
  <Company>International Telecommunication Union (ITU)</Company>
  <LinksUpToDate>false</LinksUpToDate>
  <CharactersWithSpaces>10019</CharactersWithSpaces>
  <SharedDoc>false</SharedDoc>
  <HLinks>
    <vt:vector size="54" baseType="variant">
      <vt:variant>
        <vt:i4>8257596</vt:i4>
      </vt:variant>
      <vt:variant>
        <vt:i4>21</vt:i4>
      </vt:variant>
      <vt:variant>
        <vt:i4>0</vt:i4>
      </vt:variant>
      <vt:variant>
        <vt:i4>5</vt:i4>
      </vt:variant>
      <vt:variant>
        <vt:lpwstr>https://www.itu.int/md/S25-CL-C-0009/en</vt:lpwstr>
      </vt:variant>
      <vt:variant>
        <vt:lpwstr/>
      </vt:variant>
      <vt:variant>
        <vt:i4>7798841</vt:i4>
      </vt:variant>
      <vt:variant>
        <vt:i4>18</vt:i4>
      </vt:variant>
      <vt:variant>
        <vt:i4>0</vt:i4>
      </vt:variant>
      <vt:variant>
        <vt:i4>5</vt:i4>
      </vt:variant>
      <vt:variant>
        <vt:lpwstr>https://www.itu.int/md/S25-CL-C-0050/en</vt:lpwstr>
      </vt:variant>
      <vt:variant>
        <vt:lpwstr/>
      </vt:variant>
      <vt:variant>
        <vt:i4>4915227</vt:i4>
      </vt:variant>
      <vt:variant>
        <vt:i4>15</vt:i4>
      </vt:variant>
      <vt:variant>
        <vt:i4>0</vt:i4>
      </vt:variant>
      <vt:variant>
        <vt:i4>5</vt:i4>
      </vt:variant>
      <vt:variant>
        <vt:lpwstr>https://www.itu.int/en/publications/ITU-D/pages/publications.aspx?parent=D-TDC-WTDC-2022&amp;media=electronic</vt:lpwstr>
      </vt:variant>
      <vt:variant>
        <vt:lpwstr/>
      </vt:variant>
      <vt:variant>
        <vt:i4>7012448</vt:i4>
      </vt:variant>
      <vt:variant>
        <vt:i4>12</vt:i4>
      </vt:variant>
      <vt:variant>
        <vt:i4>0</vt:i4>
      </vt:variant>
      <vt:variant>
        <vt:i4>5</vt:i4>
      </vt:variant>
      <vt:variant>
        <vt:lpwstr>https://www.itu.int/en/council/Documents/basic-texts-2023/RES-157-E.pdf</vt:lpwstr>
      </vt:variant>
      <vt:variant>
        <vt:lpwstr/>
      </vt:variant>
      <vt:variant>
        <vt:i4>7143522</vt:i4>
      </vt:variant>
      <vt:variant>
        <vt:i4>9</vt:i4>
      </vt:variant>
      <vt:variant>
        <vt:i4>0</vt:i4>
      </vt:variant>
      <vt:variant>
        <vt:i4>5</vt:i4>
      </vt:variant>
      <vt:variant>
        <vt:lpwstr>https://www.itu.int/en/council/Documents/basic-texts-2023/RES-135-E.pdf</vt:lpwstr>
      </vt:variant>
      <vt:variant>
        <vt:lpwstr/>
      </vt:variant>
      <vt:variant>
        <vt:i4>7077987</vt:i4>
      </vt:variant>
      <vt:variant>
        <vt:i4>6</vt:i4>
      </vt:variant>
      <vt:variant>
        <vt:i4>0</vt:i4>
      </vt:variant>
      <vt:variant>
        <vt:i4>5</vt:i4>
      </vt:variant>
      <vt:variant>
        <vt:lpwstr>https://www.itu.int/en/council/Documents/basic-texts-2023/RES-025-E.pdf</vt:lpwstr>
      </vt:variant>
      <vt:variant>
        <vt:lpwstr/>
      </vt:variant>
      <vt:variant>
        <vt:i4>2687086</vt:i4>
      </vt:variant>
      <vt:variant>
        <vt:i4>3</vt:i4>
      </vt:variant>
      <vt:variant>
        <vt:i4>0</vt:i4>
      </vt:variant>
      <vt:variant>
        <vt:i4>5</vt:i4>
      </vt:variant>
      <vt:variant>
        <vt:lpwstr>https://www.itu.int/en/council/Documents/basic-texts/RES-025-E.pdf</vt:lpwstr>
      </vt:variant>
      <vt:variant>
        <vt:lpwstr/>
      </vt:variant>
      <vt:variant>
        <vt:i4>8257596</vt:i4>
      </vt:variant>
      <vt:variant>
        <vt:i4>0</vt:i4>
      </vt:variant>
      <vt:variant>
        <vt:i4>0</vt:i4>
      </vt:variant>
      <vt:variant>
        <vt:i4>5</vt:i4>
      </vt:variant>
      <vt:variant>
        <vt:lpwstr>https://www.itu.int/md/S25-CL-C-0009/en</vt:lpwstr>
      </vt:variant>
      <vt:variant>
        <vt:lpwstr/>
      </vt:variant>
      <vt:variant>
        <vt:i4>196633</vt:i4>
      </vt:variant>
      <vt:variant>
        <vt:i4>3</vt:i4>
      </vt:variant>
      <vt:variant>
        <vt:i4>0</vt:i4>
      </vt:variant>
      <vt:variant>
        <vt:i4>5</vt:i4>
      </vt:variant>
      <vt:variant>
        <vt:lpwstr>https://council.itu.int/2025/en/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Inception report on the review of ITU regional presence</dc:title>
  <dc:subject>Council 2025</dc:subject>
  <cp:keywords>C25; C2025; Council 2025; ITU160</cp:keywords>
  <dc:description/>
  <cp:lastPrinted>2000-07-18T22:30:00Z</cp:lastPrinted>
  <dcterms:created xsi:type="dcterms:W3CDTF">2025-06-23T11:55:00Z</dcterms:created>
  <dcterms:modified xsi:type="dcterms:W3CDTF">2025-06-23T14:21:00Z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