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6294C5E2" w14:textId="77777777" w:rsidTr="00E31DCE">
        <w:trPr>
          <w:cantSplit/>
          <w:trHeight w:val="23"/>
        </w:trPr>
        <w:tc>
          <w:tcPr>
            <w:tcW w:w="3969" w:type="dxa"/>
            <w:vMerge w:val="restart"/>
            <w:tcMar>
              <w:left w:w="0" w:type="dxa"/>
            </w:tcMar>
          </w:tcPr>
          <w:p w14:paraId="5A37E652" w14:textId="5C6453DD"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843F10">
              <w:rPr>
                <w:rFonts w:cstheme="minorHAnsi" w:hint="eastAsia"/>
                <w:b/>
                <w:bCs/>
                <w:lang w:val="ru-RU" w:eastAsia="zh-CN"/>
              </w:rPr>
              <w:t>ADM 1</w:t>
            </w:r>
          </w:p>
        </w:tc>
        <w:tc>
          <w:tcPr>
            <w:tcW w:w="5245" w:type="dxa"/>
          </w:tcPr>
          <w:p w14:paraId="2D8BADBC" w14:textId="27E1AB76"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843F10">
              <w:rPr>
                <w:rFonts w:hint="eastAsia"/>
                <w:b/>
                <w:lang w:val="fr-CH" w:eastAsia="zh-CN"/>
              </w:rPr>
              <w:t>69</w:t>
            </w:r>
            <w:r w:rsidR="00111A96">
              <w:rPr>
                <w:b/>
                <w:lang w:val="fr-CH" w:eastAsia="zh-CN"/>
              </w:rPr>
              <w:t>(</w:t>
            </w:r>
            <w:proofErr w:type="spellStart"/>
            <w:r w:rsidR="00111A96">
              <w:rPr>
                <w:b/>
                <w:lang w:val="fr-CH" w:eastAsia="zh-CN"/>
              </w:rPr>
              <w:t>Rev.1</w:t>
            </w:r>
            <w:proofErr w:type="spellEnd"/>
            <w:r w:rsidR="00111A96">
              <w:rPr>
                <w:b/>
                <w:lang w:val="fr-CH" w:eastAsia="zh-CN"/>
              </w:rPr>
              <w:t>)</w:t>
            </w:r>
            <w:r w:rsidRPr="00E24D59">
              <w:rPr>
                <w:b/>
                <w:lang w:val="fr-CH"/>
              </w:rPr>
              <w:t>-C</w:t>
            </w:r>
          </w:p>
        </w:tc>
      </w:tr>
      <w:tr w:rsidR="00E24D59" w:rsidRPr="00813E5E" w14:paraId="47CC5AF4" w14:textId="77777777" w:rsidTr="00E31DCE">
        <w:trPr>
          <w:cantSplit/>
        </w:trPr>
        <w:tc>
          <w:tcPr>
            <w:tcW w:w="3969" w:type="dxa"/>
            <w:vMerge/>
          </w:tcPr>
          <w:p w14:paraId="00785EF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24E03134" w14:textId="74D24860" w:rsidR="00E24D59" w:rsidRPr="00E85629" w:rsidRDefault="00843F10" w:rsidP="00E31DCE">
            <w:pPr>
              <w:tabs>
                <w:tab w:val="left" w:pos="851"/>
              </w:tabs>
              <w:spacing w:before="0"/>
              <w:jc w:val="right"/>
              <w:rPr>
                <w:b/>
              </w:rPr>
            </w:pPr>
            <w:r>
              <w:rPr>
                <w:rFonts w:hint="eastAsia"/>
                <w:b/>
                <w:lang w:eastAsia="zh-CN"/>
              </w:rPr>
              <w:t>2025</w:t>
            </w:r>
            <w:r>
              <w:rPr>
                <w:rFonts w:hint="eastAsia"/>
                <w:b/>
                <w:lang w:eastAsia="zh-CN"/>
              </w:rPr>
              <w:t>年</w:t>
            </w:r>
            <w:r w:rsidR="00111A96">
              <w:rPr>
                <w:b/>
                <w:lang w:eastAsia="zh-CN"/>
              </w:rPr>
              <w:t>6</w:t>
            </w:r>
            <w:r>
              <w:rPr>
                <w:rFonts w:hint="eastAsia"/>
                <w:b/>
                <w:lang w:eastAsia="zh-CN"/>
              </w:rPr>
              <w:t>月</w:t>
            </w:r>
            <w:r w:rsidR="00111A96">
              <w:rPr>
                <w:b/>
                <w:lang w:eastAsia="zh-CN"/>
              </w:rPr>
              <w:t>23</w:t>
            </w:r>
            <w:r>
              <w:rPr>
                <w:rFonts w:hint="eastAsia"/>
                <w:b/>
                <w:lang w:eastAsia="zh-CN"/>
              </w:rPr>
              <w:t>日</w:t>
            </w:r>
          </w:p>
        </w:tc>
      </w:tr>
      <w:tr w:rsidR="00E24D59" w:rsidRPr="00813E5E" w14:paraId="2BBE5CE5" w14:textId="77777777" w:rsidTr="00E31DCE">
        <w:trPr>
          <w:cantSplit/>
          <w:trHeight w:val="23"/>
        </w:trPr>
        <w:tc>
          <w:tcPr>
            <w:tcW w:w="3969" w:type="dxa"/>
            <w:vMerge/>
          </w:tcPr>
          <w:p w14:paraId="05CA176D"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4F1650C" w14:textId="6DA9C1F8"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843F10">
              <w:rPr>
                <w:rFonts w:cstheme="minorHAnsi" w:hint="eastAsia"/>
                <w:b/>
                <w:bCs/>
                <w:lang w:val="ru-RU" w:eastAsia="zh-CN"/>
              </w:rPr>
              <w:t>英文</w:t>
            </w:r>
          </w:p>
        </w:tc>
      </w:tr>
      <w:tr w:rsidR="00E24D59" w:rsidRPr="00813E5E" w14:paraId="22B59702" w14:textId="77777777" w:rsidTr="00E31DCE">
        <w:trPr>
          <w:cantSplit/>
          <w:trHeight w:val="23"/>
        </w:trPr>
        <w:tc>
          <w:tcPr>
            <w:tcW w:w="3969" w:type="dxa"/>
          </w:tcPr>
          <w:p w14:paraId="40FE875F" w14:textId="77777777" w:rsidR="00E24D59" w:rsidRPr="00813E5E" w:rsidRDefault="00E24D59" w:rsidP="00E31DCE">
            <w:pPr>
              <w:tabs>
                <w:tab w:val="left" w:pos="851"/>
              </w:tabs>
              <w:spacing w:line="240" w:lineRule="atLeast"/>
              <w:rPr>
                <w:b/>
              </w:rPr>
            </w:pPr>
          </w:p>
        </w:tc>
        <w:tc>
          <w:tcPr>
            <w:tcW w:w="5245" w:type="dxa"/>
          </w:tcPr>
          <w:p w14:paraId="7F9C1A9B" w14:textId="77777777" w:rsidR="00E24D59" w:rsidRDefault="00E24D59" w:rsidP="00E31DCE">
            <w:pPr>
              <w:tabs>
                <w:tab w:val="left" w:pos="851"/>
              </w:tabs>
              <w:spacing w:before="0" w:line="240" w:lineRule="atLeast"/>
              <w:jc w:val="right"/>
              <w:rPr>
                <w:b/>
              </w:rPr>
            </w:pPr>
          </w:p>
        </w:tc>
      </w:tr>
      <w:tr w:rsidR="00E24D59" w:rsidRPr="00813E5E" w14:paraId="5AA2001C" w14:textId="77777777" w:rsidTr="00E31DCE">
        <w:trPr>
          <w:cantSplit/>
        </w:trPr>
        <w:tc>
          <w:tcPr>
            <w:tcW w:w="9214" w:type="dxa"/>
            <w:gridSpan w:val="2"/>
            <w:tcMar>
              <w:left w:w="0" w:type="dxa"/>
            </w:tcMar>
          </w:tcPr>
          <w:p w14:paraId="2B6EF461"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3A9D67BF" w14:textId="77777777" w:rsidTr="00E31DCE">
        <w:trPr>
          <w:cantSplit/>
        </w:trPr>
        <w:tc>
          <w:tcPr>
            <w:tcW w:w="9214" w:type="dxa"/>
            <w:gridSpan w:val="2"/>
            <w:tcMar>
              <w:left w:w="0" w:type="dxa"/>
            </w:tcMar>
          </w:tcPr>
          <w:p w14:paraId="13EB07F8" w14:textId="4044CEAC" w:rsidR="00E24D59" w:rsidRPr="00843F10" w:rsidRDefault="00843F10" w:rsidP="00E31DCE">
            <w:pPr>
              <w:pStyle w:val="Subtitle"/>
              <w:framePr w:hSpace="0" w:wrap="auto" w:hAnchor="text" w:xAlign="left" w:yAlign="inline"/>
              <w:rPr>
                <w:rFonts w:eastAsia="SimSun" w:cs="Calibri"/>
                <w:lang w:eastAsia="zh-CN"/>
              </w:rPr>
            </w:pPr>
            <w:bookmarkStart w:id="6" w:name="dtitle1" w:colFirst="0" w:colLast="0"/>
            <w:bookmarkEnd w:id="5"/>
            <w:r w:rsidRPr="00843F10">
              <w:rPr>
                <w:rFonts w:eastAsia="SimSun" w:cs="Calibri" w:hint="eastAsia"/>
                <w:lang w:eastAsia="zh-CN"/>
              </w:rPr>
              <w:t>关于审查国际电</w:t>
            </w:r>
            <w:proofErr w:type="gramStart"/>
            <w:r w:rsidRPr="00843F10">
              <w:rPr>
                <w:rFonts w:eastAsia="SimSun" w:cs="Calibri" w:hint="eastAsia"/>
                <w:lang w:eastAsia="zh-CN"/>
              </w:rPr>
              <w:t>联区域</w:t>
            </w:r>
            <w:proofErr w:type="gramEnd"/>
            <w:r w:rsidRPr="00843F10">
              <w:rPr>
                <w:rFonts w:eastAsia="SimSun" w:cs="Calibri" w:hint="eastAsia"/>
                <w:lang w:eastAsia="zh-CN"/>
              </w:rPr>
              <w:t>代表性的</w:t>
            </w:r>
            <w:r w:rsidR="00242C1E">
              <w:rPr>
                <w:rFonts w:eastAsia="SimSun" w:cs="Calibri" w:hint="eastAsia"/>
                <w:lang w:eastAsia="zh-CN"/>
              </w:rPr>
              <w:t>初始</w:t>
            </w:r>
            <w:r w:rsidRPr="00843F10">
              <w:rPr>
                <w:rFonts w:eastAsia="SimSun" w:cs="Calibri" w:hint="eastAsia"/>
                <w:lang w:eastAsia="zh-CN"/>
              </w:rPr>
              <w:t>报告</w:t>
            </w:r>
          </w:p>
        </w:tc>
      </w:tr>
      <w:tr w:rsidR="00E24D59" w:rsidRPr="00813E5E" w14:paraId="4A682F78" w14:textId="77777777" w:rsidTr="00E31DCE">
        <w:trPr>
          <w:cantSplit/>
        </w:trPr>
        <w:tc>
          <w:tcPr>
            <w:tcW w:w="9214" w:type="dxa"/>
            <w:gridSpan w:val="2"/>
            <w:tcBorders>
              <w:top w:val="single" w:sz="4" w:space="0" w:color="auto"/>
              <w:bottom w:val="single" w:sz="4" w:space="0" w:color="auto"/>
            </w:tcBorders>
            <w:tcMar>
              <w:left w:w="0" w:type="dxa"/>
            </w:tcMar>
          </w:tcPr>
          <w:p w14:paraId="43A1DC22" w14:textId="77777777" w:rsidR="003F086E" w:rsidRPr="00477D57" w:rsidRDefault="003F086E" w:rsidP="00477D57">
            <w:pPr>
              <w:rPr>
                <w:b/>
                <w:bCs/>
                <w:lang w:eastAsia="zh-CN"/>
              </w:rPr>
            </w:pPr>
            <w:r w:rsidRPr="00477D57">
              <w:rPr>
                <w:b/>
                <w:bCs/>
                <w:lang w:eastAsia="zh-CN"/>
              </w:rPr>
              <w:t>目的</w:t>
            </w:r>
            <w:r w:rsidRPr="00477D57">
              <w:rPr>
                <w:rFonts w:hint="eastAsia"/>
                <w:b/>
                <w:bCs/>
                <w:lang w:eastAsia="zh-CN"/>
              </w:rPr>
              <w:t xml:space="preserve"> </w:t>
            </w:r>
          </w:p>
          <w:p w14:paraId="3386E4B6" w14:textId="48D7FD39" w:rsidR="003F086E" w:rsidRPr="00477D57" w:rsidRDefault="00843F10" w:rsidP="007B2063">
            <w:pPr>
              <w:ind w:firstLineChars="200" w:firstLine="480"/>
              <w:rPr>
                <w:rFonts w:asciiTheme="majorEastAsia" w:eastAsiaTheme="majorEastAsia" w:hAnsiTheme="majorEastAsia"/>
                <w:lang w:eastAsia="zh-CN"/>
              </w:rPr>
            </w:pPr>
            <w:r w:rsidRPr="00317115">
              <w:rPr>
                <w:rFonts w:asciiTheme="minorEastAsia" w:hAnsiTheme="minorEastAsia" w:cs="Microsoft YaHei" w:hint="eastAsia"/>
                <w:lang w:eastAsia="zh-CN"/>
              </w:rPr>
              <w:t>本报告提出</w:t>
            </w:r>
            <w:r>
              <w:rPr>
                <w:rFonts w:asciiTheme="minorEastAsia" w:hAnsiTheme="minorEastAsia" w:cs="Microsoft YaHei" w:hint="eastAsia"/>
                <w:lang w:eastAsia="zh-CN"/>
              </w:rPr>
              <w:t>的</w:t>
            </w:r>
            <w:r w:rsidRPr="00317115">
              <w:rPr>
                <w:rFonts w:asciiTheme="minorEastAsia" w:hAnsiTheme="minorEastAsia" w:cs="Microsoft YaHei" w:hint="eastAsia"/>
                <w:lang w:eastAsia="zh-CN"/>
              </w:rPr>
              <w:t>建议</w:t>
            </w:r>
            <w:r>
              <w:rPr>
                <w:rFonts w:asciiTheme="minorEastAsia" w:hAnsiTheme="minorEastAsia" w:cs="Microsoft YaHei" w:hint="eastAsia"/>
                <w:lang w:eastAsia="zh-CN"/>
              </w:rPr>
              <w:t>可</w:t>
            </w:r>
            <w:r w:rsidRPr="00317115">
              <w:rPr>
                <w:rFonts w:asciiTheme="minorEastAsia" w:hAnsiTheme="minorEastAsia" w:cs="Microsoft YaHei" w:hint="eastAsia"/>
                <w:lang w:eastAsia="zh-CN"/>
              </w:rPr>
              <w:t>指导理事会审议国际电</w:t>
            </w:r>
            <w:proofErr w:type="gramStart"/>
            <w:r w:rsidRPr="00317115">
              <w:rPr>
                <w:rFonts w:asciiTheme="minorEastAsia" w:hAnsiTheme="minorEastAsia" w:cs="Microsoft YaHei" w:hint="eastAsia"/>
                <w:lang w:eastAsia="zh-CN"/>
              </w:rPr>
              <w:t>联区域</w:t>
            </w:r>
            <w:proofErr w:type="gramEnd"/>
            <w:r w:rsidRPr="00317115">
              <w:rPr>
                <w:rFonts w:asciiTheme="minorEastAsia" w:hAnsiTheme="minorEastAsia" w:cs="Microsoft YaHei" w:hint="eastAsia"/>
                <w:lang w:eastAsia="zh-CN"/>
              </w:rPr>
              <w:t>代表</w:t>
            </w:r>
            <w:r>
              <w:rPr>
                <w:rFonts w:asciiTheme="minorEastAsia" w:hAnsiTheme="minorEastAsia" w:cs="Microsoft YaHei" w:hint="eastAsia"/>
                <w:lang w:eastAsia="zh-CN"/>
              </w:rPr>
              <w:t>性审查</w:t>
            </w:r>
            <w:r w:rsidRPr="00317115">
              <w:rPr>
                <w:rFonts w:asciiTheme="minorEastAsia" w:hAnsiTheme="minorEastAsia" w:cs="Microsoft YaHei" w:hint="eastAsia"/>
                <w:lang w:eastAsia="zh-CN"/>
              </w:rPr>
              <w:t>职责范围（</w:t>
            </w:r>
            <w:proofErr w:type="spellStart"/>
            <w:r w:rsidRPr="00317115">
              <w:rPr>
                <w:rFonts w:cs="Calibri"/>
                <w:lang w:eastAsia="zh-CN"/>
              </w:rPr>
              <w:t>ToR</w:t>
            </w:r>
            <w:proofErr w:type="spellEnd"/>
            <w:r w:rsidRPr="00317115">
              <w:rPr>
                <w:rFonts w:asciiTheme="minorEastAsia" w:hAnsiTheme="minorEastAsia" w:cs="Microsoft YaHei" w:hint="eastAsia"/>
                <w:lang w:eastAsia="zh-CN"/>
              </w:rPr>
              <w:t>）。</w:t>
            </w:r>
          </w:p>
          <w:p w14:paraId="5900E438" w14:textId="77777777" w:rsidR="003F086E" w:rsidRPr="00477D57" w:rsidRDefault="003F086E" w:rsidP="00477D57">
            <w:pPr>
              <w:rPr>
                <w:b/>
                <w:bCs/>
                <w:lang w:eastAsia="zh-CN"/>
              </w:rPr>
            </w:pPr>
            <w:r w:rsidRPr="00477D57">
              <w:rPr>
                <w:b/>
                <w:bCs/>
                <w:lang w:eastAsia="zh-CN"/>
              </w:rPr>
              <w:t>理事会需采取的行动</w:t>
            </w:r>
          </w:p>
          <w:p w14:paraId="12402AD6" w14:textId="32DD5BC7" w:rsidR="003F086E" w:rsidRPr="00477D57" w:rsidRDefault="00843F10" w:rsidP="007B2063">
            <w:pPr>
              <w:ind w:firstLineChars="200" w:firstLine="480"/>
              <w:rPr>
                <w:rFonts w:asciiTheme="majorEastAsia" w:eastAsiaTheme="majorEastAsia" w:hAnsiTheme="majorEastAsia"/>
                <w:lang w:eastAsia="zh-CN"/>
              </w:rPr>
            </w:pPr>
            <w:r w:rsidRPr="00317115">
              <w:rPr>
                <w:rFonts w:hint="eastAsia"/>
                <w:lang w:eastAsia="zh-CN"/>
              </w:rPr>
              <w:t>请理事会</w:t>
            </w:r>
            <w:r w:rsidRPr="00317115">
              <w:rPr>
                <w:rFonts w:hint="eastAsia"/>
                <w:b/>
                <w:bCs/>
                <w:lang w:eastAsia="zh-CN"/>
              </w:rPr>
              <w:t>审议</w:t>
            </w:r>
            <w:r w:rsidRPr="00317115">
              <w:rPr>
                <w:rFonts w:hint="eastAsia"/>
                <w:lang w:eastAsia="zh-CN"/>
              </w:rPr>
              <w:t>本报告。</w:t>
            </w:r>
          </w:p>
          <w:p w14:paraId="42B81C33"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2C1E9CCE" w14:textId="6F86D5AC" w:rsidR="003F086E" w:rsidRPr="00477D57" w:rsidRDefault="00843F10" w:rsidP="007B2063">
            <w:pPr>
              <w:ind w:firstLineChars="200" w:firstLine="480"/>
              <w:rPr>
                <w:rFonts w:asciiTheme="majorEastAsia" w:eastAsiaTheme="majorEastAsia" w:hAnsiTheme="majorEastAsia"/>
                <w:lang w:eastAsia="zh-CN"/>
              </w:rPr>
            </w:pPr>
            <w:r>
              <w:rPr>
                <w:rFonts w:hint="eastAsia"/>
                <w:lang w:eastAsia="zh-CN"/>
              </w:rPr>
              <w:t>区域代表性。</w:t>
            </w:r>
          </w:p>
          <w:p w14:paraId="2D72613B" w14:textId="77777777" w:rsidR="003F086E" w:rsidRPr="00477D57" w:rsidRDefault="003F086E" w:rsidP="00477D57">
            <w:pPr>
              <w:rPr>
                <w:b/>
                <w:bCs/>
                <w:lang w:eastAsia="zh-CN"/>
              </w:rPr>
            </w:pPr>
            <w:r w:rsidRPr="00477D57">
              <w:rPr>
                <w:b/>
                <w:bCs/>
                <w:lang w:eastAsia="zh-CN"/>
              </w:rPr>
              <w:t>财务影响</w:t>
            </w:r>
          </w:p>
          <w:p w14:paraId="1808D879" w14:textId="608AA0F2" w:rsidR="008F64AD" w:rsidRPr="00477D57" w:rsidRDefault="00111A96" w:rsidP="007B2063">
            <w:pPr>
              <w:ind w:firstLineChars="200" w:firstLine="480"/>
              <w:rPr>
                <w:rFonts w:asciiTheme="majorEastAsia" w:eastAsiaTheme="majorEastAsia" w:hAnsiTheme="majorEastAsia"/>
                <w:lang w:eastAsia="zh-CN"/>
              </w:rPr>
            </w:pPr>
            <w:r>
              <w:rPr>
                <w:rFonts w:hint="eastAsia"/>
                <w:lang w:val="en-US" w:eastAsia="zh-CN"/>
              </w:rPr>
              <w:t>影响没有超过已批准的预算</w:t>
            </w:r>
            <w:r w:rsidR="00843F10" w:rsidRPr="00317115">
              <w:rPr>
                <w:rFonts w:hint="eastAsia"/>
                <w:lang w:eastAsia="zh-CN"/>
              </w:rPr>
              <w:t>。</w:t>
            </w:r>
          </w:p>
          <w:p w14:paraId="26654ABD"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6F0F1A8" w14:textId="77777777" w:rsidR="00E24D59" w:rsidRPr="00477D57" w:rsidRDefault="00E24D59" w:rsidP="00477D57">
            <w:pPr>
              <w:rPr>
                <w:b/>
                <w:bCs/>
                <w:lang w:eastAsia="zh-CN"/>
              </w:rPr>
            </w:pPr>
            <w:r w:rsidRPr="00477D57">
              <w:rPr>
                <w:rFonts w:hint="eastAsia"/>
                <w:b/>
                <w:bCs/>
                <w:lang w:eastAsia="zh-CN"/>
              </w:rPr>
              <w:t>参考文件</w:t>
            </w:r>
          </w:p>
          <w:p w14:paraId="347367F7" w14:textId="10776452" w:rsidR="00E24D59" w:rsidRPr="00477D57" w:rsidRDefault="00843F10" w:rsidP="007B2063">
            <w:pPr>
              <w:spacing w:after="120"/>
              <w:ind w:firstLineChars="200" w:firstLine="440"/>
              <w:rPr>
                <w:rFonts w:asciiTheme="majorEastAsia" w:eastAsiaTheme="majorEastAsia" w:hAnsiTheme="majorEastAsia"/>
                <w:i/>
                <w:iCs/>
                <w:sz w:val="22"/>
                <w:szCs w:val="22"/>
                <w:lang w:eastAsia="zh-CN"/>
              </w:rPr>
            </w:pPr>
            <w:r w:rsidRPr="00317115">
              <w:rPr>
                <w:rFonts w:eastAsia="STKaiti" w:hint="eastAsia"/>
                <w:sz w:val="22"/>
                <w:szCs w:val="22"/>
                <w:lang w:eastAsia="zh-CN"/>
              </w:rPr>
              <w:t>全权代表大会</w:t>
            </w:r>
            <w:r>
              <w:fldChar w:fldCharType="begin"/>
            </w:r>
            <w:r>
              <w:rPr>
                <w:lang w:eastAsia="zh-CN"/>
              </w:rPr>
              <w:instrText>HYPERLINK "https://www.itu.int/en/council/Documents/basic-texts/RES-025-C.pdf"</w:instrText>
            </w:r>
            <w:r>
              <w:fldChar w:fldCharType="separate"/>
            </w:r>
            <w:r w:rsidRPr="00317115">
              <w:rPr>
                <w:rStyle w:val="Hyperlink"/>
                <w:rFonts w:eastAsia="STKaiti" w:hint="eastAsia"/>
                <w:sz w:val="22"/>
                <w:szCs w:val="22"/>
                <w:lang w:eastAsia="zh-CN"/>
              </w:rPr>
              <w:t>第</w:t>
            </w:r>
            <w:r w:rsidRPr="00317115">
              <w:rPr>
                <w:rStyle w:val="Hyperlink"/>
                <w:rFonts w:eastAsia="STKaiti" w:hint="eastAsia"/>
                <w:sz w:val="22"/>
                <w:szCs w:val="22"/>
                <w:lang w:eastAsia="zh-CN"/>
              </w:rPr>
              <w:t>25</w:t>
            </w:r>
            <w:r w:rsidRPr="00317115">
              <w:rPr>
                <w:rStyle w:val="Hyperlink"/>
                <w:rFonts w:eastAsia="STKaiti" w:hint="eastAsia"/>
                <w:sz w:val="22"/>
                <w:szCs w:val="22"/>
                <w:lang w:eastAsia="zh-CN"/>
              </w:rPr>
              <w:t>号决议（</w:t>
            </w:r>
            <w:r w:rsidRPr="00317115">
              <w:rPr>
                <w:rStyle w:val="Hyperlink"/>
                <w:rFonts w:eastAsia="STKaiti" w:hint="eastAsia"/>
                <w:sz w:val="22"/>
                <w:szCs w:val="22"/>
                <w:lang w:eastAsia="zh-CN"/>
              </w:rPr>
              <w:t>2018</w:t>
            </w:r>
            <w:r w:rsidRPr="00317115">
              <w:rPr>
                <w:rStyle w:val="Hyperlink"/>
                <w:rFonts w:eastAsia="STKaiti" w:hint="eastAsia"/>
                <w:sz w:val="22"/>
                <w:szCs w:val="22"/>
                <w:lang w:eastAsia="zh-CN"/>
              </w:rPr>
              <w:t>年，迪拜，修订版）</w:t>
            </w:r>
            <w:r>
              <w:fldChar w:fldCharType="end"/>
            </w:r>
            <w:r w:rsidRPr="00317115">
              <w:rPr>
                <w:rFonts w:eastAsia="STKaiti" w:hint="eastAsia"/>
                <w:sz w:val="22"/>
                <w:szCs w:val="22"/>
                <w:lang w:eastAsia="zh-CN"/>
              </w:rPr>
              <w:t>、</w:t>
            </w:r>
            <w:r>
              <w:fldChar w:fldCharType="begin"/>
            </w:r>
            <w:r>
              <w:rPr>
                <w:lang w:eastAsia="zh-CN"/>
              </w:rPr>
              <w:instrText>HYPERLINK "https://www.itu.int/en/council/Documents/basic-texts-2023/RES-025-C.pdf"</w:instrText>
            </w:r>
            <w:r>
              <w:fldChar w:fldCharType="separate"/>
            </w:r>
            <w:r w:rsidRPr="00317115">
              <w:rPr>
                <w:rStyle w:val="Hyperlink"/>
                <w:rFonts w:eastAsia="STKaiti" w:hint="eastAsia"/>
                <w:sz w:val="22"/>
                <w:szCs w:val="22"/>
                <w:lang w:eastAsia="zh-CN"/>
              </w:rPr>
              <w:t>第</w:t>
            </w:r>
            <w:r w:rsidRPr="00317115">
              <w:rPr>
                <w:rStyle w:val="Hyperlink"/>
                <w:rFonts w:eastAsia="STKaiti" w:hint="eastAsia"/>
                <w:sz w:val="22"/>
                <w:szCs w:val="22"/>
                <w:lang w:eastAsia="zh-CN"/>
              </w:rPr>
              <w:t>25</w:t>
            </w:r>
            <w:r w:rsidRPr="00317115">
              <w:rPr>
                <w:rStyle w:val="Hyperlink"/>
                <w:rFonts w:eastAsia="STKaiti" w:hint="eastAsia"/>
                <w:sz w:val="22"/>
                <w:szCs w:val="22"/>
                <w:lang w:eastAsia="zh-CN"/>
              </w:rPr>
              <w:t>号决议（</w:t>
            </w:r>
            <w:r w:rsidRPr="00317115">
              <w:rPr>
                <w:rStyle w:val="Hyperlink"/>
                <w:rFonts w:eastAsia="STKaiti" w:hint="eastAsia"/>
                <w:sz w:val="22"/>
                <w:szCs w:val="22"/>
                <w:lang w:eastAsia="zh-CN"/>
              </w:rPr>
              <w:t>2022</w:t>
            </w:r>
            <w:r w:rsidRPr="00317115">
              <w:rPr>
                <w:rStyle w:val="Hyperlink"/>
                <w:rFonts w:eastAsia="STKaiti" w:hint="eastAsia"/>
                <w:sz w:val="22"/>
                <w:szCs w:val="22"/>
                <w:lang w:eastAsia="zh-CN"/>
              </w:rPr>
              <w:t>年，布加勒斯特，修订版）</w:t>
            </w:r>
            <w:r>
              <w:fldChar w:fldCharType="end"/>
            </w:r>
            <w:r w:rsidRPr="00317115">
              <w:rPr>
                <w:rFonts w:eastAsia="STKaiti" w:hint="eastAsia"/>
                <w:sz w:val="22"/>
                <w:szCs w:val="22"/>
                <w:lang w:eastAsia="zh-CN"/>
              </w:rPr>
              <w:t>、</w:t>
            </w:r>
            <w:r>
              <w:fldChar w:fldCharType="begin"/>
            </w:r>
            <w:r>
              <w:rPr>
                <w:lang w:eastAsia="zh-CN"/>
              </w:rPr>
              <w:instrText>HYPERLINK "https://www.itu.int/en/council/Documents/basic-texts-2023/RES-135-C.pdf"</w:instrText>
            </w:r>
            <w:r>
              <w:fldChar w:fldCharType="separate"/>
            </w:r>
            <w:r w:rsidRPr="00317115">
              <w:rPr>
                <w:rStyle w:val="Hyperlink"/>
                <w:rFonts w:eastAsia="STKaiti" w:hint="eastAsia"/>
                <w:sz w:val="22"/>
                <w:szCs w:val="22"/>
                <w:lang w:eastAsia="zh-CN"/>
              </w:rPr>
              <w:t>第</w:t>
            </w:r>
            <w:r w:rsidRPr="00317115">
              <w:rPr>
                <w:rStyle w:val="Hyperlink"/>
                <w:rFonts w:eastAsia="STKaiti" w:hint="eastAsia"/>
                <w:sz w:val="22"/>
                <w:szCs w:val="22"/>
                <w:lang w:eastAsia="zh-CN"/>
              </w:rPr>
              <w:t>135</w:t>
            </w:r>
            <w:r w:rsidRPr="00317115">
              <w:rPr>
                <w:rStyle w:val="Hyperlink"/>
                <w:rFonts w:eastAsia="STKaiti" w:hint="eastAsia"/>
                <w:sz w:val="22"/>
                <w:szCs w:val="22"/>
                <w:lang w:eastAsia="zh-CN"/>
              </w:rPr>
              <w:t>号决议（</w:t>
            </w:r>
            <w:r w:rsidRPr="00317115">
              <w:rPr>
                <w:rStyle w:val="Hyperlink"/>
                <w:rFonts w:eastAsia="STKaiti" w:hint="eastAsia"/>
                <w:sz w:val="22"/>
                <w:szCs w:val="22"/>
                <w:lang w:eastAsia="zh-CN"/>
              </w:rPr>
              <w:t>2022</w:t>
            </w:r>
            <w:r w:rsidRPr="00317115">
              <w:rPr>
                <w:rStyle w:val="Hyperlink"/>
                <w:rFonts w:eastAsia="STKaiti" w:hint="eastAsia"/>
                <w:sz w:val="22"/>
                <w:szCs w:val="22"/>
                <w:lang w:eastAsia="zh-CN"/>
              </w:rPr>
              <w:t>年，布加勒斯特，修订版）</w:t>
            </w:r>
            <w:r>
              <w:fldChar w:fldCharType="end"/>
            </w:r>
            <w:r w:rsidRPr="00317115">
              <w:rPr>
                <w:rFonts w:eastAsia="STKaiti" w:hint="eastAsia"/>
                <w:sz w:val="22"/>
                <w:szCs w:val="22"/>
                <w:lang w:eastAsia="zh-CN"/>
              </w:rPr>
              <w:t>和</w:t>
            </w:r>
            <w:r>
              <w:fldChar w:fldCharType="begin"/>
            </w:r>
            <w:r>
              <w:rPr>
                <w:lang w:eastAsia="zh-CN"/>
              </w:rPr>
              <w:instrText>HYPERLINK "https://www.itu.int/en/council/Documents/basic-texts-2023/RES-157-C.pdf"</w:instrText>
            </w:r>
            <w:r>
              <w:fldChar w:fldCharType="separate"/>
            </w:r>
            <w:r w:rsidRPr="00317115">
              <w:rPr>
                <w:rStyle w:val="Hyperlink"/>
                <w:rFonts w:eastAsia="STKaiti" w:hint="eastAsia"/>
                <w:sz w:val="22"/>
                <w:szCs w:val="22"/>
                <w:lang w:eastAsia="zh-CN"/>
              </w:rPr>
              <w:t>第</w:t>
            </w:r>
            <w:r w:rsidRPr="00317115">
              <w:rPr>
                <w:rStyle w:val="Hyperlink"/>
                <w:rFonts w:eastAsia="STKaiti" w:hint="eastAsia"/>
                <w:sz w:val="22"/>
                <w:szCs w:val="22"/>
                <w:lang w:eastAsia="zh-CN"/>
              </w:rPr>
              <w:t>157</w:t>
            </w:r>
            <w:r w:rsidRPr="00317115">
              <w:rPr>
                <w:rStyle w:val="Hyperlink"/>
                <w:rFonts w:eastAsia="STKaiti" w:hint="eastAsia"/>
                <w:sz w:val="22"/>
                <w:szCs w:val="22"/>
                <w:lang w:eastAsia="zh-CN"/>
              </w:rPr>
              <w:t>号决议（</w:t>
            </w:r>
            <w:r w:rsidRPr="00317115">
              <w:rPr>
                <w:rStyle w:val="Hyperlink"/>
                <w:rFonts w:eastAsia="STKaiti" w:hint="eastAsia"/>
                <w:sz w:val="22"/>
                <w:szCs w:val="22"/>
                <w:lang w:eastAsia="zh-CN"/>
              </w:rPr>
              <w:t>2022</w:t>
            </w:r>
            <w:r w:rsidRPr="00317115">
              <w:rPr>
                <w:rStyle w:val="Hyperlink"/>
                <w:rFonts w:eastAsia="STKaiti" w:hint="eastAsia"/>
                <w:sz w:val="22"/>
                <w:szCs w:val="22"/>
                <w:lang w:eastAsia="zh-CN"/>
              </w:rPr>
              <w:t>年，布加勒斯特，修订版）</w:t>
            </w:r>
            <w:r>
              <w:fldChar w:fldCharType="end"/>
            </w:r>
            <w:r>
              <w:rPr>
                <w:rFonts w:eastAsia="STKaiti" w:hint="eastAsia"/>
                <w:sz w:val="22"/>
                <w:szCs w:val="22"/>
                <w:lang w:eastAsia="zh-CN"/>
              </w:rPr>
              <w:t>；</w:t>
            </w:r>
            <w:r>
              <w:fldChar w:fldCharType="begin"/>
            </w:r>
            <w:r>
              <w:rPr>
                <w:lang w:eastAsia="zh-CN"/>
              </w:rPr>
              <w:instrText>HYPERLINK "https://www.itu.int/en/publications/ITU-D/pages/publications.aspx?parent=D-TDC-WTDC-2022&amp;media=electronic"</w:instrText>
            </w:r>
            <w:r>
              <w:fldChar w:fldCharType="separate"/>
            </w:r>
            <w:r w:rsidRPr="00317115">
              <w:rPr>
                <w:rStyle w:val="Hyperlink"/>
                <w:rFonts w:eastAsia="STKaiti" w:hint="eastAsia"/>
                <w:sz w:val="22"/>
                <w:szCs w:val="22"/>
                <w:lang w:eastAsia="zh-CN"/>
              </w:rPr>
              <w:t>世界电信发展大会《基加利行动计划最后报告》（</w:t>
            </w:r>
            <w:r w:rsidRPr="00317115">
              <w:rPr>
                <w:rStyle w:val="Hyperlink"/>
                <w:rFonts w:eastAsia="STKaiti" w:hint="eastAsia"/>
                <w:sz w:val="22"/>
                <w:szCs w:val="22"/>
                <w:lang w:eastAsia="zh-CN"/>
              </w:rPr>
              <w:t>2022</w:t>
            </w:r>
            <w:r w:rsidRPr="00317115">
              <w:rPr>
                <w:rStyle w:val="Hyperlink"/>
                <w:rFonts w:eastAsia="STKaiti" w:hint="eastAsia"/>
                <w:sz w:val="22"/>
                <w:szCs w:val="22"/>
                <w:lang w:eastAsia="zh-CN"/>
              </w:rPr>
              <w:t>年，基加利）</w:t>
            </w:r>
            <w:r>
              <w:fldChar w:fldCharType="end"/>
            </w:r>
            <w:r w:rsidRPr="00317115">
              <w:rPr>
                <w:rFonts w:eastAsia="STKaiti" w:hint="eastAsia"/>
                <w:sz w:val="22"/>
                <w:szCs w:val="22"/>
                <w:lang w:eastAsia="zh-CN"/>
              </w:rPr>
              <w:t>。</w:t>
            </w:r>
          </w:p>
        </w:tc>
      </w:tr>
      <w:bookmarkEnd w:id="2"/>
      <w:bookmarkEnd w:id="6"/>
    </w:tbl>
    <w:p w14:paraId="19F1E60A"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7012C022"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EBA50E3" w14:textId="1A610F5D" w:rsidR="00843F10" w:rsidRPr="00973596" w:rsidRDefault="00843F10" w:rsidP="00843F10">
      <w:pPr>
        <w:pStyle w:val="Heading1"/>
        <w:ind w:left="0" w:firstLine="0"/>
        <w:rPr>
          <w:lang w:val="en-US" w:eastAsia="zh-CN"/>
        </w:rPr>
      </w:pPr>
      <w:r w:rsidRPr="00814507">
        <w:rPr>
          <w:lang w:val="en-US" w:eastAsia="zh-CN"/>
        </w:rPr>
        <w:lastRenderedPageBreak/>
        <w:t>1</w:t>
      </w:r>
      <w:r w:rsidRPr="00814507">
        <w:rPr>
          <w:lang w:val="en-US" w:eastAsia="zh-CN"/>
        </w:rPr>
        <w:tab/>
      </w:r>
      <w:r w:rsidRPr="00317115">
        <w:rPr>
          <w:rFonts w:hint="eastAsia"/>
          <w:lang w:val="en-US" w:eastAsia="zh-CN"/>
        </w:rPr>
        <w:t>引言</w:t>
      </w:r>
      <w:r w:rsidRPr="00317115">
        <w:rPr>
          <w:rFonts w:hint="eastAsia"/>
          <w:lang w:val="en-US" w:eastAsia="zh-CN"/>
        </w:rPr>
        <w:t>/</w:t>
      </w:r>
      <w:r w:rsidRPr="00317115">
        <w:rPr>
          <w:rFonts w:hint="eastAsia"/>
          <w:lang w:val="en-US" w:eastAsia="zh-CN"/>
        </w:rPr>
        <w:t>背景</w:t>
      </w:r>
    </w:p>
    <w:p w14:paraId="0CBDE58A" w14:textId="77777777" w:rsidR="00843F10" w:rsidRPr="007E66C3" w:rsidRDefault="00843F10" w:rsidP="000E7FAD">
      <w:pPr>
        <w:ind w:firstLineChars="200" w:firstLine="480"/>
        <w:jc w:val="both"/>
        <w:rPr>
          <w:rStyle w:val="normaltextrun"/>
          <w:rFonts w:asciiTheme="minorHAnsi" w:eastAsiaTheme="minorEastAsia" w:hAnsiTheme="minorHAnsi" w:cstheme="minorHAnsi"/>
          <w:color w:val="000000" w:themeColor="text1"/>
          <w:lang w:eastAsia="zh-CN"/>
        </w:rPr>
      </w:pPr>
      <w:r w:rsidRPr="00317115">
        <w:rPr>
          <w:rStyle w:val="normaltextrun"/>
          <w:rFonts w:asciiTheme="minorHAnsi" w:eastAsiaTheme="minorEastAsia" w:hAnsiTheme="minorHAnsi" w:cstheme="minorHAnsi" w:hint="eastAsia"/>
          <w:color w:val="000000" w:themeColor="text1"/>
          <w:lang w:eastAsia="zh-CN"/>
        </w:rPr>
        <w:t>在</w:t>
      </w:r>
      <w:r w:rsidRPr="00317115">
        <w:rPr>
          <w:rStyle w:val="normaltextrun"/>
          <w:rFonts w:asciiTheme="minorHAnsi" w:eastAsiaTheme="minorEastAsia" w:hAnsiTheme="minorHAnsi" w:cstheme="minorHAnsi" w:hint="eastAsia"/>
          <w:color w:val="000000" w:themeColor="text1"/>
          <w:lang w:eastAsia="zh-CN"/>
        </w:rPr>
        <w:t>2024</w:t>
      </w:r>
      <w:r w:rsidRPr="00317115">
        <w:rPr>
          <w:rStyle w:val="normaltextrun"/>
          <w:rFonts w:asciiTheme="minorHAnsi" w:eastAsiaTheme="minorEastAsia" w:hAnsiTheme="minorHAnsi" w:cstheme="minorHAnsi" w:hint="eastAsia"/>
          <w:color w:val="000000" w:themeColor="text1"/>
          <w:lang w:eastAsia="zh-CN"/>
        </w:rPr>
        <w:t>年</w:t>
      </w:r>
      <w:r w:rsidRPr="00317115">
        <w:rPr>
          <w:rStyle w:val="normaltextrun"/>
          <w:rFonts w:asciiTheme="minorHAnsi" w:eastAsiaTheme="minorEastAsia" w:hAnsiTheme="minorHAnsi" w:cstheme="minorHAnsi" w:hint="eastAsia"/>
          <w:color w:val="000000" w:themeColor="text1"/>
          <w:lang w:eastAsia="zh-CN"/>
        </w:rPr>
        <w:t>9</w:t>
      </w:r>
      <w:r w:rsidRPr="00317115">
        <w:rPr>
          <w:rStyle w:val="normaltextrun"/>
          <w:rFonts w:asciiTheme="minorHAnsi" w:eastAsiaTheme="minorEastAsia" w:hAnsiTheme="minorHAnsi" w:cstheme="minorHAnsi" w:hint="eastAsia"/>
          <w:color w:val="000000" w:themeColor="text1"/>
          <w:lang w:eastAsia="zh-CN"/>
        </w:rPr>
        <w:t>月</w:t>
      </w:r>
      <w:r w:rsidRPr="00317115">
        <w:rPr>
          <w:rStyle w:val="normaltextrun"/>
          <w:rFonts w:asciiTheme="minorHAnsi" w:eastAsiaTheme="minorEastAsia" w:hAnsiTheme="minorHAnsi" w:cstheme="minorHAnsi" w:hint="eastAsia"/>
          <w:color w:val="000000" w:themeColor="text1"/>
          <w:lang w:eastAsia="zh-CN"/>
        </w:rPr>
        <w:t>30</w:t>
      </w:r>
      <w:r w:rsidRPr="00317115">
        <w:rPr>
          <w:rStyle w:val="normaltextrun"/>
          <w:rFonts w:asciiTheme="minorHAnsi" w:eastAsiaTheme="minorEastAsia" w:hAnsiTheme="minorHAnsi" w:cstheme="minorHAnsi" w:hint="eastAsia"/>
          <w:color w:val="000000" w:themeColor="text1"/>
          <w:lang w:eastAsia="zh-CN"/>
        </w:rPr>
        <w:t>日至</w:t>
      </w:r>
      <w:r w:rsidRPr="00317115">
        <w:rPr>
          <w:rStyle w:val="normaltextrun"/>
          <w:rFonts w:asciiTheme="minorHAnsi" w:eastAsiaTheme="minorEastAsia" w:hAnsiTheme="minorHAnsi" w:cstheme="minorHAnsi" w:hint="eastAsia"/>
          <w:color w:val="000000" w:themeColor="text1"/>
          <w:lang w:eastAsia="zh-CN"/>
        </w:rPr>
        <w:t>10</w:t>
      </w:r>
      <w:r w:rsidRPr="00317115">
        <w:rPr>
          <w:rStyle w:val="normaltextrun"/>
          <w:rFonts w:asciiTheme="minorHAnsi" w:eastAsiaTheme="minorEastAsia" w:hAnsiTheme="minorHAnsi" w:cstheme="minorHAnsi" w:hint="eastAsia"/>
          <w:color w:val="000000" w:themeColor="text1"/>
          <w:lang w:eastAsia="zh-CN"/>
        </w:rPr>
        <w:t>月</w:t>
      </w:r>
      <w:r w:rsidRPr="00317115">
        <w:rPr>
          <w:rStyle w:val="normaltextrun"/>
          <w:rFonts w:asciiTheme="minorHAnsi" w:eastAsiaTheme="minorEastAsia" w:hAnsiTheme="minorHAnsi" w:cstheme="minorHAnsi" w:hint="eastAsia"/>
          <w:color w:val="000000" w:themeColor="text1"/>
          <w:lang w:eastAsia="zh-CN"/>
        </w:rPr>
        <w:t>11</w:t>
      </w:r>
      <w:r w:rsidRPr="00317115">
        <w:rPr>
          <w:rStyle w:val="normaltextrun"/>
          <w:rFonts w:asciiTheme="minorHAnsi" w:eastAsiaTheme="minorEastAsia" w:hAnsiTheme="minorHAnsi" w:cstheme="minorHAnsi" w:hint="eastAsia"/>
          <w:color w:val="000000" w:themeColor="text1"/>
          <w:lang w:eastAsia="zh-CN"/>
        </w:rPr>
        <w:t>日举行的第</w:t>
      </w:r>
      <w:r w:rsidRPr="00317115">
        <w:rPr>
          <w:rStyle w:val="normaltextrun"/>
          <w:rFonts w:asciiTheme="minorHAnsi" w:eastAsiaTheme="minorEastAsia" w:hAnsiTheme="minorHAnsi" w:cstheme="minorHAnsi" w:hint="eastAsia"/>
          <w:color w:val="000000" w:themeColor="text1"/>
          <w:lang w:eastAsia="zh-CN"/>
        </w:rPr>
        <w:t>19</w:t>
      </w:r>
      <w:r w:rsidRPr="00317115">
        <w:rPr>
          <w:rStyle w:val="normaltextrun"/>
          <w:rFonts w:asciiTheme="minorHAnsi" w:eastAsiaTheme="minorEastAsia" w:hAnsiTheme="minorHAnsi" w:cstheme="minorHAnsi" w:hint="eastAsia"/>
          <w:color w:val="000000" w:themeColor="text1"/>
          <w:lang w:eastAsia="zh-CN"/>
        </w:rPr>
        <w:t>次会议上，理事会财务和人力资源工作组（</w:t>
      </w:r>
      <w:r w:rsidRPr="00317115">
        <w:rPr>
          <w:rStyle w:val="normaltextrun"/>
          <w:rFonts w:asciiTheme="minorHAnsi" w:eastAsiaTheme="minorEastAsia" w:hAnsiTheme="minorHAnsi" w:cstheme="minorHAnsi" w:hint="eastAsia"/>
          <w:color w:val="000000" w:themeColor="text1"/>
          <w:lang w:eastAsia="zh-CN"/>
        </w:rPr>
        <w:t>CWG-FHR</w:t>
      </w:r>
      <w:r w:rsidRPr="00317115">
        <w:rPr>
          <w:rStyle w:val="normaltextrun"/>
          <w:rFonts w:asciiTheme="minorHAnsi" w:eastAsiaTheme="minorEastAsia" w:hAnsiTheme="minorHAnsi" w:cstheme="minorHAnsi" w:hint="eastAsia"/>
          <w:color w:val="000000" w:themeColor="text1"/>
          <w:lang w:eastAsia="zh-CN"/>
        </w:rPr>
        <w:t>）决定成立在线信函通信组（</w:t>
      </w:r>
      <w:proofErr w:type="spellStart"/>
      <w:r w:rsidRPr="00317115">
        <w:rPr>
          <w:rStyle w:val="normaltextrun"/>
          <w:rFonts w:asciiTheme="minorHAnsi" w:eastAsiaTheme="minorEastAsia" w:hAnsiTheme="minorHAnsi" w:cstheme="minorHAnsi" w:hint="eastAsia"/>
          <w:color w:val="000000" w:themeColor="text1"/>
          <w:lang w:eastAsia="zh-CN"/>
        </w:rPr>
        <w:t>OCG</w:t>
      </w:r>
      <w:proofErr w:type="spellEnd"/>
      <w:r w:rsidRPr="00317115">
        <w:rPr>
          <w:rStyle w:val="normaltextrun"/>
          <w:rFonts w:asciiTheme="minorHAnsi" w:eastAsiaTheme="minorEastAsia" w:hAnsiTheme="minorHAnsi" w:cstheme="minorHAnsi" w:hint="eastAsia"/>
          <w:color w:val="000000" w:themeColor="text1"/>
          <w:lang w:eastAsia="zh-CN"/>
        </w:rPr>
        <w:t>），根据第</w:t>
      </w:r>
      <w:r w:rsidRPr="00317115">
        <w:rPr>
          <w:rStyle w:val="normaltextrun"/>
          <w:rFonts w:asciiTheme="minorHAnsi" w:eastAsiaTheme="minorEastAsia" w:hAnsiTheme="minorHAnsi" w:cstheme="minorHAnsi" w:hint="eastAsia"/>
          <w:color w:val="000000" w:themeColor="text1"/>
          <w:lang w:eastAsia="zh-CN"/>
        </w:rPr>
        <w:t>25</w:t>
      </w:r>
      <w:r w:rsidRPr="00317115">
        <w:rPr>
          <w:rStyle w:val="normaltextrun"/>
          <w:rFonts w:asciiTheme="minorHAnsi" w:eastAsiaTheme="minorEastAsia" w:hAnsiTheme="minorHAnsi" w:cstheme="minorHAnsi" w:hint="eastAsia"/>
          <w:color w:val="000000" w:themeColor="text1"/>
          <w:lang w:eastAsia="zh-CN"/>
        </w:rPr>
        <w:t>号决议“加强国际电联</w:t>
      </w:r>
      <w:r>
        <w:rPr>
          <w:rStyle w:val="normaltextrun"/>
          <w:rFonts w:asciiTheme="minorHAnsi" w:eastAsiaTheme="minorEastAsia" w:hAnsiTheme="minorHAnsi" w:cstheme="minorHAnsi" w:hint="eastAsia"/>
          <w:color w:val="000000" w:themeColor="text1"/>
          <w:lang w:eastAsia="zh-CN"/>
        </w:rPr>
        <w:t>区域代表处</w:t>
      </w:r>
      <w:r w:rsidRPr="00317115">
        <w:rPr>
          <w:rStyle w:val="normaltextrun"/>
          <w:rFonts w:asciiTheme="minorHAnsi" w:eastAsiaTheme="minorEastAsia" w:hAnsiTheme="minorHAnsi" w:cstheme="minorHAnsi" w:hint="eastAsia"/>
          <w:color w:val="000000" w:themeColor="text1"/>
          <w:lang w:eastAsia="zh-CN"/>
        </w:rPr>
        <w:t>的</w:t>
      </w:r>
      <w:r>
        <w:rPr>
          <w:rStyle w:val="normaltextrun"/>
          <w:rFonts w:asciiTheme="minorHAnsi" w:eastAsiaTheme="minorEastAsia" w:hAnsiTheme="minorHAnsi" w:cstheme="minorHAnsi" w:hint="eastAsia"/>
          <w:color w:val="000000" w:themeColor="text1"/>
          <w:lang w:eastAsia="zh-CN"/>
        </w:rPr>
        <w:t>作用</w:t>
      </w:r>
      <w:r w:rsidRPr="00317115">
        <w:rPr>
          <w:rStyle w:val="normaltextrun"/>
          <w:rFonts w:asciiTheme="minorHAnsi" w:eastAsiaTheme="minorEastAsia" w:hAnsiTheme="minorHAnsi" w:cstheme="minorHAnsi" w:hint="eastAsia"/>
          <w:color w:val="000000" w:themeColor="text1"/>
          <w:lang w:eastAsia="zh-CN"/>
        </w:rPr>
        <w:t>”（</w:t>
      </w:r>
      <w:r w:rsidRPr="00317115">
        <w:rPr>
          <w:rStyle w:val="normaltextrun"/>
          <w:rFonts w:asciiTheme="minorHAnsi" w:eastAsiaTheme="minorEastAsia" w:hAnsiTheme="minorHAnsi" w:cstheme="minorHAnsi" w:hint="eastAsia"/>
          <w:color w:val="000000" w:themeColor="text1"/>
          <w:lang w:eastAsia="zh-CN"/>
        </w:rPr>
        <w:t>2022</w:t>
      </w:r>
      <w:r w:rsidRPr="00317115">
        <w:rPr>
          <w:rStyle w:val="normaltextrun"/>
          <w:rFonts w:asciiTheme="minorHAnsi" w:eastAsiaTheme="minorEastAsia" w:hAnsiTheme="minorHAnsi" w:cstheme="minorHAnsi" w:hint="eastAsia"/>
          <w:color w:val="000000" w:themeColor="text1"/>
          <w:lang w:eastAsia="zh-CN"/>
        </w:rPr>
        <w:t>年，布加勒斯特，修订版），制定国际电联审查其区域代表</w:t>
      </w:r>
      <w:r>
        <w:rPr>
          <w:rStyle w:val="normaltextrun"/>
          <w:rFonts w:asciiTheme="minorHAnsi" w:eastAsiaTheme="minorEastAsia" w:hAnsiTheme="minorHAnsi" w:cstheme="minorHAnsi" w:hint="eastAsia"/>
          <w:color w:val="000000" w:themeColor="text1"/>
          <w:lang w:eastAsia="zh-CN"/>
        </w:rPr>
        <w:t>性</w:t>
      </w:r>
      <w:r w:rsidRPr="00317115">
        <w:rPr>
          <w:rStyle w:val="normaltextrun"/>
          <w:rFonts w:asciiTheme="minorHAnsi" w:eastAsiaTheme="minorEastAsia" w:hAnsiTheme="minorHAnsi" w:cstheme="minorHAnsi" w:hint="eastAsia"/>
          <w:color w:val="000000" w:themeColor="text1"/>
          <w:lang w:eastAsia="zh-CN"/>
        </w:rPr>
        <w:t>的职责范围（</w:t>
      </w:r>
      <w:proofErr w:type="spellStart"/>
      <w:r w:rsidRPr="00317115">
        <w:rPr>
          <w:rStyle w:val="normaltextrun"/>
          <w:rFonts w:asciiTheme="minorHAnsi" w:eastAsiaTheme="minorEastAsia" w:hAnsiTheme="minorHAnsi" w:cstheme="minorHAnsi" w:hint="eastAsia"/>
          <w:color w:val="000000" w:themeColor="text1"/>
          <w:lang w:eastAsia="zh-CN"/>
        </w:rPr>
        <w:t>ToR</w:t>
      </w:r>
      <w:proofErr w:type="spellEnd"/>
      <w:r w:rsidRPr="00317115">
        <w:rPr>
          <w:rStyle w:val="normaltextrun"/>
          <w:rFonts w:asciiTheme="minorHAnsi" w:eastAsiaTheme="minorEastAsia" w:hAnsiTheme="minorHAnsi" w:cstheme="minorHAnsi" w:hint="eastAsia"/>
          <w:color w:val="000000" w:themeColor="text1"/>
          <w:lang w:eastAsia="zh-CN"/>
        </w:rPr>
        <w:t>）。</w:t>
      </w:r>
      <w:proofErr w:type="spellStart"/>
      <w:r w:rsidRPr="00317115">
        <w:rPr>
          <w:rStyle w:val="normaltextrun"/>
          <w:rFonts w:asciiTheme="minorHAnsi" w:eastAsiaTheme="minorEastAsia" w:hAnsiTheme="minorHAnsi" w:cstheme="minorHAnsi" w:hint="eastAsia"/>
          <w:color w:val="000000" w:themeColor="text1"/>
          <w:lang w:eastAsia="zh-CN"/>
        </w:rPr>
        <w:t>OCG</w:t>
      </w:r>
      <w:proofErr w:type="spellEnd"/>
      <w:r w:rsidRPr="00317115">
        <w:rPr>
          <w:rStyle w:val="normaltextrun"/>
          <w:rFonts w:asciiTheme="minorHAnsi" w:eastAsiaTheme="minorEastAsia" w:hAnsiTheme="minorHAnsi" w:cstheme="minorHAnsi" w:hint="eastAsia"/>
          <w:color w:val="000000" w:themeColor="text1"/>
          <w:lang w:eastAsia="zh-CN"/>
        </w:rPr>
        <w:t>负责审议第</w:t>
      </w:r>
      <w:r w:rsidRPr="00317115">
        <w:rPr>
          <w:rStyle w:val="normaltextrun"/>
          <w:rFonts w:asciiTheme="minorHAnsi" w:eastAsiaTheme="minorEastAsia" w:hAnsiTheme="minorHAnsi" w:cstheme="minorHAnsi" w:hint="eastAsia"/>
          <w:color w:val="000000" w:themeColor="text1"/>
          <w:lang w:eastAsia="zh-CN"/>
        </w:rPr>
        <w:t>19</w:t>
      </w:r>
      <w:r w:rsidRPr="00317115">
        <w:rPr>
          <w:rStyle w:val="normaltextrun"/>
          <w:rFonts w:asciiTheme="minorHAnsi" w:eastAsiaTheme="minorEastAsia" w:hAnsiTheme="minorHAnsi" w:cstheme="minorHAnsi" w:hint="eastAsia"/>
          <w:color w:val="000000" w:themeColor="text1"/>
          <w:lang w:eastAsia="zh-CN"/>
        </w:rPr>
        <w:t>次会议期间</w:t>
      </w:r>
      <w:r>
        <w:rPr>
          <w:rStyle w:val="normaltextrun"/>
          <w:rFonts w:asciiTheme="minorHAnsi" w:eastAsiaTheme="minorEastAsia" w:hAnsiTheme="minorHAnsi" w:cstheme="minorHAnsi" w:hint="eastAsia"/>
          <w:color w:val="000000" w:themeColor="text1"/>
          <w:lang w:eastAsia="zh-CN"/>
        </w:rPr>
        <w:t>介绍</w:t>
      </w:r>
      <w:r w:rsidRPr="00317115">
        <w:rPr>
          <w:rStyle w:val="normaltextrun"/>
          <w:rFonts w:asciiTheme="minorHAnsi" w:eastAsiaTheme="minorEastAsia" w:hAnsiTheme="minorHAnsi" w:cstheme="minorHAnsi" w:hint="eastAsia"/>
          <w:color w:val="000000" w:themeColor="text1"/>
          <w:lang w:eastAsia="zh-CN"/>
        </w:rPr>
        <w:t>的职责范围草案，并向</w:t>
      </w:r>
      <w:r w:rsidRPr="00317115">
        <w:rPr>
          <w:rStyle w:val="normaltextrun"/>
          <w:rFonts w:asciiTheme="minorHAnsi" w:eastAsiaTheme="minorEastAsia" w:hAnsiTheme="minorHAnsi" w:cstheme="minorHAnsi" w:hint="eastAsia"/>
          <w:color w:val="000000" w:themeColor="text1"/>
          <w:lang w:eastAsia="zh-CN"/>
        </w:rPr>
        <w:t>CWG-FHR</w:t>
      </w:r>
      <w:r w:rsidRPr="00317115">
        <w:rPr>
          <w:rStyle w:val="normaltextrun"/>
          <w:rFonts w:asciiTheme="minorHAnsi" w:eastAsiaTheme="minorEastAsia" w:hAnsiTheme="minorHAnsi" w:cstheme="minorHAnsi" w:hint="eastAsia"/>
          <w:color w:val="000000" w:themeColor="text1"/>
          <w:lang w:eastAsia="zh-CN"/>
        </w:rPr>
        <w:t>第</w:t>
      </w:r>
      <w:r w:rsidRPr="00317115">
        <w:rPr>
          <w:rStyle w:val="normaltextrun"/>
          <w:rFonts w:asciiTheme="minorHAnsi" w:eastAsiaTheme="minorEastAsia" w:hAnsiTheme="minorHAnsi" w:cstheme="minorHAnsi" w:hint="eastAsia"/>
          <w:color w:val="000000" w:themeColor="text1"/>
          <w:lang w:eastAsia="zh-CN"/>
        </w:rPr>
        <w:t>20</w:t>
      </w:r>
      <w:r w:rsidRPr="00317115">
        <w:rPr>
          <w:rStyle w:val="normaltextrun"/>
          <w:rFonts w:asciiTheme="minorHAnsi" w:eastAsiaTheme="minorEastAsia" w:hAnsiTheme="minorHAnsi" w:cstheme="minorHAnsi" w:hint="eastAsia"/>
          <w:color w:val="000000" w:themeColor="text1"/>
          <w:lang w:eastAsia="zh-CN"/>
        </w:rPr>
        <w:t>次会议提交最</w:t>
      </w:r>
      <w:r>
        <w:rPr>
          <w:rStyle w:val="normaltextrun"/>
          <w:rFonts w:asciiTheme="minorHAnsi" w:eastAsiaTheme="minorEastAsia" w:hAnsiTheme="minorHAnsi" w:cstheme="minorHAnsi" w:hint="eastAsia"/>
          <w:color w:val="000000" w:themeColor="text1"/>
          <w:lang w:eastAsia="zh-CN"/>
        </w:rPr>
        <w:t>后</w:t>
      </w:r>
      <w:r w:rsidRPr="00317115">
        <w:rPr>
          <w:rStyle w:val="normaltextrun"/>
          <w:rFonts w:asciiTheme="minorHAnsi" w:eastAsiaTheme="minorEastAsia" w:hAnsiTheme="minorHAnsi" w:cstheme="minorHAnsi" w:hint="eastAsia"/>
          <w:color w:val="000000" w:themeColor="text1"/>
          <w:lang w:eastAsia="zh-CN"/>
        </w:rPr>
        <w:t>报告。</w:t>
      </w:r>
    </w:p>
    <w:p w14:paraId="6C1BA723" w14:textId="77777777" w:rsidR="00843F10" w:rsidRDefault="00843F10" w:rsidP="000E7FAD">
      <w:pPr>
        <w:ind w:firstLineChars="200" w:firstLine="480"/>
        <w:jc w:val="both"/>
        <w:rPr>
          <w:rStyle w:val="normaltextrun"/>
          <w:rFonts w:asciiTheme="minorHAnsi" w:eastAsiaTheme="minorEastAsia" w:hAnsiTheme="minorHAnsi" w:cstheme="minorHAnsi"/>
          <w:color w:val="000000" w:themeColor="text1"/>
          <w:lang w:eastAsia="zh-CN"/>
        </w:rPr>
      </w:pPr>
      <w:r w:rsidRPr="00317115">
        <w:rPr>
          <w:rStyle w:val="normaltextrun"/>
          <w:rFonts w:asciiTheme="minorHAnsi" w:eastAsiaTheme="minorEastAsia" w:hAnsiTheme="minorHAnsi" w:cstheme="minorHAnsi" w:hint="eastAsia"/>
          <w:color w:val="000000" w:themeColor="text1"/>
          <w:lang w:eastAsia="zh-CN"/>
        </w:rPr>
        <w:t>CWG-FHR</w:t>
      </w:r>
      <w:r w:rsidRPr="00317115">
        <w:rPr>
          <w:rStyle w:val="normaltextrun"/>
          <w:rFonts w:asciiTheme="minorHAnsi" w:eastAsiaTheme="minorEastAsia" w:hAnsiTheme="minorHAnsi" w:cstheme="minorHAnsi" w:hint="eastAsia"/>
          <w:color w:val="000000" w:themeColor="text1"/>
          <w:lang w:eastAsia="zh-CN"/>
        </w:rPr>
        <w:t>第</w:t>
      </w:r>
      <w:r w:rsidRPr="00317115">
        <w:rPr>
          <w:rStyle w:val="normaltextrun"/>
          <w:rFonts w:asciiTheme="minorHAnsi" w:eastAsiaTheme="minorEastAsia" w:hAnsiTheme="minorHAnsi" w:cstheme="minorHAnsi" w:hint="eastAsia"/>
          <w:color w:val="000000" w:themeColor="text1"/>
          <w:lang w:eastAsia="zh-CN"/>
        </w:rPr>
        <w:t>20</w:t>
      </w:r>
      <w:r w:rsidRPr="00317115">
        <w:rPr>
          <w:rStyle w:val="normaltextrun"/>
          <w:rFonts w:asciiTheme="minorHAnsi" w:eastAsiaTheme="minorEastAsia" w:hAnsiTheme="minorHAnsi" w:cstheme="minorHAnsi" w:hint="eastAsia"/>
          <w:color w:val="000000" w:themeColor="text1"/>
          <w:lang w:eastAsia="zh-CN"/>
        </w:rPr>
        <w:t>次会议于</w:t>
      </w:r>
      <w:r w:rsidRPr="00317115">
        <w:rPr>
          <w:rStyle w:val="normaltextrun"/>
          <w:rFonts w:asciiTheme="minorHAnsi" w:eastAsiaTheme="minorEastAsia" w:hAnsiTheme="minorHAnsi" w:cstheme="minorHAnsi" w:hint="eastAsia"/>
          <w:color w:val="000000" w:themeColor="text1"/>
          <w:lang w:eastAsia="zh-CN"/>
        </w:rPr>
        <w:t>2025</w:t>
      </w:r>
      <w:r w:rsidRPr="00317115">
        <w:rPr>
          <w:rStyle w:val="normaltextrun"/>
          <w:rFonts w:asciiTheme="minorHAnsi" w:eastAsiaTheme="minorEastAsia" w:hAnsiTheme="minorHAnsi" w:cstheme="minorHAnsi" w:hint="eastAsia"/>
          <w:color w:val="000000" w:themeColor="text1"/>
          <w:lang w:eastAsia="zh-CN"/>
        </w:rPr>
        <w:t>年</w:t>
      </w:r>
      <w:r w:rsidRPr="00317115">
        <w:rPr>
          <w:rStyle w:val="normaltextrun"/>
          <w:rFonts w:asciiTheme="minorHAnsi" w:eastAsiaTheme="minorEastAsia" w:hAnsiTheme="minorHAnsi" w:cstheme="minorHAnsi" w:hint="eastAsia"/>
          <w:color w:val="000000" w:themeColor="text1"/>
          <w:lang w:eastAsia="zh-CN"/>
        </w:rPr>
        <w:t>2</w:t>
      </w:r>
      <w:r w:rsidRPr="00317115">
        <w:rPr>
          <w:rStyle w:val="normaltextrun"/>
          <w:rFonts w:asciiTheme="minorHAnsi" w:eastAsiaTheme="minorEastAsia" w:hAnsiTheme="minorHAnsi" w:cstheme="minorHAnsi" w:hint="eastAsia"/>
          <w:color w:val="000000" w:themeColor="text1"/>
          <w:lang w:eastAsia="zh-CN"/>
        </w:rPr>
        <w:t>月</w:t>
      </w:r>
      <w:r w:rsidRPr="00317115">
        <w:rPr>
          <w:rStyle w:val="normaltextrun"/>
          <w:rFonts w:asciiTheme="minorHAnsi" w:eastAsiaTheme="minorEastAsia" w:hAnsiTheme="minorHAnsi" w:cstheme="minorHAnsi" w:hint="eastAsia"/>
          <w:color w:val="000000" w:themeColor="text1"/>
          <w:lang w:eastAsia="zh-CN"/>
        </w:rPr>
        <w:t>10</w:t>
      </w:r>
      <w:r w:rsidRPr="00317115">
        <w:rPr>
          <w:rStyle w:val="normaltextrun"/>
          <w:rFonts w:asciiTheme="minorHAnsi" w:eastAsiaTheme="minorEastAsia" w:hAnsiTheme="minorHAnsi" w:cstheme="minorHAnsi" w:hint="eastAsia"/>
          <w:color w:val="000000" w:themeColor="text1"/>
          <w:lang w:eastAsia="zh-CN"/>
        </w:rPr>
        <w:t>日至</w:t>
      </w:r>
      <w:r w:rsidRPr="00317115">
        <w:rPr>
          <w:rStyle w:val="normaltextrun"/>
          <w:rFonts w:asciiTheme="minorHAnsi" w:eastAsiaTheme="minorEastAsia" w:hAnsiTheme="minorHAnsi" w:cstheme="minorHAnsi" w:hint="eastAsia"/>
          <w:color w:val="000000" w:themeColor="text1"/>
          <w:lang w:eastAsia="zh-CN"/>
        </w:rPr>
        <w:t>21</w:t>
      </w:r>
      <w:r w:rsidRPr="00317115">
        <w:rPr>
          <w:rStyle w:val="normaltextrun"/>
          <w:rFonts w:asciiTheme="minorHAnsi" w:eastAsiaTheme="minorEastAsia" w:hAnsiTheme="minorHAnsi" w:cstheme="minorHAnsi" w:hint="eastAsia"/>
          <w:color w:val="000000" w:themeColor="text1"/>
          <w:lang w:eastAsia="zh-CN"/>
        </w:rPr>
        <w:t>日召开，审议了</w:t>
      </w:r>
      <w:r w:rsidRPr="00317115">
        <w:rPr>
          <w:rStyle w:val="normaltextrun"/>
          <w:rFonts w:asciiTheme="minorHAnsi" w:eastAsiaTheme="minorEastAsia" w:hAnsiTheme="minorHAnsi" w:cstheme="minorHAnsi" w:hint="eastAsia"/>
          <w:color w:val="000000" w:themeColor="text1"/>
          <w:lang w:eastAsia="zh-CN"/>
        </w:rPr>
        <w:t>OCG</w:t>
      </w:r>
      <w:r w:rsidRPr="00317115">
        <w:rPr>
          <w:rStyle w:val="normaltextrun"/>
          <w:rFonts w:asciiTheme="minorHAnsi" w:eastAsiaTheme="minorEastAsia" w:hAnsiTheme="minorHAnsi" w:cstheme="minorHAnsi" w:hint="eastAsia"/>
          <w:color w:val="000000" w:themeColor="text1"/>
          <w:lang w:eastAsia="zh-CN"/>
        </w:rPr>
        <w:t>的报告，其中包括经修订的职责范围。</w:t>
      </w:r>
      <w:r w:rsidRPr="00317115">
        <w:rPr>
          <w:rStyle w:val="normaltextrun"/>
          <w:rFonts w:asciiTheme="minorHAnsi" w:eastAsiaTheme="minorEastAsia" w:hAnsiTheme="minorHAnsi" w:cstheme="minorHAnsi" w:hint="eastAsia"/>
          <w:color w:val="000000" w:themeColor="text1"/>
          <w:lang w:eastAsia="zh-CN"/>
        </w:rPr>
        <w:t>CWG-FHR</w:t>
      </w:r>
      <w:r w:rsidRPr="00317115">
        <w:rPr>
          <w:rStyle w:val="normaltextrun"/>
          <w:rFonts w:asciiTheme="minorHAnsi" w:eastAsiaTheme="minorEastAsia" w:hAnsiTheme="minorHAnsi" w:cstheme="minorHAnsi" w:hint="eastAsia"/>
          <w:color w:val="000000" w:themeColor="text1"/>
          <w:lang w:eastAsia="zh-CN"/>
        </w:rPr>
        <w:t>随后审议并通过了该职责范围，以准备提交理事会</w:t>
      </w:r>
      <w:r w:rsidRPr="00317115">
        <w:rPr>
          <w:rStyle w:val="normaltextrun"/>
          <w:rFonts w:asciiTheme="minorHAnsi" w:eastAsiaTheme="minorEastAsia" w:hAnsiTheme="minorHAnsi" w:cstheme="minorHAnsi" w:hint="eastAsia"/>
          <w:color w:val="000000" w:themeColor="text1"/>
          <w:lang w:eastAsia="zh-CN"/>
        </w:rPr>
        <w:t>2025</w:t>
      </w:r>
      <w:r w:rsidRPr="00317115">
        <w:rPr>
          <w:rStyle w:val="normaltextrun"/>
          <w:rFonts w:asciiTheme="minorHAnsi" w:eastAsiaTheme="minorEastAsia" w:hAnsiTheme="minorHAnsi" w:cstheme="minorHAnsi" w:hint="eastAsia"/>
          <w:color w:val="000000" w:themeColor="text1"/>
          <w:lang w:eastAsia="zh-CN"/>
        </w:rPr>
        <w:t>年</w:t>
      </w:r>
      <w:r w:rsidRPr="00317115">
        <w:rPr>
          <w:rStyle w:val="normaltextrun"/>
          <w:rFonts w:asciiTheme="minorHAnsi" w:eastAsiaTheme="minorEastAsia" w:hAnsiTheme="minorHAnsi" w:cstheme="minorHAnsi" w:hint="eastAsia"/>
          <w:color w:val="000000" w:themeColor="text1"/>
          <w:lang w:eastAsia="zh-CN"/>
        </w:rPr>
        <w:t>6</w:t>
      </w:r>
      <w:r w:rsidRPr="00317115">
        <w:rPr>
          <w:rStyle w:val="normaltextrun"/>
          <w:rFonts w:asciiTheme="minorHAnsi" w:eastAsiaTheme="minorEastAsia" w:hAnsiTheme="minorHAnsi" w:cstheme="minorHAnsi" w:hint="eastAsia"/>
          <w:color w:val="000000" w:themeColor="text1"/>
          <w:lang w:eastAsia="zh-CN"/>
        </w:rPr>
        <w:t>月会议审议（</w:t>
      </w:r>
      <w:r>
        <w:fldChar w:fldCharType="begin"/>
      </w:r>
      <w:r>
        <w:rPr>
          <w:lang w:eastAsia="zh-CN"/>
        </w:rPr>
        <w:instrText>HYPERLINK "https://www.itu.int/md/S25-CL-C-0050/en"</w:instrText>
      </w:r>
      <w:r>
        <w:fldChar w:fldCharType="separate"/>
      </w:r>
      <w:r w:rsidRPr="00A1394F">
        <w:rPr>
          <w:rStyle w:val="Hyperlink"/>
          <w:rFonts w:asciiTheme="minorHAnsi" w:eastAsia="SimSun" w:hAnsiTheme="minorHAnsi" w:cstheme="minorHAnsi"/>
          <w:lang w:eastAsia="zh-CN"/>
        </w:rPr>
        <w:t>C25/50</w:t>
      </w:r>
      <w:r>
        <w:fldChar w:fldCharType="end"/>
      </w:r>
      <w:r w:rsidRPr="00317115">
        <w:rPr>
          <w:rStyle w:val="normaltextrun"/>
          <w:rFonts w:asciiTheme="minorHAnsi" w:eastAsiaTheme="minorEastAsia" w:hAnsiTheme="minorHAnsi" w:cstheme="minorHAnsi" w:hint="eastAsia"/>
          <w:color w:val="000000" w:themeColor="text1"/>
          <w:lang w:eastAsia="zh-CN"/>
        </w:rPr>
        <w:t>号文件）。</w:t>
      </w:r>
    </w:p>
    <w:p w14:paraId="7BE7D8E8" w14:textId="7F972265" w:rsidR="00843F10" w:rsidRPr="003E6159" w:rsidRDefault="00843F10" w:rsidP="000E7FAD">
      <w:pPr>
        <w:ind w:firstLineChars="200" w:firstLine="480"/>
        <w:jc w:val="both"/>
        <w:rPr>
          <w:rFonts w:asciiTheme="minorHAnsi" w:hAnsiTheme="minorHAnsi" w:cstheme="minorBidi"/>
          <w:color w:val="000000" w:themeColor="text1"/>
          <w:lang w:eastAsia="zh-CN"/>
        </w:rPr>
      </w:pPr>
      <w:r w:rsidRPr="00317115">
        <w:rPr>
          <w:rFonts w:asciiTheme="minorHAnsi" w:hAnsiTheme="minorHAnsi" w:cstheme="minorBidi" w:hint="eastAsia"/>
          <w:color w:val="000000" w:themeColor="text1"/>
          <w:lang w:eastAsia="zh-CN"/>
        </w:rPr>
        <w:t>在</w:t>
      </w:r>
      <w:r w:rsidRPr="00317115">
        <w:rPr>
          <w:rFonts w:asciiTheme="minorHAnsi" w:hAnsiTheme="minorHAnsi" w:cstheme="minorBidi" w:hint="eastAsia"/>
          <w:color w:val="000000" w:themeColor="text1"/>
          <w:lang w:eastAsia="zh-CN"/>
        </w:rPr>
        <w:t>CWG-FHR</w:t>
      </w:r>
      <w:r w:rsidRPr="00317115">
        <w:rPr>
          <w:rFonts w:asciiTheme="minorHAnsi" w:hAnsiTheme="minorHAnsi" w:cstheme="minorBidi" w:hint="eastAsia"/>
          <w:color w:val="000000" w:themeColor="text1"/>
          <w:lang w:eastAsia="zh-CN"/>
        </w:rPr>
        <w:t>通过职责范围后，成立了一个跨部门任务组，以确保审查</w:t>
      </w:r>
      <w:r>
        <w:rPr>
          <w:rFonts w:asciiTheme="minorHAnsi" w:hAnsiTheme="minorHAnsi" w:cstheme="minorBidi" w:hint="eastAsia"/>
          <w:color w:val="000000" w:themeColor="text1"/>
          <w:lang w:eastAsia="zh-CN"/>
        </w:rPr>
        <w:t>方法具有</w:t>
      </w:r>
      <w:r w:rsidRPr="00317115">
        <w:rPr>
          <w:rFonts w:asciiTheme="minorHAnsi" w:hAnsiTheme="minorHAnsi" w:cstheme="minorBidi" w:hint="eastAsia"/>
          <w:color w:val="000000" w:themeColor="text1"/>
          <w:lang w:eastAsia="zh-CN"/>
        </w:rPr>
        <w:t>协调</w:t>
      </w:r>
      <w:r>
        <w:rPr>
          <w:rFonts w:asciiTheme="minorHAnsi" w:hAnsiTheme="minorHAnsi" w:cstheme="minorBidi" w:hint="eastAsia"/>
          <w:color w:val="000000" w:themeColor="text1"/>
          <w:lang w:eastAsia="zh-CN"/>
        </w:rPr>
        <w:t>性</w:t>
      </w:r>
      <w:r w:rsidRPr="00317115">
        <w:rPr>
          <w:rFonts w:asciiTheme="minorHAnsi" w:hAnsiTheme="minorHAnsi" w:cstheme="minorBidi" w:hint="eastAsia"/>
          <w:color w:val="000000" w:themeColor="text1"/>
          <w:lang w:eastAsia="zh-CN"/>
        </w:rPr>
        <w:t>和战略性。任务组由副秘书长主持，由</w:t>
      </w:r>
      <w:r>
        <w:rPr>
          <w:rFonts w:asciiTheme="minorHAnsi" w:hAnsiTheme="minorHAnsi" w:cstheme="minorBidi" w:hint="eastAsia"/>
          <w:color w:val="000000" w:themeColor="text1"/>
          <w:lang w:eastAsia="zh-CN"/>
        </w:rPr>
        <w:t>国际电联</w:t>
      </w:r>
      <w:r w:rsidRPr="00317115">
        <w:rPr>
          <w:rFonts w:asciiTheme="minorHAnsi" w:hAnsiTheme="minorHAnsi" w:cstheme="minorBidi" w:hint="eastAsia"/>
          <w:color w:val="000000" w:themeColor="text1"/>
          <w:lang w:eastAsia="zh-CN"/>
        </w:rPr>
        <w:t>所有区域主任</w:t>
      </w:r>
      <w:r w:rsidR="00C7266D">
        <w:rPr>
          <w:rFonts w:asciiTheme="minorHAnsi" w:hAnsiTheme="minorHAnsi" w:cstheme="minorBidi" w:hint="eastAsia"/>
          <w:color w:val="000000" w:themeColor="text1"/>
          <w:lang w:eastAsia="zh-CN"/>
        </w:rPr>
        <w:t>，及</w:t>
      </w:r>
      <w:r w:rsidR="00111A96">
        <w:rPr>
          <w:rFonts w:asciiTheme="minorHAnsi" w:hAnsiTheme="minorHAnsi" w:cstheme="minorBidi" w:hint="eastAsia"/>
          <w:color w:val="000000" w:themeColor="text1"/>
          <w:lang w:eastAsia="zh-CN"/>
        </w:rPr>
        <w:t>发展</w:t>
      </w:r>
      <w:r>
        <w:rPr>
          <w:rFonts w:asciiTheme="minorHAnsi" w:hAnsiTheme="minorHAnsi" w:cstheme="minorBidi" w:hint="eastAsia"/>
          <w:color w:val="000000" w:themeColor="text1"/>
          <w:lang w:eastAsia="zh-CN"/>
        </w:rPr>
        <w:t>局</w:t>
      </w:r>
      <w:r w:rsidR="00DD27F6">
        <w:rPr>
          <w:rFonts w:asciiTheme="minorHAnsi" w:hAnsiTheme="minorHAnsi" w:cstheme="minorBidi" w:hint="eastAsia"/>
          <w:color w:val="000000" w:themeColor="text1"/>
          <w:lang w:eastAsia="zh-CN"/>
        </w:rPr>
        <w:t>、无线电通信局</w:t>
      </w:r>
      <w:r w:rsidR="00C7266D">
        <w:rPr>
          <w:rFonts w:asciiTheme="minorHAnsi" w:hAnsiTheme="minorHAnsi" w:cstheme="minorBidi" w:hint="eastAsia"/>
          <w:color w:val="000000" w:themeColor="text1"/>
          <w:lang w:eastAsia="zh-CN"/>
        </w:rPr>
        <w:t>、</w:t>
      </w:r>
      <w:r w:rsidR="00DD27F6">
        <w:rPr>
          <w:rFonts w:asciiTheme="minorHAnsi" w:hAnsiTheme="minorHAnsi" w:cstheme="minorBidi" w:hint="eastAsia"/>
          <w:color w:val="000000" w:themeColor="text1"/>
          <w:lang w:eastAsia="zh-CN"/>
        </w:rPr>
        <w:t>标准化局</w:t>
      </w:r>
      <w:r w:rsidR="00C7266D">
        <w:rPr>
          <w:rFonts w:asciiTheme="minorHAnsi" w:hAnsiTheme="minorHAnsi" w:cstheme="minorBidi" w:hint="eastAsia"/>
          <w:color w:val="000000" w:themeColor="text1"/>
          <w:lang w:eastAsia="zh-CN"/>
        </w:rPr>
        <w:t>和</w:t>
      </w:r>
      <w:r w:rsidR="00111A96">
        <w:rPr>
          <w:rFonts w:asciiTheme="minorHAnsi" w:hAnsiTheme="minorHAnsi" w:cstheme="minorBidi" w:hint="eastAsia"/>
          <w:color w:val="000000" w:themeColor="text1"/>
          <w:lang w:eastAsia="zh-CN"/>
        </w:rPr>
        <w:t>总秘书处的</w:t>
      </w:r>
      <w:r w:rsidRPr="00317115">
        <w:rPr>
          <w:rFonts w:asciiTheme="minorHAnsi" w:hAnsiTheme="minorHAnsi" w:cstheme="minorBidi" w:hint="eastAsia"/>
          <w:color w:val="000000" w:themeColor="text1"/>
          <w:lang w:eastAsia="zh-CN"/>
        </w:rPr>
        <w:t>代表组成。任务组</w:t>
      </w:r>
      <w:r>
        <w:rPr>
          <w:rFonts w:asciiTheme="minorHAnsi" w:hAnsiTheme="minorHAnsi" w:cstheme="minorBidi" w:hint="eastAsia"/>
          <w:color w:val="000000" w:themeColor="text1"/>
          <w:lang w:eastAsia="zh-CN"/>
        </w:rPr>
        <w:t>获得下列授权</w:t>
      </w:r>
      <w:r w:rsidRPr="00317115">
        <w:rPr>
          <w:rFonts w:asciiTheme="minorHAnsi" w:hAnsiTheme="minorHAnsi" w:cstheme="minorBidi" w:hint="eastAsia"/>
          <w:color w:val="000000" w:themeColor="text1"/>
          <w:lang w:eastAsia="zh-CN"/>
        </w:rPr>
        <w:t>：</w:t>
      </w:r>
    </w:p>
    <w:p w14:paraId="08792B67" w14:textId="20A92C12" w:rsidR="00843F10" w:rsidRPr="003E6159" w:rsidRDefault="003326A7" w:rsidP="000E7FAD">
      <w:pPr>
        <w:pStyle w:val="enumlev1"/>
        <w:rPr>
          <w:lang w:eastAsia="zh-CN"/>
        </w:rPr>
      </w:pPr>
      <w:r w:rsidRPr="000A596C">
        <w:rPr>
          <w:lang w:eastAsia="zh-CN"/>
        </w:rPr>
        <w:t>–</w:t>
      </w:r>
      <w:r w:rsidRPr="000A596C">
        <w:rPr>
          <w:lang w:eastAsia="zh-CN"/>
        </w:rPr>
        <w:tab/>
      </w:r>
      <w:r w:rsidR="00843F10" w:rsidRPr="00317115">
        <w:rPr>
          <w:rFonts w:hint="eastAsia"/>
          <w:lang w:eastAsia="zh-CN"/>
        </w:rPr>
        <w:t>起草</w:t>
      </w:r>
      <w:r w:rsidR="00242C1E">
        <w:rPr>
          <w:rFonts w:hint="eastAsia"/>
          <w:lang w:eastAsia="zh-CN"/>
        </w:rPr>
        <w:t>初始</w:t>
      </w:r>
      <w:r w:rsidR="00843F10" w:rsidRPr="00317115">
        <w:rPr>
          <w:rFonts w:hint="eastAsia"/>
          <w:lang w:eastAsia="zh-CN"/>
        </w:rPr>
        <w:t>报告，概述方法、结构和持续时间、利益攸关方磋商渠道、决策</w:t>
      </w:r>
      <w:r w:rsidR="00843F10">
        <w:rPr>
          <w:rFonts w:hint="eastAsia"/>
          <w:lang w:eastAsia="zh-CN"/>
        </w:rPr>
        <w:t>流</w:t>
      </w:r>
      <w:r w:rsidR="00843F10" w:rsidRPr="00317115">
        <w:rPr>
          <w:rFonts w:hint="eastAsia"/>
          <w:lang w:eastAsia="zh-CN"/>
        </w:rPr>
        <w:t>程和资源要求，以指导审查。</w:t>
      </w:r>
    </w:p>
    <w:p w14:paraId="2B82D048" w14:textId="4CF1B7EA" w:rsidR="00843F10" w:rsidRPr="003E6159" w:rsidRDefault="003326A7" w:rsidP="000E7FAD">
      <w:pPr>
        <w:pStyle w:val="enumlev1"/>
        <w:rPr>
          <w:rFonts w:cstheme="minorHAnsi"/>
          <w:lang w:eastAsia="zh-CN"/>
        </w:rPr>
      </w:pPr>
      <w:r w:rsidRPr="000A596C">
        <w:rPr>
          <w:lang w:eastAsia="zh-CN"/>
        </w:rPr>
        <w:t>–</w:t>
      </w:r>
      <w:r w:rsidRPr="000A596C">
        <w:rPr>
          <w:lang w:eastAsia="zh-CN"/>
        </w:rPr>
        <w:tab/>
      </w:r>
      <w:r w:rsidR="00843F10" w:rsidRPr="00317115">
        <w:rPr>
          <w:rFonts w:cstheme="minorHAnsi" w:hint="eastAsia"/>
          <w:lang w:eastAsia="zh-CN"/>
        </w:rPr>
        <w:t>根据职责范围</w:t>
      </w:r>
      <w:r w:rsidR="00111A96">
        <w:rPr>
          <w:rFonts w:cstheme="minorHAnsi" w:hint="eastAsia"/>
          <w:lang w:eastAsia="zh-CN"/>
        </w:rPr>
        <w:t>进行</w:t>
      </w:r>
      <w:r w:rsidR="00843F10" w:rsidRPr="00317115">
        <w:rPr>
          <w:rFonts w:cstheme="minorHAnsi" w:hint="eastAsia"/>
          <w:lang w:eastAsia="zh-CN"/>
        </w:rPr>
        <w:t>审查，确保与国际电联战略愿景和第</w:t>
      </w:r>
      <w:r w:rsidR="00843F10" w:rsidRPr="00317115">
        <w:rPr>
          <w:rFonts w:cstheme="minorHAnsi" w:hint="eastAsia"/>
          <w:lang w:eastAsia="zh-CN"/>
        </w:rPr>
        <w:t>25</w:t>
      </w:r>
      <w:r w:rsidR="00843F10" w:rsidRPr="00317115">
        <w:rPr>
          <w:rFonts w:cstheme="minorHAnsi" w:hint="eastAsia"/>
          <w:lang w:eastAsia="zh-CN"/>
        </w:rPr>
        <w:t>号决议保持一致。</w:t>
      </w:r>
    </w:p>
    <w:p w14:paraId="547D2708" w14:textId="635A2E99" w:rsidR="00843F10" w:rsidRPr="003E6159" w:rsidRDefault="003326A7" w:rsidP="000E7FAD">
      <w:pPr>
        <w:pStyle w:val="enumlev1"/>
        <w:rPr>
          <w:rFonts w:cstheme="minorHAnsi"/>
          <w:lang w:eastAsia="zh-CN"/>
        </w:rPr>
      </w:pPr>
      <w:r w:rsidRPr="000A596C">
        <w:rPr>
          <w:lang w:eastAsia="zh-CN"/>
        </w:rPr>
        <w:t>–</w:t>
      </w:r>
      <w:r w:rsidRPr="000A596C">
        <w:rPr>
          <w:lang w:eastAsia="zh-CN"/>
        </w:rPr>
        <w:tab/>
      </w:r>
      <w:r w:rsidR="00843F10" w:rsidRPr="00317115">
        <w:rPr>
          <w:rFonts w:cstheme="minorHAnsi" w:hint="eastAsia"/>
          <w:lang w:eastAsia="zh-CN"/>
        </w:rPr>
        <w:t>促进</w:t>
      </w:r>
      <w:r w:rsidR="00843F10">
        <w:rPr>
          <w:rFonts w:cstheme="minorHAnsi" w:hint="eastAsia"/>
          <w:lang w:eastAsia="zh-CN"/>
        </w:rPr>
        <w:t>三大</w:t>
      </w:r>
      <w:r w:rsidR="00843F10" w:rsidRPr="00317115">
        <w:rPr>
          <w:rFonts w:cstheme="minorHAnsi" w:hint="eastAsia"/>
          <w:lang w:eastAsia="zh-CN"/>
        </w:rPr>
        <w:t>部门、区域代表处和</w:t>
      </w:r>
      <w:r w:rsidR="00843F10">
        <w:rPr>
          <w:rFonts w:cstheme="minorHAnsi" w:hint="eastAsia"/>
          <w:lang w:eastAsia="zh-CN"/>
        </w:rPr>
        <w:t>重要</w:t>
      </w:r>
      <w:r w:rsidR="00843F10" w:rsidRPr="00317115">
        <w:rPr>
          <w:rFonts w:cstheme="minorHAnsi" w:hint="eastAsia"/>
          <w:lang w:eastAsia="zh-CN"/>
        </w:rPr>
        <w:t>部门之间的合作，确保对国际电联区域代表</w:t>
      </w:r>
      <w:r w:rsidR="00843F10">
        <w:rPr>
          <w:rFonts w:cstheme="minorHAnsi" w:hint="eastAsia"/>
          <w:lang w:eastAsia="zh-CN"/>
        </w:rPr>
        <w:t>性</w:t>
      </w:r>
      <w:r w:rsidR="00843F10" w:rsidRPr="00317115">
        <w:rPr>
          <w:rFonts w:cstheme="minorHAnsi" w:hint="eastAsia"/>
          <w:lang w:eastAsia="zh-CN"/>
        </w:rPr>
        <w:t>进行全面有效的评估。</w:t>
      </w:r>
    </w:p>
    <w:p w14:paraId="604F45AE" w14:textId="0B27AB0A" w:rsidR="00843F10" w:rsidRDefault="003326A7" w:rsidP="000E7FAD">
      <w:pPr>
        <w:pStyle w:val="enumlev1"/>
        <w:rPr>
          <w:rFonts w:cstheme="minorHAnsi"/>
          <w:lang w:eastAsia="zh-CN"/>
        </w:rPr>
      </w:pPr>
      <w:r w:rsidRPr="000A596C">
        <w:rPr>
          <w:lang w:eastAsia="zh-CN"/>
        </w:rPr>
        <w:t>–</w:t>
      </w:r>
      <w:r w:rsidRPr="000A596C">
        <w:rPr>
          <w:lang w:eastAsia="zh-CN"/>
        </w:rPr>
        <w:tab/>
      </w:r>
      <w:r w:rsidR="00843F10" w:rsidRPr="00317115">
        <w:rPr>
          <w:rFonts w:cstheme="minorHAnsi" w:hint="eastAsia"/>
          <w:lang w:eastAsia="zh-CN"/>
        </w:rPr>
        <w:t>评估结果，以提供知情建议，</w:t>
      </w:r>
      <w:r w:rsidR="00843F10">
        <w:rPr>
          <w:rFonts w:cstheme="minorHAnsi" w:hint="eastAsia"/>
          <w:lang w:eastAsia="zh-CN"/>
        </w:rPr>
        <w:t>从而</w:t>
      </w:r>
      <w:r w:rsidR="00843F10" w:rsidRPr="00317115">
        <w:rPr>
          <w:rFonts w:cstheme="minorHAnsi" w:hint="eastAsia"/>
          <w:lang w:eastAsia="zh-CN"/>
        </w:rPr>
        <w:t>提高国际电联区域运作效率和影响力。</w:t>
      </w:r>
    </w:p>
    <w:p w14:paraId="5C311401" w14:textId="03B6FC80" w:rsidR="00843F10" w:rsidRPr="001016EF" w:rsidRDefault="003326A7" w:rsidP="000E7FAD">
      <w:pPr>
        <w:pStyle w:val="enumlev1"/>
        <w:rPr>
          <w:rStyle w:val="normaltextrun"/>
          <w:rFonts w:asciiTheme="minorHAnsi" w:eastAsiaTheme="minorEastAsia" w:hAnsiTheme="minorHAnsi" w:cstheme="minorHAnsi"/>
          <w:color w:val="000000" w:themeColor="text1"/>
          <w:lang w:eastAsia="zh-CN"/>
        </w:rPr>
      </w:pPr>
      <w:r w:rsidRPr="000A596C">
        <w:rPr>
          <w:lang w:eastAsia="zh-CN"/>
        </w:rPr>
        <w:t>–</w:t>
      </w:r>
      <w:r w:rsidRPr="000A596C">
        <w:rPr>
          <w:lang w:eastAsia="zh-CN"/>
        </w:rPr>
        <w:tab/>
      </w:r>
      <w:r w:rsidR="00843F10" w:rsidRPr="00317115">
        <w:rPr>
          <w:rFonts w:cstheme="minorHAnsi" w:hint="eastAsia"/>
          <w:lang w:eastAsia="zh-CN"/>
        </w:rPr>
        <w:t>促进向国际电联管理机构和顾问组</w:t>
      </w:r>
      <w:r w:rsidR="00843F10">
        <w:rPr>
          <w:rFonts w:cstheme="minorHAnsi" w:hint="eastAsia"/>
          <w:lang w:eastAsia="zh-CN"/>
        </w:rPr>
        <w:t>的</w:t>
      </w:r>
      <w:r w:rsidR="00843F10" w:rsidRPr="00317115">
        <w:rPr>
          <w:rFonts w:cstheme="minorHAnsi" w:hint="eastAsia"/>
          <w:lang w:eastAsia="zh-CN"/>
        </w:rPr>
        <w:t>报告</w:t>
      </w:r>
      <w:r w:rsidR="00843F10">
        <w:rPr>
          <w:rFonts w:cstheme="minorHAnsi" w:hint="eastAsia"/>
          <w:lang w:eastAsia="zh-CN"/>
        </w:rPr>
        <w:t>工作</w:t>
      </w:r>
      <w:r w:rsidR="00843F10" w:rsidRPr="00317115">
        <w:rPr>
          <w:rFonts w:cstheme="minorHAnsi" w:hint="eastAsia"/>
          <w:lang w:eastAsia="zh-CN"/>
        </w:rPr>
        <w:t>。</w:t>
      </w:r>
    </w:p>
    <w:p w14:paraId="61D94480" w14:textId="3A4D4EBC" w:rsidR="00843F10" w:rsidRPr="00FD78E4" w:rsidRDefault="00843F10" w:rsidP="000E7FAD">
      <w:pPr>
        <w:ind w:firstLineChars="200" w:firstLine="480"/>
        <w:jc w:val="both"/>
        <w:rPr>
          <w:rFonts w:asciiTheme="minorHAnsi" w:hAnsiTheme="minorHAnsi" w:cstheme="minorBidi"/>
          <w:lang w:eastAsia="zh-CN"/>
        </w:rPr>
      </w:pPr>
      <w:r w:rsidRPr="00FD78E4">
        <w:rPr>
          <w:rFonts w:asciiTheme="minorHAnsi" w:hAnsiTheme="minorHAnsi" w:cs="Microsoft YaHei" w:hint="eastAsia"/>
          <w:lang w:eastAsia="zh-CN"/>
        </w:rPr>
        <w:t>考虑到国际电联《组织法》第</w:t>
      </w:r>
      <w:r w:rsidRPr="00FD78E4">
        <w:rPr>
          <w:rFonts w:asciiTheme="minorHAnsi" w:hAnsiTheme="minorHAnsi" w:cstheme="minorBidi" w:hint="eastAsia"/>
          <w:lang w:eastAsia="zh-CN"/>
        </w:rPr>
        <w:t>1</w:t>
      </w:r>
      <w:r w:rsidRPr="00FD78E4">
        <w:rPr>
          <w:rFonts w:asciiTheme="minorHAnsi" w:hAnsiTheme="minorHAnsi" w:cs="Microsoft YaHei" w:hint="eastAsia"/>
          <w:lang w:eastAsia="zh-CN"/>
        </w:rPr>
        <w:t>条和第</w:t>
      </w:r>
      <w:r w:rsidRPr="00FD78E4">
        <w:rPr>
          <w:rFonts w:asciiTheme="minorHAnsi" w:hAnsiTheme="minorHAnsi" w:cstheme="minorBidi" w:hint="eastAsia"/>
          <w:lang w:eastAsia="zh-CN"/>
        </w:rPr>
        <w:t>21</w:t>
      </w:r>
      <w:r w:rsidRPr="00FD78E4">
        <w:rPr>
          <w:rFonts w:asciiTheme="minorHAnsi" w:hAnsiTheme="minorHAnsi" w:cs="Microsoft YaHei" w:hint="eastAsia"/>
          <w:lang w:eastAsia="zh-CN"/>
        </w:rPr>
        <w:t>条、国际电联《公约》第</w:t>
      </w:r>
      <w:r w:rsidRPr="00FD78E4">
        <w:rPr>
          <w:rFonts w:asciiTheme="minorHAnsi" w:hAnsiTheme="minorHAnsi" w:cstheme="minorBidi" w:hint="eastAsia"/>
          <w:lang w:eastAsia="zh-CN"/>
        </w:rPr>
        <w:t>5</w:t>
      </w:r>
      <w:r w:rsidRPr="00FD78E4">
        <w:rPr>
          <w:rFonts w:asciiTheme="minorHAnsi" w:hAnsiTheme="minorHAnsi" w:cs="Microsoft YaHei" w:hint="eastAsia"/>
          <w:lang w:eastAsia="zh-CN"/>
        </w:rPr>
        <w:t>条</w:t>
      </w:r>
      <w:r>
        <w:rPr>
          <w:rFonts w:asciiTheme="minorHAnsi" w:hAnsiTheme="minorHAnsi" w:cs="Microsoft YaHei" w:hint="eastAsia"/>
          <w:lang w:eastAsia="zh-CN"/>
        </w:rPr>
        <w:t>，以及</w:t>
      </w:r>
      <w:r w:rsidRPr="00FD78E4">
        <w:rPr>
          <w:rFonts w:asciiTheme="minorHAnsi" w:hAnsiTheme="minorHAnsi" w:cs="Microsoft YaHei" w:hint="eastAsia"/>
          <w:lang w:eastAsia="zh-CN"/>
        </w:rPr>
        <w:t>第</w:t>
      </w:r>
      <w:r w:rsidRPr="00FD78E4">
        <w:rPr>
          <w:rFonts w:asciiTheme="minorHAnsi" w:hAnsiTheme="minorHAnsi" w:cstheme="minorBidi" w:hint="eastAsia"/>
          <w:lang w:eastAsia="zh-CN"/>
        </w:rPr>
        <w:t>25</w:t>
      </w:r>
      <w:r w:rsidRPr="00FD78E4">
        <w:rPr>
          <w:rFonts w:asciiTheme="minorHAnsi" w:hAnsiTheme="minorHAnsi" w:cs="Microsoft YaHei" w:hint="eastAsia"/>
          <w:lang w:eastAsia="zh-CN"/>
        </w:rPr>
        <w:t>号决议（</w:t>
      </w:r>
      <w:r w:rsidRPr="00FD78E4">
        <w:rPr>
          <w:rFonts w:asciiTheme="minorHAnsi" w:hAnsiTheme="minorHAnsi" w:cstheme="minorBidi" w:hint="eastAsia"/>
          <w:lang w:eastAsia="zh-CN"/>
        </w:rPr>
        <w:t>2022</w:t>
      </w:r>
      <w:r w:rsidRPr="00FD78E4">
        <w:rPr>
          <w:rFonts w:asciiTheme="minorHAnsi" w:hAnsiTheme="minorHAnsi" w:cs="Microsoft YaHei" w:hint="eastAsia"/>
          <w:lang w:eastAsia="zh-CN"/>
        </w:rPr>
        <w:t>年，布加勒斯特，修订版），本</w:t>
      </w:r>
      <w:r w:rsidR="00242C1E">
        <w:rPr>
          <w:rFonts w:asciiTheme="minorHAnsi" w:hAnsiTheme="minorHAnsi" w:cs="Microsoft YaHei" w:hint="eastAsia"/>
          <w:lang w:eastAsia="zh-CN"/>
        </w:rPr>
        <w:t>初始</w:t>
      </w:r>
      <w:r w:rsidRPr="00FD78E4">
        <w:rPr>
          <w:rFonts w:asciiTheme="minorHAnsi" w:hAnsiTheme="minorHAnsi" w:cs="Microsoft YaHei" w:hint="eastAsia"/>
          <w:lang w:eastAsia="zh-CN"/>
        </w:rPr>
        <w:t>报告提出</w:t>
      </w:r>
      <w:r>
        <w:rPr>
          <w:rFonts w:asciiTheme="minorHAnsi" w:hAnsiTheme="minorHAnsi" w:cs="Microsoft YaHei" w:hint="eastAsia"/>
          <w:lang w:eastAsia="zh-CN"/>
        </w:rPr>
        <w:t>了</w:t>
      </w:r>
      <w:r w:rsidRPr="00FD78E4">
        <w:rPr>
          <w:rFonts w:asciiTheme="minorHAnsi" w:hAnsiTheme="minorHAnsi" w:cs="Microsoft YaHei" w:hint="eastAsia"/>
          <w:lang w:eastAsia="zh-CN"/>
        </w:rPr>
        <w:t>一系列建议，</w:t>
      </w:r>
      <w:r>
        <w:rPr>
          <w:rFonts w:asciiTheme="minorHAnsi" w:hAnsiTheme="minorHAnsi" w:cs="Microsoft YaHei" w:hint="eastAsia"/>
          <w:lang w:eastAsia="zh-CN"/>
        </w:rPr>
        <w:t>用于</w:t>
      </w:r>
      <w:r w:rsidRPr="00FD78E4">
        <w:rPr>
          <w:rFonts w:asciiTheme="minorHAnsi" w:hAnsiTheme="minorHAnsi" w:cs="Microsoft YaHei" w:hint="eastAsia"/>
          <w:lang w:eastAsia="zh-CN"/>
        </w:rPr>
        <w:t>支持理事会对职责范围的审议。这些建议由区域代表</w:t>
      </w:r>
      <w:r>
        <w:rPr>
          <w:rFonts w:asciiTheme="minorHAnsi" w:hAnsiTheme="minorHAnsi" w:cs="Microsoft YaHei" w:hint="eastAsia"/>
          <w:lang w:eastAsia="zh-CN"/>
        </w:rPr>
        <w:t>性</w:t>
      </w:r>
      <w:r w:rsidRPr="00FD78E4">
        <w:rPr>
          <w:rFonts w:asciiTheme="minorHAnsi" w:hAnsiTheme="minorHAnsi" w:cs="Microsoft YaHei" w:hint="eastAsia"/>
          <w:lang w:eastAsia="zh-CN"/>
        </w:rPr>
        <w:t>跨部门任务组制定。</w:t>
      </w:r>
    </w:p>
    <w:p w14:paraId="6725D00B" w14:textId="77777777" w:rsidR="00843F10" w:rsidRPr="00FD78E4" w:rsidRDefault="00843F10" w:rsidP="000E7FAD">
      <w:pPr>
        <w:ind w:firstLineChars="200" w:firstLine="480"/>
        <w:jc w:val="both"/>
        <w:rPr>
          <w:rFonts w:asciiTheme="minorHAnsi" w:hAnsiTheme="minorHAnsi" w:cstheme="minorHAnsi"/>
          <w:lang w:eastAsia="zh-CN"/>
        </w:rPr>
      </w:pPr>
      <w:r w:rsidRPr="00FD78E4">
        <w:rPr>
          <w:rFonts w:asciiTheme="minorHAnsi" w:hAnsiTheme="minorHAnsi" w:cs="Microsoft YaHei" w:hint="eastAsia"/>
          <w:lang w:eastAsia="zh-CN"/>
        </w:rPr>
        <w:t>这些建议旨在进一步</w:t>
      </w:r>
      <w:r>
        <w:rPr>
          <w:rFonts w:asciiTheme="minorHAnsi" w:hAnsiTheme="minorHAnsi" w:cs="Microsoft YaHei" w:hint="eastAsia"/>
          <w:lang w:eastAsia="zh-CN"/>
        </w:rPr>
        <w:t>明晰</w:t>
      </w:r>
      <w:r w:rsidRPr="00FD78E4">
        <w:rPr>
          <w:rFonts w:asciiTheme="minorHAnsi" w:hAnsiTheme="minorHAnsi" w:cs="Microsoft YaHei" w:hint="eastAsia"/>
          <w:lang w:eastAsia="zh-CN"/>
        </w:rPr>
        <w:t>审查方法、时间表、范围、利益攸关方参与方式和资源要求。</w:t>
      </w:r>
    </w:p>
    <w:p w14:paraId="30AB2544" w14:textId="77777777" w:rsidR="00843F10" w:rsidRPr="00FD78E4" w:rsidRDefault="00843F10" w:rsidP="000E7FAD">
      <w:pPr>
        <w:ind w:firstLineChars="200" w:firstLine="480"/>
        <w:jc w:val="both"/>
        <w:rPr>
          <w:rFonts w:asciiTheme="minorHAnsi" w:hAnsiTheme="minorHAnsi" w:cstheme="minorHAnsi"/>
          <w:lang w:eastAsia="zh-CN"/>
        </w:rPr>
      </w:pPr>
      <w:r>
        <w:rPr>
          <w:rFonts w:asciiTheme="minorHAnsi" w:hAnsiTheme="minorHAnsi" w:cstheme="minorHAnsi" w:hint="eastAsia"/>
          <w:lang w:eastAsia="zh-CN"/>
        </w:rPr>
        <w:t>本</w:t>
      </w:r>
      <w:r w:rsidRPr="00FD78E4">
        <w:rPr>
          <w:rFonts w:asciiTheme="minorHAnsi" w:hAnsiTheme="minorHAnsi" w:cs="Microsoft YaHei" w:hint="eastAsia"/>
          <w:lang w:eastAsia="zh-CN"/>
        </w:rPr>
        <w:t>报告结构如下：</w:t>
      </w:r>
    </w:p>
    <w:p w14:paraId="30C1716E" w14:textId="697CD8AB" w:rsidR="00843F10" w:rsidRPr="000E7FAD" w:rsidRDefault="00843F10" w:rsidP="000E7FAD">
      <w:pPr>
        <w:pStyle w:val="enumlev1"/>
        <w:rPr>
          <w:lang w:eastAsia="zh-CN"/>
        </w:rPr>
      </w:pPr>
      <w:r w:rsidRPr="000E7FAD">
        <w:rPr>
          <w:lang w:eastAsia="zh-CN"/>
        </w:rPr>
        <w:t>1</w:t>
      </w:r>
      <w:r w:rsidRPr="000E7FAD">
        <w:rPr>
          <w:lang w:eastAsia="zh-CN"/>
        </w:rPr>
        <w:tab/>
      </w:r>
      <w:r w:rsidRPr="000E7FAD">
        <w:rPr>
          <w:rFonts w:hint="eastAsia"/>
          <w:lang w:eastAsia="zh-CN"/>
        </w:rPr>
        <w:t>审查方法</w:t>
      </w:r>
      <w:r w:rsidRPr="000E7FAD">
        <w:rPr>
          <w:rFonts w:hint="eastAsia"/>
          <w:lang w:eastAsia="zh-CN"/>
        </w:rPr>
        <w:t xml:space="preserve"> </w:t>
      </w:r>
      <w:r w:rsidRPr="000E7FAD">
        <w:rPr>
          <w:lang w:eastAsia="zh-CN"/>
        </w:rPr>
        <w:t>–</w:t>
      </w:r>
      <w:r w:rsidRPr="000E7FAD">
        <w:rPr>
          <w:rFonts w:hint="eastAsia"/>
          <w:lang w:eastAsia="zh-CN"/>
        </w:rPr>
        <w:t xml:space="preserve"> </w:t>
      </w:r>
      <w:r w:rsidRPr="000E7FAD">
        <w:rPr>
          <w:rFonts w:hint="eastAsia"/>
          <w:lang w:eastAsia="zh-CN"/>
        </w:rPr>
        <w:t>概述开展审查的框架和方法。</w:t>
      </w:r>
    </w:p>
    <w:p w14:paraId="082946A1" w14:textId="75911495" w:rsidR="00843F10" w:rsidRPr="000E7FAD" w:rsidRDefault="00843F10" w:rsidP="000E7FAD">
      <w:pPr>
        <w:pStyle w:val="enumlev1"/>
        <w:rPr>
          <w:lang w:eastAsia="zh-CN"/>
        </w:rPr>
      </w:pPr>
      <w:r w:rsidRPr="000E7FAD">
        <w:rPr>
          <w:lang w:eastAsia="zh-CN"/>
        </w:rPr>
        <w:t>2</w:t>
      </w:r>
      <w:r w:rsidRPr="000E7FAD">
        <w:rPr>
          <w:lang w:eastAsia="zh-CN"/>
        </w:rPr>
        <w:tab/>
      </w:r>
      <w:r w:rsidRPr="000E7FAD">
        <w:rPr>
          <w:rFonts w:hint="eastAsia"/>
          <w:lang w:eastAsia="zh-CN"/>
        </w:rPr>
        <w:t>审查结构和持续时间</w:t>
      </w:r>
      <w:r w:rsidRPr="000E7FAD">
        <w:rPr>
          <w:rFonts w:hint="eastAsia"/>
          <w:lang w:eastAsia="zh-CN"/>
        </w:rPr>
        <w:t xml:space="preserve"> </w:t>
      </w:r>
      <w:r w:rsidRPr="000E7FAD">
        <w:rPr>
          <w:lang w:eastAsia="zh-CN"/>
        </w:rPr>
        <w:t>–</w:t>
      </w:r>
      <w:r w:rsidRPr="000E7FAD">
        <w:rPr>
          <w:rFonts w:hint="eastAsia"/>
          <w:lang w:eastAsia="zh-CN"/>
        </w:rPr>
        <w:t xml:space="preserve"> </w:t>
      </w:r>
      <w:r w:rsidRPr="000E7FAD">
        <w:rPr>
          <w:rFonts w:hint="eastAsia"/>
          <w:lang w:eastAsia="zh-CN"/>
        </w:rPr>
        <w:t>定义审查过程包括的各个阶段、里程碑和可交付成果。</w:t>
      </w:r>
    </w:p>
    <w:p w14:paraId="328754C6" w14:textId="59CF9C4D" w:rsidR="00843F10" w:rsidRPr="000E7FAD" w:rsidRDefault="00843F10" w:rsidP="000E7FAD">
      <w:pPr>
        <w:pStyle w:val="enumlev1"/>
        <w:rPr>
          <w:lang w:eastAsia="zh-CN"/>
        </w:rPr>
      </w:pPr>
      <w:r w:rsidRPr="000E7FAD">
        <w:rPr>
          <w:lang w:eastAsia="zh-CN"/>
        </w:rPr>
        <w:t>3</w:t>
      </w:r>
      <w:r w:rsidRPr="000E7FAD">
        <w:rPr>
          <w:lang w:eastAsia="zh-CN"/>
        </w:rPr>
        <w:tab/>
      </w:r>
      <w:r w:rsidRPr="000E7FAD">
        <w:rPr>
          <w:rFonts w:hint="eastAsia"/>
          <w:lang w:eastAsia="zh-CN"/>
        </w:rPr>
        <w:t>利益攸关方磋商</w:t>
      </w:r>
      <w:r w:rsidRPr="000E7FAD">
        <w:rPr>
          <w:rFonts w:hint="eastAsia"/>
          <w:lang w:eastAsia="zh-CN"/>
        </w:rPr>
        <w:t xml:space="preserve"> </w:t>
      </w:r>
      <w:r w:rsidRPr="000E7FAD">
        <w:rPr>
          <w:lang w:eastAsia="zh-CN"/>
        </w:rPr>
        <w:t>–</w:t>
      </w:r>
      <w:r w:rsidRPr="000E7FAD">
        <w:rPr>
          <w:rFonts w:hint="eastAsia"/>
          <w:lang w:eastAsia="zh-CN"/>
        </w:rPr>
        <w:t xml:space="preserve"> </w:t>
      </w:r>
      <w:r w:rsidRPr="000E7FAD">
        <w:rPr>
          <w:rFonts w:hint="eastAsia"/>
          <w:lang w:eastAsia="zh-CN"/>
        </w:rPr>
        <w:t>确定供利益攸关方实现包容性参与的可能论坛，确保评估的全面性。</w:t>
      </w:r>
    </w:p>
    <w:p w14:paraId="0CCBF1F2" w14:textId="0CAC1FB3" w:rsidR="00843F10" w:rsidRPr="000E7FAD" w:rsidRDefault="00843F10" w:rsidP="000E7FAD">
      <w:pPr>
        <w:pStyle w:val="enumlev1"/>
        <w:rPr>
          <w:lang w:eastAsia="zh-CN"/>
        </w:rPr>
      </w:pPr>
      <w:r w:rsidRPr="000E7FAD">
        <w:rPr>
          <w:lang w:eastAsia="zh-CN"/>
        </w:rPr>
        <w:t>4</w:t>
      </w:r>
      <w:r w:rsidRPr="000E7FAD">
        <w:rPr>
          <w:lang w:eastAsia="zh-CN"/>
        </w:rPr>
        <w:tab/>
      </w:r>
      <w:r w:rsidRPr="000E7FAD">
        <w:rPr>
          <w:rFonts w:hint="eastAsia"/>
          <w:lang w:eastAsia="zh-CN"/>
        </w:rPr>
        <w:t>决策流程</w:t>
      </w:r>
      <w:r w:rsidRPr="000E7FAD">
        <w:rPr>
          <w:rFonts w:hint="eastAsia"/>
          <w:lang w:eastAsia="zh-CN"/>
        </w:rPr>
        <w:t xml:space="preserve"> </w:t>
      </w:r>
      <w:r w:rsidRPr="000E7FAD">
        <w:rPr>
          <w:lang w:eastAsia="zh-CN"/>
        </w:rPr>
        <w:t>–</w:t>
      </w:r>
      <w:r w:rsidRPr="000E7FAD">
        <w:rPr>
          <w:rFonts w:hint="eastAsia"/>
          <w:lang w:eastAsia="zh-CN"/>
        </w:rPr>
        <w:t xml:space="preserve"> </w:t>
      </w:r>
      <w:r w:rsidRPr="000E7FAD">
        <w:rPr>
          <w:rFonts w:hint="eastAsia"/>
          <w:lang w:eastAsia="zh-CN"/>
        </w:rPr>
        <w:t>推荐审查过程中的验证和批准程序。</w:t>
      </w:r>
    </w:p>
    <w:p w14:paraId="070D855E" w14:textId="4248D4D1" w:rsidR="00843F10" w:rsidRPr="000E7FAD" w:rsidRDefault="00843F10" w:rsidP="000E7FAD">
      <w:pPr>
        <w:pStyle w:val="enumlev1"/>
        <w:rPr>
          <w:lang w:eastAsia="zh-CN"/>
        </w:rPr>
      </w:pPr>
      <w:r w:rsidRPr="000E7FAD">
        <w:rPr>
          <w:lang w:eastAsia="zh-CN"/>
        </w:rPr>
        <w:t>5</w:t>
      </w:r>
      <w:r w:rsidRPr="000E7FAD">
        <w:rPr>
          <w:lang w:eastAsia="zh-CN"/>
        </w:rPr>
        <w:tab/>
      </w:r>
      <w:r w:rsidRPr="000E7FAD">
        <w:rPr>
          <w:rFonts w:hint="eastAsia"/>
          <w:lang w:eastAsia="zh-CN"/>
        </w:rPr>
        <w:t>资源要求</w:t>
      </w:r>
      <w:r w:rsidRPr="000E7FAD">
        <w:rPr>
          <w:rFonts w:hint="eastAsia"/>
          <w:lang w:eastAsia="zh-CN"/>
        </w:rPr>
        <w:t xml:space="preserve"> </w:t>
      </w:r>
      <w:r w:rsidRPr="000E7FAD">
        <w:rPr>
          <w:lang w:eastAsia="zh-CN"/>
        </w:rPr>
        <w:t>–</w:t>
      </w:r>
      <w:r w:rsidRPr="000E7FAD">
        <w:rPr>
          <w:rFonts w:hint="eastAsia"/>
          <w:lang w:eastAsia="zh-CN"/>
        </w:rPr>
        <w:t xml:space="preserve"> </w:t>
      </w:r>
      <w:r w:rsidRPr="000E7FAD">
        <w:rPr>
          <w:rFonts w:hint="eastAsia"/>
          <w:lang w:eastAsia="zh-CN"/>
        </w:rPr>
        <w:t>确定支持有效开展审查所需的资源。</w:t>
      </w:r>
    </w:p>
    <w:p w14:paraId="2CC22052" w14:textId="77777777" w:rsidR="00843F10" w:rsidRPr="00973596" w:rsidRDefault="00843F10" w:rsidP="00843F10">
      <w:pPr>
        <w:pStyle w:val="Heading1"/>
        <w:ind w:left="0" w:firstLine="0"/>
        <w:rPr>
          <w:lang w:eastAsia="zh-CN"/>
        </w:rPr>
      </w:pPr>
      <w:r w:rsidRPr="00814507">
        <w:rPr>
          <w:lang w:eastAsia="zh-CN"/>
        </w:rPr>
        <w:t>2</w:t>
      </w:r>
      <w:r w:rsidRPr="00814507">
        <w:rPr>
          <w:lang w:eastAsia="zh-CN"/>
        </w:rPr>
        <w:tab/>
      </w:r>
      <w:r w:rsidRPr="009475AD">
        <w:rPr>
          <w:rFonts w:hint="eastAsia"/>
          <w:lang w:eastAsia="zh-CN"/>
        </w:rPr>
        <w:t>审查方法</w:t>
      </w:r>
    </w:p>
    <w:p w14:paraId="2E5EB3F8" w14:textId="77777777" w:rsidR="00843F10" w:rsidRPr="00B67E49" w:rsidRDefault="00843F10" w:rsidP="000E7FAD">
      <w:pPr>
        <w:pStyle w:val="enumlev1"/>
        <w:keepNext/>
        <w:ind w:left="0" w:firstLineChars="200" w:firstLine="480"/>
        <w:jc w:val="both"/>
        <w:rPr>
          <w:lang w:eastAsia="zh-CN"/>
        </w:rPr>
      </w:pPr>
      <w:r w:rsidRPr="009475AD">
        <w:rPr>
          <w:rFonts w:hint="eastAsia"/>
          <w:lang w:eastAsia="zh-CN"/>
        </w:rPr>
        <w:t>职责范围概述的方法构成了严谨和多</w:t>
      </w:r>
      <w:r>
        <w:rPr>
          <w:rFonts w:hint="eastAsia"/>
          <w:lang w:eastAsia="zh-CN"/>
        </w:rPr>
        <w:t>方位</w:t>
      </w:r>
      <w:r w:rsidRPr="009475AD">
        <w:rPr>
          <w:rFonts w:hint="eastAsia"/>
          <w:lang w:eastAsia="zh-CN"/>
        </w:rPr>
        <w:t>审查程序的基础</w:t>
      </w:r>
      <w:r>
        <w:rPr>
          <w:rFonts w:hint="eastAsia"/>
          <w:lang w:eastAsia="zh-CN"/>
        </w:rPr>
        <w:t>，</w:t>
      </w:r>
      <w:r w:rsidRPr="009475AD">
        <w:rPr>
          <w:rFonts w:hint="eastAsia"/>
          <w:lang w:eastAsia="zh-CN"/>
        </w:rPr>
        <w:t>包括：</w:t>
      </w:r>
    </w:p>
    <w:p w14:paraId="022B0431" w14:textId="77777777" w:rsidR="00843F10" w:rsidRPr="000E7FAD" w:rsidRDefault="00843F10" w:rsidP="000E7FAD">
      <w:pPr>
        <w:pStyle w:val="enumlev1"/>
        <w:rPr>
          <w:lang w:eastAsia="zh-CN"/>
        </w:rPr>
      </w:pPr>
      <w:r w:rsidRPr="000E7FAD">
        <w:rPr>
          <w:lang w:eastAsia="zh-CN"/>
        </w:rPr>
        <w:t>–</w:t>
      </w:r>
      <w:r w:rsidRPr="000E7FAD">
        <w:rPr>
          <w:lang w:eastAsia="zh-CN"/>
        </w:rPr>
        <w:tab/>
      </w:r>
      <w:r w:rsidRPr="000E7FAD">
        <w:rPr>
          <w:rFonts w:hint="eastAsia"/>
          <w:lang w:eastAsia="zh-CN"/>
        </w:rPr>
        <w:t>文件分析：对国际电联主要政策文件、战略规划、审计报告以及内部和外部评估进行全面的案头审查。</w:t>
      </w:r>
    </w:p>
    <w:p w14:paraId="474C9023" w14:textId="77777777" w:rsidR="00843F10" w:rsidRPr="000E7FAD" w:rsidRDefault="00843F10" w:rsidP="000E7FAD">
      <w:pPr>
        <w:pStyle w:val="enumlev1"/>
        <w:rPr>
          <w:lang w:eastAsia="zh-CN"/>
        </w:rPr>
      </w:pPr>
      <w:r w:rsidRPr="000E7FAD">
        <w:rPr>
          <w:lang w:eastAsia="zh-CN"/>
        </w:rPr>
        <w:lastRenderedPageBreak/>
        <w:t>–</w:t>
      </w:r>
      <w:r w:rsidRPr="000E7FAD">
        <w:rPr>
          <w:lang w:eastAsia="zh-CN"/>
        </w:rPr>
        <w:tab/>
      </w:r>
      <w:r w:rsidRPr="000E7FAD">
        <w:rPr>
          <w:rFonts w:hint="eastAsia"/>
          <w:lang w:eastAsia="zh-CN"/>
        </w:rPr>
        <w:t>数据分析：深入研究运作、财务和人员编制数据，以揭示趋势、评估国际电联绩效并改进机会。</w:t>
      </w:r>
    </w:p>
    <w:p w14:paraId="5F425B5E" w14:textId="77777777" w:rsidR="00843F10" w:rsidRPr="000E7FAD" w:rsidRDefault="00843F10" w:rsidP="000E7FAD">
      <w:pPr>
        <w:pStyle w:val="enumlev1"/>
        <w:rPr>
          <w:lang w:eastAsia="zh-CN"/>
        </w:rPr>
      </w:pPr>
      <w:r w:rsidRPr="000E7FAD">
        <w:rPr>
          <w:lang w:eastAsia="zh-CN"/>
        </w:rPr>
        <w:t>–</w:t>
      </w:r>
      <w:r w:rsidRPr="000E7FAD">
        <w:rPr>
          <w:lang w:eastAsia="zh-CN"/>
        </w:rPr>
        <w:tab/>
      </w:r>
      <w:r w:rsidRPr="000E7FAD">
        <w:rPr>
          <w:rFonts w:hint="eastAsia"/>
          <w:lang w:eastAsia="zh-CN"/>
        </w:rPr>
        <w:t>利益攸关方磋商：与内部和外部利益攸关方进行结构化接触，以获得对区域运作有效性和总部支持职能的各种见解。</w:t>
      </w:r>
    </w:p>
    <w:p w14:paraId="0FB80F06" w14:textId="77777777" w:rsidR="00843F10" w:rsidRPr="000E7FAD" w:rsidRDefault="00843F10" w:rsidP="000E7FAD">
      <w:pPr>
        <w:pStyle w:val="enumlev1"/>
        <w:rPr>
          <w:lang w:eastAsia="zh-CN"/>
        </w:rPr>
      </w:pPr>
      <w:r w:rsidRPr="000E7FAD">
        <w:rPr>
          <w:lang w:eastAsia="zh-CN"/>
        </w:rPr>
        <w:t>–</w:t>
      </w:r>
      <w:r w:rsidRPr="000E7FAD">
        <w:rPr>
          <w:lang w:eastAsia="zh-CN"/>
        </w:rPr>
        <w:tab/>
      </w:r>
      <w:r w:rsidRPr="000E7FAD">
        <w:rPr>
          <w:rFonts w:hint="eastAsia"/>
          <w:lang w:eastAsia="zh-CN"/>
        </w:rPr>
        <w:t>利益攸关方调查：针对成员国、相关联合国机构和国际电联成员进行基础广泛的调查，以评估满意度、挑战和期望。</w:t>
      </w:r>
    </w:p>
    <w:p w14:paraId="232525E9" w14:textId="754469E4" w:rsidR="00843F10" w:rsidRPr="00B67E49" w:rsidRDefault="00843F10" w:rsidP="000E7FAD">
      <w:pPr>
        <w:ind w:firstLineChars="200" w:firstLine="480"/>
        <w:rPr>
          <w:lang w:eastAsia="zh-CN"/>
        </w:rPr>
      </w:pPr>
      <w:r w:rsidRPr="009475AD">
        <w:rPr>
          <w:rFonts w:hint="eastAsia"/>
          <w:lang w:eastAsia="zh-CN"/>
        </w:rPr>
        <w:t>为加强审查的分析严谨性和相关性，</w:t>
      </w:r>
      <w:r w:rsidR="00111A96">
        <w:rPr>
          <w:rFonts w:hint="eastAsia"/>
          <w:lang w:eastAsia="zh-CN"/>
        </w:rPr>
        <w:t>跨部门任务组</w:t>
      </w:r>
      <w:r w:rsidRPr="009475AD">
        <w:rPr>
          <w:rFonts w:hint="eastAsia"/>
          <w:lang w:eastAsia="zh-CN"/>
        </w:rPr>
        <w:t>进一步建议纳入：</w:t>
      </w:r>
    </w:p>
    <w:p w14:paraId="632C0F1E" w14:textId="77777777" w:rsidR="00843F10" w:rsidRPr="000E7FAD" w:rsidRDefault="00843F10" w:rsidP="000E7FAD">
      <w:pPr>
        <w:pStyle w:val="enumlev1"/>
        <w:rPr>
          <w:lang w:eastAsia="zh-CN"/>
        </w:rPr>
      </w:pPr>
      <w:r w:rsidRPr="000E7FAD">
        <w:rPr>
          <w:lang w:eastAsia="zh-CN"/>
        </w:rPr>
        <w:t>–</w:t>
      </w:r>
      <w:r w:rsidRPr="000E7FAD">
        <w:rPr>
          <w:lang w:eastAsia="zh-CN"/>
        </w:rPr>
        <w:tab/>
      </w:r>
      <w:r w:rsidRPr="000E7FAD">
        <w:rPr>
          <w:rFonts w:hint="eastAsia"/>
          <w:lang w:eastAsia="zh-CN"/>
        </w:rPr>
        <w:t>基准分析：将国际电联的区域代表处和地区办事处与联合国系统内的同类机构进行比较研究。</w:t>
      </w:r>
    </w:p>
    <w:p w14:paraId="2C4CE9EF" w14:textId="77777777" w:rsidR="00843F10" w:rsidRPr="000E7FAD" w:rsidRDefault="00843F10" w:rsidP="000E7FAD">
      <w:pPr>
        <w:pStyle w:val="enumlev1"/>
        <w:rPr>
          <w:lang w:eastAsia="zh-CN"/>
        </w:rPr>
      </w:pPr>
      <w:r w:rsidRPr="000E7FAD">
        <w:rPr>
          <w:lang w:eastAsia="zh-CN"/>
        </w:rPr>
        <w:t>–</w:t>
      </w:r>
      <w:r w:rsidRPr="000E7FAD">
        <w:rPr>
          <w:lang w:eastAsia="zh-CN"/>
        </w:rPr>
        <w:tab/>
      </w:r>
      <w:r w:rsidRPr="000E7FAD">
        <w:rPr>
          <w:rFonts w:hint="eastAsia"/>
          <w:lang w:eastAsia="zh-CN"/>
        </w:rPr>
        <w:t>综合方法：确保审查具有循证、包容性，并在战略上适应国际电联不断变化的需求，特别是其区域代表性。</w:t>
      </w:r>
    </w:p>
    <w:p w14:paraId="1DB74F37" w14:textId="77777777" w:rsidR="00843F10" w:rsidRPr="00973596" w:rsidRDefault="00843F10" w:rsidP="00843F10">
      <w:pPr>
        <w:pStyle w:val="Heading1"/>
        <w:rPr>
          <w:lang w:eastAsia="zh-CN"/>
        </w:rPr>
      </w:pPr>
      <w:r w:rsidRPr="00814507">
        <w:rPr>
          <w:lang w:eastAsia="zh-CN"/>
        </w:rPr>
        <w:t>3</w:t>
      </w:r>
      <w:r w:rsidRPr="00814507">
        <w:rPr>
          <w:lang w:eastAsia="zh-CN"/>
        </w:rPr>
        <w:tab/>
      </w:r>
      <w:r w:rsidRPr="009475AD">
        <w:rPr>
          <w:rFonts w:hint="eastAsia"/>
          <w:lang w:eastAsia="zh-CN"/>
        </w:rPr>
        <w:t>审查结构和</w:t>
      </w:r>
      <w:r>
        <w:rPr>
          <w:rFonts w:hint="eastAsia"/>
          <w:lang w:eastAsia="zh-CN"/>
        </w:rPr>
        <w:t>持续时间</w:t>
      </w:r>
    </w:p>
    <w:p w14:paraId="1C66BF35" w14:textId="6421F36E" w:rsidR="00843F10" w:rsidRPr="00814507" w:rsidRDefault="00843F10" w:rsidP="000E7FAD">
      <w:pPr>
        <w:ind w:firstLineChars="200" w:firstLine="480"/>
        <w:jc w:val="both"/>
        <w:rPr>
          <w:rFonts w:eastAsia="Aptos"/>
          <w:lang w:eastAsia="zh-CN"/>
        </w:rPr>
      </w:pPr>
      <w:r w:rsidRPr="009E6C14">
        <w:rPr>
          <w:rFonts w:asciiTheme="minorEastAsia" w:hAnsiTheme="minorEastAsia" w:cs="Microsoft YaHei" w:hint="eastAsia"/>
          <w:lang w:eastAsia="zh-CN"/>
        </w:rPr>
        <w:t>审查工作将持续</w:t>
      </w:r>
      <w:r w:rsidRPr="009E6C14">
        <w:rPr>
          <w:rFonts w:cs="Calibri"/>
          <w:lang w:eastAsia="zh-CN"/>
        </w:rPr>
        <w:t>1</w:t>
      </w:r>
      <w:r w:rsidR="00111A96">
        <w:rPr>
          <w:rFonts w:cs="Calibri" w:hint="eastAsia"/>
          <w:lang w:eastAsia="zh-CN"/>
        </w:rPr>
        <w:t>0</w:t>
      </w:r>
      <w:r w:rsidRPr="009E6C14">
        <w:rPr>
          <w:rFonts w:asciiTheme="minorEastAsia" w:hAnsiTheme="minorEastAsia" w:cs="Microsoft YaHei" w:hint="eastAsia"/>
          <w:lang w:eastAsia="zh-CN"/>
        </w:rPr>
        <w:t>个月，并分四个阶段连续</w:t>
      </w:r>
      <w:r>
        <w:rPr>
          <w:rFonts w:asciiTheme="minorEastAsia" w:hAnsiTheme="minorEastAsia" w:cs="Microsoft YaHei" w:hint="eastAsia"/>
          <w:lang w:eastAsia="zh-CN"/>
        </w:rPr>
        <w:t>开展</w:t>
      </w:r>
      <w:r w:rsidRPr="009E6C14">
        <w:rPr>
          <w:rFonts w:asciiTheme="minorEastAsia" w:hAnsiTheme="minorEastAsia" w:cs="Microsoft YaHei" w:hint="eastAsia"/>
          <w:lang w:eastAsia="zh-CN"/>
        </w:rPr>
        <w:t>。各阶段的审查顺序和</w:t>
      </w:r>
      <w:proofErr w:type="gramStart"/>
      <w:r w:rsidRPr="009E6C14">
        <w:rPr>
          <w:rFonts w:asciiTheme="minorEastAsia" w:hAnsiTheme="minorEastAsia" w:cs="Microsoft YaHei" w:hint="eastAsia"/>
          <w:lang w:eastAsia="zh-CN"/>
        </w:rPr>
        <w:t>可</w:t>
      </w:r>
      <w:proofErr w:type="gramEnd"/>
      <w:r w:rsidRPr="009E6C14">
        <w:rPr>
          <w:rFonts w:asciiTheme="minorEastAsia" w:hAnsiTheme="minorEastAsia" w:cs="Microsoft YaHei" w:hint="eastAsia"/>
          <w:lang w:eastAsia="zh-CN"/>
        </w:rPr>
        <w:t>交付成果详述如下。</w:t>
      </w:r>
    </w:p>
    <w:p w14:paraId="2CC22002" w14:textId="77777777" w:rsidR="00843F10" w:rsidRPr="00814507" w:rsidRDefault="00843F10" w:rsidP="000E7FAD">
      <w:pPr>
        <w:pStyle w:val="Headingb"/>
        <w:rPr>
          <w:lang w:eastAsia="zh-CN"/>
        </w:rPr>
      </w:pPr>
      <w:r w:rsidRPr="009E6C14">
        <w:rPr>
          <w:rFonts w:hint="eastAsia"/>
          <w:lang w:eastAsia="zh-CN"/>
        </w:rPr>
        <w:t>第</w:t>
      </w:r>
      <w:r>
        <w:rPr>
          <w:rFonts w:hint="eastAsia"/>
          <w:lang w:eastAsia="zh-CN"/>
        </w:rPr>
        <w:t>1</w:t>
      </w:r>
      <w:r w:rsidRPr="009E6C14">
        <w:rPr>
          <w:rFonts w:hint="eastAsia"/>
          <w:lang w:eastAsia="zh-CN"/>
        </w:rPr>
        <w:t>阶段：初步评估（</w:t>
      </w:r>
      <w:r w:rsidRPr="009E6C14">
        <w:rPr>
          <w:rFonts w:hint="eastAsia"/>
          <w:lang w:eastAsia="zh-CN"/>
        </w:rPr>
        <w:t>2025</w:t>
      </w:r>
      <w:r w:rsidRPr="009E6C14">
        <w:rPr>
          <w:rFonts w:hint="eastAsia"/>
          <w:lang w:eastAsia="zh-CN"/>
        </w:rPr>
        <w:t>年</w:t>
      </w:r>
      <w:r w:rsidRPr="009E6C14">
        <w:rPr>
          <w:rFonts w:hint="eastAsia"/>
          <w:lang w:eastAsia="zh-CN"/>
        </w:rPr>
        <w:t>7</w:t>
      </w:r>
      <w:r w:rsidRPr="009E6C14">
        <w:rPr>
          <w:rFonts w:hint="eastAsia"/>
          <w:lang w:eastAsia="zh-CN"/>
        </w:rPr>
        <w:t>月</w:t>
      </w:r>
      <w:r w:rsidRPr="00814507">
        <w:rPr>
          <w:rFonts w:eastAsia="Aptos"/>
          <w:lang w:eastAsia="zh-CN"/>
        </w:rPr>
        <w:t>–</w:t>
      </w:r>
      <w:r w:rsidRPr="009E6C14">
        <w:rPr>
          <w:rFonts w:hint="eastAsia"/>
          <w:lang w:eastAsia="zh-CN"/>
        </w:rPr>
        <w:t>8</w:t>
      </w:r>
      <w:r w:rsidRPr="009E6C14">
        <w:rPr>
          <w:rFonts w:hint="eastAsia"/>
          <w:lang w:eastAsia="zh-CN"/>
        </w:rPr>
        <w:t>月）</w:t>
      </w:r>
    </w:p>
    <w:p w14:paraId="2E52B8B5" w14:textId="77777777" w:rsidR="00843F10" w:rsidRPr="00155538" w:rsidRDefault="00843F10" w:rsidP="000E7FAD">
      <w:pPr>
        <w:ind w:firstLineChars="200" w:firstLine="480"/>
        <w:rPr>
          <w:lang w:eastAsia="zh-CN"/>
        </w:rPr>
      </w:pPr>
      <w:r>
        <w:rPr>
          <w:rFonts w:hint="eastAsia"/>
          <w:lang w:eastAsia="zh-CN"/>
        </w:rPr>
        <w:t>可交付成果：</w:t>
      </w:r>
    </w:p>
    <w:p w14:paraId="3684B246" w14:textId="77777777" w:rsidR="00843F10" w:rsidRPr="000E7FAD" w:rsidRDefault="00843F10" w:rsidP="000E7FAD">
      <w:pPr>
        <w:pStyle w:val="enumlev1"/>
        <w:rPr>
          <w:lang w:eastAsia="zh-CN"/>
        </w:rPr>
      </w:pPr>
      <w:r w:rsidRPr="000E7FAD">
        <w:rPr>
          <w:lang w:eastAsia="zh-CN"/>
        </w:rPr>
        <w:t>–</w:t>
      </w:r>
      <w:r w:rsidRPr="000E7FAD">
        <w:rPr>
          <w:lang w:eastAsia="zh-CN"/>
        </w:rPr>
        <w:tab/>
      </w:r>
      <w:r w:rsidRPr="000E7FAD">
        <w:rPr>
          <w:rFonts w:hint="eastAsia"/>
          <w:lang w:eastAsia="zh-CN"/>
        </w:rPr>
        <w:t>组建审查团队并制定工作协议。</w:t>
      </w:r>
    </w:p>
    <w:p w14:paraId="1BB7FBF4" w14:textId="77777777" w:rsidR="00843F10" w:rsidRPr="000E7FAD" w:rsidRDefault="00843F10" w:rsidP="000E7FAD">
      <w:pPr>
        <w:pStyle w:val="enumlev1"/>
        <w:rPr>
          <w:lang w:eastAsia="zh-CN"/>
        </w:rPr>
      </w:pPr>
      <w:r w:rsidRPr="000E7FAD">
        <w:rPr>
          <w:lang w:eastAsia="zh-CN"/>
        </w:rPr>
        <w:t>–</w:t>
      </w:r>
      <w:r w:rsidRPr="000E7FAD">
        <w:rPr>
          <w:lang w:eastAsia="zh-CN"/>
        </w:rPr>
        <w:tab/>
      </w:r>
      <w:r w:rsidRPr="000E7FAD">
        <w:rPr>
          <w:rFonts w:hint="eastAsia"/>
          <w:lang w:eastAsia="zh-CN"/>
        </w:rPr>
        <w:t>用方法阐明审查目标。</w:t>
      </w:r>
    </w:p>
    <w:p w14:paraId="7C496EEB" w14:textId="77777777" w:rsidR="00843F10" w:rsidRPr="000E7FAD" w:rsidRDefault="00843F10" w:rsidP="000E7FAD">
      <w:pPr>
        <w:pStyle w:val="enumlev1"/>
        <w:rPr>
          <w:lang w:eastAsia="zh-CN"/>
        </w:rPr>
      </w:pPr>
      <w:r w:rsidRPr="000E7FAD">
        <w:rPr>
          <w:lang w:eastAsia="zh-CN"/>
        </w:rPr>
        <w:t>–</w:t>
      </w:r>
      <w:r w:rsidRPr="000E7FAD">
        <w:rPr>
          <w:lang w:eastAsia="zh-CN"/>
        </w:rPr>
        <w:tab/>
      </w:r>
      <w:r w:rsidRPr="000E7FAD">
        <w:rPr>
          <w:rFonts w:hint="eastAsia"/>
          <w:lang w:eastAsia="zh-CN"/>
        </w:rPr>
        <w:t>开发量身定制的数据收集工具（如调查、访谈问题）。</w:t>
      </w:r>
    </w:p>
    <w:p w14:paraId="28311ED0" w14:textId="77777777" w:rsidR="00843F10" w:rsidRPr="000E7FAD" w:rsidRDefault="00843F10" w:rsidP="000E7FAD">
      <w:pPr>
        <w:pStyle w:val="enumlev1"/>
        <w:rPr>
          <w:lang w:eastAsia="zh-CN"/>
        </w:rPr>
      </w:pPr>
      <w:r w:rsidRPr="000E7FAD">
        <w:rPr>
          <w:lang w:eastAsia="zh-CN"/>
        </w:rPr>
        <w:t>–</w:t>
      </w:r>
      <w:r w:rsidRPr="000E7FAD">
        <w:rPr>
          <w:lang w:eastAsia="zh-CN"/>
        </w:rPr>
        <w:tab/>
      </w:r>
      <w:r w:rsidRPr="000E7FAD">
        <w:rPr>
          <w:rFonts w:hint="eastAsia"/>
          <w:lang w:eastAsia="zh-CN"/>
        </w:rPr>
        <w:t>确保审查指标与国际电联的关键绩效指标和战略目标保持一致。</w:t>
      </w:r>
    </w:p>
    <w:p w14:paraId="7F77EBB3" w14:textId="77777777" w:rsidR="00843F10" w:rsidRPr="00155538" w:rsidRDefault="00843F10" w:rsidP="000E7FAD">
      <w:pPr>
        <w:pStyle w:val="Headingb"/>
        <w:rPr>
          <w:lang w:eastAsia="zh-CN"/>
        </w:rPr>
      </w:pPr>
      <w:r w:rsidRPr="009475AD">
        <w:rPr>
          <w:rFonts w:hint="eastAsia"/>
          <w:lang w:eastAsia="zh-CN"/>
        </w:rPr>
        <w:t>第</w:t>
      </w:r>
      <w:r w:rsidRPr="009475AD">
        <w:rPr>
          <w:rFonts w:hint="eastAsia"/>
          <w:lang w:eastAsia="zh-CN"/>
        </w:rPr>
        <w:t>2</w:t>
      </w:r>
      <w:r w:rsidRPr="009475AD">
        <w:rPr>
          <w:rFonts w:hint="eastAsia"/>
          <w:lang w:eastAsia="zh-CN"/>
        </w:rPr>
        <w:t>阶段：数据收集和初步分析（</w:t>
      </w:r>
      <w:r w:rsidRPr="009475AD">
        <w:rPr>
          <w:rFonts w:hint="eastAsia"/>
          <w:lang w:eastAsia="zh-CN"/>
        </w:rPr>
        <w:t>2025</w:t>
      </w:r>
      <w:r w:rsidRPr="009475AD">
        <w:rPr>
          <w:rFonts w:hint="eastAsia"/>
          <w:lang w:eastAsia="zh-CN"/>
        </w:rPr>
        <w:t>年</w:t>
      </w:r>
      <w:r w:rsidRPr="009475AD">
        <w:rPr>
          <w:rFonts w:hint="eastAsia"/>
          <w:lang w:eastAsia="zh-CN"/>
        </w:rPr>
        <w:t>9</w:t>
      </w:r>
      <w:r w:rsidRPr="009475AD">
        <w:rPr>
          <w:rFonts w:hint="eastAsia"/>
          <w:lang w:eastAsia="zh-CN"/>
        </w:rPr>
        <w:t>月</w:t>
      </w:r>
      <w:r w:rsidRPr="00155538">
        <w:rPr>
          <w:lang w:eastAsia="zh-CN"/>
        </w:rPr>
        <w:t>–</w:t>
      </w:r>
      <w:r w:rsidRPr="009475AD">
        <w:rPr>
          <w:rFonts w:hint="eastAsia"/>
          <w:lang w:eastAsia="zh-CN"/>
        </w:rPr>
        <w:t>11</w:t>
      </w:r>
      <w:r w:rsidRPr="009475AD">
        <w:rPr>
          <w:rFonts w:hint="eastAsia"/>
          <w:lang w:eastAsia="zh-CN"/>
        </w:rPr>
        <w:t>月）</w:t>
      </w:r>
    </w:p>
    <w:p w14:paraId="369A1F93" w14:textId="77777777" w:rsidR="00843F10" w:rsidRPr="00155538" w:rsidRDefault="00843F10" w:rsidP="000E7FAD">
      <w:pPr>
        <w:ind w:firstLineChars="200" w:firstLine="480"/>
        <w:rPr>
          <w:lang w:eastAsia="zh-CN"/>
        </w:rPr>
      </w:pPr>
      <w:r>
        <w:rPr>
          <w:rFonts w:hint="eastAsia"/>
          <w:lang w:eastAsia="zh-CN"/>
        </w:rPr>
        <w:t>可交付成果：</w:t>
      </w:r>
    </w:p>
    <w:p w14:paraId="51BA1375" w14:textId="77777777" w:rsidR="00843F10" w:rsidRPr="000E7FAD" w:rsidRDefault="00843F10" w:rsidP="000E7FAD">
      <w:pPr>
        <w:pStyle w:val="enumlev1"/>
        <w:rPr>
          <w:lang w:eastAsia="zh-CN"/>
        </w:rPr>
      </w:pPr>
      <w:r w:rsidRPr="000E7FAD">
        <w:rPr>
          <w:lang w:eastAsia="zh-CN"/>
        </w:rPr>
        <w:t>–</w:t>
      </w:r>
      <w:r w:rsidRPr="000E7FAD">
        <w:rPr>
          <w:lang w:eastAsia="zh-CN"/>
        </w:rPr>
        <w:tab/>
      </w:r>
      <w:r w:rsidRPr="000E7FAD">
        <w:rPr>
          <w:rFonts w:hint="eastAsia"/>
          <w:lang w:eastAsia="zh-CN"/>
        </w:rPr>
        <w:t>对利益攸关方群体开展访谈和调查。</w:t>
      </w:r>
    </w:p>
    <w:p w14:paraId="6A894D29" w14:textId="77777777" w:rsidR="00843F10" w:rsidRPr="000E7FAD" w:rsidRDefault="00843F10" w:rsidP="000E7FAD">
      <w:pPr>
        <w:pStyle w:val="enumlev1"/>
        <w:rPr>
          <w:lang w:eastAsia="zh-CN"/>
        </w:rPr>
      </w:pPr>
      <w:r w:rsidRPr="000E7FAD">
        <w:rPr>
          <w:lang w:eastAsia="zh-CN"/>
        </w:rPr>
        <w:t>–</w:t>
      </w:r>
      <w:r w:rsidRPr="000E7FAD">
        <w:rPr>
          <w:lang w:eastAsia="zh-CN"/>
        </w:rPr>
        <w:tab/>
      </w:r>
      <w:r w:rsidRPr="000E7FAD">
        <w:rPr>
          <w:rFonts w:hint="eastAsia"/>
          <w:lang w:eastAsia="zh-CN"/>
        </w:rPr>
        <w:t>基准测试练习。</w:t>
      </w:r>
    </w:p>
    <w:p w14:paraId="3062200C" w14:textId="77777777" w:rsidR="00843F10" w:rsidRPr="000E7FAD" w:rsidRDefault="00843F10" w:rsidP="000E7FAD">
      <w:pPr>
        <w:pStyle w:val="enumlev1"/>
        <w:rPr>
          <w:lang w:eastAsia="zh-CN"/>
        </w:rPr>
      </w:pPr>
      <w:r w:rsidRPr="000E7FAD">
        <w:rPr>
          <w:lang w:eastAsia="zh-CN"/>
        </w:rPr>
        <w:t>–</w:t>
      </w:r>
      <w:r w:rsidRPr="000E7FAD">
        <w:rPr>
          <w:lang w:eastAsia="zh-CN"/>
        </w:rPr>
        <w:tab/>
      </w:r>
      <w:r w:rsidRPr="000E7FAD">
        <w:rPr>
          <w:rFonts w:hint="eastAsia"/>
          <w:lang w:eastAsia="zh-CN"/>
        </w:rPr>
        <w:t>初步分析，并确定新兴模式和关键主题。</w:t>
      </w:r>
    </w:p>
    <w:p w14:paraId="3F743364" w14:textId="77777777" w:rsidR="00843F10" w:rsidRPr="00155538" w:rsidRDefault="00843F10" w:rsidP="000E7FAD">
      <w:pPr>
        <w:pStyle w:val="Headingb"/>
        <w:rPr>
          <w:lang w:eastAsia="zh-CN"/>
        </w:rPr>
      </w:pPr>
      <w:r w:rsidRPr="009475AD">
        <w:rPr>
          <w:rFonts w:hint="eastAsia"/>
          <w:lang w:eastAsia="zh-CN"/>
        </w:rPr>
        <w:t>第</w:t>
      </w:r>
      <w:r>
        <w:rPr>
          <w:rFonts w:hint="eastAsia"/>
          <w:lang w:eastAsia="zh-CN"/>
        </w:rPr>
        <w:t>3</w:t>
      </w:r>
      <w:r w:rsidRPr="009475AD">
        <w:rPr>
          <w:rFonts w:hint="eastAsia"/>
          <w:lang w:eastAsia="zh-CN"/>
        </w:rPr>
        <w:t>阶段：详细分析和起草（</w:t>
      </w:r>
      <w:r w:rsidRPr="009475AD">
        <w:rPr>
          <w:rFonts w:hint="eastAsia"/>
          <w:lang w:eastAsia="zh-CN"/>
        </w:rPr>
        <w:t>2025</w:t>
      </w:r>
      <w:r w:rsidRPr="009475AD">
        <w:rPr>
          <w:rFonts w:hint="eastAsia"/>
          <w:lang w:eastAsia="zh-CN"/>
        </w:rPr>
        <w:t>年</w:t>
      </w:r>
      <w:r w:rsidRPr="009475AD">
        <w:rPr>
          <w:rFonts w:hint="eastAsia"/>
          <w:lang w:eastAsia="zh-CN"/>
        </w:rPr>
        <w:t>12</w:t>
      </w:r>
      <w:r w:rsidRPr="009475AD">
        <w:rPr>
          <w:rFonts w:hint="eastAsia"/>
          <w:lang w:eastAsia="zh-CN"/>
        </w:rPr>
        <w:t>月</w:t>
      </w:r>
      <w:r w:rsidRPr="00155538">
        <w:rPr>
          <w:lang w:eastAsia="zh-CN"/>
        </w:rPr>
        <w:t>–</w:t>
      </w:r>
      <w:r w:rsidRPr="009475AD">
        <w:rPr>
          <w:rFonts w:hint="eastAsia"/>
          <w:lang w:eastAsia="zh-CN"/>
        </w:rPr>
        <w:t>2026</w:t>
      </w:r>
      <w:r w:rsidRPr="009475AD">
        <w:rPr>
          <w:rFonts w:hint="eastAsia"/>
          <w:lang w:eastAsia="zh-CN"/>
        </w:rPr>
        <w:t>年</w:t>
      </w:r>
      <w:r w:rsidRPr="009475AD">
        <w:rPr>
          <w:rFonts w:hint="eastAsia"/>
          <w:lang w:eastAsia="zh-CN"/>
        </w:rPr>
        <w:t>2</w:t>
      </w:r>
      <w:r w:rsidRPr="009475AD">
        <w:rPr>
          <w:rFonts w:hint="eastAsia"/>
          <w:lang w:eastAsia="zh-CN"/>
        </w:rPr>
        <w:t>月）</w:t>
      </w:r>
    </w:p>
    <w:p w14:paraId="67E464A8" w14:textId="77777777" w:rsidR="00843F10" w:rsidRPr="00155538" w:rsidRDefault="00843F10" w:rsidP="000E7FAD">
      <w:pPr>
        <w:ind w:firstLineChars="200" w:firstLine="480"/>
        <w:rPr>
          <w:lang w:eastAsia="zh-CN"/>
        </w:rPr>
      </w:pPr>
      <w:r>
        <w:rPr>
          <w:rFonts w:hint="eastAsia"/>
          <w:lang w:eastAsia="zh-CN"/>
        </w:rPr>
        <w:t>可交付成果：</w:t>
      </w:r>
    </w:p>
    <w:p w14:paraId="3FF67F5C" w14:textId="77777777" w:rsidR="00843F10" w:rsidRPr="000E7FAD" w:rsidRDefault="00843F10" w:rsidP="000E7FAD">
      <w:pPr>
        <w:pStyle w:val="enumlev1"/>
        <w:rPr>
          <w:lang w:eastAsia="zh-CN"/>
        </w:rPr>
      </w:pPr>
      <w:r w:rsidRPr="000E7FAD">
        <w:rPr>
          <w:lang w:eastAsia="zh-CN"/>
        </w:rPr>
        <w:t>–</w:t>
      </w:r>
      <w:r w:rsidRPr="000E7FAD">
        <w:rPr>
          <w:lang w:eastAsia="zh-CN"/>
        </w:rPr>
        <w:tab/>
      </w:r>
      <w:r w:rsidRPr="000E7FAD">
        <w:rPr>
          <w:rFonts w:hint="eastAsia"/>
          <w:lang w:eastAsia="zh-CN"/>
        </w:rPr>
        <w:t>根据调查结果和初步分析，对调查结果进行全面分析。</w:t>
      </w:r>
    </w:p>
    <w:p w14:paraId="6E80CFB3" w14:textId="77777777" w:rsidR="00843F10" w:rsidRPr="000E7FAD" w:rsidRDefault="00843F10" w:rsidP="000E7FAD">
      <w:pPr>
        <w:pStyle w:val="enumlev1"/>
        <w:rPr>
          <w:lang w:eastAsia="zh-CN"/>
        </w:rPr>
      </w:pPr>
      <w:r w:rsidRPr="000E7FAD">
        <w:rPr>
          <w:lang w:eastAsia="zh-CN"/>
        </w:rPr>
        <w:t>–</w:t>
      </w:r>
      <w:r w:rsidRPr="000E7FAD">
        <w:rPr>
          <w:lang w:eastAsia="zh-CN"/>
        </w:rPr>
        <w:tab/>
      </w:r>
      <w:r w:rsidRPr="000E7FAD">
        <w:rPr>
          <w:rFonts w:hint="eastAsia"/>
          <w:lang w:eastAsia="zh-CN"/>
        </w:rPr>
        <w:t>起草审查报告草案，包括初步建议。</w:t>
      </w:r>
    </w:p>
    <w:p w14:paraId="5EACF9B7" w14:textId="01C14BEC" w:rsidR="00843F10" w:rsidRPr="00155538" w:rsidRDefault="00843F10" w:rsidP="000E7FAD">
      <w:pPr>
        <w:pStyle w:val="Headingb"/>
        <w:rPr>
          <w:lang w:eastAsia="zh-CN"/>
        </w:rPr>
      </w:pPr>
      <w:r w:rsidRPr="009475AD">
        <w:rPr>
          <w:rFonts w:hint="eastAsia"/>
          <w:lang w:eastAsia="zh-CN"/>
        </w:rPr>
        <w:t>第</w:t>
      </w:r>
      <w:r w:rsidRPr="009475AD">
        <w:rPr>
          <w:rFonts w:hint="eastAsia"/>
          <w:lang w:eastAsia="zh-CN"/>
        </w:rPr>
        <w:t>4</w:t>
      </w:r>
      <w:r w:rsidRPr="009475AD">
        <w:rPr>
          <w:rFonts w:hint="eastAsia"/>
          <w:lang w:eastAsia="zh-CN"/>
        </w:rPr>
        <w:t>阶段：验证和报告（</w:t>
      </w:r>
      <w:r w:rsidRPr="009475AD">
        <w:rPr>
          <w:rFonts w:hint="eastAsia"/>
          <w:lang w:eastAsia="zh-CN"/>
        </w:rPr>
        <w:t>2026</w:t>
      </w:r>
      <w:r w:rsidRPr="009475AD">
        <w:rPr>
          <w:rFonts w:hint="eastAsia"/>
          <w:lang w:eastAsia="zh-CN"/>
        </w:rPr>
        <w:t>年</w:t>
      </w:r>
      <w:r w:rsidRPr="009475AD">
        <w:rPr>
          <w:rFonts w:hint="eastAsia"/>
          <w:lang w:eastAsia="zh-CN"/>
        </w:rPr>
        <w:t>3</w:t>
      </w:r>
      <w:r w:rsidRPr="009475AD">
        <w:rPr>
          <w:rFonts w:hint="eastAsia"/>
          <w:lang w:eastAsia="zh-CN"/>
        </w:rPr>
        <w:t>月</w:t>
      </w:r>
      <w:r w:rsidRPr="00155538">
        <w:rPr>
          <w:lang w:eastAsia="zh-CN"/>
        </w:rPr>
        <w:t>–</w:t>
      </w:r>
      <w:r w:rsidR="00111A96">
        <w:rPr>
          <w:rFonts w:hint="eastAsia"/>
          <w:lang w:eastAsia="zh-CN"/>
        </w:rPr>
        <w:t>4</w:t>
      </w:r>
      <w:r w:rsidRPr="009475AD">
        <w:rPr>
          <w:rFonts w:hint="eastAsia"/>
          <w:lang w:eastAsia="zh-CN"/>
        </w:rPr>
        <w:t>月）</w:t>
      </w:r>
    </w:p>
    <w:p w14:paraId="2CF4CCB4" w14:textId="77777777" w:rsidR="00843F10" w:rsidRPr="00155538" w:rsidRDefault="00843F10" w:rsidP="000E7FAD">
      <w:pPr>
        <w:ind w:firstLineChars="200" w:firstLine="480"/>
        <w:rPr>
          <w:lang w:eastAsia="zh-CN"/>
        </w:rPr>
      </w:pPr>
      <w:r>
        <w:rPr>
          <w:rFonts w:hint="eastAsia"/>
          <w:lang w:eastAsia="zh-CN"/>
        </w:rPr>
        <w:t>可交付成果：</w:t>
      </w:r>
    </w:p>
    <w:p w14:paraId="465DEC75" w14:textId="77777777" w:rsidR="00843F10" w:rsidRPr="000E7FAD" w:rsidRDefault="00843F10" w:rsidP="000E7FAD">
      <w:pPr>
        <w:pStyle w:val="enumlev1"/>
        <w:rPr>
          <w:lang w:eastAsia="zh-CN"/>
        </w:rPr>
      </w:pPr>
      <w:r w:rsidRPr="000E7FAD">
        <w:rPr>
          <w:lang w:eastAsia="zh-CN"/>
        </w:rPr>
        <w:t>–</w:t>
      </w:r>
      <w:r w:rsidRPr="000E7FAD">
        <w:rPr>
          <w:lang w:eastAsia="zh-CN"/>
        </w:rPr>
        <w:tab/>
      </w:r>
      <w:r w:rsidRPr="000E7FAD">
        <w:rPr>
          <w:rFonts w:hint="eastAsia"/>
          <w:lang w:eastAsia="zh-CN"/>
        </w:rPr>
        <w:t>验证审查报告草案。</w:t>
      </w:r>
    </w:p>
    <w:p w14:paraId="1C4520E5" w14:textId="77777777" w:rsidR="00843F10" w:rsidRPr="000E7FAD" w:rsidRDefault="00843F10" w:rsidP="000E7FAD">
      <w:pPr>
        <w:pStyle w:val="enumlev1"/>
        <w:rPr>
          <w:lang w:eastAsia="zh-CN"/>
        </w:rPr>
      </w:pPr>
      <w:r w:rsidRPr="000E7FAD">
        <w:rPr>
          <w:lang w:eastAsia="zh-CN"/>
        </w:rPr>
        <w:t>–</w:t>
      </w:r>
      <w:r w:rsidRPr="000E7FAD">
        <w:rPr>
          <w:lang w:eastAsia="zh-CN"/>
        </w:rPr>
        <w:tab/>
      </w:r>
      <w:r w:rsidRPr="000E7FAD">
        <w:rPr>
          <w:rFonts w:hint="eastAsia"/>
          <w:lang w:eastAsia="zh-CN"/>
        </w:rPr>
        <w:t>纳入验证反馈。</w:t>
      </w:r>
    </w:p>
    <w:p w14:paraId="230BA33F" w14:textId="77777777" w:rsidR="00843F10" w:rsidRPr="000E7FAD" w:rsidRDefault="00843F10" w:rsidP="000E7FAD">
      <w:pPr>
        <w:pStyle w:val="enumlev1"/>
        <w:rPr>
          <w:lang w:eastAsia="zh-CN"/>
        </w:rPr>
      </w:pPr>
      <w:r w:rsidRPr="000E7FAD">
        <w:rPr>
          <w:lang w:eastAsia="zh-CN"/>
        </w:rPr>
        <w:t>–</w:t>
      </w:r>
      <w:r w:rsidRPr="000E7FAD">
        <w:rPr>
          <w:lang w:eastAsia="zh-CN"/>
        </w:rPr>
        <w:tab/>
      </w:r>
      <w:r w:rsidRPr="000E7FAD">
        <w:rPr>
          <w:rFonts w:hint="eastAsia"/>
          <w:lang w:eastAsia="zh-CN"/>
        </w:rPr>
        <w:t>起草最后审查报告，供理事会和</w:t>
      </w:r>
      <w:r w:rsidRPr="000E7FAD">
        <w:rPr>
          <w:rFonts w:hint="eastAsia"/>
          <w:lang w:eastAsia="zh-CN"/>
        </w:rPr>
        <w:t>2026</w:t>
      </w:r>
      <w:r w:rsidRPr="000E7FAD">
        <w:rPr>
          <w:rFonts w:hint="eastAsia"/>
          <w:lang w:eastAsia="zh-CN"/>
        </w:rPr>
        <w:t>年全权代表大会（</w:t>
      </w:r>
      <w:r w:rsidRPr="000E7FAD">
        <w:rPr>
          <w:rFonts w:hint="eastAsia"/>
          <w:lang w:eastAsia="zh-CN"/>
        </w:rPr>
        <w:t>PP-26</w:t>
      </w:r>
      <w:r w:rsidRPr="000E7FAD">
        <w:rPr>
          <w:rFonts w:hint="eastAsia"/>
          <w:lang w:eastAsia="zh-CN"/>
        </w:rPr>
        <w:t>）审议。</w:t>
      </w:r>
    </w:p>
    <w:p w14:paraId="10826841" w14:textId="77777777" w:rsidR="00843F10" w:rsidRPr="00973596" w:rsidRDefault="00843F10" w:rsidP="00843F10">
      <w:pPr>
        <w:pStyle w:val="Heading1"/>
        <w:rPr>
          <w:lang w:eastAsia="zh-CN"/>
        </w:rPr>
      </w:pPr>
      <w:r w:rsidRPr="00814507">
        <w:rPr>
          <w:lang w:eastAsia="zh-CN"/>
        </w:rPr>
        <w:lastRenderedPageBreak/>
        <w:t>4</w:t>
      </w:r>
      <w:r w:rsidRPr="00814507">
        <w:rPr>
          <w:lang w:eastAsia="zh-CN"/>
        </w:rPr>
        <w:tab/>
      </w:r>
      <w:r w:rsidRPr="009475AD">
        <w:rPr>
          <w:rFonts w:hint="eastAsia"/>
          <w:lang w:eastAsia="zh-CN"/>
        </w:rPr>
        <w:t>利益攸关方磋商</w:t>
      </w:r>
    </w:p>
    <w:p w14:paraId="75E63A36" w14:textId="77777777" w:rsidR="00843F10" w:rsidRPr="00814507" w:rsidRDefault="00843F10" w:rsidP="00852247">
      <w:pPr>
        <w:ind w:firstLineChars="200" w:firstLine="480"/>
        <w:rPr>
          <w:lang w:eastAsia="zh-CN"/>
        </w:rPr>
      </w:pPr>
      <w:r w:rsidRPr="009475AD">
        <w:rPr>
          <w:rFonts w:hint="eastAsia"/>
          <w:lang w:eastAsia="zh-CN"/>
        </w:rPr>
        <w:t>利益攸关方的参与将是审查成功的关键，确保直接受区域行动影响的</w:t>
      </w:r>
      <w:r>
        <w:rPr>
          <w:rFonts w:hint="eastAsia"/>
          <w:lang w:eastAsia="zh-CN"/>
        </w:rPr>
        <w:t>利益攸关方</w:t>
      </w:r>
      <w:r w:rsidRPr="009475AD">
        <w:rPr>
          <w:rFonts w:hint="eastAsia"/>
          <w:lang w:eastAsia="zh-CN"/>
        </w:rPr>
        <w:t>的见解和经验</w:t>
      </w:r>
      <w:r>
        <w:rPr>
          <w:rFonts w:hint="eastAsia"/>
          <w:lang w:eastAsia="zh-CN"/>
        </w:rPr>
        <w:t>能够</w:t>
      </w:r>
      <w:r w:rsidRPr="009475AD">
        <w:rPr>
          <w:rFonts w:hint="eastAsia"/>
          <w:lang w:eastAsia="zh-CN"/>
        </w:rPr>
        <w:t>在分析</w:t>
      </w:r>
      <w:r>
        <w:rPr>
          <w:rFonts w:hint="eastAsia"/>
          <w:lang w:eastAsia="zh-CN"/>
        </w:rPr>
        <w:t>结果</w:t>
      </w:r>
      <w:r w:rsidRPr="009475AD">
        <w:rPr>
          <w:rFonts w:hint="eastAsia"/>
          <w:lang w:eastAsia="zh-CN"/>
        </w:rPr>
        <w:t>中得到充分</w:t>
      </w:r>
      <w:r>
        <w:rPr>
          <w:rFonts w:hint="eastAsia"/>
          <w:lang w:eastAsia="zh-CN"/>
        </w:rPr>
        <w:t>体现</w:t>
      </w:r>
      <w:r w:rsidRPr="009475AD">
        <w:rPr>
          <w:rFonts w:hint="eastAsia"/>
          <w:lang w:eastAsia="zh-CN"/>
        </w:rPr>
        <w:t>。强有力的磋商进程不仅</w:t>
      </w:r>
      <w:r>
        <w:rPr>
          <w:rFonts w:hint="eastAsia"/>
          <w:lang w:eastAsia="zh-CN"/>
        </w:rPr>
        <w:t>能够强化</w:t>
      </w:r>
      <w:r w:rsidRPr="009475AD">
        <w:rPr>
          <w:rFonts w:hint="eastAsia"/>
          <w:lang w:eastAsia="zh-CN"/>
        </w:rPr>
        <w:t>审查结果，</w:t>
      </w:r>
      <w:r>
        <w:rPr>
          <w:rFonts w:hint="eastAsia"/>
          <w:lang w:eastAsia="zh-CN"/>
        </w:rPr>
        <w:t>还可以</w:t>
      </w:r>
      <w:r w:rsidRPr="009475AD">
        <w:rPr>
          <w:rFonts w:hint="eastAsia"/>
          <w:lang w:eastAsia="zh-CN"/>
        </w:rPr>
        <w:t>增强其合法性和</w:t>
      </w:r>
      <w:proofErr w:type="gramStart"/>
      <w:r w:rsidRPr="009475AD">
        <w:rPr>
          <w:rFonts w:hint="eastAsia"/>
          <w:lang w:eastAsia="zh-CN"/>
        </w:rPr>
        <w:t>可</w:t>
      </w:r>
      <w:proofErr w:type="gramEnd"/>
      <w:r w:rsidRPr="009475AD">
        <w:rPr>
          <w:rFonts w:hint="eastAsia"/>
          <w:lang w:eastAsia="zh-CN"/>
        </w:rPr>
        <w:t>持续性。广泛</w:t>
      </w:r>
      <w:r>
        <w:rPr>
          <w:rFonts w:hint="eastAsia"/>
          <w:lang w:eastAsia="zh-CN"/>
        </w:rPr>
        <w:t>吸纳</w:t>
      </w:r>
      <w:r w:rsidRPr="009475AD">
        <w:rPr>
          <w:rFonts w:hint="eastAsia"/>
          <w:lang w:eastAsia="zh-CN"/>
        </w:rPr>
        <w:t>各种观点也将有助于</w:t>
      </w:r>
      <w:r>
        <w:rPr>
          <w:rFonts w:hint="eastAsia"/>
          <w:lang w:eastAsia="zh-CN"/>
        </w:rPr>
        <w:t>发掘</w:t>
      </w:r>
      <w:r w:rsidRPr="009475AD">
        <w:rPr>
          <w:rFonts w:hint="eastAsia"/>
          <w:lang w:eastAsia="zh-CN"/>
        </w:rPr>
        <w:t>新观点</w:t>
      </w:r>
      <w:r>
        <w:rPr>
          <w:rFonts w:hint="eastAsia"/>
          <w:lang w:eastAsia="zh-CN"/>
        </w:rPr>
        <w:t>、优化</w:t>
      </w:r>
      <w:r w:rsidRPr="009475AD">
        <w:rPr>
          <w:rFonts w:hint="eastAsia"/>
          <w:lang w:eastAsia="zh-CN"/>
        </w:rPr>
        <w:t>建议质量，并</w:t>
      </w:r>
      <w:r>
        <w:rPr>
          <w:rFonts w:hint="eastAsia"/>
          <w:lang w:eastAsia="zh-CN"/>
        </w:rPr>
        <w:t>为</w:t>
      </w:r>
      <w:r w:rsidRPr="009475AD">
        <w:rPr>
          <w:rFonts w:hint="eastAsia"/>
          <w:lang w:eastAsia="zh-CN"/>
        </w:rPr>
        <w:t>整体评估</w:t>
      </w:r>
      <w:r>
        <w:rPr>
          <w:rFonts w:hint="eastAsia"/>
          <w:lang w:eastAsia="zh-CN"/>
        </w:rPr>
        <w:t>提供支持</w:t>
      </w:r>
      <w:r w:rsidRPr="009475AD">
        <w:rPr>
          <w:rFonts w:hint="eastAsia"/>
          <w:lang w:eastAsia="zh-CN"/>
        </w:rPr>
        <w:t>。</w:t>
      </w:r>
    </w:p>
    <w:p w14:paraId="1C541717" w14:textId="77777777" w:rsidR="00843F10" w:rsidRPr="00814507" w:rsidRDefault="00843F10" w:rsidP="00852247">
      <w:pPr>
        <w:ind w:firstLineChars="200" w:firstLine="480"/>
        <w:rPr>
          <w:lang w:eastAsia="zh-CN"/>
        </w:rPr>
      </w:pPr>
      <w:r w:rsidRPr="009475AD">
        <w:rPr>
          <w:rFonts w:hint="eastAsia"/>
          <w:lang w:eastAsia="zh-CN"/>
        </w:rPr>
        <w:t>职责范围</w:t>
      </w:r>
      <w:r>
        <w:rPr>
          <w:rFonts w:hint="eastAsia"/>
          <w:lang w:eastAsia="zh-CN"/>
        </w:rPr>
        <w:t>强调的</w:t>
      </w:r>
      <w:r w:rsidRPr="009475AD">
        <w:rPr>
          <w:rFonts w:hint="eastAsia"/>
          <w:lang w:eastAsia="zh-CN"/>
        </w:rPr>
        <w:t>主要磋商群体</w:t>
      </w:r>
      <w:r>
        <w:rPr>
          <w:rFonts w:hint="eastAsia"/>
          <w:lang w:eastAsia="zh-CN"/>
        </w:rPr>
        <w:t>包括：</w:t>
      </w:r>
      <w:r w:rsidRPr="009475AD">
        <w:rPr>
          <w:rFonts w:hint="eastAsia"/>
          <w:lang w:eastAsia="zh-CN"/>
        </w:rPr>
        <w:t>国际电联内部秘书处（总秘书处、各局和区域代表处</w:t>
      </w:r>
      <w:r w:rsidRPr="009475AD">
        <w:rPr>
          <w:rFonts w:hint="eastAsia"/>
          <w:lang w:eastAsia="zh-CN"/>
        </w:rPr>
        <w:t>/</w:t>
      </w:r>
      <w:r w:rsidRPr="009475AD">
        <w:rPr>
          <w:rFonts w:hint="eastAsia"/>
          <w:lang w:eastAsia="zh-CN"/>
        </w:rPr>
        <w:t>地区办事处）、成员国、区域性电信组织、部门成员和学术成员等。</w:t>
      </w:r>
    </w:p>
    <w:p w14:paraId="61068F5E" w14:textId="77777777" w:rsidR="00843F10" w:rsidRPr="00814507" w:rsidRDefault="00843F10" w:rsidP="00852247">
      <w:pPr>
        <w:ind w:firstLineChars="200" w:firstLine="480"/>
        <w:rPr>
          <w:lang w:eastAsia="zh-CN"/>
        </w:rPr>
      </w:pPr>
      <w:r w:rsidRPr="009475AD">
        <w:rPr>
          <w:rFonts w:hint="eastAsia"/>
          <w:lang w:eastAsia="zh-CN"/>
        </w:rPr>
        <w:t>磋商工具和机制将包括</w:t>
      </w:r>
      <w:r>
        <w:rPr>
          <w:rFonts w:hint="eastAsia"/>
          <w:lang w:eastAsia="zh-CN"/>
        </w:rPr>
        <w:t>：</w:t>
      </w:r>
      <w:r w:rsidRPr="009475AD">
        <w:rPr>
          <w:rFonts w:hint="eastAsia"/>
          <w:lang w:eastAsia="zh-CN"/>
        </w:rPr>
        <w:t>在线调查、半结构化访谈、利益攸关方讲习班和互动式虚拟参与。</w:t>
      </w:r>
    </w:p>
    <w:p w14:paraId="53B6E3F6" w14:textId="77777777" w:rsidR="00843F10" w:rsidRDefault="00843F10" w:rsidP="00852247">
      <w:pPr>
        <w:ind w:firstLineChars="200" w:firstLine="480"/>
        <w:rPr>
          <w:lang w:eastAsia="zh-CN"/>
        </w:rPr>
      </w:pPr>
      <w:r w:rsidRPr="009475AD">
        <w:rPr>
          <w:rFonts w:hint="eastAsia"/>
          <w:lang w:eastAsia="zh-CN"/>
        </w:rPr>
        <w:t>下表</w:t>
      </w:r>
      <w:r>
        <w:rPr>
          <w:rFonts w:hint="eastAsia"/>
          <w:lang w:eastAsia="zh-CN"/>
        </w:rPr>
        <w:t>列出</w:t>
      </w:r>
      <w:r w:rsidRPr="009475AD">
        <w:rPr>
          <w:rFonts w:hint="eastAsia"/>
          <w:lang w:eastAsia="zh-CN"/>
        </w:rPr>
        <w:t>了</w:t>
      </w:r>
      <w:r w:rsidRPr="00C14045">
        <w:rPr>
          <w:rFonts w:hint="eastAsia"/>
          <w:lang w:eastAsia="zh-CN"/>
        </w:rPr>
        <w:t>作为</w:t>
      </w:r>
      <w:r>
        <w:rPr>
          <w:rFonts w:hint="eastAsia"/>
          <w:lang w:eastAsia="zh-CN"/>
        </w:rPr>
        <w:t>磋商进程</w:t>
      </w:r>
      <w:r w:rsidRPr="00C14045">
        <w:rPr>
          <w:rFonts w:hint="eastAsia"/>
          <w:lang w:eastAsia="zh-CN"/>
        </w:rPr>
        <w:t>的组成部分</w:t>
      </w:r>
      <w:r>
        <w:rPr>
          <w:rFonts w:hint="eastAsia"/>
          <w:lang w:eastAsia="zh-CN"/>
        </w:rPr>
        <w:t>，</w:t>
      </w:r>
      <w:r w:rsidRPr="009475AD">
        <w:rPr>
          <w:rFonts w:hint="eastAsia"/>
          <w:lang w:eastAsia="zh-CN"/>
        </w:rPr>
        <w:t>利益攸关方可能参与的初步、但不完全活动清单。这些活动提供了收集输入意见、验证结果并确保不同观点</w:t>
      </w:r>
      <w:r>
        <w:rPr>
          <w:rFonts w:hint="eastAsia"/>
          <w:lang w:eastAsia="zh-CN"/>
        </w:rPr>
        <w:t>在</w:t>
      </w:r>
      <w:r w:rsidRPr="009475AD">
        <w:rPr>
          <w:rFonts w:hint="eastAsia"/>
          <w:lang w:eastAsia="zh-CN"/>
        </w:rPr>
        <w:t>审查</w:t>
      </w:r>
      <w:r>
        <w:rPr>
          <w:rFonts w:hint="eastAsia"/>
          <w:lang w:eastAsia="zh-CN"/>
        </w:rPr>
        <w:t>过程中得到体现的</w:t>
      </w:r>
      <w:r w:rsidRPr="009475AD">
        <w:rPr>
          <w:rFonts w:hint="eastAsia"/>
          <w:lang w:eastAsia="zh-CN"/>
        </w:rPr>
        <w:t>机会。</w:t>
      </w:r>
      <w:r>
        <w:rPr>
          <w:rFonts w:hint="eastAsia"/>
          <w:lang w:eastAsia="zh-CN"/>
        </w:rPr>
        <w:t>为保证</w:t>
      </w:r>
      <w:r w:rsidRPr="009475AD">
        <w:rPr>
          <w:rFonts w:hint="eastAsia"/>
          <w:lang w:eastAsia="zh-CN"/>
        </w:rPr>
        <w:t>研究的适当性和相关性</w:t>
      </w:r>
      <w:r>
        <w:rPr>
          <w:rFonts w:hint="eastAsia"/>
          <w:lang w:eastAsia="zh-CN"/>
        </w:rPr>
        <w:t>，将</w:t>
      </w:r>
      <w:r w:rsidRPr="009475AD">
        <w:rPr>
          <w:rFonts w:hint="eastAsia"/>
          <w:lang w:eastAsia="zh-CN"/>
        </w:rPr>
        <w:t>仔细挑选利益攸关方磋商的参与者。</w:t>
      </w:r>
    </w:p>
    <w:p w14:paraId="2A5433E7" w14:textId="77777777" w:rsidR="00843F10" w:rsidRDefault="00843F10" w:rsidP="00843F10">
      <w:pPr>
        <w:spacing w:before="0"/>
        <w:jc w:val="both"/>
        <w:rPr>
          <w:lang w:eastAsia="zh-CN"/>
        </w:rPr>
      </w:pPr>
    </w:p>
    <w:tbl>
      <w:tblPr>
        <w:tblStyle w:val="TableGrid"/>
        <w:tblW w:w="0" w:type="auto"/>
        <w:tblLook w:val="04A0" w:firstRow="1" w:lastRow="0" w:firstColumn="1" w:lastColumn="0" w:noHBand="0" w:noVBand="1"/>
      </w:tblPr>
      <w:tblGrid>
        <w:gridCol w:w="2547"/>
        <w:gridCol w:w="1984"/>
        <w:gridCol w:w="2694"/>
        <w:gridCol w:w="1836"/>
      </w:tblGrid>
      <w:tr w:rsidR="00843F10" w:rsidRPr="009E6C14" w14:paraId="28E4CECC" w14:textId="77777777" w:rsidTr="00852247">
        <w:tc>
          <w:tcPr>
            <w:tcW w:w="2547" w:type="dxa"/>
          </w:tcPr>
          <w:p w14:paraId="7B57EF18" w14:textId="77777777" w:rsidR="00843F10" w:rsidRPr="009E6C14" w:rsidRDefault="00843F10" w:rsidP="002C6EE4">
            <w:pPr>
              <w:pStyle w:val="Tablehead"/>
              <w:rPr>
                <w:rFonts w:asciiTheme="minorHAnsi" w:eastAsiaTheme="minorEastAsia" w:hAnsiTheme="minorHAnsi"/>
              </w:rPr>
            </w:pPr>
            <w:r w:rsidRPr="009E6C14">
              <w:rPr>
                <w:rFonts w:asciiTheme="minorHAnsi" w:eastAsiaTheme="minorEastAsia" w:hAnsiTheme="minorHAnsi" w:cs="Microsoft YaHei" w:hint="eastAsia"/>
                <w:lang w:eastAsia="zh-CN"/>
              </w:rPr>
              <w:t>日期</w:t>
            </w:r>
          </w:p>
        </w:tc>
        <w:tc>
          <w:tcPr>
            <w:tcW w:w="1984" w:type="dxa"/>
          </w:tcPr>
          <w:p w14:paraId="777C652D" w14:textId="77777777" w:rsidR="00843F10" w:rsidRPr="009E6C14" w:rsidRDefault="00843F10" w:rsidP="002C6EE4">
            <w:pPr>
              <w:pStyle w:val="Tablehead"/>
              <w:rPr>
                <w:rFonts w:asciiTheme="minorHAnsi" w:eastAsiaTheme="minorEastAsia" w:hAnsiTheme="minorHAnsi"/>
                <w:lang w:eastAsia="zh-CN"/>
              </w:rPr>
            </w:pPr>
            <w:r w:rsidRPr="009E6C14">
              <w:rPr>
                <w:rFonts w:asciiTheme="minorHAnsi" w:eastAsiaTheme="minorEastAsia" w:hAnsiTheme="minorHAnsi" w:cs="Microsoft YaHei" w:hint="eastAsia"/>
                <w:lang w:eastAsia="zh-CN"/>
              </w:rPr>
              <w:t>部门</w:t>
            </w:r>
          </w:p>
        </w:tc>
        <w:tc>
          <w:tcPr>
            <w:tcW w:w="2694" w:type="dxa"/>
          </w:tcPr>
          <w:p w14:paraId="7A425A1E" w14:textId="66CFFF0B" w:rsidR="00843F10" w:rsidRPr="009E6C14" w:rsidRDefault="00843F10" w:rsidP="002C6EE4">
            <w:pPr>
              <w:pStyle w:val="Tablehead"/>
              <w:rPr>
                <w:rFonts w:asciiTheme="minorHAnsi" w:eastAsiaTheme="minorEastAsia" w:hAnsiTheme="minorHAnsi"/>
              </w:rPr>
            </w:pPr>
            <w:r w:rsidRPr="009E6C14">
              <w:rPr>
                <w:rFonts w:asciiTheme="minorHAnsi" w:eastAsiaTheme="minorEastAsia" w:hAnsiTheme="minorHAnsi" w:cs="Microsoft YaHei" w:hint="eastAsia"/>
                <w:lang w:eastAsia="zh-CN"/>
              </w:rPr>
              <w:t>标题</w:t>
            </w:r>
          </w:p>
        </w:tc>
        <w:tc>
          <w:tcPr>
            <w:tcW w:w="1836" w:type="dxa"/>
          </w:tcPr>
          <w:p w14:paraId="5E882AF5" w14:textId="77777777" w:rsidR="00843F10" w:rsidRPr="009E6C14" w:rsidRDefault="00843F10" w:rsidP="002C6EE4">
            <w:pPr>
              <w:pStyle w:val="Tablehead"/>
              <w:rPr>
                <w:rFonts w:asciiTheme="minorHAnsi" w:eastAsiaTheme="minorEastAsia" w:hAnsiTheme="minorHAnsi"/>
              </w:rPr>
            </w:pPr>
            <w:r w:rsidRPr="009E6C14">
              <w:rPr>
                <w:rFonts w:asciiTheme="minorHAnsi" w:eastAsiaTheme="minorEastAsia" w:hAnsiTheme="minorHAnsi" w:cs="Microsoft YaHei" w:hint="eastAsia"/>
                <w:lang w:eastAsia="zh-CN"/>
              </w:rPr>
              <w:t>地点</w:t>
            </w:r>
          </w:p>
        </w:tc>
      </w:tr>
      <w:tr w:rsidR="00843F10" w:rsidRPr="009E6C14" w14:paraId="138E13EB" w14:textId="77777777" w:rsidTr="00852247">
        <w:tc>
          <w:tcPr>
            <w:tcW w:w="2547" w:type="dxa"/>
          </w:tcPr>
          <w:p w14:paraId="6CDE411F" w14:textId="77777777" w:rsidR="00843F10" w:rsidRPr="009E6C14" w:rsidRDefault="00843F10" w:rsidP="002C6EE4">
            <w:pPr>
              <w:pStyle w:val="Tabletext"/>
              <w:rPr>
                <w:rFonts w:asciiTheme="minorHAnsi" w:eastAsiaTheme="minorEastAsia" w:hAnsiTheme="minorHAnsi"/>
              </w:rPr>
            </w:pPr>
            <w:r w:rsidRPr="009E6C14">
              <w:rPr>
                <w:rFonts w:asciiTheme="minorHAnsi" w:eastAsiaTheme="minorEastAsia" w:hAnsiTheme="minorHAnsi" w:hint="eastAsia"/>
              </w:rPr>
              <w:t>2025</w:t>
            </w:r>
            <w:r w:rsidRPr="009E6C14">
              <w:rPr>
                <w:rFonts w:asciiTheme="minorHAnsi" w:eastAsiaTheme="minorEastAsia" w:hAnsiTheme="minorHAnsi" w:cs="Microsoft YaHei" w:hint="eastAsia"/>
              </w:rPr>
              <w:t>年</w:t>
            </w:r>
            <w:r w:rsidRPr="009E6C14">
              <w:rPr>
                <w:rFonts w:asciiTheme="minorHAnsi" w:eastAsiaTheme="minorEastAsia" w:hAnsiTheme="minorHAnsi" w:hint="eastAsia"/>
              </w:rPr>
              <w:t>9</w:t>
            </w:r>
            <w:r w:rsidRPr="009E6C14">
              <w:rPr>
                <w:rFonts w:asciiTheme="minorHAnsi" w:eastAsiaTheme="minorEastAsia" w:hAnsiTheme="minorHAnsi" w:cs="Microsoft YaHei" w:hint="eastAsia"/>
              </w:rPr>
              <w:t>月</w:t>
            </w:r>
            <w:r w:rsidRPr="009E6C14">
              <w:rPr>
                <w:rFonts w:asciiTheme="minorHAnsi" w:eastAsiaTheme="minorEastAsia" w:hAnsiTheme="minorHAnsi" w:hint="eastAsia"/>
              </w:rPr>
              <w:t>22</w:t>
            </w:r>
            <w:r w:rsidRPr="009E6C14">
              <w:rPr>
                <w:rFonts w:asciiTheme="minorHAnsi" w:eastAsiaTheme="minorEastAsia" w:hAnsiTheme="minorHAnsi"/>
              </w:rPr>
              <w:t>–</w:t>
            </w:r>
            <w:r w:rsidRPr="009E6C14">
              <w:rPr>
                <w:rFonts w:asciiTheme="minorHAnsi" w:eastAsiaTheme="minorEastAsia" w:hAnsiTheme="minorHAnsi" w:hint="eastAsia"/>
              </w:rPr>
              <w:t>23</w:t>
            </w:r>
            <w:r w:rsidRPr="009E6C14">
              <w:rPr>
                <w:rFonts w:asciiTheme="minorHAnsi" w:eastAsiaTheme="minorEastAsia" w:hAnsiTheme="minorHAnsi" w:hint="eastAsia"/>
              </w:rPr>
              <w:t>日</w:t>
            </w:r>
          </w:p>
        </w:tc>
        <w:tc>
          <w:tcPr>
            <w:tcW w:w="1984" w:type="dxa"/>
          </w:tcPr>
          <w:p w14:paraId="25753A60" w14:textId="77777777" w:rsidR="00843F10" w:rsidRPr="009E6C14" w:rsidRDefault="00843F10" w:rsidP="002C6EE4">
            <w:pPr>
              <w:pStyle w:val="Tabletext"/>
              <w:jc w:val="center"/>
              <w:rPr>
                <w:rFonts w:asciiTheme="minorHAnsi" w:eastAsiaTheme="minorEastAsia" w:hAnsiTheme="minorHAnsi"/>
              </w:rPr>
            </w:pPr>
            <w:r w:rsidRPr="009E6C14">
              <w:rPr>
                <w:rFonts w:asciiTheme="minorHAnsi" w:eastAsiaTheme="minorEastAsia" w:hAnsiTheme="minorHAnsi"/>
              </w:rPr>
              <w:t>ITU-D</w:t>
            </w:r>
          </w:p>
        </w:tc>
        <w:tc>
          <w:tcPr>
            <w:tcW w:w="2694" w:type="dxa"/>
          </w:tcPr>
          <w:p w14:paraId="1D4D2EF2" w14:textId="77777777" w:rsidR="00843F10" w:rsidRPr="009E6C14" w:rsidRDefault="00843F10" w:rsidP="002C6EE4">
            <w:pPr>
              <w:pStyle w:val="Tabletext"/>
              <w:rPr>
                <w:rFonts w:asciiTheme="minorHAnsi" w:eastAsiaTheme="minorEastAsia" w:hAnsiTheme="minorHAnsi"/>
                <w:lang w:eastAsia="zh-CN"/>
              </w:rPr>
            </w:pPr>
            <w:r w:rsidRPr="009E6C14">
              <w:rPr>
                <w:rFonts w:asciiTheme="minorHAnsi" w:eastAsiaTheme="minorEastAsia" w:hAnsiTheme="minorHAnsi" w:hint="eastAsia"/>
                <w:lang w:eastAsia="zh-CN"/>
              </w:rPr>
              <w:t>第</w:t>
            </w:r>
            <w:r w:rsidRPr="009E6C14">
              <w:rPr>
                <w:rFonts w:asciiTheme="minorHAnsi" w:eastAsiaTheme="minorEastAsia" w:hAnsiTheme="minorHAnsi" w:hint="eastAsia"/>
                <w:lang w:eastAsia="zh-CN"/>
              </w:rPr>
              <w:t>20</w:t>
            </w:r>
            <w:r w:rsidRPr="009E6C14">
              <w:rPr>
                <w:rFonts w:asciiTheme="minorHAnsi" w:eastAsiaTheme="minorEastAsia" w:hAnsiTheme="minorHAnsi" w:cs="Microsoft YaHei" w:hint="eastAsia"/>
                <w:lang w:eastAsia="zh-CN"/>
              </w:rPr>
              <w:t>届世界电信</w:t>
            </w:r>
            <w:r w:rsidRPr="009E6C14">
              <w:rPr>
                <w:rFonts w:asciiTheme="minorHAnsi" w:eastAsiaTheme="minorEastAsia" w:hAnsiTheme="minorHAnsi" w:hint="eastAsia"/>
                <w:lang w:eastAsia="zh-CN"/>
              </w:rPr>
              <w:t>/ICT</w:t>
            </w:r>
            <w:r w:rsidRPr="009E6C14">
              <w:rPr>
                <w:rFonts w:asciiTheme="minorHAnsi" w:eastAsiaTheme="minorEastAsia" w:hAnsiTheme="minorHAnsi" w:cs="Microsoft YaHei" w:hint="eastAsia"/>
                <w:lang w:eastAsia="zh-CN"/>
              </w:rPr>
              <w:t>指标专题研讨</w:t>
            </w:r>
            <w:r w:rsidRPr="009E6C14">
              <w:rPr>
                <w:rFonts w:asciiTheme="minorHAnsi" w:eastAsiaTheme="minorEastAsia" w:hAnsiTheme="minorHAnsi" w:hint="eastAsia"/>
                <w:lang w:eastAsia="zh-CN"/>
              </w:rPr>
              <w:t>会</w:t>
            </w:r>
          </w:p>
        </w:tc>
        <w:tc>
          <w:tcPr>
            <w:tcW w:w="1836" w:type="dxa"/>
          </w:tcPr>
          <w:p w14:paraId="350ECAFD" w14:textId="77777777" w:rsidR="00843F10" w:rsidRPr="009E6C14" w:rsidRDefault="00843F10" w:rsidP="002C6EE4">
            <w:pPr>
              <w:pStyle w:val="Tabletext"/>
              <w:rPr>
                <w:rFonts w:asciiTheme="minorHAnsi" w:eastAsiaTheme="minorEastAsia" w:hAnsiTheme="minorHAnsi"/>
              </w:rPr>
            </w:pPr>
            <w:proofErr w:type="spellStart"/>
            <w:r w:rsidRPr="009E6C14">
              <w:rPr>
                <w:rFonts w:asciiTheme="minorHAnsi" w:eastAsiaTheme="minorEastAsia" w:hAnsiTheme="minorHAnsi" w:hint="eastAsia"/>
              </w:rPr>
              <w:t>瑞士日内瓦</w:t>
            </w:r>
            <w:proofErr w:type="spellEnd"/>
          </w:p>
        </w:tc>
      </w:tr>
      <w:tr w:rsidR="00843F10" w:rsidRPr="009E6C14" w14:paraId="751BB405" w14:textId="77777777" w:rsidTr="00852247">
        <w:tc>
          <w:tcPr>
            <w:tcW w:w="2547" w:type="dxa"/>
          </w:tcPr>
          <w:p w14:paraId="4C9EE733" w14:textId="77777777" w:rsidR="00843F10" w:rsidRPr="009E6C14" w:rsidRDefault="00843F10" w:rsidP="002C6EE4">
            <w:pPr>
              <w:pStyle w:val="Tabletext"/>
              <w:rPr>
                <w:rFonts w:asciiTheme="minorHAnsi" w:eastAsiaTheme="minorEastAsia" w:hAnsiTheme="minorHAnsi"/>
              </w:rPr>
            </w:pPr>
            <w:r w:rsidRPr="009E6C14">
              <w:rPr>
                <w:rFonts w:asciiTheme="minorHAnsi" w:eastAsiaTheme="minorEastAsia" w:hAnsiTheme="minorHAnsi"/>
              </w:rPr>
              <w:t>2025</w:t>
            </w:r>
            <w:r w:rsidRPr="009E6C14">
              <w:rPr>
                <w:rFonts w:asciiTheme="minorHAnsi" w:eastAsiaTheme="minorEastAsia" w:hAnsiTheme="minorHAnsi" w:hint="eastAsia"/>
              </w:rPr>
              <w:t>年</w:t>
            </w:r>
            <w:r w:rsidRPr="009E6C14">
              <w:rPr>
                <w:rFonts w:asciiTheme="minorHAnsi" w:eastAsiaTheme="minorEastAsia" w:hAnsiTheme="minorHAnsi" w:hint="eastAsia"/>
              </w:rPr>
              <w:t>11</w:t>
            </w:r>
            <w:r w:rsidRPr="009E6C14">
              <w:rPr>
                <w:rFonts w:asciiTheme="minorHAnsi" w:eastAsiaTheme="minorEastAsia" w:hAnsiTheme="minorHAnsi" w:cs="Microsoft YaHei" w:hint="eastAsia"/>
              </w:rPr>
              <w:t>月</w:t>
            </w:r>
            <w:r w:rsidRPr="009E6C14">
              <w:rPr>
                <w:rFonts w:asciiTheme="minorHAnsi" w:eastAsiaTheme="minorEastAsia" w:hAnsiTheme="minorHAnsi" w:hint="eastAsia"/>
              </w:rPr>
              <w:t>17</w:t>
            </w:r>
            <w:r w:rsidRPr="009E6C14">
              <w:rPr>
                <w:rFonts w:asciiTheme="minorHAnsi" w:eastAsiaTheme="minorEastAsia" w:hAnsiTheme="minorHAnsi" w:hint="eastAsia"/>
                <w:lang w:eastAsia="zh-CN"/>
              </w:rPr>
              <w:t>-</w:t>
            </w:r>
            <w:r w:rsidRPr="009E6C14">
              <w:rPr>
                <w:rFonts w:asciiTheme="minorHAnsi" w:eastAsiaTheme="minorEastAsia" w:hAnsiTheme="minorHAnsi" w:hint="eastAsia"/>
              </w:rPr>
              <w:t>28</w:t>
            </w:r>
            <w:r w:rsidRPr="009E6C14">
              <w:rPr>
                <w:rFonts w:asciiTheme="minorHAnsi" w:eastAsiaTheme="minorEastAsia" w:hAnsiTheme="minorHAnsi" w:hint="eastAsia"/>
              </w:rPr>
              <w:t>日</w:t>
            </w:r>
          </w:p>
        </w:tc>
        <w:tc>
          <w:tcPr>
            <w:tcW w:w="1984" w:type="dxa"/>
          </w:tcPr>
          <w:p w14:paraId="07187EA6" w14:textId="77777777" w:rsidR="00843F10" w:rsidRPr="009E6C14" w:rsidRDefault="00843F10" w:rsidP="002C6EE4">
            <w:pPr>
              <w:pStyle w:val="Tabletext"/>
              <w:jc w:val="center"/>
              <w:rPr>
                <w:rFonts w:asciiTheme="minorHAnsi" w:eastAsiaTheme="minorEastAsia" w:hAnsiTheme="minorHAnsi"/>
              </w:rPr>
            </w:pPr>
            <w:r w:rsidRPr="009E6C14">
              <w:rPr>
                <w:rFonts w:asciiTheme="minorHAnsi" w:eastAsiaTheme="minorEastAsia" w:hAnsiTheme="minorHAnsi"/>
              </w:rPr>
              <w:t>ITU-D</w:t>
            </w:r>
          </w:p>
        </w:tc>
        <w:tc>
          <w:tcPr>
            <w:tcW w:w="2694" w:type="dxa"/>
          </w:tcPr>
          <w:p w14:paraId="51BF6817" w14:textId="77777777" w:rsidR="00843F10" w:rsidRPr="009E6C14" w:rsidRDefault="00843F10" w:rsidP="002C6EE4">
            <w:pPr>
              <w:pStyle w:val="Tabletext"/>
              <w:rPr>
                <w:rFonts w:asciiTheme="minorHAnsi" w:eastAsiaTheme="minorEastAsia" w:hAnsiTheme="minorHAnsi"/>
              </w:rPr>
            </w:pPr>
            <w:r w:rsidRPr="009E6C14">
              <w:rPr>
                <w:rFonts w:asciiTheme="minorHAnsi" w:eastAsiaTheme="minorEastAsia" w:hAnsiTheme="minorHAnsi" w:hint="eastAsia"/>
              </w:rPr>
              <w:t>2025</w:t>
            </w:r>
            <w:proofErr w:type="spellStart"/>
            <w:r w:rsidRPr="009E6C14">
              <w:rPr>
                <w:rFonts w:asciiTheme="minorHAnsi" w:eastAsiaTheme="minorEastAsia" w:hAnsiTheme="minorHAnsi" w:cs="Microsoft YaHei" w:hint="eastAsia"/>
              </w:rPr>
              <w:t>年世界电信发展大</w:t>
            </w:r>
            <w:r w:rsidRPr="009E6C14">
              <w:rPr>
                <w:rFonts w:asciiTheme="minorHAnsi" w:eastAsiaTheme="minorEastAsia" w:hAnsiTheme="minorHAnsi" w:hint="eastAsia"/>
              </w:rPr>
              <w:t>会</w:t>
            </w:r>
            <w:proofErr w:type="spellEnd"/>
          </w:p>
        </w:tc>
        <w:tc>
          <w:tcPr>
            <w:tcW w:w="1836" w:type="dxa"/>
          </w:tcPr>
          <w:p w14:paraId="370926A1" w14:textId="77777777" w:rsidR="00843F10" w:rsidRPr="009E6C14" w:rsidRDefault="00843F10" w:rsidP="002C6EE4">
            <w:pPr>
              <w:pStyle w:val="Tabletext"/>
              <w:rPr>
                <w:rFonts w:asciiTheme="minorHAnsi" w:eastAsiaTheme="minorEastAsia" w:hAnsiTheme="minorHAnsi"/>
              </w:rPr>
            </w:pPr>
            <w:proofErr w:type="spellStart"/>
            <w:r w:rsidRPr="009E6C14">
              <w:rPr>
                <w:rFonts w:asciiTheme="minorHAnsi" w:eastAsiaTheme="minorEastAsia" w:hAnsiTheme="minorHAnsi" w:hint="eastAsia"/>
              </w:rPr>
              <w:t>阿塞拜疆巴库</w:t>
            </w:r>
            <w:proofErr w:type="spellEnd"/>
          </w:p>
        </w:tc>
      </w:tr>
      <w:tr w:rsidR="00843F10" w:rsidRPr="009E6C14" w14:paraId="0B559755" w14:textId="77777777" w:rsidTr="00852247">
        <w:tc>
          <w:tcPr>
            <w:tcW w:w="2547" w:type="dxa"/>
          </w:tcPr>
          <w:p w14:paraId="42D6133C" w14:textId="0973AEE5" w:rsidR="00843F10" w:rsidRPr="009E6C14" w:rsidRDefault="00843F10" w:rsidP="002C6EE4">
            <w:pPr>
              <w:pStyle w:val="Tabletext"/>
              <w:rPr>
                <w:rFonts w:asciiTheme="minorHAnsi" w:eastAsiaTheme="minorEastAsia" w:hAnsiTheme="minorHAnsi"/>
                <w:lang w:eastAsia="zh-CN"/>
              </w:rPr>
            </w:pPr>
            <w:r w:rsidRPr="009E6C14">
              <w:rPr>
                <w:rFonts w:asciiTheme="minorHAnsi" w:eastAsiaTheme="minorEastAsia" w:hAnsiTheme="minorHAnsi"/>
              </w:rPr>
              <w:t>2026</w:t>
            </w:r>
            <w:r w:rsidRPr="009E6C14">
              <w:rPr>
                <w:rFonts w:asciiTheme="minorHAnsi" w:eastAsiaTheme="minorEastAsia" w:hAnsiTheme="minorHAnsi" w:hint="eastAsia"/>
              </w:rPr>
              <w:t>年</w:t>
            </w:r>
            <w:r w:rsidRPr="009E6C14">
              <w:rPr>
                <w:rFonts w:asciiTheme="minorHAnsi" w:eastAsiaTheme="minorEastAsia" w:hAnsiTheme="minorHAnsi" w:hint="eastAsia"/>
              </w:rPr>
              <w:t>1</w:t>
            </w:r>
            <w:r w:rsidRPr="009E6C14">
              <w:rPr>
                <w:rFonts w:asciiTheme="minorHAnsi" w:eastAsiaTheme="minorEastAsia" w:hAnsiTheme="minorHAnsi" w:hint="eastAsia"/>
              </w:rPr>
              <w:t>月</w:t>
            </w:r>
            <w:r w:rsidRPr="009E6C14">
              <w:rPr>
                <w:rFonts w:asciiTheme="minorHAnsi" w:eastAsiaTheme="minorEastAsia" w:hAnsiTheme="minorHAnsi" w:hint="eastAsia"/>
              </w:rPr>
              <w:t>26-30</w:t>
            </w:r>
            <w:r w:rsidRPr="009E6C14">
              <w:rPr>
                <w:rFonts w:asciiTheme="minorHAnsi" w:eastAsiaTheme="minorEastAsia" w:hAnsiTheme="minorHAnsi" w:hint="eastAsia"/>
              </w:rPr>
              <w:t>日</w:t>
            </w:r>
            <w:r w:rsidR="00852247">
              <w:rPr>
                <w:rFonts w:asciiTheme="minorHAnsi" w:eastAsiaTheme="minorEastAsia" w:hAnsiTheme="minorHAnsi"/>
                <w:lang w:eastAsia="zh-CN"/>
              </w:rPr>
              <w:br/>
            </w:r>
            <w:r w:rsidRPr="009E6C14">
              <w:rPr>
                <w:rFonts w:asciiTheme="minorHAnsi" w:eastAsiaTheme="minorEastAsia" w:hAnsiTheme="minorHAnsi" w:hint="eastAsia"/>
              </w:rPr>
              <w:t>[</w:t>
            </w:r>
            <w:proofErr w:type="spellStart"/>
            <w:r w:rsidRPr="009E6C14">
              <w:rPr>
                <w:rFonts w:asciiTheme="minorHAnsi" w:eastAsiaTheme="minorEastAsia" w:hAnsiTheme="minorHAnsi" w:hint="eastAsia"/>
              </w:rPr>
              <w:t>待定</w:t>
            </w:r>
            <w:proofErr w:type="spellEnd"/>
            <w:r w:rsidRPr="009E6C14">
              <w:rPr>
                <w:rFonts w:asciiTheme="minorHAnsi" w:eastAsiaTheme="minorEastAsia" w:hAnsiTheme="minorHAnsi" w:hint="eastAsia"/>
              </w:rPr>
              <w:t>]</w:t>
            </w:r>
          </w:p>
        </w:tc>
        <w:tc>
          <w:tcPr>
            <w:tcW w:w="1984" w:type="dxa"/>
          </w:tcPr>
          <w:p w14:paraId="29ACC289" w14:textId="77777777" w:rsidR="00843F10" w:rsidRPr="009E6C14" w:rsidRDefault="00843F10" w:rsidP="002C6EE4">
            <w:pPr>
              <w:pStyle w:val="Tabletext"/>
              <w:jc w:val="center"/>
              <w:rPr>
                <w:rFonts w:asciiTheme="minorHAnsi" w:eastAsiaTheme="minorEastAsia" w:hAnsiTheme="minorHAnsi"/>
                <w:lang w:eastAsia="zh-CN"/>
              </w:rPr>
            </w:pPr>
            <w:r w:rsidRPr="009E6C14">
              <w:rPr>
                <w:rFonts w:asciiTheme="minorHAnsi" w:eastAsiaTheme="minorEastAsia" w:hAnsiTheme="minorHAnsi"/>
              </w:rPr>
              <w:t>ITU-</w:t>
            </w:r>
            <w:r>
              <w:rPr>
                <w:rFonts w:asciiTheme="minorHAnsi" w:eastAsiaTheme="minorEastAsia" w:hAnsiTheme="minorHAnsi" w:hint="eastAsia"/>
                <w:lang w:eastAsia="zh-CN"/>
              </w:rPr>
              <w:t>T</w:t>
            </w:r>
          </w:p>
        </w:tc>
        <w:tc>
          <w:tcPr>
            <w:tcW w:w="2694" w:type="dxa"/>
          </w:tcPr>
          <w:p w14:paraId="63AFBE29" w14:textId="77777777" w:rsidR="00843F10" w:rsidRPr="009E6C14" w:rsidRDefault="00843F10" w:rsidP="002C6EE4">
            <w:pPr>
              <w:pStyle w:val="Tabletext"/>
              <w:rPr>
                <w:rFonts w:asciiTheme="minorHAnsi" w:eastAsiaTheme="minorEastAsia" w:hAnsiTheme="minorHAnsi"/>
              </w:rPr>
            </w:pPr>
            <w:proofErr w:type="spellStart"/>
            <w:r w:rsidRPr="009E6C14">
              <w:rPr>
                <w:rFonts w:asciiTheme="minorHAnsi" w:eastAsiaTheme="minorEastAsia" w:hAnsiTheme="minorHAnsi" w:hint="eastAsia"/>
              </w:rPr>
              <w:t>电信标准顾问组</w:t>
            </w:r>
            <w:proofErr w:type="spellEnd"/>
          </w:p>
        </w:tc>
        <w:tc>
          <w:tcPr>
            <w:tcW w:w="1836" w:type="dxa"/>
          </w:tcPr>
          <w:p w14:paraId="681F142B" w14:textId="77777777" w:rsidR="00843F10" w:rsidRPr="009E6C14" w:rsidRDefault="00843F10" w:rsidP="002C6EE4">
            <w:pPr>
              <w:pStyle w:val="Tabletext"/>
              <w:rPr>
                <w:rFonts w:asciiTheme="minorHAnsi" w:eastAsiaTheme="minorEastAsia" w:hAnsiTheme="minorHAnsi"/>
              </w:rPr>
            </w:pPr>
            <w:r w:rsidRPr="009E6C14">
              <w:rPr>
                <w:rFonts w:asciiTheme="minorHAnsi" w:eastAsiaTheme="minorEastAsia" w:hAnsiTheme="minorHAnsi" w:cs="Microsoft YaHei" w:hint="eastAsia"/>
                <w:lang w:eastAsia="zh-CN"/>
              </w:rPr>
              <w:t>待确认</w:t>
            </w:r>
          </w:p>
        </w:tc>
      </w:tr>
      <w:tr w:rsidR="00843F10" w:rsidRPr="009E6C14" w14:paraId="37A19213" w14:textId="77777777" w:rsidTr="00852247">
        <w:tc>
          <w:tcPr>
            <w:tcW w:w="2547" w:type="dxa"/>
          </w:tcPr>
          <w:p w14:paraId="6D9B45F5" w14:textId="77777777" w:rsidR="00843F10" w:rsidRPr="009E6C14" w:rsidRDefault="00843F10" w:rsidP="002C6EE4">
            <w:pPr>
              <w:pStyle w:val="Tabletext"/>
              <w:rPr>
                <w:rFonts w:asciiTheme="minorHAnsi" w:eastAsiaTheme="minorEastAsia" w:hAnsiTheme="minorHAnsi"/>
              </w:rPr>
            </w:pPr>
            <w:r w:rsidRPr="009E6C14">
              <w:rPr>
                <w:rFonts w:asciiTheme="minorHAnsi" w:eastAsiaTheme="minorEastAsia" w:hAnsiTheme="minorHAnsi"/>
              </w:rPr>
              <w:t>2026</w:t>
            </w:r>
            <w:r w:rsidRPr="009E6C14">
              <w:rPr>
                <w:rFonts w:asciiTheme="minorHAnsi" w:eastAsiaTheme="minorEastAsia" w:hAnsiTheme="minorHAnsi" w:hint="eastAsia"/>
              </w:rPr>
              <w:t>年</w:t>
            </w:r>
            <w:r w:rsidRPr="009E6C14">
              <w:rPr>
                <w:rFonts w:asciiTheme="minorHAnsi" w:eastAsiaTheme="minorEastAsia" w:hAnsiTheme="minorHAnsi" w:hint="eastAsia"/>
              </w:rPr>
              <w:t>3</w:t>
            </w:r>
            <w:r w:rsidRPr="009E6C14">
              <w:rPr>
                <w:rFonts w:asciiTheme="minorHAnsi" w:eastAsiaTheme="minorEastAsia" w:hAnsiTheme="minorHAnsi" w:cs="Microsoft YaHei" w:hint="eastAsia"/>
              </w:rPr>
              <w:t>月</w:t>
            </w:r>
            <w:r w:rsidRPr="009E6C14">
              <w:rPr>
                <w:rFonts w:asciiTheme="minorHAnsi" w:eastAsiaTheme="minorEastAsia" w:hAnsiTheme="minorHAnsi" w:hint="eastAsia"/>
              </w:rPr>
              <w:t>30</w:t>
            </w:r>
            <w:r w:rsidRPr="009E6C14">
              <w:rPr>
                <w:rFonts w:asciiTheme="minorHAnsi" w:eastAsiaTheme="minorEastAsia" w:hAnsiTheme="minorHAnsi" w:cs="Microsoft YaHei" w:hint="eastAsia"/>
              </w:rPr>
              <w:t>日</w:t>
            </w:r>
            <w:r w:rsidRPr="009E6C14">
              <w:rPr>
                <w:rFonts w:asciiTheme="minorHAnsi" w:eastAsiaTheme="minorEastAsia" w:hAnsiTheme="minorHAnsi"/>
              </w:rPr>
              <w:t>–</w:t>
            </w:r>
            <w:r w:rsidRPr="009E6C14">
              <w:rPr>
                <w:rFonts w:asciiTheme="minorHAnsi" w:eastAsiaTheme="minorEastAsia" w:hAnsiTheme="minorHAnsi" w:hint="eastAsia"/>
              </w:rPr>
              <w:t>4</w:t>
            </w:r>
            <w:r w:rsidRPr="009E6C14">
              <w:rPr>
                <w:rFonts w:asciiTheme="minorHAnsi" w:eastAsiaTheme="minorEastAsia" w:hAnsiTheme="minorHAnsi" w:cs="Microsoft YaHei" w:hint="eastAsia"/>
              </w:rPr>
              <w:t>月</w:t>
            </w:r>
            <w:r w:rsidRPr="009E6C14">
              <w:rPr>
                <w:rFonts w:asciiTheme="minorHAnsi" w:eastAsiaTheme="minorEastAsia" w:hAnsiTheme="minorHAnsi" w:hint="eastAsia"/>
              </w:rPr>
              <w:t>1</w:t>
            </w:r>
            <w:r w:rsidRPr="009E6C14">
              <w:rPr>
                <w:rFonts w:asciiTheme="minorHAnsi" w:eastAsiaTheme="minorEastAsia" w:hAnsiTheme="minorHAnsi" w:hint="eastAsia"/>
              </w:rPr>
              <w:t>日</w:t>
            </w:r>
          </w:p>
        </w:tc>
        <w:tc>
          <w:tcPr>
            <w:tcW w:w="1984" w:type="dxa"/>
          </w:tcPr>
          <w:p w14:paraId="78D7BD0A" w14:textId="77777777" w:rsidR="00843F10" w:rsidRPr="009E6C14" w:rsidRDefault="00843F10" w:rsidP="002C6EE4">
            <w:pPr>
              <w:pStyle w:val="Tabletext"/>
              <w:jc w:val="center"/>
              <w:rPr>
                <w:rFonts w:asciiTheme="minorHAnsi" w:eastAsiaTheme="minorEastAsia" w:hAnsiTheme="minorHAnsi"/>
              </w:rPr>
            </w:pPr>
            <w:r w:rsidRPr="009E6C14">
              <w:rPr>
                <w:rFonts w:asciiTheme="minorHAnsi" w:eastAsiaTheme="minorEastAsia" w:hAnsiTheme="minorHAnsi"/>
              </w:rPr>
              <w:t>ITU-R</w:t>
            </w:r>
          </w:p>
        </w:tc>
        <w:tc>
          <w:tcPr>
            <w:tcW w:w="2694" w:type="dxa"/>
          </w:tcPr>
          <w:p w14:paraId="077C1E59" w14:textId="77777777" w:rsidR="00843F10" w:rsidRPr="009E6C14" w:rsidRDefault="00843F10" w:rsidP="002C6EE4">
            <w:pPr>
              <w:pStyle w:val="Tabletext"/>
              <w:rPr>
                <w:rFonts w:asciiTheme="minorHAnsi" w:eastAsiaTheme="minorEastAsia" w:hAnsiTheme="minorHAnsi"/>
              </w:rPr>
            </w:pPr>
            <w:proofErr w:type="spellStart"/>
            <w:r w:rsidRPr="009E6C14">
              <w:rPr>
                <w:rFonts w:asciiTheme="minorHAnsi" w:eastAsiaTheme="minorEastAsia" w:hAnsiTheme="minorHAnsi" w:hint="eastAsia"/>
              </w:rPr>
              <w:t>无线电通信顾问组</w:t>
            </w:r>
            <w:proofErr w:type="spellEnd"/>
          </w:p>
        </w:tc>
        <w:tc>
          <w:tcPr>
            <w:tcW w:w="1836" w:type="dxa"/>
          </w:tcPr>
          <w:p w14:paraId="3FA4FD98" w14:textId="77777777" w:rsidR="00843F10" w:rsidRPr="009E6C14" w:rsidRDefault="00843F10" w:rsidP="002C6EE4">
            <w:pPr>
              <w:pStyle w:val="Tabletext"/>
              <w:rPr>
                <w:rFonts w:asciiTheme="minorHAnsi" w:eastAsiaTheme="minorEastAsia" w:hAnsiTheme="minorHAnsi"/>
              </w:rPr>
            </w:pPr>
            <w:r w:rsidRPr="009E6C14">
              <w:rPr>
                <w:rFonts w:asciiTheme="minorHAnsi" w:eastAsiaTheme="minorEastAsia" w:hAnsiTheme="minorHAnsi" w:cs="Microsoft YaHei" w:hint="eastAsia"/>
                <w:lang w:eastAsia="zh-CN"/>
              </w:rPr>
              <w:t>瑞士日内瓦</w:t>
            </w:r>
          </w:p>
        </w:tc>
      </w:tr>
      <w:tr w:rsidR="00843F10" w:rsidRPr="009E6C14" w14:paraId="673BC007" w14:textId="77777777" w:rsidTr="00852247">
        <w:tc>
          <w:tcPr>
            <w:tcW w:w="2547" w:type="dxa"/>
          </w:tcPr>
          <w:p w14:paraId="4C6DC548" w14:textId="5EDF072A" w:rsidR="00843F10" w:rsidRPr="009E6C14" w:rsidRDefault="00843F10" w:rsidP="002C6EE4">
            <w:pPr>
              <w:pStyle w:val="Tabletext"/>
              <w:rPr>
                <w:rFonts w:asciiTheme="minorHAnsi" w:eastAsiaTheme="minorEastAsia" w:hAnsiTheme="minorHAnsi"/>
              </w:rPr>
            </w:pPr>
            <w:r w:rsidRPr="009E6C14">
              <w:rPr>
                <w:rFonts w:asciiTheme="minorHAnsi" w:eastAsiaTheme="minorEastAsia" w:hAnsiTheme="minorHAnsi" w:cs="Microsoft YaHei" w:hint="eastAsia"/>
                <w:lang w:eastAsia="zh-CN"/>
              </w:rPr>
              <w:t>多个</w:t>
            </w:r>
          </w:p>
        </w:tc>
        <w:tc>
          <w:tcPr>
            <w:tcW w:w="1984" w:type="dxa"/>
          </w:tcPr>
          <w:p w14:paraId="2A3647F4" w14:textId="77777777" w:rsidR="00843F10" w:rsidRPr="009E6C14" w:rsidRDefault="00843F10" w:rsidP="002C6EE4">
            <w:pPr>
              <w:pStyle w:val="Tabletext"/>
              <w:jc w:val="center"/>
              <w:rPr>
                <w:rFonts w:asciiTheme="minorHAnsi" w:eastAsiaTheme="minorEastAsia" w:hAnsiTheme="minorHAnsi"/>
              </w:rPr>
            </w:pPr>
            <w:r w:rsidRPr="009E6C14">
              <w:rPr>
                <w:rFonts w:asciiTheme="minorHAnsi" w:eastAsiaTheme="minorEastAsia" w:hAnsiTheme="minorHAnsi"/>
              </w:rPr>
              <w:t>ITU-D</w:t>
            </w:r>
          </w:p>
        </w:tc>
        <w:tc>
          <w:tcPr>
            <w:tcW w:w="2694" w:type="dxa"/>
          </w:tcPr>
          <w:p w14:paraId="7F732B96" w14:textId="77777777" w:rsidR="00843F10" w:rsidRPr="009E6C14" w:rsidRDefault="00843F10" w:rsidP="002C6EE4">
            <w:pPr>
              <w:pStyle w:val="Tabletext"/>
              <w:rPr>
                <w:rFonts w:asciiTheme="minorHAnsi" w:eastAsiaTheme="minorEastAsia" w:hAnsiTheme="minorHAnsi"/>
                <w:lang w:eastAsia="zh-CN"/>
              </w:rPr>
            </w:pPr>
            <w:r w:rsidRPr="009E6C14">
              <w:rPr>
                <w:rFonts w:asciiTheme="minorHAnsi" w:eastAsiaTheme="minorEastAsia" w:hAnsiTheme="minorHAnsi" w:hint="eastAsia"/>
                <w:lang w:eastAsia="zh-CN"/>
              </w:rPr>
              <w:t>区域性电信组织的会议</w:t>
            </w:r>
          </w:p>
        </w:tc>
        <w:tc>
          <w:tcPr>
            <w:tcW w:w="1836" w:type="dxa"/>
          </w:tcPr>
          <w:p w14:paraId="005C126E" w14:textId="77777777" w:rsidR="00843F10" w:rsidRPr="009E6C14" w:rsidRDefault="00843F10" w:rsidP="002C6EE4">
            <w:pPr>
              <w:pStyle w:val="Tabletext"/>
              <w:rPr>
                <w:rFonts w:asciiTheme="minorHAnsi" w:eastAsiaTheme="minorEastAsia" w:hAnsiTheme="minorHAnsi"/>
              </w:rPr>
            </w:pPr>
            <w:r w:rsidRPr="009E6C14">
              <w:rPr>
                <w:rFonts w:asciiTheme="minorHAnsi" w:eastAsiaTheme="minorEastAsia" w:hAnsiTheme="minorHAnsi" w:cs="Microsoft YaHei" w:hint="eastAsia"/>
                <w:lang w:eastAsia="zh-CN"/>
              </w:rPr>
              <w:t>多个</w:t>
            </w:r>
          </w:p>
        </w:tc>
      </w:tr>
    </w:tbl>
    <w:p w14:paraId="6E654A93" w14:textId="77777777" w:rsidR="00843F10" w:rsidRPr="00973596" w:rsidRDefault="00843F10" w:rsidP="00843F10">
      <w:pPr>
        <w:pStyle w:val="Heading1"/>
      </w:pPr>
      <w:r w:rsidRPr="00814507">
        <w:t>5</w:t>
      </w:r>
      <w:r w:rsidRPr="00814507">
        <w:tab/>
      </w:r>
      <w:proofErr w:type="spellStart"/>
      <w:r w:rsidRPr="009475AD">
        <w:rPr>
          <w:rFonts w:hint="eastAsia"/>
        </w:rPr>
        <w:t>决策</w:t>
      </w:r>
      <w:proofErr w:type="spellEnd"/>
      <w:r>
        <w:rPr>
          <w:rFonts w:hint="eastAsia"/>
          <w:lang w:eastAsia="zh-CN"/>
        </w:rPr>
        <w:t>流</w:t>
      </w:r>
      <w:r w:rsidRPr="009475AD">
        <w:rPr>
          <w:rFonts w:hint="eastAsia"/>
        </w:rPr>
        <w:t>程</w:t>
      </w:r>
    </w:p>
    <w:p w14:paraId="3EEAD3E0" w14:textId="77777777" w:rsidR="00843F10" w:rsidRPr="00814507" w:rsidRDefault="00843F10" w:rsidP="00307591">
      <w:pPr>
        <w:ind w:firstLineChars="200" w:firstLine="480"/>
        <w:jc w:val="both"/>
        <w:rPr>
          <w:rFonts w:cs="Calibri"/>
          <w:lang w:eastAsia="zh-CN"/>
        </w:rPr>
      </w:pPr>
      <w:r w:rsidRPr="009475AD">
        <w:rPr>
          <w:rFonts w:cs="Calibri" w:hint="eastAsia"/>
          <w:lang w:eastAsia="zh-CN"/>
        </w:rPr>
        <w:t>审查将纳入国际电</w:t>
      </w:r>
      <w:proofErr w:type="gramStart"/>
      <w:r w:rsidRPr="009475AD">
        <w:rPr>
          <w:rFonts w:cs="Calibri" w:hint="eastAsia"/>
          <w:lang w:eastAsia="zh-CN"/>
        </w:rPr>
        <w:t>联现有</w:t>
      </w:r>
      <w:proofErr w:type="gramEnd"/>
      <w:r w:rsidRPr="009475AD">
        <w:rPr>
          <w:rFonts w:cs="Calibri" w:hint="eastAsia"/>
          <w:lang w:eastAsia="zh-CN"/>
        </w:rPr>
        <w:t>的治理框架，以确保透明度、问责制和机构所有权。这须包括：</w:t>
      </w:r>
    </w:p>
    <w:p w14:paraId="51CF168F" w14:textId="02993FE2" w:rsidR="00843F10" w:rsidRPr="00307591" w:rsidRDefault="00843F10" w:rsidP="00307591">
      <w:pPr>
        <w:pStyle w:val="enumlev1"/>
        <w:rPr>
          <w:lang w:eastAsia="zh-CN"/>
        </w:rPr>
      </w:pPr>
      <w:r w:rsidRPr="00307591">
        <w:rPr>
          <w:lang w:eastAsia="zh-CN"/>
        </w:rPr>
        <w:t>–</w:t>
      </w:r>
      <w:r w:rsidRPr="00307591">
        <w:rPr>
          <w:lang w:eastAsia="zh-CN"/>
        </w:rPr>
        <w:tab/>
      </w:r>
      <w:r w:rsidRPr="00307591">
        <w:rPr>
          <w:rFonts w:hint="eastAsia"/>
          <w:lang w:eastAsia="zh-CN"/>
        </w:rPr>
        <w:t>区域代表性跨部门任务组</w:t>
      </w:r>
      <w:r w:rsidR="00111A96">
        <w:rPr>
          <w:rFonts w:hint="eastAsia"/>
          <w:lang w:eastAsia="zh-CN"/>
        </w:rPr>
        <w:t>，</w:t>
      </w:r>
      <w:r w:rsidRPr="00307591">
        <w:rPr>
          <w:rFonts w:hint="eastAsia"/>
          <w:lang w:eastAsia="zh-CN"/>
        </w:rPr>
        <w:t>向协调委员会报告。</w:t>
      </w:r>
    </w:p>
    <w:p w14:paraId="10A15228" w14:textId="30673B8A" w:rsidR="00843F10" w:rsidRPr="00307591" w:rsidRDefault="00843F10" w:rsidP="00307591">
      <w:pPr>
        <w:pStyle w:val="enumlev1"/>
        <w:rPr>
          <w:lang w:eastAsia="zh-CN"/>
        </w:rPr>
      </w:pPr>
      <w:r w:rsidRPr="00307591">
        <w:rPr>
          <w:lang w:eastAsia="zh-CN"/>
        </w:rPr>
        <w:t>–</w:t>
      </w:r>
      <w:r w:rsidRPr="00307591">
        <w:rPr>
          <w:lang w:eastAsia="zh-CN"/>
        </w:rPr>
        <w:tab/>
      </w:r>
      <w:r w:rsidR="00111A96">
        <w:rPr>
          <w:rFonts w:hint="eastAsia"/>
          <w:lang w:eastAsia="zh-CN"/>
        </w:rPr>
        <w:t>向</w:t>
      </w:r>
      <w:r w:rsidRPr="00307591">
        <w:rPr>
          <w:rFonts w:hint="eastAsia"/>
          <w:lang w:eastAsia="zh-CN"/>
        </w:rPr>
        <w:t>CWG-FHR</w:t>
      </w:r>
      <w:r w:rsidR="00111A96">
        <w:rPr>
          <w:rFonts w:hint="eastAsia"/>
          <w:lang w:eastAsia="zh-CN"/>
        </w:rPr>
        <w:t>报告</w:t>
      </w:r>
      <w:r w:rsidRPr="00307591">
        <w:rPr>
          <w:rFonts w:hint="eastAsia"/>
          <w:lang w:eastAsia="zh-CN"/>
        </w:rPr>
        <w:t>进展和输出成果</w:t>
      </w:r>
      <w:r w:rsidR="00111A96">
        <w:rPr>
          <w:rFonts w:hint="eastAsia"/>
          <w:lang w:eastAsia="zh-CN"/>
        </w:rPr>
        <w:t>，之后须由理事会并随后由全权代表大会审议</w:t>
      </w:r>
      <w:r w:rsidRPr="00307591">
        <w:rPr>
          <w:rFonts w:hint="eastAsia"/>
          <w:lang w:eastAsia="zh-CN"/>
        </w:rPr>
        <w:t>。</w:t>
      </w:r>
    </w:p>
    <w:p w14:paraId="3F5ECBD1" w14:textId="77777777" w:rsidR="00111A96" w:rsidRDefault="00843F10" w:rsidP="00307591">
      <w:pPr>
        <w:ind w:firstLineChars="200" w:firstLine="480"/>
        <w:jc w:val="both"/>
        <w:rPr>
          <w:rFonts w:cs="Calibri"/>
          <w:lang w:eastAsia="zh-CN"/>
        </w:rPr>
      </w:pPr>
      <w:r w:rsidRPr="009475AD">
        <w:rPr>
          <w:rFonts w:cs="Calibri" w:hint="eastAsia"/>
          <w:lang w:eastAsia="zh-CN"/>
        </w:rPr>
        <w:t>为强化合法性并确保成员国的自主权，秘书处建议设立一个</w:t>
      </w:r>
      <w:r w:rsidRPr="00CE305F">
        <w:rPr>
          <w:rFonts w:cs="Calibri" w:hint="eastAsia"/>
          <w:b/>
          <w:bCs/>
          <w:lang w:eastAsia="zh-CN"/>
        </w:rPr>
        <w:t>成员国区域代表性顾问组</w:t>
      </w:r>
      <w:r w:rsidRPr="009475AD">
        <w:rPr>
          <w:rFonts w:cs="Calibri" w:hint="eastAsia"/>
          <w:lang w:eastAsia="zh-CN"/>
        </w:rPr>
        <w:t>。该组将：</w:t>
      </w:r>
    </w:p>
    <w:p w14:paraId="287B5E7C" w14:textId="1C7828BA" w:rsidR="00111A96" w:rsidRPr="000079A1" w:rsidRDefault="00111A96" w:rsidP="000079A1">
      <w:pPr>
        <w:pStyle w:val="enumlev1"/>
        <w:rPr>
          <w:lang w:eastAsia="zh-CN"/>
        </w:rPr>
      </w:pPr>
      <w:r w:rsidRPr="00307591">
        <w:rPr>
          <w:lang w:eastAsia="zh-CN"/>
        </w:rPr>
        <w:t>–</w:t>
      </w:r>
      <w:r w:rsidR="000079A1">
        <w:rPr>
          <w:lang w:eastAsia="zh-CN"/>
        </w:rPr>
        <w:tab/>
      </w:r>
      <w:r w:rsidR="00643B70">
        <w:rPr>
          <w:rFonts w:hint="eastAsia"/>
          <w:lang w:eastAsia="zh-CN"/>
        </w:rPr>
        <w:t>作为成员国在整个审查过程中成员国参与的平台。</w:t>
      </w:r>
    </w:p>
    <w:p w14:paraId="0C12BA70" w14:textId="77777777" w:rsidR="00843F10" w:rsidRPr="00307591" w:rsidRDefault="00843F10" w:rsidP="00307591">
      <w:pPr>
        <w:pStyle w:val="enumlev1"/>
        <w:rPr>
          <w:lang w:eastAsia="zh-CN"/>
        </w:rPr>
      </w:pPr>
      <w:r w:rsidRPr="00307591">
        <w:rPr>
          <w:lang w:eastAsia="zh-CN"/>
        </w:rPr>
        <w:t>–</w:t>
      </w:r>
      <w:r w:rsidRPr="00307591">
        <w:rPr>
          <w:lang w:eastAsia="zh-CN"/>
        </w:rPr>
        <w:tab/>
      </w:r>
      <w:r w:rsidRPr="00307591">
        <w:rPr>
          <w:rFonts w:hint="eastAsia"/>
          <w:lang w:eastAsia="zh-CN"/>
        </w:rPr>
        <w:t>在整个审查过程中提供战略监督和指导。</w:t>
      </w:r>
    </w:p>
    <w:p w14:paraId="45871A00" w14:textId="77777777" w:rsidR="00843F10" w:rsidRPr="00307591" w:rsidRDefault="00843F10" w:rsidP="00307591">
      <w:pPr>
        <w:pStyle w:val="enumlev1"/>
        <w:rPr>
          <w:lang w:eastAsia="zh-CN"/>
        </w:rPr>
      </w:pPr>
      <w:r w:rsidRPr="00307591">
        <w:rPr>
          <w:lang w:eastAsia="zh-CN"/>
        </w:rPr>
        <w:t>–</w:t>
      </w:r>
      <w:r w:rsidRPr="00307591">
        <w:rPr>
          <w:lang w:eastAsia="zh-CN"/>
        </w:rPr>
        <w:tab/>
      </w:r>
      <w:r w:rsidRPr="00307591">
        <w:rPr>
          <w:rFonts w:hint="eastAsia"/>
          <w:lang w:eastAsia="zh-CN"/>
        </w:rPr>
        <w:t>就初步调查结果提供反馈。</w:t>
      </w:r>
    </w:p>
    <w:p w14:paraId="6AFD5E7E" w14:textId="77777777" w:rsidR="00843F10" w:rsidRPr="00307591" w:rsidRDefault="00843F10" w:rsidP="00307591">
      <w:pPr>
        <w:pStyle w:val="enumlev1"/>
        <w:rPr>
          <w:lang w:eastAsia="zh-CN"/>
        </w:rPr>
      </w:pPr>
      <w:r w:rsidRPr="00307591">
        <w:rPr>
          <w:lang w:eastAsia="zh-CN"/>
        </w:rPr>
        <w:t>–</w:t>
      </w:r>
      <w:r w:rsidRPr="00307591">
        <w:rPr>
          <w:lang w:eastAsia="zh-CN"/>
        </w:rPr>
        <w:tab/>
      </w:r>
      <w:r w:rsidRPr="00307591">
        <w:rPr>
          <w:rFonts w:hint="eastAsia"/>
          <w:lang w:eastAsia="zh-CN"/>
        </w:rPr>
        <w:t>在向国际电联管理机构提交之前，审查和验证所提建议。</w:t>
      </w:r>
    </w:p>
    <w:p w14:paraId="151F0894" w14:textId="77777777" w:rsidR="00843F10" w:rsidRPr="00973596" w:rsidRDefault="00843F10" w:rsidP="00843F10">
      <w:pPr>
        <w:pStyle w:val="Heading1"/>
        <w:rPr>
          <w:lang w:eastAsia="zh-CN"/>
        </w:rPr>
      </w:pPr>
      <w:r w:rsidRPr="00814507">
        <w:rPr>
          <w:lang w:eastAsia="zh-CN"/>
        </w:rPr>
        <w:lastRenderedPageBreak/>
        <w:t>6</w:t>
      </w:r>
      <w:r w:rsidRPr="00814507">
        <w:rPr>
          <w:lang w:eastAsia="zh-CN"/>
        </w:rPr>
        <w:tab/>
      </w:r>
      <w:r>
        <w:rPr>
          <w:rFonts w:hint="eastAsia"/>
          <w:lang w:eastAsia="zh-CN"/>
        </w:rPr>
        <w:t>资源要求</w:t>
      </w:r>
    </w:p>
    <w:p w14:paraId="3370775B" w14:textId="3F52886D" w:rsidR="00E323D0" w:rsidRPr="00B46DCE" w:rsidRDefault="00843F10" w:rsidP="00B46DCE">
      <w:pPr>
        <w:ind w:firstLineChars="200" w:firstLine="480"/>
        <w:jc w:val="both"/>
        <w:rPr>
          <w:rFonts w:cs="Calibri"/>
          <w:lang w:eastAsia="zh-CN"/>
        </w:rPr>
      </w:pPr>
      <w:r w:rsidRPr="00CE305F">
        <w:rPr>
          <w:rFonts w:cs="Calibri" w:hint="eastAsia"/>
          <w:lang w:eastAsia="zh-CN"/>
        </w:rPr>
        <w:t>要开展一项</w:t>
      </w:r>
      <w:r>
        <w:rPr>
          <w:rFonts w:cs="Calibri" w:hint="eastAsia"/>
          <w:lang w:eastAsia="zh-CN"/>
        </w:rPr>
        <w:t>健全</w:t>
      </w:r>
      <w:r w:rsidRPr="00CE305F">
        <w:rPr>
          <w:rFonts w:cs="Calibri" w:hint="eastAsia"/>
          <w:lang w:eastAsia="zh-CN"/>
        </w:rPr>
        <w:t>且获得充分支持的</w:t>
      </w:r>
      <w:r>
        <w:rPr>
          <w:rFonts w:cs="Calibri" w:hint="eastAsia"/>
          <w:lang w:eastAsia="zh-CN"/>
        </w:rPr>
        <w:t>审查工作</w:t>
      </w:r>
      <w:r w:rsidRPr="00CE305F">
        <w:rPr>
          <w:rFonts w:cs="Calibri" w:hint="eastAsia"/>
          <w:lang w:eastAsia="zh-CN"/>
        </w:rPr>
        <w:t>，</w:t>
      </w:r>
      <w:r>
        <w:rPr>
          <w:rFonts w:cs="Calibri" w:hint="eastAsia"/>
          <w:lang w:eastAsia="zh-CN"/>
        </w:rPr>
        <w:t>需</w:t>
      </w:r>
      <w:r w:rsidRPr="00CE305F">
        <w:rPr>
          <w:rFonts w:cs="Calibri" w:hint="eastAsia"/>
          <w:lang w:eastAsia="zh-CN"/>
        </w:rPr>
        <w:t>配备相应的</w:t>
      </w:r>
      <w:r>
        <w:rPr>
          <w:rFonts w:cs="Calibri" w:hint="eastAsia"/>
          <w:lang w:eastAsia="zh-CN"/>
        </w:rPr>
        <w:t>财务</w:t>
      </w:r>
      <w:r w:rsidRPr="00CE305F">
        <w:rPr>
          <w:rFonts w:cs="Calibri" w:hint="eastAsia"/>
          <w:lang w:eastAsia="zh-CN"/>
        </w:rPr>
        <w:t>与人力资源，以确保其具备包容性、方法</w:t>
      </w:r>
      <w:r>
        <w:rPr>
          <w:rFonts w:cs="Calibri" w:hint="eastAsia"/>
          <w:lang w:eastAsia="zh-CN"/>
        </w:rPr>
        <w:t>合理</w:t>
      </w:r>
      <w:r w:rsidRPr="00CE305F">
        <w:rPr>
          <w:rFonts w:cs="Calibri" w:hint="eastAsia"/>
          <w:lang w:eastAsia="zh-CN"/>
        </w:rPr>
        <w:t>性及操作可行性</w:t>
      </w:r>
      <w:r>
        <w:rPr>
          <w:rFonts w:cs="Calibri" w:hint="eastAsia"/>
          <w:lang w:eastAsia="zh-CN"/>
        </w:rPr>
        <w:t>。</w:t>
      </w:r>
      <w:r w:rsidRPr="00CD4E5C">
        <w:rPr>
          <w:rFonts w:cs="Calibri" w:hint="eastAsia"/>
          <w:lang w:eastAsia="zh-CN"/>
        </w:rPr>
        <w:t>这些资源对于实现</w:t>
      </w:r>
      <w:r>
        <w:rPr>
          <w:rFonts w:cs="Calibri" w:hint="eastAsia"/>
          <w:lang w:eastAsia="zh-CN"/>
        </w:rPr>
        <w:t>循</w:t>
      </w:r>
      <w:proofErr w:type="gramStart"/>
      <w:r>
        <w:rPr>
          <w:rFonts w:cs="Calibri" w:hint="eastAsia"/>
          <w:lang w:eastAsia="zh-CN"/>
        </w:rPr>
        <w:t>证</w:t>
      </w:r>
      <w:r w:rsidRPr="00CD4E5C">
        <w:rPr>
          <w:rFonts w:cs="Calibri" w:hint="eastAsia"/>
          <w:lang w:eastAsia="zh-CN"/>
        </w:rPr>
        <w:t>分析</w:t>
      </w:r>
      <w:proofErr w:type="gramEnd"/>
      <w:r w:rsidRPr="00CD4E5C">
        <w:rPr>
          <w:rFonts w:cs="Calibri" w:hint="eastAsia"/>
          <w:lang w:eastAsia="zh-CN"/>
        </w:rPr>
        <w:t>和利益攸关方的广泛参与至关重要。设想的资源包括聘用一名</w:t>
      </w:r>
      <w:r w:rsidR="00643B70">
        <w:rPr>
          <w:rFonts w:cs="Calibri" w:hint="eastAsia"/>
          <w:lang w:eastAsia="zh-CN"/>
        </w:rPr>
        <w:t>特别服务协议承包人员</w:t>
      </w:r>
      <w:r>
        <w:rPr>
          <w:rFonts w:cs="Calibri" w:hint="eastAsia"/>
          <w:lang w:eastAsia="zh-CN"/>
        </w:rPr>
        <w:t>来</w:t>
      </w:r>
      <w:r w:rsidRPr="00CD4E5C">
        <w:rPr>
          <w:rFonts w:cs="Calibri" w:hint="eastAsia"/>
          <w:lang w:eastAsia="zh-CN"/>
        </w:rPr>
        <w:t>支持任务组开展研究、调查管理、数据</w:t>
      </w:r>
      <w:r>
        <w:rPr>
          <w:rFonts w:cs="Calibri" w:hint="eastAsia"/>
          <w:lang w:eastAsia="zh-CN"/>
        </w:rPr>
        <w:t>合成</w:t>
      </w:r>
      <w:r w:rsidRPr="00CD4E5C">
        <w:rPr>
          <w:rFonts w:cs="Calibri" w:hint="eastAsia"/>
          <w:lang w:eastAsia="zh-CN"/>
        </w:rPr>
        <w:t>和起草任务。</w:t>
      </w:r>
    </w:p>
    <w:p w14:paraId="7C9FAE61" w14:textId="77777777" w:rsidR="00E323D0" w:rsidRDefault="00E323D0" w:rsidP="0032202E">
      <w:pPr>
        <w:pStyle w:val="Reasons"/>
        <w:rPr>
          <w:lang w:eastAsia="zh-CN"/>
        </w:rPr>
      </w:pPr>
    </w:p>
    <w:p w14:paraId="14F1B4A7" w14:textId="77777777" w:rsidR="00E323D0" w:rsidRPr="00E323D0" w:rsidRDefault="00E323D0" w:rsidP="00E323D0">
      <w:pPr>
        <w:jc w:val="center"/>
      </w:pPr>
      <w:r>
        <w:t>______________</w:t>
      </w:r>
    </w:p>
    <w:sectPr w:rsidR="00E323D0" w:rsidRPr="00E323D0" w:rsidSect="00E24D59">
      <w:headerReference w:type="even" r:id="rId8"/>
      <w:headerReference w:type="default" r:id="rId9"/>
      <w:footerReference w:type="even" r:id="rId10"/>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2D87E" w14:textId="77777777" w:rsidR="004360D8" w:rsidRDefault="004360D8">
      <w:r>
        <w:separator/>
      </w:r>
    </w:p>
  </w:endnote>
  <w:endnote w:type="continuationSeparator" w:id="0">
    <w:p w14:paraId="1C0F74FA" w14:textId="77777777" w:rsidR="004360D8" w:rsidRDefault="0043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E380F" w14:textId="77777777" w:rsidR="00607DED" w:rsidRDefault="00607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403"/>
    </w:tblGrid>
    <w:tr w:rsidR="00A13406" w:rsidRPr="00A13406" w14:paraId="2BDB8892" w14:textId="77777777" w:rsidTr="00242C1E">
      <w:trPr>
        <w:jc w:val="center"/>
      </w:trPr>
      <w:tc>
        <w:tcPr>
          <w:tcW w:w="1803" w:type="dxa"/>
          <w:vAlign w:val="center"/>
        </w:tcPr>
        <w:p w14:paraId="7594CEC6" w14:textId="31F1DBEA" w:rsidR="00E24D59" w:rsidRPr="00843F10"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843F10">
            <w:rPr>
              <w:rFonts w:eastAsiaTheme="minorEastAsia" w:hint="eastAsia"/>
              <w:noProof/>
              <w:color w:val="808080" w:themeColor="background1" w:themeShade="80"/>
              <w:lang w:eastAsia="zh-CN"/>
            </w:rPr>
            <w:t xml:space="preserve"> 2501</w:t>
          </w:r>
          <w:r w:rsidR="004F22E1">
            <w:rPr>
              <w:rFonts w:eastAsiaTheme="minorEastAsia" w:hint="eastAsia"/>
              <w:noProof/>
              <w:color w:val="808080" w:themeColor="background1" w:themeShade="80"/>
              <w:lang w:eastAsia="zh-CN"/>
            </w:rPr>
            <w:t>552</w:t>
          </w:r>
        </w:p>
      </w:tc>
      <w:tc>
        <w:tcPr>
          <w:tcW w:w="8403" w:type="dxa"/>
        </w:tcPr>
        <w:p w14:paraId="68CD6D00" w14:textId="23968CD6"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r>
          <w:proofErr w:type="spellStart"/>
          <w:r w:rsidRPr="00A13406">
            <w:rPr>
              <w:bCs/>
              <w:color w:val="808080" w:themeColor="background1" w:themeShade="80"/>
            </w:rPr>
            <w:t>C2</w:t>
          </w:r>
          <w:r w:rsidR="0072138B" w:rsidRPr="00A13406">
            <w:rPr>
              <w:bCs/>
              <w:color w:val="808080" w:themeColor="background1" w:themeShade="80"/>
            </w:rPr>
            <w:t>5</w:t>
          </w:r>
          <w:proofErr w:type="spellEnd"/>
          <w:r w:rsidRPr="00A13406">
            <w:rPr>
              <w:bCs/>
              <w:color w:val="808080" w:themeColor="background1" w:themeShade="80"/>
            </w:rPr>
            <w:t>/</w:t>
          </w:r>
          <w:r w:rsidR="00843F10">
            <w:rPr>
              <w:rFonts w:eastAsiaTheme="minorEastAsia" w:hint="eastAsia"/>
              <w:bCs/>
              <w:color w:val="808080" w:themeColor="background1" w:themeShade="80"/>
              <w:lang w:eastAsia="zh-CN"/>
            </w:rPr>
            <w:t>69</w:t>
          </w:r>
          <w:r w:rsidR="00242C1E">
            <w:rPr>
              <w:rFonts w:eastAsiaTheme="minorEastAsia" w:hint="eastAsia"/>
              <w:bCs/>
              <w:color w:val="808080" w:themeColor="background1" w:themeShade="80"/>
              <w:lang w:eastAsia="zh-CN"/>
            </w:rPr>
            <w:t>(</w:t>
          </w:r>
          <w:proofErr w:type="spellStart"/>
          <w:r w:rsidR="00242C1E">
            <w:rPr>
              <w:rFonts w:eastAsiaTheme="minorEastAsia" w:hint="eastAsia"/>
              <w:bCs/>
              <w:color w:val="808080" w:themeColor="background1" w:themeShade="80"/>
              <w:lang w:eastAsia="zh-CN"/>
            </w:rPr>
            <w:t>Rev.1</w:t>
          </w:r>
          <w:proofErr w:type="spellEnd"/>
          <w:r w:rsidR="00242C1E">
            <w:rPr>
              <w:rFonts w:eastAsiaTheme="minorEastAsia" w:hint="eastAsia"/>
              <w:bCs/>
              <w:color w:val="808080" w:themeColor="background1" w:themeShade="80"/>
              <w:lang w:eastAsia="zh-CN"/>
            </w:rPr>
            <w:t>)</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20130E46" w14:textId="77777777" w:rsidR="00B40A53" w:rsidRPr="00E24D59" w:rsidRDefault="00B40A53"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403"/>
    </w:tblGrid>
    <w:tr w:rsidR="00A13406" w:rsidRPr="00A13406" w14:paraId="00194692" w14:textId="77777777" w:rsidTr="00242C1E">
      <w:trPr>
        <w:jc w:val="center"/>
      </w:trPr>
      <w:tc>
        <w:tcPr>
          <w:tcW w:w="1803" w:type="dxa"/>
          <w:vAlign w:val="center"/>
        </w:tcPr>
        <w:p w14:paraId="707A4DCC"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403" w:type="dxa"/>
        </w:tcPr>
        <w:p w14:paraId="1F078F83" w14:textId="7C9963CC"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r>
          <w:proofErr w:type="spellStart"/>
          <w:r w:rsidRPr="003F086E">
            <w:rPr>
              <w:bCs/>
              <w:color w:val="808080" w:themeColor="background1" w:themeShade="80"/>
            </w:rPr>
            <w:t>C2</w:t>
          </w:r>
          <w:r w:rsidR="0072138B" w:rsidRPr="003F086E">
            <w:rPr>
              <w:bCs/>
              <w:color w:val="808080" w:themeColor="background1" w:themeShade="80"/>
            </w:rPr>
            <w:t>5</w:t>
          </w:r>
          <w:proofErr w:type="spellEnd"/>
          <w:r w:rsidRPr="003F086E">
            <w:rPr>
              <w:bCs/>
              <w:color w:val="808080" w:themeColor="background1" w:themeShade="80"/>
            </w:rPr>
            <w:t>/</w:t>
          </w:r>
          <w:r w:rsidR="00843F10">
            <w:rPr>
              <w:rFonts w:eastAsiaTheme="minorEastAsia" w:hint="eastAsia"/>
              <w:bCs/>
              <w:color w:val="808080" w:themeColor="background1" w:themeShade="80"/>
              <w:lang w:eastAsia="zh-CN"/>
            </w:rPr>
            <w:t>69</w:t>
          </w:r>
          <w:r w:rsidR="00242C1E">
            <w:rPr>
              <w:rFonts w:eastAsiaTheme="minorEastAsia" w:hint="eastAsia"/>
              <w:bCs/>
              <w:color w:val="808080" w:themeColor="background1" w:themeShade="80"/>
              <w:lang w:eastAsia="zh-CN"/>
            </w:rPr>
            <w:t>(</w:t>
          </w:r>
          <w:proofErr w:type="spellStart"/>
          <w:r w:rsidR="00242C1E">
            <w:rPr>
              <w:rFonts w:eastAsiaTheme="minorEastAsia" w:hint="eastAsia"/>
              <w:bCs/>
              <w:color w:val="808080" w:themeColor="background1" w:themeShade="80"/>
              <w:lang w:eastAsia="zh-CN"/>
            </w:rPr>
            <w:t>Rev.1</w:t>
          </w:r>
          <w:proofErr w:type="spellEnd"/>
          <w:r w:rsidR="00242C1E">
            <w:rPr>
              <w:rFonts w:eastAsiaTheme="minorEastAsia" w:hint="eastAsia"/>
              <w:bCs/>
              <w:color w:val="808080" w:themeColor="background1" w:themeShade="80"/>
              <w:lang w:eastAsia="zh-CN"/>
            </w:rPr>
            <w:t>)</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64B5086F"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E1596" w14:textId="77777777" w:rsidR="004360D8" w:rsidRDefault="004360D8">
      <w:r>
        <w:t>____________________</w:t>
      </w:r>
    </w:p>
  </w:footnote>
  <w:footnote w:type="continuationSeparator" w:id="0">
    <w:p w14:paraId="6FDD07BB" w14:textId="77777777" w:rsidR="004360D8" w:rsidRDefault="00436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01EE6" w14:textId="77777777" w:rsidR="00607DED" w:rsidRDefault="00607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0EE45" w14:textId="77777777" w:rsidR="00607DED" w:rsidRDefault="00607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0DA2D5BF" w14:textId="77777777" w:rsidTr="00E31DCE">
      <w:trPr>
        <w:trHeight w:val="1104"/>
        <w:jc w:val="center"/>
      </w:trPr>
      <w:tc>
        <w:tcPr>
          <w:tcW w:w="4390" w:type="dxa"/>
          <w:vAlign w:val="center"/>
        </w:tcPr>
        <w:p w14:paraId="1AD64C9B" w14:textId="77777777" w:rsidR="00E24D59" w:rsidRPr="009621F8" w:rsidRDefault="00A13406" w:rsidP="00E24D59">
          <w:pPr>
            <w:pStyle w:val="Header"/>
            <w:jc w:val="left"/>
            <w:rPr>
              <w:rFonts w:ascii="Arial" w:hAnsi="Arial" w:cs="Arial"/>
              <w:b/>
              <w:bCs/>
              <w:color w:val="009CD6"/>
              <w:sz w:val="36"/>
              <w:szCs w:val="36"/>
            </w:rPr>
          </w:pPr>
          <w:bookmarkStart w:id="7" w:name="_Hlk133422111"/>
          <w:r>
            <w:rPr>
              <w:rFonts w:ascii="Arial" w:hAnsi="Arial" w:cs="Arial"/>
              <w:b/>
              <w:bCs/>
              <w:noProof/>
              <w:color w:val="009CD6"/>
              <w:sz w:val="36"/>
              <w:szCs w:val="36"/>
            </w:rPr>
            <w:drawing>
              <wp:inline distT="0" distB="0" distL="0" distR="0" wp14:anchorId="011150AA" wp14:editId="105036B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2A458A3C" w14:textId="77777777" w:rsidR="00E24D59" w:rsidRDefault="00E24D59" w:rsidP="00E24D59">
          <w:pPr>
            <w:pStyle w:val="Header"/>
            <w:jc w:val="right"/>
            <w:rPr>
              <w:rFonts w:ascii="Arial" w:hAnsi="Arial" w:cs="Arial"/>
              <w:b/>
              <w:bCs/>
              <w:color w:val="009CD6"/>
              <w:szCs w:val="18"/>
            </w:rPr>
          </w:pPr>
        </w:p>
        <w:p w14:paraId="48D4F4EA" w14:textId="77777777" w:rsidR="00E24D59" w:rsidRDefault="00E24D59" w:rsidP="00E24D59">
          <w:pPr>
            <w:pStyle w:val="Header"/>
            <w:jc w:val="right"/>
            <w:rPr>
              <w:rFonts w:ascii="Arial" w:hAnsi="Arial" w:cs="Arial"/>
              <w:b/>
              <w:bCs/>
              <w:color w:val="009CD6"/>
              <w:szCs w:val="18"/>
            </w:rPr>
          </w:pPr>
        </w:p>
        <w:p w14:paraId="2CC49C09"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3AEEB70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04FE3B8" wp14:editId="43DFFBFF">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D72CA"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7266EC"/>
    <w:multiLevelType w:val="hybridMultilevel"/>
    <w:tmpl w:val="79B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5"/>
  </w:num>
  <w:num w:numId="5" w16cid:durableId="2033219779">
    <w:abstractNumId w:val="7"/>
  </w:num>
  <w:num w:numId="6" w16cid:durableId="349645790">
    <w:abstractNumId w:val="6"/>
  </w:num>
  <w:num w:numId="7" w16cid:durableId="1451586466">
    <w:abstractNumId w:val="2"/>
  </w:num>
  <w:num w:numId="8" w16cid:durableId="747115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10"/>
    <w:rsid w:val="00001B77"/>
    <w:rsid w:val="0000517A"/>
    <w:rsid w:val="000079A1"/>
    <w:rsid w:val="00031E72"/>
    <w:rsid w:val="000329F0"/>
    <w:rsid w:val="000404D2"/>
    <w:rsid w:val="000646BD"/>
    <w:rsid w:val="000853C0"/>
    <w:rsid w:val="00093DD9"/>
    <w:rsid w:val="0009409E"/>
    <w:rsid w:val="000A1C21"/>
    <w:rsid w:val="000C0BC5"/>
    <w:rsid w:val="000D15EA"/>
    <w:rsid w:val="000D7012"/>
    <w:rsid w:val="000E7FAD"/>
    <w:rsid w:val="00100D84"/>
    <w:rsid w:val="00111A96"/>
    <w:rsid w:val="00124C9D"/>
    <w:rsid w:val="001305DE"/>
    <w:rsid w:val="00137367"/>
    <w:rsid w:val="0015333E"/>
    <w:rsid w:val="00157773"/>
    <w:rsid w:val="0018251A"/>
    <w:rsid w:val="00190272"/>
    <w:rsid w:val="00193244"/>
    <w:rsid w:val="00195C6C"/>
    <w:rsid w:val="00195FED"/>
    <w:rsid w:val="001A4BD6"/>
    <w:rsid w:val="001B6E2B"/>
    <w:rsid w:val="001D5A18"/>
    <w:rsid w:val="00215132"/>
    <w:rsid w:val="00224449"/>
    <w:rsid w:val="00242C1E"/>
    <w:rsid w:val="00280EB8"/>
    <w:rsid w:val="002A057B"/>
    <w:rsid w:val="002A6670"/>
    <w:rsid w:val="002C3F32"/>
    <w:rsid w:val="00303502"/>
    <w:rsid w:val="00307591"/>
    <w:rsid w:val="00325C25"/>
    <w:rsid w:val="003326A7"/>
    <w:rsid w:val="00372C8F"/>
    <w:rsid w:val="00380ECE"/>
    <w:rsid w:val="00393DDF"/>
    <w:rsid w:val="00397F55"/>
    <w:rsid w:val="003B4454"/>
    <w:rsid w:val="003C2E37"/>
    <w:rsid w:val="003F086E"/>
    <w:rsid w:val="003F1415"/>
    <w:rsid w:val="0040144C"/>
    <w:rsid w:val="00403EB7"/>
    <w:rsid w:val="004178E6"/>
    <w:rsid w:val="00430BF0"/>
    <w:rsid w:val="004360D8"/>
    <w:rsid w:val="004672E6"/>
    <w:rsid w:val="00474ED1"/>
    <w:rsid w:val="00477D57"/>
    <w:rsid w:val="00491BA9"/>
    <w:rsid w:val="00493085"/>
    <w:rsid w:val="004A2444"/>
    <w:rsid w:val="004A36EC"/>
    <w:rsid w:val="004D163F"/>
    <w:rsid w:val="004D3BB1"/>
    <w:rsid w:val="004E4BFF"/>
    <w:rsid w:val="004F22E1"/>
    <w:rsid w:val="004F2598"/>
    <w:rsid w:val="005119B8"/>
    <w:rsid w:val="005179F7"/>
    <w:rsid w:val="005403F7"/>
    <w:rsid w:val="00540632"/>
    <w:rsid w:val="00541CF4"/>
    <w:rsid w:val="005451E8"/>
    <w:rsid w:val="005507F2"/>
    <w:rsid w:val="005759CC"/>
    <w:rsid w:val="005A72E1"/>
    <w:rsid w:val="005C6632"/>
    <w:rsid w:val="005D1C9E"/>
    <w:rsid w:val="00607DED"/>
    <w:rsid w:val="00630DD5"/>
    <w:rsid w:val="00637584"/>
    <w:rsid w:val="00643B70"/>
    <w:rsid w:val="00654257"/>
    <w:rsid w:val="0065435A"/>
    <w:rsid w:val="00670D8A"/>
    <w:rsid w:val="006A2DD3"/>
    <w:rsid w:val="006A5113"/>
    <w:rsid w:val="006A5AF8"/>
    <w:rsid w:val="006C36CD"/>
    <w:rsid w:val="006C7943"/>
    <w:rsid w:val="006D1C1E"/>
    <w:rsid w:val="00700D1F"/>
    <w:rsid w:val="007179F8"/>
    <w:rsid w:val="007205CB"/>
    <w:rsid w:val="0072138B"/>
    <w:rsid w:val="00726073"/>
    <w:rsid w:val="00734FE8"/>
    <w:rsid w:val="007360CE"/>
    <w:rsid w:val="0077110E"/>
    <w:rsid w:val="00772315"/>
    <w:rsid w:val="00775157"/>
    <w:rsid w:val="007813AE"/>
    <w:rsid w:val="007A37DB"/>
    <w:rsid w:val="007B2063"/>
    <w:rsid w:val="007E189D"/>
    <w:rsid w:val="007F0210"/>
    <w:rsid w:val="00806E3F"/>
    <w:rsid w:val="00811259"/>
    <w:rsid w:val="00813AA2"/>
    <w:rsid w:val="008173A3"/>
    <w:rsid w:val="008366AF"/>
    <w:rsid w:val="008418F5"/>
    <w:rsid w:val="00843F10"/>
    <w:rsid w:val="00852247"/>
    <w:rsid w:val="0086059C"/>
    <w:rsid w:val="00864589"/>
    <w:rsid w:val="00874C82"/>
    <w:rsid w:val="00890AFB"/>
    <w:rsid w:val="00890FC4"/>
    <w:rsid w:val="00895905"/>
    <w:rsid w:val="008D4919"/>
    <w:rsid w:val="008F64AD"/>
    <w:rsid w:val="00911230"/>
    <w:rsid w:val="00911867"/>
    <w:rsid w:val="009164A9"/>
    <w:rsid w:val="009258CB"/>
    <w:rsid w:val="0093362E"/>
    <w:rsid w:val="00944563"/>
    <w:rsid w:val="00953160"/>
    <w:rsid w:val="009625D8"/>
    <w:rsid w:val="00983878"/>
    <w:rsid w:val="0098459B"/>
    <w:rsid w:val="00997185"/>
    <w:rsid w:val="009C2458"/>
    <w:rsid w:val="009C4A7B"/>
    <w:rsid w:val="009C6123"/>
    <w:rsid w:val="009F1E3E"/>
    <w:rsid w:val="00A10693"/>
    <w:rsid w:val="00A1213C"/>
    <w:rsid w:val="00A13406"/>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46DCE"/>
    <w:rsid w:val="00B60184"/>
    <w:rsid w:val="00B62D20"/>
    <w:rsid w:val="00B81E75"/>
    <w:rsid w:val="00B93453"/>
    <w:rsid w:val="00B9445B"/>
    <w:rsid w:val="00B94C7F"/>
    <w:rsid w:val="00BD0954"/>
    <w:rsid w:val="00BD1A5A"/>
    <w:rsid w:val="00BD7A9B"/>
    <w:rsid w:val="00BD7BE1"/>
    <w:rsid w:val="00BF416B"/>
    <w:rsid w:val="00C45EB2"/>
    <w:rsid w:val="00C64E4E"/>
    <w:rsid w:val="00C66E64"/>
    <w:rsid w:val="00C7266D"/>
    <w:rsid w:val="00C761A0"/>
    <w:rsid w:val="00C85F7E"/>
    <w:rsid w:val="00C90D53"/>
    <w:rsid w:val="00CA0B2E"/>
    <w:rsid w:val="00CA6EF7"/>
    <w:rsid w:val="00CD47F0"/>
    <w:rsid w:val="00CD5566"/>
    <w:rsid w:val="00CD64D7"/>
    <w:rsid w:val="00CE6F22"/>
    <w:rsid w:val="00CF41F6"/>
    <w:rsid w:val="00CF7D3E"/>
    <w:rsid w:val="00D02B4E"/>
    <w:rsid w:val="00D21F11"/>
    <w:rsid w:val="00D319EF"/>
    <w:rsid w:val="00D36817"/>
    <w:rsid w:val="00D453EE"/>
    <w:rsid w:val="00D5666C"/>
    <w:rsid w:val="00D666BC"/>
    <w:rsid w:val="00D83542"/>
    <w:rsid w:val="00D92F45"/>
    <w:rsid w:val="00D94637"/>
    <w:rsid w:val="00D9725C"/>
    <w:rsid w:val="00DA0E66"/>
    <w:rsid w:val="00DA7006"/>
    <w:rsid w:val="00DB3621"/>
    <w:rsid w:val="00DC6427"/>
    <w:rsid w:val="00DD27F6"/>
    <w:rsid w:val="00DD62F5"/>
    <w:rsid w:val="00DD66A1"/>
    <w:rsid w:val="00DE196D"/>
    <w:rsid w:val="00DF6B49"/>
    <w:rsid w:val="00E067C5"/>
    <w:rsid w:val="00E24D59"/>
    <w:rsid w:val="00E265BF"/>
    <w:rsid w:val="00E323D0"/>
    <w:rsid w:val="00E34C96"/>
    <w:rsid w:val="00E378D8"/>
    <w:rsid w:val="00E43A12"/>
    <w:rsid w:val="00E447E5"/>
    <w:rsid w:val="00E67C67"/>
    <w:rsid w:val="00E77449"/>
    <w:rsid w:val="00E77476"/>
    <w:rsid w:val="00E8228B"/>
    <w:rsid w:val="00EE5706"/>
    <w:rsid w:val="00EF373D"/>
    <w:rsid w:val="00F11595"/>
    <w:rsid w:val="00F13BC9"/>
    <w:rsid w:val="00F1679E"/>
    <w:rsid w:val="00F357B2"/>
    <w:rsid w:val="00F36556"/>
    <w:rsid w:val="00F6736A"/>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A2DBA"/>
  <w15:docId w15:val="{B5D431B3-724C-4615-B8C3-1C3AF41C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7B2063"/>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character" w:customStyle="1" w:styleId="normaltextrun">
    <w:name w:val="normaltextrun"/>
    <w:basedOn w:val="DefaultParagraphFont"/>
    <w:uiPriority w:val="1"/>
    <w:rsid w:val="00843F10"/>
    <w:rPr>
      <w:rFonts w:ascii="CG Times" w:eastAsia="Times New Roman" w:hAnsi="CG 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TU\Template\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2</TotalTime>
  <Pages>5</Pages>
  <Words>2564</Words>
  <Characters>2830</Characters>
  <Application>Microsoft Office Word</Application>
  <DocSecurity>0</DocSecurity>
  <Lines>153</Lines>
  <Paragraphs>106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Inception report on the review of ITU regional presence</dc:title>
  <dc:subject>ITU Council 2025</dc:subject>
  <cp:keywords>C2025, C25, Council-25</cp:keywords>
  <dc:description>Revision 1</dc:description>
  <cp:lastPrinted>2015-02-24T13:23:00Z</cp:lastPrinted>
  <dcterms:created xsi:type="dcterms:W3CDTF">2025-06-23T15:48:00Z</dcterms:created>
  <dcterms:modified xsi:type="dcterms:W3CDTF">2025-06-23T15:49:00Z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