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5"/>
        <w:gridCol w:w="2966"/>
      </w:tblGrid>
      <w:tr w:rsidR="007B0AA0" w14:paraId="36C99122" w14:textId="77777777" w:rsidTr="00F363FE">
        <w:tc>
          <w:tcPr>
            <w:tcW w:w="6512" w:type="dxa"/>
          </w:tcPr>
          <w:p w14:paraId="27EF9D9B" w14:textId="792C6F08" w:rsidR="007B0AA0" w:rsidRPr="007B0AA0" w:rsidRDefault="007B0AA0" w:rsidP="00F363FE">
            <w:pPr>
              <w:spacing w:before="60" w:after="60" w:line="260" w:lineRule="exact"/>
              <w:rPr>
                <w:b/>
                <w:bCs/>
                <w:rtl/>
              </w:rPr>
            </w:pPr>
            <w:r w:rsidRPr="007B0AA0">
              <w:rPr>
                <w:rFonts w:hint="cs"/>
                <w:b/>
                <w:bCs/>
                <w:rtl/>
                <w:lang w:bidi="ar-EG"/>
              </w:rPr>
              <w:t>بند جدول الأعمال:</w:t>
            </w:r>
            <w:r w:rsidR="00027F24">
              <w:rPr>
                <w:rFonts w:hint="cs"/>
                <w:b/>
                <w:bCs/>
                <w:rtl/>
              </w:rPr>
              <w:t xml:space="preserve"> </w:t>
            </w:r>
            <w:r w:rsidR="00027F24">
              <w:rPr>
                <w:b/>
              </w:rPr>
              <w:t>ADM 1</w:t>
            </w:r>
          </w:p>
        </w:tc>
        <w:tc>
          <w:tcPr>
            <w:tcW w:w="3117" w:type="dxa"/>
          </w:tcPr>
          <w:p w14:paraId="2E7E1A74" w14:textId="7A0C5E4C"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6F363C">
              <w:rPr>
                <w:b/>
                <w:bCs/>
                <w:lang w:bidi="ar-EG"/>
              </w:rPr>
              <w:t>5</w:t>
            </w:r>
            <w:r w:rsidRPr="007B0AA0">
              <w:rPr>
                <w:b/>
                <w:bCs/>
                <w:lang w:bidi="ar-EG"/>
              </w:rPr>
              <w:t>/</w:t>
            </w:r>
            <w:r w:rsidR="00570598">
              <w:rPr>
                <w:b/>
                <w:bCs/>
                <w:lang w:bidi="ar-EG"/>
              </w:rPr>
              <w:t>69</w:t>
            </w:r>
            <w:r w:rsidRPr="007B0AA0">
              <w:rPr>
                <w:b/>
                <w:bCs/>
                <w:lang w:bidi="ar-EG"/>
              </w:rPr>
              <w:t>-A</w:t>
            </w:r>
          </w:p>
        </w:tc>
      </w:tr>
      <w:tr w:rsidR="007B0AA0" w14:paraId="2C261B70" w14:textId="77777777" w:rsidTr="00F363FE">
        <w:tc>
          <w:tcPr>
            <w:tcW w:w="6512" w:type="dxa"/>
          </w:tcPr>
          <w:p w14:paraId="6DD199A5" w14:textId="77777777" w:rsidR="007B0AA0" w:rsidRPr="007B0AA0" w:rsidRDefault="007B0AA0" w:rsidP="00F363FE">
            <w:pPr>
              <w:spacing w:before="60" w:after="60" w:line="260" w:lineRule="exact"/>
              <w:rPr>
                <w:b/>
                <w:bCs/>
                <w:rtl/>
                <w:lang w:bidi="ar-EG"/>
              </w:rPr>
            </w:pPr>
          </w:p>
        </w:tc>
        <w:tc>
          <w:tcPr>
            <w:tcW w:w="3117" w:type="dxa"/>
          </w:tcPr>
          <w:p w14:paraId="1D00360C" w14:textId="1D912E24" w:rsidR="007B0AA0" w:rsidRPr="007B0AA0" w:rsidRDefault="00570598" w:rsidP="00F363FE">
            <w:pPr>
              <w:spacing w:before="60" w:after="60" w:line="260" w:lineRule="exact"/>
              <w:rPr>
                <w:b/>
                <w:bCs/>
                <w:rtl/>
                <w:lang w:bidi="ar-EG"/>
              </w:rPr>
            </w:pPr>
            <w:r w:rsidRPr="00570598">
              <w:rPr>
                <w:b/>
                <w:bCs/>
                <w:rtl/>
                <w:lang w:bidi="ar-EG"/>
              </w:rPr>
              <w:t>19 مايو 2025</w:t>
            </w:r>
          </w:p>
        </w:tc>
      </w:tr>
      <w:tr w:rsidR="007B0AA0" w14:paraId="3012FA4B" w14:textId="77777777" w:rsidTr="00F363FE">
        <w:tc>
          <w:tcPr>
            <w:tcW w:w="6512" w:type="dxa"/>
          </w:tcPr>
          <w:p w14:paraId="4CF7708D" w14:textId="77777777" w:rsidR="007B0AA0" w:rsidRPr="007B0AA0" w:rsidRDefault="007B0AA0" w:rsidP="00F363FE">
            <w:pPr>
              <w:spacing w:before="60" w:after="60" w:line="260" w:lineRule="exact"/>
              <w:rPr>
                <w:b/>
                <w:bCs/>
                <w:rtl/>
                <w:lang w:bidi="ar-EG"/>
              </w:rPr>
            </w:pPr>
          </w:p>
        </w:tc>
        <w:tc>
          <w:tcPr>
            <w:tcW w:w="3117" w:type="dxa"/>
          </w:tcPr>
          <w:p w14:paraId="4BA5BB65" w14:textId="77777777" w:rsidR="007B0AA0" w:rsidRPr="007B0AA0" w:rsidRDefault="001D64C7" w:rsidP="00F363FE">
            <w:pPr>
              <w:spacing w:before="60" w:after="60" w:line="260" w:lineRule="exact"/>
              <w:rPr>
                <w:b/>
                <w:bCs/>
                <w:rtl/>
                <w:lang w:bidi="ar-EG"/>
              </w:rPr>
            </w:pPr>
            <w:r w:rsidRPr="007B0AA0">
              <w:rPr>
                <w:rFonts w:hint="cs"/>
                <w:b/>
                <w:bCs/>
                <w:rtl/>
                <w:lang w:bidi="ar-EG"/>
              </w:rPr>
              <w:t>الأصل: بالإنكليزية</w:t>
            </w:r>
          </w:p>
        </w:tc>
      </w:tr>
      <w:tr w:rsidR="007B0AA0" w14:paraId="195FCD34" w14:textId="77777777" w:rsidTr="00F363FE">
        <w:tc>
          <w:tcPr>
            <w:tcW w:w="6512" w:type="dxa"/>
          </w:tcPr>
          <w:p w14:paraId="6318D899" w14:textId="77777777" w:rsidR="007B0AA0" w:rsidRDefault="007B0AA0" w:rsidP="00F363FE">
            <w:pPr>
              <w:spacing w:before="60" w:after="60" w:line="260" w:lineRule="exact"/>
              <w:rPr>
                <w:lang w:bidi="ar-EG"/>
              </w:rPr>
            </w:pPr>
          </w:p>
        </w:tc>
        <w:tc>
          <w:tcPr>
            <w:tcW w:w="3117" w:type="dxa"/>
          </w:tcPr>
          <w:p w14:paraId="4B3A5F1E" w14:textId="77777777" w:rsidR="007B0AA0" w:rsidRDefault="007B0AA0" w:rsidP="00F363FE">
            <w:pPr>
              <w:spacing w:before="60" w:after="60" w:line="260" w:lineRule="exact"/>
              <w:rPr>
                <w:rtl/>
                <w:lang w:bidi="ar-EG"/>
              </w:rPr>
            </w:pPr>
          </w:p>
        </w:tc>
      </w:tr>
      <w:tr w:rsidR="007B0AA0" w14:paraId="18F95E7B" w14:textId="77777777" w:rsidTr="00EE7446">
        <w:tc>
          <w:tcPr>
            <w:tcW w:w="9629" w:type="dxa"/>
            <w:gridSpan w:val="2"/>
          </w:tcPr>
          <w:p w14:paraId="0B500C6D" w14:textId="77777777" w:rsidR="007B0AA0" w:rsidRDefault="001D64C7" w:rsidP="007B0AA0">
            <w:pPr>
              <w:pStyle w:val="Source"/>
              <w:jc w:val="left"/>
              <w:rPr>
                <w:lang w:bidi="ar-EG"/>
              </w:rPr>
            </w:pPr>
            <w:r>
              <w:rPr>
                <w:rFonts w:hint="cs"/>
                <w:rtl/>
                <w:lang w:bidi="ar-EG"/>
              </w:rPr>
              <w:t>تقرير من الأمينة العامة</w:t>
            </w:r>
          </w:p>
        </w:tc>
      </w:tr>
      <w:tr w:rsidR="007B0AA0" w14:paraId="713C8969" w14:textId="77777777" w:rsidTr="007B0AA0">
        <w:tc>
          <w:tcPr>
            <w:tcW w:w="9629" w:type="dxa"/>
            <w:gridSpan w:val="2"/>
            <w:tcBorders>
              <w:bottom w:val="single" w:sz="4" w:space="0" w:color="auto"/>
            </w:tcBorders>
          </w:tcPr>
          <w:p w14:paraId="31AA66F5" w14:textId="0A953A09" w:rsidR="007B0AA0" w:rsidRPr="005546CF" w:rsidRDefault="00570598" w:rsidP="007B0AA0">
            <w:pPr>
              <w:pStyle w:val="Subtitle0"/>
              <w:rPr>
                <w:sz w:val="32"/>
                <w:szCs w:val="32"/>
              </w:rPr>
            </w:pPr>
            <w:r w:rsidRPr="00E90CF5">
              <w:rPr>
                <w:sz w:val="26"/>
                <w:szCs w:val="26"/>
                <w:rtl/>
              </w:rPr>
              <w:t xml:space="preserve">التقرير التمهيدي </w:t>
            </w:r>
            <w:r>
              <w:rPr>
                <w:rFonts w:hint="cs"/>
                <w:sz w:val="26"/>
                <w:szCs w:val="26"/>
                <w:rtl/>
              </w:rPr>
              <w:t>ل</w:t>
            </w:r>
            <w:r w:rsidRPr="00E90CF5">
              <w:rPr>
                <w:sz w:val="26"/>
                <w:szCs w:val="26"/>
                <w:rtl/>
              </w:rPr>
              <w:t>استعراض الحضور الإقليمي للاتحاد الدولي للاتصالات</w:t>
            </w:r>
          </w:p>
        </w:tc>
      </w:tr>
      <w:tr w:rsidR="007B0AA0" w14:paraId="63AC05E9" w14:textId="77777777" w:rsidTr="007B0AA0">
        <w:tc>
          <w:tcPr>
            <w:tcW w:w="9629" w:type="dxa"/>
            <w:gridSpan w:val="2"/>
            <w:tcBorders>
              <w:top w:val="single" w:sz="4" w:space="0" w:color="auto"/>
              <w:bottom w:val="single" w:sz="4" w:space="0" w:color="auto"/>
            </w:tcBorders>
          </w:tcPr>
          <w:p w14:paraId="3A707B21" w14:textId="77777777" w:rsidR="007B0AA0" w:rsidRPr="00E6484F" w:rsidRDefault="007B0AA0" w:rsidP="007B0AA0">
            <w:pPr>
              <w:rPr>
                <w:b/>
                <w:bCs/>
                <w:rtl/>
              </w:rPr>
            </w:pPr>
            <w:r w:rsidRPr="00E6484F">
              <w:rPr>
                <w:rFonts w:hint="cs"/>
                <w:b/>
                <w:bCs/>
                <w:rtl/>
              </w:rPr>
              <w:t>الغرض</w:t>
            </w:r>
          </w:p>
          <w:p w14:paraId="08306FBE" w14:textId="0DD23C54" w:rsidR="007B0AA0" w:rsidRPr="00E6484F" w:rsidRDefault="00570598" w:rsidP="005F5EAF">
            <w:pPr>
              <w:rPr>
                <w:rtl/>
                <w:lang w:val="en-GB" w:bidi="ar-EG"/>
              </w:rPr>
            </w:pPr>
            <w:r w:rsidRPr="00E6484F">
              <w:rPr>
                <w:rtl/>
              </w:rPr>
              <w:t xml:space="preserve">يقدم هذا التقرير توصيات ليسترشد بها المجلس في مداولاته بشأن الاختصاصات </w:t>
            </w:r>
            <w:r w:rsidRPr="00E6484F">
              <w:t>(</w:t>
            </w:r>
            <w:proofErr w:type="spellStart"/>
            <w:r w:rsidRPr="00E6484F">
              <w:t>ToR</w:t>
            </w:r>
            <w:proofErr w:type="spellEnd"/>
            <w:r w:rsidRPr="00E6484F">
              <w:t>)</w:t>
            </w:r>
            <w:r w:rsidRPr="00E6484F">
              <w:rPr>
                <w:rtl/>
                <w:lang w:val="en-GB" w:bidi="ar-EG"/>
              </w:rPr>
              <w:t xml:space="preserve"> المتعلقة باستعراض الحضور الإقليمي للاتحاد الدولي للاتصالات.</w:t>
            </w:r>
          </w:p>
          <w:p w14:paraId="453B7BD4" w14:textId="77777777" w:rsidR="007B0AA0" w:rsidRPr="00E6484F" w:rsidRDefault="007B0AA0" w:rsidP="007B0AA0">
            <w:pPr>
              <w:rPr>
                <w:b/>
                <w:bCs/>
                <w:rtl/>
              </w:rPr>
            </w:pPr>
            <w:r w:rsidRPr="00E6484F">
              <w:rPr>
                <w:rFonts w:hint="cs"/>
                <w:b/>
                <w:bCs/>
                <w:rtl/>
              </w:rPr>
              <w:t>الإجراء المطلوب من المجلس</w:t>
            </w:r>
          </w:p>
          <w:p w14:paraId="160A4983" w14:textId="07760FE2" w:rsidR="007B0AA0" w:rsidRPr="00E6484F" w:rsidRDefault="00570598" w:rsidP="005F5EAF">
            <w:pPr>
              <w:rPr>
                <w:rtl/>
              </w:rPr>
            </w:pPr>
            <w:r w:rsidRPr="00E6484F">
              <w:rPr>
                <w:rtl/>
              </w:rPr>
              <w:t>يُدعى المجلس إلى</w:t>
            </w:r>
            <w:r w:rsidRPr="00E6484F">
              <w:rPr>
                <w:b/>
                <w:bCs/>
                <w:rtl/>
              </w:rPr>
              <w:t xml:space="preserve"> النظر </w:t>
            </w:r>
            <w:r w:rsidRPr="00E6484F">
              <w:rPr>
                <w:rtl/>
              </w:rPr>
              <w:t>في التقرير</w:t>
            </w:r>
          </w:p>
          <w:p w14:paraId="23B2E3BC" w14:textId="77777777" w:rsidR="007B0AA0" w:rsidRPr="00E6484F" w:rsidRDefault="00494119" w:rsidP="007B0AA0">
            <w:pPr>
              <w:rPr>
                <w:b/>
                <w:bCs/>
                <w:rtl/>
              </w:rPr>
            </w:pPr>
            <w:r w:rsidRPr="00E6484F">
              <w:rPr>
                <w:rFonts w:hint="cs"/>
                <w:b/>
                <w:bCs/>
                <w:rtl/>
                <w:lang w:bidi="ar-EG"/>
              </w:rPr>
              <w:t>الصلة</w:t>
            </w:r>
            <w:r w:rsidR="007B0AA0" w:rsidRPr="00E6484F">
              <w:rPr>
                <w:b/>
                <w:bCs/>
                <w:rtl/>
              </w:rPr>
              <w:t xml:space="preserve"> بالخطة ال</w:t>
            </w:r>
            <w:r w:rsidR="007B0AA0" w:rsidRPr="00E6484F">
              <w:rPr>
                <w:rFonts w:hint="cs"/>
                <w:b/>
                <w:bCs/>
                <w:rtl/>
              </w:rPr>
              <w:t>ا</w:t>
            </w:r>
            <w:r w:rsidR="007B0AA0" w:rsidRPr="00E6484F">
              <w:rPr>
                <w:b/>
                <w:bCs/>
                <w:rtl/>
              </w:rPr>
              <w:t>ستراتيجية</w:t>
            </w:r>
          </w:p>
          <w:p w14:paraId="20D75F2B" w14:textId="3AD92184" w:rsidR="007B0AA0" w:rsidRPr="00E6484F" w:rsidRDefault="00570598" w:rsidP="005F5EAF">
            <w:pPr>
              <w:rPr>
                <w:rtl/>
              </w:rPr>
            </w:pPr>
            <w:r w:rsidRPr="00E6484F">
              <w:rPr>
                <w:rtl/>
              </w:rPr>
              <w:t>الحضور الإقليمي</w:t>
            </w:r>
            <w:r w:rsidRPr="00E6484F">
              <w:rPr>
                <w:rtl/>
                <w:lang w:bidi="ar-EG"/>
              </w:rPr>
              <w:t>.</w:t>
            </w:r>
          </w:p>
          <w:p w14:paraId="016AAD1F" w14:textId="77777777" w:rsidR="007B0AA0" w:rsidRPr="00E6484F" w:rsidRDefault="007B0AA0" w:rsidP="00B97F32">
            <w:pPr>
              <w:rPr>
                <w:b/>
                <w:bCs/>
              </w:rPr>
            </w:pPr>
            <w:r w:rsidRPr="00E6484F">
              <w:rPr>
                <w:rFonts w:hint="cs"/>
                <w:b/>
                <w:bCs/>
                <w:rtl/>
              </w:rPr>
              <w:t>الآثار المالية</w:t>
            </w:r>
          </w:p>
          <w:p w14:paraId="74803016" w14:textId="0F3F5FC8" w:rsidR="006F363C" w:rsidRPr="00E6484F" w:rsidRDefault="00570598" w:rsidP="005F5EAF">
            <w:pPr>
              <w:rPr>
                <w:rtl/>
              </w:rPr>
            </w:pPr>
            <w:r w:rsidRPr="00E6484F">
              <w:rPr>
                <w:rtl/>
              </w:rPr>
              <w:t xml:space="preserve">يُقترح رصد تخصيص إضافي، على النحو المفصل في الوثيقة </w:t>
            </w:r>
            <w:hyperlink r:id="rId8" w:history="1">
              <w:r w:rsidRPr="005F5EAF">
                <w:rPr>
                  <w:rStyle w:val="Hyperlink"/>
                  <w:rFonts w:ascii="Dubai" w:eastAsiaTheme="minorEastAsia" w:hAnsi="Dubai" w:cs="Dubai"/>
                  <w:noProof w:val="0"/>
                  <w:sz w:val="22"/>
                  <w:lang w:val="en-US" w:eastAsia="zh-CN"/>
                </w:rPr>
                <w:t>C25/9</w:t>
              </w:r>
            </w:hyperlink>
            <w:r w:rsidRPr="00E6484F">
              <w:rPr>
                <w:rtl/>
              </w:rPr>
              <w:t>.</w:t>
            </w:r>
          </w:p>
          <w:p w14:paraId="74C1B42D" w14:textId="77777777" w:rsidR="007B0AA0" w:rsidRPr="00E6484F" w:rsidRDefault="007B0AA0" w:rsidP="007B0AA0">
            <w:pPr>
              <w:rPr>
                <w:rFonts w:ascii="Traditional Arabic" w:hAnsi="Traditional Arabic" w:cs="Traditional Arabic"/>
                <w:sz w:val="30"/>
                <w:szCs w:val="30"/>
                <w:rtl/>
              </w:rPr>
            </w:pPr>
            <w:r w:rsidRPr="00E6484F">
              <w:rPr>
                <w:rFonts w:ascii="Traditional Arabic" w:hAnsi="Traditional Arabic" w:cs="Traditional Arabic"/>
                <w:sz w:val="30"/>
                <w:szCs w:val="30"/>
                <w:rtl/>
              </w:rPr>
              <w:t>___________</w:t>
            </w:r>
          </w:p>
          <w:p w14:paraId="462A1536" w14:textId="77777777" w:rsidR="007B0AA0" w:rsidRPr="00E6484F" w:rsidRDefault="007B0AA0" w:rsidP="007B0AA0">
            <w:pPr>
              <w:rPr>
                <w:b/>
                <w:bCs/>
                <w:rtl/>
              </w:rPr>
            </w:pPr>
            <w:r w:rsidRPr="00E6484F">
              <w:rPr>
                <w:rFonts w:hint="cs"/>
                <w:b/>
                <w:bCs/>
                <w:rtl/>
              </w:rPr>
              <w:t>المراجع</w:t>
            </w:r>
          </w:p>
          <w:p w14:paraId="577CA3FD" w14:textId="5B83A027" w:rsidR="007B0AA0" w:rsidRPr="005F5EAF" w:rsidRDefault="00570598" w:rsidP="00E6484F">
            <w:pPr>
              <w:rPr>
                <w:i/>
                <w:iCs/>
                <w:sz w:val="26"/>
                <w:szCs w:val="26"/>
                <w:rtl/>
              </w:rPr>
            </w:pPr>
            <w:r w:rsidRPr="005F5EAF">
              <w:rPr>
                <w:i/>
                <w:iCs/>
                <w:rtl/>
              </w:rPr>
              <w:t>القرارات</w:t>
            </w:r>
            <w:r w:rsidR="00027F24" w:rsidRPr="005F5EAF">
              <w:rPr>
                <w:rFonts w:hint="cs"/>
                <w:i/>
                <w:iCs/>
                <w:rtl/>
              </w:rPr>
              <w:t xml:space="preserve"> </w:t>
            </w:r>
            <w:hyperlink r:id="rId9" w:history="1">
              <w:r w:rsidR="00027F24" w:rsidRPr="005F5EAF">
                <w:rPr>
                  <w:rStyle w:val="Hyperlink"/>
                  <w:rFonts w:ascii="Dubai" w:eastAsiaTheme="minorEastAsia" w:hAnsi="Dubai" w:cs="Dubai"/>
                  <w:i/>
                  <w:iCs/>
                  <w:noProof w:val="0"/>
                  <w:sz w:val="22"/>
                  <w:lang w:val="en-US" w:eastAsia="zh-CN"/>
                </w:rPr>
                <w:t>25</w:t>
              </w:r>
              <w:r w:rsidR="00027F24" w:rsidRPr="005F5EAF">
                <w:rPr>
                  <w:rStyle w:val="Hyperlink"/>
                  <w:rFonts w:ascii="Dubai" w:eastAsiaTheme="minorEastAsia" w:hAnsi="Dubai" w:cs="Dubai" w:hint="cs"/>
                  <w:i/>
                  <w:iCs/>
                  <w:noProof w:val="0"/>
                  <w:sz w:val="22"/>
                  <w:rtl/>
                  <w:lang w:val="en-US" w:eastAsia="zh-CN"/>
                </w:rPr>
                <w:t xml:space="preserve"> (المراجَع في دبي، </w:t>
              </w:r>
              <w:r w:rsidR="00027F24" w:rsidRPr="005F5EAF">
                <w:rPr>
                  <w:rStyle w:val="Hyperlink"/>
                  <w:rFonts w:ascii="Dubai" w:eastAsiaTheme="minorEastAsia" w:hAnsi="Dubai" w:cs="Dubai"/>
                  <w:i/>
                  <w:iCs/>
                  <w:noProof w:val="0"/>
                  <w:sz w:val="22"/>
                  <w:lang w:val="en-US" w:eastAsia="zh-CN"/>
                </w:rPr>
                <w:t>2018</w:t>
              </w:r>
              <w:r w:rsidR="00027F24" w:rsidRPr="005F5EAF">
                <w:rPr>
                  <w:rStyle w:val="Hyperlink"/>
                  <w:rFonts w:ascii="Dubai" w:eastAsiaTheme="minorEastAsia" w:hAnsi="Dubai" w:cs="Dubai" w:hint="cs"/>
                  <w:i/>
                  <w:iCs/>
                  <w:noProof w:val="0"/>
                  <w:sz w:val="22"/>
                  <w:rtl/>
                  <w:lang w:val="en-US" w:eastAsia="zh-CN"/>
                </w:rPr>
                <w:t>)</w:t>
              </w:r>
            </w:hyperlink>
            <w:r w:rsidR="00027F24" w:rsidRPr="005F5EAF">
              <w:rPr>
                <w:rFonts w:hint="cs"/>
                <w:i/>
                <w:iCs/>
                <w:rtl/>
              </w:rPr>
              <w:t xml:space="preserve">، </w:t>
            </w:r>
            <w:r w:rsidR="00E6484F" w:rsidRPr="005F5EAF">
              <w:rPr>
                <w:rFonts w:hint="cs"/>
                <w:i/>
                <w:iCs/>
                <w:rtl/>
              </w:rPr>
              <w:t>و</w:t>
            </w:r>
            <w:hyperlink r:id="rId10" w:history="1">
              <w:r w:rsidR="00E6484F" w:rsidRPr="005F5EAF">
                <w:rPr>
                  <w:rStyle w:val="Hyperlink"/>
                  <w:rFonts w:ascii="Dubai" w:eastAsiaTheme="minorEastAsia" w:hAnsi="Dubai" w:cs="Dubai"/>
                  <w:i/>
                  <w:iCs/>
                  <w:noProof w:val="0"/>
                  <w:sz w:val="22"/>
                  <w:lang w:val="en-US" w:eastAsia="zh-CN"/>
                </w:rPr>
                <w:t>25</w:t>
              </w:r>
              <w:r w:rsidR="00027F24" w:rsidRPr="005F5EAF">
                <w:rPr>
                  <w:rStyle w:val="Hyperlink"/>
                  <w:rFonts w:ascii="Dubai" w:eastAsiaTheme="minorEastAsia" w:hAnsi="Dubai" w:cs="Dubai" w:hint="cs"/>
                  <w:i/>
                  <w:iCs/>
                  <w:noProof w:val="0"/>
                  <w:sz w:val="22"/>
                  <w:rtl/>
                  <w:lang w:val="en-US" w:eastAsia="zh-CN"/>
                </w:rPr>
                <w:t xml:space="preserve"> (المراج</w:t>
              </w:r>
              <w:r w:rsidR="00E6484F" w:rsidRPr="005F5EAF">
                <w:rPr>
                  <w:rStyle w:val="Hyperlink"/>
                  <w:rFonts w:ascii="Dubai" w:eastAsiaTheme="minorEastAsia" w:hAnsi="Dubai" w:cs="Dubai" w:hint="cs"/>
                  <w:i/>
                  <w:iCs/>
                  <w:noProof w:val="0"/>
                  <w:sz w:val="22"/>
                  <w:rtl/>
                  <w:lang w:val="en-US" w:eastAsia="zh-CN"/>
                </w:rPr>
                <w:t>َ</w:t>
              </w:r>
              <w:r w:rsidR="00027F24" w:rsidRPr="005F5EAF">
                <w:rPr>
                  <w:rStyle w:val="Hyperlink"/>
                  <w:rFonts w:ascii="Dubai" w:eastAsiaTheme="minorEastAsia" w:hAnsi="Dubai" w:cs="Dubai" w:hint="cs"/>
                  <w:i/>
                  <w:iCs/>
                  <w:noProof w:val="0"/>
                  <w:sz w:val="22"/>
                  <w:rtl/>
                  <w:lang w:val="en-US" w:eastAsia="zh-CN"/>
                </w:rPr>
                <w:t>ع في بوخارست، 2022)،</w:t>
              </w:r>
            </w:hyperlink>
            <w:r w:rsidR="00E6484F" w:rsidRPr="005F5EAF">
              <w:rPr>
                <w:i/>
                <w:iCs/>
              </w:rPr>
              <w:tab/>
            </w:r>
            <w:r w:rsidR="00E6484F" w:rsidRPr="005F5EAF">
              <w:rPr>
                <w:rFonts w:hint="cs"/>
                <w:i/>
                <w:iCs/>
                <w:rtl/>
              </w:rPr>
              <w:t>و</w:t>
            </w:r>
            <w:hyperlink r:id="rId11" w:history="1">
              <w:r w:rsidR="00027F24" w:rsidRPr="005F5EAF">
                <w:rPr>
                  <w:rStyle w:val="Hyperlink"/>
                  <w:rFonts w:ascii="Dubai" w:eastAsiaTheme="minorEastAsia" w:hAnsi="Dubai" w:cs="Dubai"/>
                  <w:i/>
                  <w:iCs/>
                  <w:noProof w:val="0"/>
                  <w:sz w:val="22"/>
                  <w:lang w:val="en-US" w:eastAsia="zh-CN"/>
                </w:rPr>
                <w:t>135</w:t>
              </w:r>
              <w:r w:rsidR="00027F24" w:rsidRPr="005F5EAF">
                <w:rPr>
                  <w:rStyle w:val="Hyperlink"/>
                  <w:rFonts w:ascii="Dubai" w:eastAsiaTheme="minorEastAsia" w:hAnsi="Dubai" w:cs="Dubai" w:hint="cs"/>
                  <w:i/>
                  <w:iCs/>
                  <w:noProof w:val="0"/>
                  <w:sz w:val="22"/>
                  <w:rtl/>
                  <w:lang w:val="en-US" w:eastAsia="zh-CN"/>
                </w:rPr>
                <w:t xml:space="preserve"> </w:t>
              </w:r>
              <w:r w:rsidR="00E6484F" w:rsidRPr="005F5EAF">
                <w:rPr>
                  <w:rStyle w:val="Hyperlink"/>
                  <w:rFonts w:ascii="Dubai" w:eastAsiaTheme="minorEastAsia" w:hAnsi="Dubai" w:cs="Dubai" w:hint="cs"/>
                  <w:i/>
                  <w:iCs/>
                  <w:noProof w:val="0"/>
                  <w:sz w:val="22"/>
                  <w:rtl/>
                  <w:lang w:val="en-US" w:eastAsia="zh-CN"/>
                </w:rPr>
                <w:t>(</w:t>
              </w:r>
              <w:r w:rsidR="00027F24" w:rsidRPr="005F5EAF">
                <w:rPr>
                  <w:rStyle w:val="Hyperlink"/>
                  <w:rFonts w:ascii="Dubai" w:eastAsiaTheme="minorEastAsia" w:hAnsi="Dubai" w:cs="Dubai" w:hint="cs"/>
                  <w:i/>
                  <w:iCs/>
                  <w:noProof w:val="0"/>
                  <w:sz w:val="22"/>
                  <w:rtl/>
                  <w:lang w:val="en-US" w:eastAsia="zh-CN"/>
                </w:rPr>
                <w:t>المراج</w:t>
              </w:r>
              <w:r w:rsidR="00E6484F" w:rsidRPr="005F5EAF">
                <w:rPr>
                  <w:rStyle w:val="Hyperlink"/>
                  <w:rFonts w:ascii="Dubai" w:eastAsiaTheme="minorEastAsia" w:hAnsi="Dubai" w:cs="Dubai" w:hint="cs"/>
                  <w:i/>
                  <w:iCs/>
                  <w:noProof w:val="0"/>
                  <w:sz w:val="22"/>
                  <w:rtl/>
                  <w:lang w:val="en-US" w:eastAsia="zh-CN"/>
                </w:rPr>
                <w:t>َ</w:t>
              </w:r>
              <w:r w:rsidR="00027F24" w:rsidRPr="005F5EAF">
                <w:rPr>
                  <w:rStyle w:val="Hyperlink"/>
                  <w:rFonts w:ascii="Dubai" w:eastAsiaTheme="minorEastAsia" w:hAnsi="Dubai" w:cs="Dubai" w:hint="cs"/>
                  <w:i/>
                  <w:iCs/>
                  <w:noProof w:val="0"/>
                  <w:sz w:val="22"/>
                  <w:rtl/>
                  <w:lang w:val="en-US" w:eastAsia="zh-CN"/>
                </w:rPr>
                <w:t xml:space="preserve">ع في بوخارست، </w:t>
              </w:r>
              <w:r w:rsidR="00027F24" w:rsidRPr="005F5EAF">
                <w:rPr>
                  <w:rStyle w:val="Hyperlink"/>
                  <w:rFonts w:ascii="Dubai" w:eastAsiaTheme="minorEastAsia" w:hAnsi="Dubai" w:cs="Dubai"/>
                  <w:i/>
                  <w:iCs/>
                  <w:noProof w:val="0"/>
                  <w:sz w:val="22"/>
                  <w:lang w:val="en-US" w:eastAsia="zh-CN"/>
                </w:rPr>
                <w:t>2022</w:t>
              </w:r>
              <w:r w:rsidR="00027F24" w:rsidRPr="005F5EAF">
                <w:rPr>
                  <w:rStyle w:val="Hyperlink"/>
                  <w:rFonts w:ascii="Dubai" w:eastAsiaTheme="minorEastAsia" w:hAnsi="Dubai" w:cs="Dubai" w:hint="cs"/>
                  <w:i/>
                  <w:iCs/>
                  <w:noProof w:val="0"/>
                  <w:sz w:val="22"/>
                  <w:rtl/>
                  <w:lang w:val="en-US" w:eastAsia="zh-CN"/>
                </w:rPr>
                <w:t>)</w:t>
              </w:r>
            </w:hyperlink>
            <w:r w:rsidR="00027F24" w:rsidRPr="005F5EAF">
              <w:rPr>
                <w:rFonts w:hint="cs"/>
                <w:i/>
                <w:iCs/>
                <w:rtl/>
              </w:rPr>
              <w:t xml:space="preserve">، </w:t>
            </w:r>
            <w:r w:rsidR="00E6484F" w:rsidRPr="005F5EAF">
              <w:rPr>
                <w:rFonts w:hint="cs"/>
                <w:i/>
                <w:iCs/>
                <w:rtl/>
              </w:rPr>
              <w:t>و</w:t>
            </w:r>
            <w:hyperlink r:id="rId12" w:history="1">
              <w:r w:rsidR="00E6484F" w:rsidRPr="005F5EAF">
                <w:rPr>
                  <w:rStyle w:val="Hyperlink"/>
                  <w:rFonts w:ascii="Dubai" w:eastAsiaTheme="minorEastAsia" w:hAnsi="Dubai" w:cs="Dubai"/>
                  <w:i/>
                  <w:iCs/>
                  <w:noProof w:val="0"/>
                  <w:sz w:val="22"/>
                  <w:lang w:val="en-US" w:eastAsia="zh-CN"/>
                </w:rPr>
                <w:t>157</w:t>
              </w:r>
              <w:r w:rsidR="00E6484F" w:rsidRPr="005F5EAF">
                <w:rPr>
                  <w:rStyle w:val="Hyperlink"/>
                  <w:rFonts w:ascii="Dubai" w:eastAsiaTheme="minorEastAsia" w:hAnsi="Dubai" w:cs="Dubai" w:hint="cs"/>
                  <w:i/>
                  <w:iCs/>
                  <w:noProof w:val="0"/>
                  <w:sz w:val="22"/>
                  <w:rtl/>
                  <w:lang w:val="en-US" w:eastAsia="zh-CN"/>
                </w:rPr>
                <w:t xml:space="preserve"> (المراجَع في بوخارست، 2022)</w:t>
              </w:r>
            </w:hyperlink>
            <w:r w:rsidRPr="005F5EAF">
              <w:rPr>
                <w:i/>
                <w:iCs/>
                <w:rtl/>
              </w:rPr>
              <w:t xml:space="preserve"> لمؤتمر المندوبين المفوضين؛ </w:t>
            </w:r>
            <w:hyperlink r:id="rId13" w:history="1">
              <w:r w:rsidRPr="005F5EAF">
                <w:rPr>
                  <w:rStyle w:val="Hyperlink"/>
                  <w:rFonts w:ascii="Dubai" w:eastAsiaTheme="minorEastAsia" w:hAnsi="Dubai" w:cs="Dubai"/>
                  <w:i/>
                  <w:iCs/>
                  <w:noProof w:val="0"/>
                  <w:sz w:val="22"/>
                  <w:rtl/>
                  <w:lang w:val="en-US" w:eastAsia="zh-CN"/>
                </w:rPr>
                <w:t xml:space="preserve">التقرير النهائي لخطة عمل كيغالي الصادر عن الاتحاد الدولي للاتصالات (كيغالي، </w:t>
              </w:r>
              <w:r w:rsidRPr="005F5EAF">
                <w:rPr>
                  <w:rStyle w:val="Hyperlink"/>
                  <w:rFonts w:ascii="Dubai" w:eastAsiaTheme="minorEastAsia" w:hAnsi="Dubai" w:cs="Dubai"/>
                  <w:i/>
                  <w:iCs/>
                  <w:noProof w:val="0"/>
                  <w:sz w:val="22"/>
                  <w:lang w:val="en-US" w:eastAsia="zh-CN"/>
                </w:rPr>
                <w:t>2022</w:t>
              </w:r>
              <w:r w:rsidRPr="005F5EAF">
                <w:rPr>
                  <w:rStyle w:val="Hyperlink"/>
                  <w:rFonts w:ascii="Dubai" w:eastAsiaTheme="minorEastAsia" w:hAnsi="Dubai" w:cs="Dubai"/>
                  <w:i/>
                  <w:iCs/>
                  <w:noProof w:val="0"/>
                  <w:sz w:val="22"/>
                  <w:rtl/>
                  <w:lang w:val="en-US" w:eastAsia="zh-CN"/>
                </w:rPr>
                <w:t>)</w:t>
              </w:r>
            </w:hyperlink>
            <w:r w:rsidRPr="005F5EAF">
              <w:rPr>
                <w:i/>
                <w:iCs/>
                <w:sz w:val="26"/>
                <w:szCs w:val="26"/>
                <w:rtl/>
                <w:lang w:val="en-GB" w:bidi="ar-EG"/>
              </w:rPr>
              <w:t>.</w:t>
            </w:r>
          </w:p>
        </w:tc>
      </w:tr>
    </w:tbl>
    <w:p w14:paraId="596BB627" w14:textId="77777777" w:rsidR="00E61BE8" w:rsidRDefault="00E61BE8" w:rsidP="00E61BE8">
      <w:pPr>
        <w:rPr>
          <w:rtl/>
          <w:lang w:bidi="ar-EG"/>
        </w:rPr>
      </w:pPr>
    </w:p>
    <w:p w14:paraId="1437CF56" w14:textId="77777777" w:rsidR="00F50E3F" w:rsidRDefault="00F50E3F" w:rsidP="0043260A">
      <w:pPr>
        <w:rPr>
          <w:rtl/>
          <w:lang w:bidi="ar-EG"/>
        </w:rPr>
      </w:pPr>
      <w:r>
        <w:rPr>
          <w:rtl/>
          <w:lang w:bidi="ar-EG"/>
        </w:rPr>
        <w:br w:type="page"/>
      </w:r>
    </w:p>
    <w:p w14:paraId="18DFD43C" w14:textId="411D1388" w:rsidR="00570598" w:rsidRPr="005F5EAF" w:rsidRDefault="00E6484F" w:rsidP="005F5EAF">
      <w:pPr>
        <w:pStyle w:val="Heading1"/>
        <w:rPr>
          <w:rtl/>
        </w:rPr>
      </w:pPr>
      <w:r w:rsidRPr="005F5EAF">
        <w:lastRenderedPageBreak/>
        <w:t>1</w:t>
      </w:r>
      <w:r w:rsidR="00570598" w:rsidRPr="005F5EAF">
        <w:tab/>
      </w:r>
      <w:r w:rsidR="00570598" w:rsidRPr="005F5EAF">
        <w:rPr>
          <w:rtl/>
        </w:rPr>
        <w:t>مقدمة/خلفية</w:t>
      </w:r>
    </w:p>
    <w:p w14:paraId="5DDDD005" w14:textId="48639CA4" w:rsidR="00570598" w:rsidRPr="00B3703C" w:rsidRDefault="00570598" w:rsidP="005F5EAF">
      <w:pPr>
        <w:rPr>
          <w:rStyle w:val="normaltextrun"/>
          <w:rFonts w:ascii="Dubai" w:eastAsiaTheme="minorEastAsia" w:hAnsi="Dubai" w:cs="Dubai"/>
          <w:color w:val="000000" w:themeColor="text1"/>
          <w:rtl/>
          <w:lang w:bidi="ar-EG"/>
        </w:rPr>
      </w:pPr>
      <w:r w:rsidRPr="005F5EAF">
        <w:rPr>
          <w:rtl/>
        </w:rPr>
        <w:t xml:space="preserve">قرر فريق العمل </w:t>
      </w:r>
      <w:r w:rsidR="005F5EAF">
        <w:rPr>
          <w:rFonts w:hint="cs"/>
          <w:rtl/>
        </w:rPr>
        <w:t>التابع للمجلس و</w:t>
      </w:r>
      <w:r w:rsidRPr="005F5EAF">
        <w:rPr>
          <w:rtl/>
        </w:rPr>
        <w:t xml:space="preserve">المعني بالموارد المالية والبشرية </w:t>
      </w:r>
      <w:r w:rsidRPr="005F5EAF">
        <w:t>(CWG-FHR)</w:t>
      </w:r>
      <w:r w:rsidRPr="005F5EAF">
        <w:rPr>
          <w:rtl/>
        </w:rPr>
        <w:t xml:space="preserve"> في اجتماعه التاسع عشر، الذي عُقد في الفترة من 30 سبتمبر إلى 11 أكتوبر 2024، إنشاء </w:t>
      </w:r>
      <w:r w:rsidR="00E6484F" w:rsidRPr="005F5EAF">
        <w:rPr>
          <w:rFonts w:hint="cs"/>
          <w:rtl/>
        </w:rPr>
        <w:t>"</w:t>
      </w:r>
      <w:r w:rsidRPr="005F5EAF">
        <w:rPr>
          <w:rtl/>
        </w:rPr>
        <w:t>فريق عمل بالمراسلة على الإنترنت</w:t>
      </w:r>
      <w:r w:rsidR="00E6484F" w:rsidRPr="005F5EAF">
        <w:rPr>
          <w:rFonts w:hint="cs"/>
          <w:rtl/>
        </w:rPr>
        <w:t>"</w:t>
      </w:r>
      <w:r w:rsidRPr="005F5EAF">
        <w:rPr>
          <w:rtl/>
        </w:rPr>
        <w:t xml:space="preserve"> </w:t>
      </w:r>
      <w:r w:rsidRPr="005F5EAF">
        <w:t>(OCG)</w:t>
      </w:r>
      <w:r w:rsidRPr="005F5EAF">
        <w:rPr>
          <w:rtl/>
        </w:rPr>
        <w:t xml:space="preserve"> ليتولى إعداد الاختصاصات </w:t>
      </w:r>
      <w:r w:rsidRPr="005F5EAF">
        <w:t>(</w:t>
      </w:r>
      <w:proofErr w:type="spellStart"/>
      <w:r w:rsidR="00FB7868" w:rsidRPr="005F5EAF">
        <w:t>ToR</w:t>
      </w:r>
      <w:proofErr w:type="spellEnd"/>
      <w:r w:rsidRPr="005F5EAF">
        <w:t>)</w:t>
      </w:r>
      <w:r w:rsidRPr="005F5EAF">
        <w:rPr>
          <w:rtl/>
        </w:rPr>
        <w:t xml:space="preserve"> المتعلقة باستعراض الاتحاد حضوره الإقليمي، وفقاً للقرار 25 (المراج</w:t>
      </w:r>
      <w:r w:rsidR="005F5EAF">
        <w:rPr>
          <w:rFonts w:hint="cs"/>
          <w:rtl/>
        </w:rPr>
        <w:t>َ</w:t>
      </w:r>
      <w:r w:rsidRPr="005F5EAF">
        <w:rPr>
          <w:rtl/>
        </w:rPr>
        <w:t xml:space="preserve">ع في بوخارست، 2022)، "تقوية الحضور الإقليمي للاتحاد الدولي للاتصالات". وكُلف فريق العمل </w:t>
      </w:r>
      <w:r w:rsidRPr="005F5EAF">
        <w:t>OCG</w:t>
      </w:r>
      <w:r w:rsidRPr="005F5EAF">
        <w:rPr>
          <w:rtl/>
        </w:rPr>
        <w:t xml:space="preserve"> باستعراض مشروع اختصاصات عُرض أثناء الاجتماع التاسع عشر وتقديم تقريره النهائي إلى فريق العمل </w:t>
      </w:r>
      <w:r w:rsidRPr="005F5EAF">
        <w:t>CWG-FHR</w:t>
      </w:r>
      <w:r w:rsidRPr="005F5EAF">
        <w:rPr>
          <w:rtl/>
        </w:rPr>
        <w:t xml:space="preserve"> في اجتماعه العشرين.</w:t>
      </w:r>
    </w:p>
    <w:p w14:paraId="218241EF" w14:textId="77777777" w:rsidR="00570598" w:rsidRPr="00B3703C" w:rsidRDefault="00570598" w:rsidP="00570598">
      <w:pPr>
        <w:rPr>
          <w:rStyle w:val="normaltextrun"/>
          <w:rFonts w:ascii="Dubai" w:eastAsiaTheme="minorEastAsia" w:hAnsi="Dubai" w:cs="Dubai"/>
          <w:color w:val="000000" w:themeColor="text1"/>
        </w:rPr>
      </w:pPr>
      <w:r w:rsidRPr="00B3703C">
        <w:rPr>
          <w:rStyle w:val="normaltextrun"/>
          <w:rFonts w:ascii="Dubai" w:eastAsiaTheme="minorEastAsia" w:hAnsi="Dubai" w:cs="Dubai"/>
          <w:color w:val="000000" w:themeColor="text1"/>
          <w:rtl/>
        </w:rPr>
        <w:t xml:space="preserve">واستعرض الاجتماع العشرون لفريق العمل </w:t>
      </w:r>
      <w:r w:rsidRPr="00B3703C">
        <w:rPr>
          <w:rStyle w:val="normaltextrun"/>
          <w:rFonts w:ascii="Dubai" w:eastAsiaTheme="minorEastAsia" w:hAnsi="Dubai" w:cs="Dubai"/>
          <w:color w:val="000000" w:themeColor="text1"/>
        </w:rPr>
        <w:t>CWG-FHR</w:t>
      </w:r>
      <w:r w:rsidRPr="00B3703C">
        <w:rPr>
          <w:rStyle w:val="normaltextrun"/>
          <w:rFonts w:ascii="Dubai" w:eastAsiaTheme="minorEastAsia" w:hAnsi="Dubai" w:cs="Dubai"/>
          <w:color w:val="000000" w:themeColor="text1"/>
          <w:rtl/>
          <w:lang w:bidi="ar-EG"/>
        </w:rPr>
        <w:t>، ا</w:t>
      </w:r>
      <w:r w:rsidRPr="00B3703C">
        <w:rPr>
          <w:rStyle w:val="normaltextrun"/>
          <w:rFonts w:ascii="Dubai" w:eastAsiaTheme="minorEastAsia" w:hAnsi="Dubai" w:cs="Dubai"/>
          <w:color w:val="000000" w:themeColor="text1"/>
          <w:rtl/>
        </w:rPr>
        <w:t xml:space="preserve">لذي عُقد في الفترة من 10 إلى 21 فبراير 2025، تقرير فريق العمل </w:t>
      </w:r>
      <w:r w:rsidRPr="00B3703C">
        <w:rPr>
          <w:rStyle w:val="normaltextrun"/>
          <w:rFonts w:ascii="Dubai" w:eastAsiaTheme="minorEastAsia" w:hAnsi="Dubai" w:cs="Dubai"/>
          <w:color w:val="000000" w:themeColor="text1"/>
          <w:lang w:val="en-GB"/>
        </w:rPr>
        <w:t>OCG</w:t>
      </w:r>
      <w:r w:rsidRPr="00B3703C">
        <w:rPr>
          <w:rStyle w:val="normaltextrun"/>
          <w:rFonts w:ascii="Dubai" w:eastAsiaTheme="minorEastAsia" w:hAnsi="Dubai" w:cs="Dubai"/>
          <w:color w:val="000000" w:themeColor="text1"/>
          <w:rtl/>
          <w:lang w:val="en-GB"/>
        </w:rPr>
        <w:t xml:space="preserve">، </w:t>
      </w:r>
      <w:r w:rsidRPr="00B3703C">
        <w:rPr>
          <w:rStyle w:val="normaltextrun"/>
          <w:rFonts w:ascii="Dubai" w:eastAsiaTheme="minorEastAsia" w:hAnsi="Dubai" w:cs="Dubai"/>
          <w:color w:val="000000" w:themeColor="text1"/>
          <w:rtl/>
        </w:rPr>
        <w:t xml:space="preserve">الذي يتضمن الاختصاصات المنقحة. ثم نظر فريق العمل </w:t>
      </w:r>
      <w:r w:rsidRPr="00B3703C">
        <w:rPr>
          <w:rStyle w:val="normaltextrun"/>
          <w:rFonts w:ascii="Dubai" w:eastAsiaTheme="minorEastAsia" w:hAnsi="Dubai" w:cs="Dubai"/>
          <w:color w:val="000000" w:themeColor="text1"/>
        </w:rPr>
        <w:t>CWG-FHR</w:t>
      </w:r>
      <w:r w:rsidRPr="00B3703C">
        <w:rPr>
          <w:rStyle w:val="normaltextrun"/>
          <w:rFonts w:ascii="Dubai" w:eastAsiaTheme="minorEastAsia" w:hAnsi="Dubai" w:cs="Dubai"/>
          <w:color w:val="000000" w:themeColor="text1"/>
          <w:rtl/>
          <w:lang w:bidi="ar-EG"/>
        </w:rPr>
        <w:t xml:space="preserve"> </w:t>
      </w:r>
      <w:r w:rsidRPr="00B3703C">
        <w:rPr>
          <w:rStyle w:val="normaltextrun"/>
          <w:rFonts w:ascii="Dubai" w:eastAsiaTheme="minorEastAsia" w:hAnsi="Dubai" w:cs="Dubai"/>
          <w:color w:val="000000" w:themeColor="text1"/>
          <w:rtl/>
        </w:rPr>
        <w:t xml:space="preserve">في الاختصاصات واعتمدها تمهيداً لعرضها على المجلس لينظر فيها في دورته التي ستُعقد في يونيو 2025 (الوثيقة </w:t>
      </w:r>
      <w:hyperlink r:id="rId14" w:history="1">
        <w:r w:rsidRPr="00B3703C">
          <w:rPr>
            <w:rStyle w:val="Hyperlink"/>
            <w:rFonts w:ascii="Dubai" w:hAnsi="Dubai" w:cs="Dubai"/>
            <w:sz w:val="22"/>
            <w:rtl/>
          </w:rPr>
          <w:t>C25/50</w:t>
        </w:r>
      </w:hyperlink>
      <w:r w:rsidRPr="00B3703C">
        <w:rPr>
          <w:rStyle w:val="normaltextrun"/>
          <w:rFonts w:ascii="Dubai" w:eastAsiaTheme="minorEastAsia" w:hAnsi="Dubai" w:cs="Dubai"/>
          <w:color w:val="000000" w:themeColor="text1"/>
          <w:rtl/>
        </w:rPr>
        <w:t>).</w:t>
      </w:r>
    </w:p>
    <w:p w14:paraId="1D2839CE" w14:textId="77777777" w:rsidR="00570598" w:rsidRPr="00B3703C" w:rsidRDefault="00570598" w:rsidP="00570598">
      <w:pPr>
        <w:rPr>
          <w:color w:val="000000" w:themeColor="text1"/>
        </w:rPr>
      </w:pPr>
      <w:r w:rsidRPr="00B3703C">
        <w:rPr>
          <w:color w:val="000000" w:themeColor="text1"/>
          <w:rtl/>
        </w:rPr>
        <w:t xml:space="preserve">وعقب اعتماد فريق العمل </w:t>
      </w:r>
      <w:r w:rsidRPr="00B3703C">
        <w:rPr>
          <w:rStyle w:val="normaltextrun"/>
          <w:rFonts w:ascii="Dubai" w:eastAsiaTheme="minorEastAsia" w:hAnsi="Dubai" w:cs="Dubai"/>
          <w:color w:val="000000" w:themeColor="text1"/>
        </w:rPr>
        <w:t>CWG-FHR</w:t>
      </w:r>
      <w:r w:rsidRPr="00B3703C">
        <w:rPr>
          <w:color w:val="000000" w:themeColor="text1"/>
          <w:rtl/>
        </w:rPr>
        <w:t xml:space="preserve"> الاختصاصات، أنشئ فريق مهام مشترك بين القطاعات ليضمن اتباع نهج منسق واستراتيجي في إجراء الاستعراض. ويضم فريق المهام، الذي يرأسه نائب الأمينة العامة، جميع المديرين الإقليميين وممثلين عن كل من مكاتب المنظمة. وكُلف فريق المهام بالولاية التالية:</w:t>
      </w:r>
    </w:p>
    <w:p w14:paraId="2B3E4E5B" w14:textId="379C86B6" w:rsidR="00570598" w:rsidRPr="001C3D0A" w:rsidRDefault="00FB7868" w:rsidP="001C3D0A">
      <w:pPr>
        <w:pStyle w:val="enumlev1"/>
      </w:pPr>
      <w:r w:rsidRPr="001C3D0A">
        <w:sym w:font="Symbol" w:char="F0B7"/>
      </w:r>
      <w:r w:rsidRPr="001C3D0A">
        <w:rPr>
          <w:rtl/>
        </w:rPr>
        <w:tab/>
      </w:r>
      <w:r w:rsidR="00570598" w:rsidRPr="001C3D0A">
        <w:rPr>
          <w:rtl/>
        </w:rPr>
        <w:t>صياغة التقرير التمهيدي، الذي يحدد بإيجاز منهجية الاستعراض وهيكله ومدته، وس</w:t>
      </w:r>
      <w:r w:rsidR="001C3D0A">
        <w:rPr>
          <w:rFonts w:hint="cs"/>
          <w:rtl/>
        </w:rPr>
        <w:t>ُ</w:t>
      </w:r>
      <w:r w:rsidR="00570598" w:rsidRPr="001C3D0A">
        <w:rPr>
          <w:rtl/>
        </w:rPr>
        <w:t>بل التشاور مع أصحاب المصلحة، وعمليات صنع القرار، والمتطلبات من الموارد، اللازمة لتوجيه عملية الاستعراض.</w:t>
      </w:r>
    </w:p>
    <w:p w14:paraId="1050CD95" w14:textId="203D8129" w:rsidR="00570598" w:rsidRPr="001C3D0A" w:rsidRDefault="00FB7868" w:rsidP="001C3D0A">
      <w:pPr>
        <w:pStyle w:val="enumlev1"/>
      </w:pPr>
      <w:r w:rsidRPr="001C3D0A">
        <w:sym w:font="Symbol" w:char="F0B7"/>
      </w:r>
      <w:r w:rsidRPr="001C3D0A">
        <w:rPr>
          <w:rtl/>
        </w:rPr>
        <w:tab/>
      </w:r>
      <w:r w:rsidR="00570598" w:rsidRPr="001C3D0A">
        <w:rPr>
          <w:rtl/>
        </w:rPr>
        <w:t>دعم تنفيذ الاستعراض وفقاً للاختصاصات المعتمدة، بما يضمن اتفاقه مع رؤية الاتحاد الاستراتيجية والقرار</w:t>
      </w:r>
      <w:r w:rsidR="001C3D0A">
        <w:rPr>
          <w:rFonts w:hint="cs"/>
          <w:rtl/>
        </w:rPr>
        <w:t> </w:t>
      </w:r>
      <w:r w:rsidR="00570598" w:rsidRPr="001C3D0A">
        <w:rPr>
          <w:rtl/>
        </w:rPr>
        <w:t>25.</w:t>
      </w:r>
    </w:p>
    <w:p w14:paraId="06EB7C6A" w14:textId="7290CACC" w:rsidR="00570598" w:rsidRPr="001C3D0A" w:rsidRDefault="00FB7868" w:rsidP="001C3D0A">
      <w:pPr>
        <w:pStyle w:val="enumlev1"/>
      </w:pPr>
      <w:r w:rsidRPr="001C3D0A">
        <w:sym w:font="Symbol" w:char="F0B7"/>
      </w:r>
      <w:r w:rsidRPr="001C3D0A">
        <w:rPr>
          <w:rtl/>
        </w:rPr>
        <w:tab/>
      </w:r>
      <w:r w:rsidR="00570598" w:rsidRPr="001C3D0A">
        <w:rPr>
          <w:rtl/>
        </w:rPr>
        <w:t>تيسير التعاون فيما بين جميع القطاعات والمكاتب الإقليمية والدوائر الرئيسية لضمان إجراء تقييم شامل وفع</w:t>
      </w:r>
      <w:r w:rsidR="001C3D0A">
        <w:rPr>
          <w:rFonts w:hint="cs"/>
          <w:rtl/>
        </w:rPr>
        <w:t>ّ</w:t>
      </w:r>
      <w:r w:rsidR="00570598" w:rsidRPr="001C3D0A">
        <w:rPr>
          <w:rtl/>
        </w:rPr>
        <w:t>ال للحضور الإقليمي للاتحاد.</w:t>
      </w:r>
    </w:p>
    <w:p w14:paraId="1310933A" w14:textId="48440801" w:rsidR="00570598" w:rsidRPr="001C3D0A" w:rsidRDefault="00FB7868" w:rsidP="001C3D0A">
      <w:pPr>
        <w:pStyle w:val="enumlev1"/>
      </w:pPr>
      <w:r w:rsidRPr="001C3D0A">
        <w:sym w:font="Symbol" w:char="F0B7"/>
      </w:r>
      <w:r w:rsidRPr="001C3D0A">
        <w:rPr>
          <w:rtl/>
        </w:rPr>
        <w:tab/>
      </w:r>
      <w:r w:rsidR="00570598" w:rsidRPr="001C3D0A">
        <w:rPr>
          <w:rtl/>
        </w:rPr>
        <w:t>رصد التقدم المحرز وتقييم النتائج المحققة لتقديم توصيات مستنيرة تستهدف تعزيز كفاءة عمليات الاتحاد الإقليمية وتأثيرها.</w:t>
      </w:r>
    </w:p>
    <w:p w14:paraId="7DECCBB1" w14:textId="5E7CDA6B" w:rsidR="00570598" w:rsidRPr="00B3703C" w:rsidRDefault="00FB7868" w:rsidP="001C3D0A">
      <w:pPr>
        <w:pStyle w:val="enumlev1"/>
        <w:rPr>
          <w:rFonts w:eastAsia="Aptos"/>
        </w:rPr>
      </w:pPr>
      <w:r w:rsidRPr="001C3D0A">
        <w:sym w:font="Symbol" w:char="F0B7"/>
      </w:r>
      <w:r w:rsidRPr="001C3D0A">
        <w:rPr>
          <w:rtl/>
        </w:rPr>
        <w:tab/>
      </w:r>
      <w:r w:rsidR="00570598" w:rsidRPr="001C3D0A">
        <w:rPr>
          <w:rtl/>
        </w:rPr>
        <w:t>تيسير عملية إبلاغ هيئات الاتحاد الرئاسية وأفرقته الاستشارية.</w:t>
      </w:r>
    </w:p>
    <w:p w14:paraId="004F4B47" w14:textId="1C83315F" w:rsidR="00570598" w:rsidRPr="00B3703C" w:rsidRDefault="00570598" w:rsidP="001C3D0A">
      <w:r w:rsidRPr="00B3703C">
        <w:rPr>
          <w:rtl/>
        </w:rPr>
        <w:t>ومراعاةً لأحكام المادتين 1 و21 من دستور الاتحاد الدولي للاتصالات وأحكام المادة 5 من اتفاقية الاتحاد الدولي للاتصالات وأحكام القرار 25 (المراج</w:t>
      </w:r>
      <w:r w:rsidR="00920E9E">
        <w:rPr>
          <w:rFonts w:hint="cs"/>
          <w:rtl/>
        </w:rPr>
        <w:t>َ</w:t>
      </w:r>
      <w:r w:rsidRPr="00B3703C">
        <w:rPr>
          <w:rtl/>
        </w:rPr>
        <w:t>ع في بوخارست، 2022)، يقدم هذا التقرير التمهيدي مجموعة من التوصيات لدعم مداولات المجلس بشأن الاختصاصات. وقد أعدها فريق المهام المشترك بين القطاعات المعني بالحضور الإقليمي.</w:t>
      </w:r>
    </w:p>
    <w:p w14:paraId="7D078D93" w14:textId="07F86C9E" w:rsidR="00570598" w:rsidRPr="00B3703C" w:rsidRDefault="00570598" w:rsidP="001C3D0A">
      <w:r w:rsidRPr="00B3703C">
        <w:rPr>
          <w:rtl/>
        </w:rPr>
        <w:t>وتهدف هذه التوصيات إلى زيادة توضيح منهجية الاستعراض وجدوله الزمني ونطاقه ونهج مشاركة أصحاب المصلحة والمتطلبات من الموارد.</w:t>
      </w:r>
    </w:p>
    <w:p w14:paraId="25CF35BE" w14:textId="77777777" w:rsidR="00570598" w:rsidRPr="00B3703C" w:rsidRDefault="00570598" w:rsidP="001C3D0A">
      <w:pPr>
        <w:rPr>
          <w:rFonts w:eastAsia="Aptos"/>
          <w:rtl/>
        </w:rPr>
      </w:pPr>
      <w:r w:rsidRPr="00B3703C">
        <w:rPr>
          <w:rFonts w:eastAsia="Aptos"/>
          <w:rtl/>
        </w:rPr>
        <w:t>وفيما يلي بنية التقرير:</w:t>
      </w:r>
    </w:p>
    <w:p w14:paraId="194D8D1F" w14:textId="606B8C63" w:rsidR="00570598" w:rsidRPr="00EB1C0D" w:rsidRDefault="00570598" w:rsidP="00EB1C0D">
      <w:pPr>
        <w:pStyle w:val="enumlev1"/>
      </w:pPr>
      <w:r w:rsidRPr="00EB1C0D">
        <w:rPr>
          <w:rtl/>
        </w:rPr>
        <w:t>1)</w:t>
      </w:r>
      <w:r w:rsidRPr="00EB1C0D">
        <w:rPr>
          <w:rtl/>
        </w:rPr>
        <w:tab/>
        <w:t>منهجية الاستعراض – تحديد الخطوط العريضة لإطار ونهج إجراء عملية الاستعراض.</w:t>
      </w:r>
    </w:p>
    <w:p w14:paraId="4F2BA299" w14:textId="77777777" w:rsidR="00570598" w:rsidRPr="00EB1C0D" w:rsidRDefault="00570598" w:rsidP="00EB1C0D">
      <w:pPr>
        <w:pStyle w:val="enumlev1"/>
      </w:pPr>
      <w:r w:rsidRPr="00EB1C0D">
        <w:rPr>
          <w:rtl/>
        </w:rPr>
        <w:t>2)</w:t>
      </w:r>
      <w:r w:rsidRPr="00EB1C0D">
        <w:rPr>
          <w:rtl/>
        </w:rPr>
        <w:tab/>
        <w:t>هيكل الاستعراض ومدته – تحديد مراحل عملية الاستعراض ومراحلها المهمة ونواتجها.</w:t>
      </w:r>
    </w:p>
    <w:p w14:paraId="5809943C" w14:textId="77777777" w:rsidR="00570598" w:rsidRPr="00EB1C0D" w:rsidRDefault="00570598" w:rsidP="00EB1C0D">
      <w:pPr>
        <w:pStyle w:val="enumlev1"/>
      </w:pPr>
      <w:r w:rsidRPr="00EB1C0D">
        <w:rPr>
          <w:rtl/>
        </w:rPr>
        <w:t>3)</w:t>
      </w:r>
      <w:r w:rsidRPr="00EB1C0D">
        <w:rPr>
          <w:rtl/>
        </w:rPr>
        <w:tab/>
        <w:t>التشاور مع أصحاب المصلحة - تحديد ما يمكن عقده من منابر تكفل مشاركة جميع أصحاب المصلحة ضماناً لشمول عملية التقييم.</w:t>
      </w:r>
    </w:p>
    <w:p w14:paraId="028894AC" w14:textId="77777777" w:rsidR="00570598" w:rsidRPr="00EB1C0D" w:rsidRDefault="00570598" w:rsidP="00EB1C0D">
      <w:pPr>
        <w:pStyle w:val="enumlev1"/>
      </w:pPr>
      <w:r w:rsidRPr="00EB1C0D">
        <w:rPr>
          <w:rtl/>
        </w:rPr>
        <w:t>4)</w:t>
      </w:r>
      <w:r w:rsidRPr="00EB1C0D">
        <w:rPr>
          <w:rtl/>
        </w:rPr>
        <w:tab/>
        <w:t xml:space="preserve">عمليات صنع القرار - التوصية بإجراءات </w:t>
      </w:r>
      <w:r w:rsidRPr="00EB1C0D">
        <w:rPr>
          <w:rFonts w:hint="cs"/>
          <w:rtl/>
        </w:rPr>
        <w:t xml:space="preserve">إثبات الدقة </w:t>
      </w:r>
      <w:r w:rsidRPr="00EB1C0D">
        <w:rPr>
          <w:rtl/>
        </w:rPr>
        <w:t>والموافقة أثناء عملية الاستعراض.</w:t>
      </w:r>
    </w:p>
    <w:p w14:paraId="4CBC39EA" w14:textId="77777777" w:rsidR="00570598" w:rsidRPr="00EB1C0D" w:rsidRDefault="00570598" w:rsidP="00EB1C0D">
      <w:pPr>
        <w:pStyle w:val="enumlev1"/>
        <w:rPr>
          <w:rtl/>
        </w:rPr>
      </w:pPr>
      <w:r w:rsidRPr="00EB1C0D">
        <w:rPr>
          <w:rtl/>
        </w:rPr>
        <w:t>5)</w:t>
      </w:r>
      <w:r w:rsidRPr="00EB1C0D">
        <w:rPr>
          <w:rtl/>
        </w:rPr>
        <w:tab/>
        <w:t>المتطلبات من الموارد - تحديد الموارد اللازمة لدعم تنفيذ الاستعراض بفعالية.</w:t>
      </w:r>
    </w:p>
    <w:p w14:paraId="6C069F06" w14:textId="77777777" w:rsidR="00570598" w:rsidRPr="00EB1C0D" w:rsidRDefault="00570598" w:rsidP="00EB1C0D">
      <w:pPr>
        <w:pStyle w:val="Heading1"/>
      </w:pPr>
      <w:r w:rsidRPr="00EB1C0D">
        <w:t>2</w:t>
      </w:r>
      <w:r w:rsidRPr="00EB1C0D">
        <w:rPr>
          <w:rtl/>
        </w:rPr>
        <w:tab/>
        <w:t>منهجية الاستعراض</w:t>
      </w:r>
    </w:p>
    <w:p w14:paraId="550F91EE" w14:textId="22DB994E" w:rsidR="00570598" w:rsidRPr="00EB1C0D" w:rsidRDefault="00570598" w:rsidP="00EB1C0D">
      <w:r w:rsidRPr="00EB1C0D">
        <w:rPr>
          <w:rtl/>
        </w:rPr>
        <w:t>تشكل المنهجية المحددة بإيجاز في الاختصاصات المعتمدة الأساس لعملية استعراض دقيقة ومتعددة الأبعاد. وتشمل</w:t>
      </w:r>
      <w:r w:rsidR="00EB1C0D">
        <w:t> </w:t>
      </w:r>
      <w:r w:rsidRPr="00EB1C0D">
        <w:rPr>
          <w:rtl/>
        </w:rPr>
        <w:t>ما يلي:</w:t>
      </w:r>
    </w:p>
    <w:p w14:paraId="515E2EE7" w14:textId="77777777" w:rsidR="00570598" w:rsidRPr="00EB1C0D" w:rsidRDefault="00570598" w:rsidP="00EB1C0D">
      <w:pPr>
        <w:pStyle w:val="enumlev1"/>
      </w:pPr>
      <w:r w:rsidRPr="00EB1C0D">
        <w:rPr>
          <w:rtl/>
        </w:rPr>
        <w:t>–</w:t>
      </w:r>
      <w:r w:rsidRPr="00EB1C0D">
        <w:rPr>
          <w:rtl/>
        </w:rPr>
        <w:tab/>
        <w:t>تحليل الوثائق: إجراء استعراض مكتبي شامل لوثائق السياسات العامة، والخطط الاستراتيجية، وتقارير مراجعة الحسابات، وعمليات التقييم الداخلية والخارجية، الرئيسية الخاصة بالاتحاد.</w:t>
      </w:r>
    </w:p>
    <w:p w14:paraId="253A2CC9" w14:textId="77777777" w:rsidR="00570598" w:rsidRPr="00EB1C0D" w:rsidRDefault="00570598" w:rsidP="00EB1C0D">
      <w:pPr>
        <w:pStyle w:val="enumlev1"/>
      </w:pPr>
      <w:r w:rsidRPr="00EB1C0D">
        <w:rPr>
          <w:rtl/>
        </w:rPr>
        <w:lastRenderedPageBreak/>
        <w:t>–</w:t>
      </w:r>
      <w:r w:rsidRPr="00EB1C0D">
        <w:rPr>
          <w:rtl/>
        </w:rPr>
        <w:tab/>
        <w:t>تحليل البيانات: إجراء فحص متعمق للبيانات التشغيلية والمالية وبيانات التوظيف للكشف عن الاتجاهات السائدة وتقييم أداء الاتحاد وزيادة الفرص المتاحة.</w:t>
      </w:r>
    </w:p>
    <w:p w14:paraId="43D4DED4" w14:textId="77777777" w:rsidR="00570598" w:rsidRPr="00EB1C0D" w:rsidRDefault="00570598" w:rsidP="00EB1C0D">
      <w:pPr>
        <w:pStyle w:val="enumlev1"/>
      </w:pPr>
      <w:r w:rsidRPr="00EB1C0D">
        <w:rPr>
          <w:rtl/>
        </w:rPr>
        <w:t>–</w:t>
      </w:r>
      <w:r w:rsidRPr="00EB1C0D">
        <w:rPr>
          <w:rtl/>
        </w:rPr>
        <w:tab/>
        <w:t>التشاور مع أصحاب المصلحة: تنفيذ أشكال منظمة للمشاركة مع أصحاب المصلحة الداخليين والخارجيين للحصول على رؤى متنوعة بشأن مدى فعالية العمليات الإقليمية ووظائف الدعم بالمقر الرئيسي.</w:t>
      </w:r>
    </w:p>
    <w:p w14:paraId="5875539D" w14:textId="77777777" w:rsidR="00570598" w:rsidRPr="00EB1C0D" w:rsidRDefault="00570598" w:rsidP="00EB1C0D">
      <w:pPr>
        <w:pStyle w:val="enumlev1"/>
      </w:pPr>
      <w:r w:rsidRPr="00EB1C0D">
        <w:rPr>
          <w:rtl/>
        </w:rPr>
        <w:t>–</w:t>
      </w:r>
      <w:r w:rsidRPr="00EB1C0D">
        <w:rPr>
          <w:rtl/>
        </w:rPr>
        <w:tab/>
        <w:t>إجراء استقصاءات تستهدف أصحاب المصلحة: إجراء استقصاءات واسعة النطاق تستهدف الدول الأعضاء ووكالات الأمم المتحدة المعنية وأعضاء الاتحاد لتقييم مستويات الرضا والتحديات القائمة والتوقعات المأمولة.</w:t>
      </w:r>
    </w:p>
    <w:p w14:paraId="28159DC1" w14:textId="77777777" w:rsidR="00570598" w:rsidRPr="00EB1C0D" w:rsidRDefault="00570598" w:rsidP="00CD57EC">
      <w:r w:rsidRPr="00EB1C0D">
        <w:rPr>
          <w:rtl/>
        </w:rPr>
        <w:t>ولتعزيز الدقة التحليلية للاستعراض وأهميته، توصي الأمانة كذلك بتضمينه ما يلي:</w:t>
      </w:r>
    </w:p>
    <w:p w14:paraId="6051C848" w14:textId="77777777" w:rsidR="00570598" w:rsidRPr="00EB1C0D" w:rsidRDefault="00570598" w:rsidP="00EB1C0D">
      <w:pPr>
        <w:pStyle w:val="enumlev1"/>
      </w:pPr>
      <w:r w:rsidRPr="00EB1C0D">
        <w:rPr>
          <w:rtl/>
        </w:rPr>
        <w:t>–</w:t>
      </w:r>
      <w:r w:rsidRPr="00EB1C0D">
        <w:rPr>
          <w:rtl/>
        </w:rPr>
        <w:tab/>
        <w:t>التحليل بالمقارنة المرجعية: إجراء دراسة عن المكاتب الإقليمية ومكاتب المناطق التابعة للاتحاد مقارنةً بالمؤسسات النظيرة في منظومة الأمم المتحدة.</w:t>
      </w:r>
    </w:p>
    <w:p w14:paraId="3C7D63D3" w14:textId="77777777" w:rsidR="00570598" w:rsidRPr="00EB1C0D" w:rsidRDefault="00570598" w:rsidP="00EB1C0D">
      <w:pPr>
        <w:pStyle w:val="enumlev1"/>
      </w:pPr>
      <w:r w:rsidRPr="00EB1C0D">
        <w:rPr>
          <w:rtl/>
        </w:rPr>
        <w:t>–</w:t>
      </w:r>
      <w:r w:rsidRPr="00EB1C0D">
        <w:rPr>
          <w:rtl/>
        </w:rPr>
        <w:tab/>
        <w:t>المنهجية المدمجة: ضمان استناد عملية الاستعراض إلى أدلة، وشمولها، وتوجهها استراتيجياً نحو تلبية احتياجات الاتحاد الناشئة، لا سيما المتعلقة بحضوره الإقليمي.</w:t>
      </w:r>
    </w:p>
    <w:p w14:paraId="316B5E2F" w14:textId="77777777" w:rsidR="00570598" w:rsidRPr="00DA3306" w:rsidRDefault="00570598" w:rsidP="00DA3306">
      <w:pPr>
        <w:pStyle w:val="Heading1"/>
        <w:rPr>
          <w:rtl/>
        </w:rPr>
      </w:pPr>
      <w:r w:rsidRPr="00DA3306">
        <w:rPr>
          <w:rtl/>
        </w:rPr>
        <w:t>3</w:t>
      </w:r>
      <w:r w:rsidRPr="00DA3306">
        <w:rPr>
          <w:rtl/>
        </w:rPr>
        <w:tab/>
        <w:t>هيكل الاستعراض ومدته</w:t>
      </w:r>
    </w:p>
    <w:p w14:paraId="7F090451" w14:textId="77777777" w:rsidR="00570598" w:rsidRPr="00B3703C" w:rsidRDefault="00570598" w:rsidP="00DA3306">
      <w:pPr>
        <w:rPr>
          <w:rFonts w:eastAsia="Aptos"/>
        </w:rPr>
      </w:pPr>
      <w:r w:rsidRPr="00DA3306">
        <w:rPr>
          <w:rtl/>
        </w:rPr>
        <w:t>سيمتد الاستعراض إلى أحد عشر شهراً وينقسم إلى أربع مراحل متتابعة. ويُفصَّل أدناه تسلسل مراحل الاستعراض والنواتج المتوقع تحقيقها في كل منها.</w:t>
      </w:r>
    </w:p>
    <w:p w14:paraId="17F79010" w14:textId="77777777" w:rsidR="00570598" w:rsidRPr="00FD30AB" w:rsidRDefault="00570598" w:rsidP="00FD30AB">
      <w:pPr>
        <w:pStyle w:val="Headingb"/>
      </w:pPr>
      <w:r w:rsidRPr="00FD30AB">
        <w:rPr>
          <w:rtl/>
        </w:rPr>
        <w:t>المرحلة 1: التقييم الأولي (يوليو - أغسطس 2025)</w:t>
      </w:r>
    </w:p>
    <w:p w14:paraId="0F5E7A60" w14:textId="77777777" w:rsidR="00570598" w:rsidRPr="00FD30AB" w:rsidRDefault="00570598" w:rsidP="00FD30AB">
      <w:r w:rsidRPr="00FD30AB">
        <w:rPr>
          <w:rtl/>
        </w:rPr>
        <w:t>النواتج:</w:t>
      </w:r>
    </w:p>
    <w:p w14:paraId="36897012" w14:textId="77777777" w:rsidR="00570598" w:rsidRPr="00FD30AB" w:rsidRDefault="00570598" w:rsidP="00FD30AB">
      <w:pPr>
        <w:pStyle w:val="enumlev1"/>
      </w:pPr>
      <w:r w:rsidRPr="00FD30AB">
        <w:rPr>
          <w:rtl/>
        </w:rPr>
        <w:t>–</w:t>
      </w:r>
      <w:r w:rsidRPr="00FD30AB">
        <w:rPr>
          <w:rtl/>
        </w:rPr>
        <w:tab/>
        <w:t>تشكيل فريق الاستعراض ووضع بروتوكولات العمل.</w:t>
      </w:r>
    </w:p>
    <w:p w14:paraId="519D290C" w14:textId="77777777" w:rsidR="00570598" w:rsidRPr="00FD30AB" w:rsidRDefault="00570598" w:rsidP="00FD30AB">
      <w:pPr>
        <w:pStyle w:val="enumlev1"/>
      </w:pPr>
      <w:r w:rsidRPr="00FD30AB">
        <w:rPr>
          <w:rtl/>
        </w:rPr>
        <w:t>–</w:t>
      </w:r>
      <w:r w:rsidRPr="00FD30AB">
        <w:rPr>
          <w:rtl/>
        </w:rPr>
        <w:tab/>
        <w:t>توضيح الهدف من الاستعراض بالمنهجية المتبعة.</w:t>
      </w:r>
    </w:p>
    <w:p w14:paraId="153C8847" w14:textId="77777777" w:rsidR="00570598" w:rsidRPr="00FD30AB" w:rsidRDefault="00570598" w:rsidP="00FD30AB">
      <w:pPr>
        <w:pStyle w:val="enumlev1"/>
      </w:pPr>
      <w:r w:rsidRPr="00FD30AB">
        <w:rPr>
          <w:rtl/>
        </w:rPr>
        <w:t>–</w:t>
      </w:r>
      <w:r w:rsidRPr="00FD30AB">
        <w:rPr>
          <w:rtl/>
        </w:rPr>
        <w:tab/>
        <w:t>استحداث أدوات مصممة خصيصاً لجمع البيانات (مثل الاستقصاءات وأسئلة المقابلات).</w:t>
      </w:r>
    </w:p>
    <w:p w14:paraId="4E44DA3E" w14:textId="77777777" w:rsidR="00570598" w:rsidRPr="00B3703C" w:rsidRDefault="00570598" w:rsidP="00FD30AB">
      <w:pPr>
        <w:pStyle w:val="enumlev1"/>
      </w:pPr>
      <w:r w:rsidRPr="00FD30AB">
        <w:rPr>
          <w:rtl/>
        </w:rPr>
        <w:t>–</w:t>
      </w:r>
      <w:r w:rsidRPr="00FD30AB">
        <w:rPr>
          <w:rtl/>
        </w:rPr>
        <w:tab/>
        <w:t xml:space="preserve">مواءمة مقاييس الاستعراض مع مؤشرات الأداء الرئيسية </w:t>
      </w:r>
      <w:r w:rsidRPr="00FD30AB">
        <w:t>(KPI)</w:t>
      </w:r>
      <w:r w:rsidRPr="00FD30AB">
        <w:rPr>
          <w:rtl/>
        </w:rPr>
        <w:t xml:space="preserve"> في الاتحاد وأهدافه الاستراتيجية.</w:t>
      </w:r>
    </w:p>
    <w:p w14:paraId="42755D2E" w14:textId="77777777" w:rsidR="00570598" w:rsidRPr="00FD30AB" w:rsidRDefault="00570598" w:rsidP="00FD30AB">
      <w:pPr>
        <w:pStyle w:val="Headingb"/>
      </w:pPr>
      <w:r w:rsidRPr="00FD30AB">
        <w:rPr>
          <w:rtl/>
        </w:rPr>
        <w:t>المرحلة 2: جمع البيانات والتحليل الأولي (سبتمبر - نوفمبر 2025)</w:t>
      </w:r>
    </w:p>
    <w:p w14:paraId="2B8493B1" w14:textId="77777777" w:rsidR="00570598" w:rsidRPr="00FD30AB" w:rsidRDefault="00570598" w:rsidP="00FD30AB">
      <w:r w:rsidRPr="00C668C1">
        <w:rPr>
          <w:rtl/>
        </w:rPr>
        <w:t>النواتج:</w:t>
      </w:r>
    </w:p>
    <w:p w14:paraId="1822A8F2" w14:textId="77777777" w:rsidR="00570598" w:rsidRPr="00FD30AB" w:rsidRDefault="00570598" w:rsidP="00FD30AB">
      <w:pPr>
        <w:pStyle w:val="enumlev1"/>
      </w:pPr>
      <w:r w:rsidRPr="00FD30AB">
        <w:rPr>
          <w:rtl/>
        </w:rPr>
        <w:t>–</w:t>
      </w:r>
      <w:r w:rsidRPr="00FD30AB">
        <w:rPr>
          <w:rtl/>
        </w:rPr>
        <w:tab/>
        <w:t>تنفيذ مقابلات واستقصاءات تستهدف جميع فئات أصحاب المصلحة.</w:t>
      </w:r>
    </w:p>
    <w:p w14:paraId="04B815DF" w14:textId="77777777" w:rsidR="00570598" w:rsidRPr="00FD30AB" w:rsidRDefault="00570598" w:rsidP="00FD30AB">
      <w:pPr>
        <w:pStyle w:val="enumlev1"/>
      </w:pPr>
      <w:r w:rsidRPr="00FD30AB">
        <w:rPr>
          <w:rtl/>
        </w:rPr>
        <w:t>–</w:t>
      </w:r>
      <w:r w:rsidRPr="00FD30AB">
        <w:rPr>
          <w:rtl/>
        </w:rPr>
        <w:tab/>
        <w:t>تنفيذ ممارسات المقارنة المرجعية.</w:t>
      </w:r>
    </w:p>
    <w:p w14:paraId="252BCA34" w14:textId="77777777" w:rsidR="00570598" w:rsidRPr="00FD30AB" w:rsidRDefault="00570598" w:rsidP="00FD30AB">
      <w:pPr>
        <w:pStyle w:val="enumlev1"/>
      </w:pPr>
      <w:r w:rsidRPr="00FD30AB">
        <w:rPr>
          <w:rtl/>
        </w:rPr>
        <w:t>–</w:t>
      </w:r>
      <w:r w:rsidRPr="00FD30AB">
        <w:rPr>
          <w:rtl/>
        </w:rPr>
        <w:tab/>
        <w:t>تحليل الأنماط الناشئة والمواضيع الرئيسية، وتحديدها، على أساس أولي.</w:t>
      </w:r>
    </w:p>
    <w:p w14:paraId="1BF8FD97" w14:textId="77777777" w:rsidR="00570598" w:rsidRPr="00FD30AB" w:rsidRDefault="00570598" w:rsidP="00FD30AB">
      <w:pPr>
        <w:pStyle w:val="Headingb"/>
      </w:pPr>
      <w:r w:rsidRPr="00FD30AB">
        <w:rPr>
          <w:rtl/>
        </w:rPr>
        <w:t>المرحلة 3: التحليل التفصيلي والصياغة (ديسمبر 2025 - فبراير 2026)</w:t>
      </w:r>
    </w:p>
    <w:p w14:paraId="3A255562" w14:textId="36A21421" w:rsidR="00570598" w:rsidRPr="00FD30AB" w:rsidRDefault="00570598" w:rsidP="00FD30AB">
      <w:r w:rsidRPr="00FD30AB">
        <w:rPr>
          <w:rtl/>
        </w:rPr>
        <w:t>النواتج:</w:t>
      </w:r>
    </w:p>
    <w:p w14:paraId="45496E0A" w14:textId="77777777" w:rsidR="00570598" w:rsidRPr="00FD30AB" w:rsidRDefault="00570598" w:rsidP="00FD30AB">
      <w:pPr>
        <w:pStyle w:val="enumlev1"/>
      </w:pPr>
      <w:r w:rsidRPr="00FD30AB">
        <w:rPr>
          <w:rtl/>
        </w:rPr>
        <w:t>–</w:t>
      </w:r>
      <w:r w:rsidRPr="00FD30AB">
        <w:rPr>
          <w:rtl/>
        </w:rPr>
        <w:tab/>
        <w:t>إجراء تحليل شامل للنتائج بناءً على النتائج المحققة والتحليل الأولي.</w:t>
      </w:r>
    </w:p>
    <w:p w14:paraId="2D0F3C84" w14:textId="77777777" w:rsidR="00570598" w:rsidRPr="00FD30AB" w:rsidRDefault="00570598" w:rsidP="00FD30AB">
      <w:pPr>
        <w:pStyle w:val="enumlev1"/>
      </w:pPr>
      <w:r w:rsidRPr="00FD30AB">
        <w:rPr>
          <w:rtl/>
        </w:rPr>
        <w:t>–</w:t>
      </w:r>
      <w:r w:rsidRPr="00FD30AB">
        <w:rPr>
          <w:rtl/>
        </w:rPr>
        <w:tab/>
        <w:t>إعداد مشروع تقرير للاستعراض يتضمن توصيات أولية.</w:t>
      </w:r>
    </w:p>
    <w:p w14:paraId="3C916759" w14:textId="77777777" w:rsidR="00570598" w:rsidRPr="00FD30AB" w:rsidRDefault="00570598" w:rsidP="00FD30AB">
      <w:pPr>
        <w:pStyle w:val="Headingb"/>
      </w:pPr>
      <w:r w:rsidRPr="00FD30AB">
        <w:rPr>
          <w:rtl/>
        </w:rPr>
        <w:t xml:space="preserve">المرحلة 4: </w:t>
      </w:r>
      <w:r w:rsidRPr="00FD30AB">
        <w:rPr>
          <w:rFonts w:hint="cs"/>
          <w:rtl/>
        </w:rPr>
        <w:t xml:space="preserve">إثبات الدقة </w:t>
      </w:r>
      <w:r w:rsidRPr="00FD30AB">
        <w:rPr>
          <w:rtl/>
        </w:rPr>
        <w:t>والإبلاغ (مارس - مايو 2026)</w:t>
      </w:r>
    </w:p>
    <w:p w14:paraId="3136A18B" w14:textId="4FADEC0C" w:rsidR="00570598" w:rsidRPr="00FD30AB" w:rsidRDefault="00570598" w:rsidP="00FD30AB">
      <w:r w:rsidRPr="00FD30AB">
        <w:rPr>
          <w:rtl/>
        </w:rPr>
        <w:t>النواتج:</w:t>
      </w:r>
    </w:p>
    <w:p w14:paraId="17E00DAB" w14:textId="77777777" w:rsidR="00570598" w:rsidRPr="00FD30AB" w:rsidRDefault="00570598" w:rsidP="00FD30AB">
      <w:pPr>
        <w:pStyle w:val="enumlev1"/>
      </w:pPr>
      <w:r w:rsidRPr="00FD30AB">
        <w:rPr>
          <w:rtl/>
        </w:rPr>
        <w:t>–</w:t>
      </w:r>
      <w:r w:rsidRPr="00FD30AB">
        <w:rPr>
          <w:rtl/>
        </w:rPr>
        <w:tab/>
      </w:r>
      <w:r w:rsidRPr="00FD30AB">
        <w:rPr>
          <w:rFonts w:hint="cs"/>
          <w:rtl/>
        </w:rPr>
        <w:t>إثبات دقة</w:t>
      </w:r>
      <w:r w:rsidRPr="00FD30AB">
        <w:rPr>
          <w:rtl/>
        </w:rPr>
        <w:t xml:space="preserve"> مشروع تقرير الاستعراض.</w:t>
      </w:r>
    </w:p>
    <w:p w14:paraId="09790721" w14:textId="77777777" w:rsidR="00570598" w:rsidRPr="00FD30AB" w:rsidRDefault="00570598" w:rsidP="00FD30AB">
      <w:pPr>
        <w:pStyle w:val="enumlev1"/>
      </w:pPr>
      <w:r w:rsidRPr="00FD30AB">
        <w:rPr>
          <w:rtl/>
        </w:rPr>
        <w:t>–</w:t>
      </w:r>
      <w:r w:rsidRPr="00FD30AB">
        <w:rPr>
          <w:rtl/>
        </w:rPr>
        <w:tab/>
        <w:t xml:space="preserve">تضمينه التعقيبات الواردة من عملية </w:t>
      </w:r>
      <w:r w:rsidRPr="00FD30AB">
        <w:rPr>
          <w:rFonts w:hint="cs"/>
          <w:rtl/>
        </w:rPr>
        <w:t>إثبات دقته.</w:t>
      </w:r>
    </w:p>
    <w:p w14:paraId="031344B3" w14:textId="3D54AC7A" w:rsidR="00570598" w:rsidRPr="00C668C1" w:rsidRDefault="00570598" w:rsidP="00FD30AB">
      <w:pPr>
        <w:pStyle w:val="enumlev1"/>
        <w:rPr>
          <w:spacing w:val="-4"/>
        </w:rPr>
      </w:pPr>
      <w:r w:rsidRPr="00C668C1">
        <w:rPr>
          <w:spacing w:val="-4"/>
          <w:rtl/>
        </w:rPr>
        <w:t>–</w:t>
      </w:r>
      <w:r w:rsidRPr="00C668C1">
        <w:rPr>
          <w:spacing w:val="-4"/>
          <w:rtl/>
        </w:rPr>
        <w:tab/>
        <w:t xml:space="preserve">صياغة تقرير الاستعراض النهائي لينظر فيه المجلس ومؤتمر مؤتمر المندوبين المفوضين لعام 2026 </w:t>
      </w:r>
      <w:r w:rsidR="000F6A8A">
        <w:rPr>
          <w:spacing w:val="-4"/>
        </w:rPr>
        <w:t>(PP-26)</w:t>
      </w:r>
      <w:r w:rsidRPr="00C668C1">
        <w:rPr>
          <w:spacing w:val="-4"/>
          <w:rtl/>
        </w:rPr>
        <w:t>.</w:t>
      </w:r>
    </w:p>
    <w:p w14:paraId="153F33FD" w14:textId="77777777" w:rsidR="00570598" w:rsidRPr="00C668C1" w:rsidRDefault="00570598" w:rsidP="00C668C1">
      <w:pPr>
        <w:pStyle w:val="Heading1"/>
      </w:pPr>
      <w:r w:rsidRPr="00C668C1">
        <w:rPr>
          <w:rtl/>
        </w:rPr>
        <w:lastRenderedPageBreak/>
        <w:t>4</w:t>
      </w:r>
      <w:r w:rsidRPr="00C668C1">
        <w:rPr>
          <w:rtl/>
        </w:rPr>
        <w:tab/>
        <w:t>التشاور مع أصحاب المصلحة</w:t>
      </w:r>
    </w:p>
    <w:p w14:paraId="34BA23CA" w14:textId="18663719" w:rsidR="00570598" w:rsidRPr="00C668C1" w:rsidRDefault="00570598" w:rsidP="00C668C1">
      <w:r w:rsidRPr="00C668C1">
        <w:rPr>
          <w:rtl/>
        </w:rPr>
        <w:t xml:space="preserve">ستكون مشاركة أصحاب المصلحة </w:t>
      </w:r>
      <w:r w:rsidRPr="00C668C1">
        <w:rPr>
          <w:rFonts w:hint="cs"/>
          <w:rtl/>
        </w:rPr>
        <w:t>عاملاً أساسياً</w:t>
      </w:r>
      <w:r w:rsidRPr="00C668C1">
        <w:rPr>
          <w:rtl/>
        </w:rPr>
        <w:t xml:space="preserve"> لنجاح الاستعراض، </w:t>
      </w:r>
      <w:r w:rsidRPr="00C668C1">
        <w:rPr>
          <w:rFonts w:hint="cs"/>
          <w:rtl/>
        </w:rPr>
        <w:t xml:space="preserve">بضمانها انعكاس </w:t>
      </w:r>
      <w:r w:rsidRPr="00C668C1">
        <w:rPr>
          <w:rtl/>
        </w:rPr>
        <w:t xml:space="preserve">رؤى وخبرات </w:t>
      </w:r>
      <w:r w:rsidRPr="00C668C1">
        <w:rPr>
          <w:rFonts w:hint="cs"/>
          <w:rtl/>
        </w:rPr>
        <w:t>الأطراف المتأثرة</w:t>
      </w:r>
      <w:r w:rsidRPr="00C668C1">
        <w:rPr>
          <w:rtl/>
        </w:rPr>
        <w:t xml:space="preserve"> مباشر</w:t>
      </w:r>
      <w:r w:rsidRPr="00C668C1">
        <w:rPr>
          <w:rFonts w:hint="cs"/>
          <w:rtl/>
        </w:rPr>
        <w:t>ةً</w:t>
      </w:r>
      <w:r w:rsidRPr="00C668C1">
        <w:rPr>
          <w:rtl/>
        </w:rPr>
        <w:t xml:space="preserve"> بالعمليات الإقليمية</w:t>
      </w:r>
      <w:r w:rsidRPr="00C668C1">
        <w:rPr>
          <w:rFonts w:hint="cs"/>
          <w:rtl/>
        </w:rPr>
        <w:t xml:space="preserve"> انعكاساً</w:t>
      </w:r>
      <w:r w:rsidRPr="00C668C1">
        <w:rPr>
          <w:rtl/>
        </w:rPr>
        <w:t xml:space="preserve"> </w:t>
      </w:r>
      <w:r w:rsidRPr="00C668C1">
        <w:rPr>
          <w:rFonts w:hint="cs"/>
          <w:rtl/>
        </w:rPr>
        <w:t xml:space="preserve">تاماً </w:t>
      </w:r>
      <w:r w:rsidRPr="00C668C1">
        <w:rPr>
          <w:rtl/>
        </w:rPr>
        <w:t xml:space="preserve">في التحليل. </w:t>
      </w:r>
      <w:r w:rsidRPr="00C668C1">
        <w:rPr>
          <w:rFonts w:hint="cs"/>
          <w:rtl/>
        </w:rPr>
        <w:t>فقوة عملية التشاور لن تعزِّز فقط</w:t>
      </w:r>
      <w:r w:rsidRPr="00C668C1">
        <w:rPr>
          <w:rtl/>
        </w:rPr>
        <w:t xml:space="preserve"> نتائج الاستعراض، </w:t>
      </w:r>
      <w:r w:rsidRPr="00C668C1">
        <w:rPr>
          <w:rFonts w:hint="cs"/>
          <w:rtl/>
        </w:rPr>
        <w:t xml:space="preserve">وإنما </w:t>
      </w:r>
      <w:r w:rsidRPr="00C668C1">
        <w:rPr>
          <w:rtl/>
        </w:rPr>
        <w:t>ستعزز أيضا</w:t>
      </w:r>
      <w:r w:rsidRPr="00C668C1">
        <w:rPr>
          <w:rFonts w:hint="cs"/>
          <w:rtl/>
        </w:rPr>
        <w:t>ً</w:t>
      </w:r>
      <w:r w:rsidRPr="00C668C1">
        <w:rPr>
          <w:rtl/>
        </w:rPr>
        <w:t xml:space="preserve"> شرعيتها واستدامتها. وإشراك </w:t>
      </w:r>
      <w:r w:rsidRPr="00C668C1">
        <w:rPr>
          <w:rFonts w:hint="cs"/>
          <w:rtl/>
        </w:rPr>
        <w:t>طائفة</w:t>
      </w:r>
      <w:r w:rsidRPr="00C668C1">
        <w:rPr>
          <w:rtl/>
        </w:rPr>
        <w:t xml:space="preserve"> واسعة من وجهات النظر</w:t>
      </w:r>
      <w:r w:rsidRPr="00C668C1">
        <w:rPr>
          <w:rFonts w:hint="cs"/>
          <w:rtl/>
        </w:rPr>
        <w:t xml:space="preserve"> سيساعد</w:t>
      </w:r>
      <w:r w:rsidRPr="00C668C1">
        <w:rPr>
          <w:rtl/>
        </w:rPr>
        <w:t xml:space="preserve"> أيضا</w:t>
      </w:r>
      <w:r w:rsidRPr="00C668C1">
        <w:rPr>
          <w:rFonts w:hint="cs"/>
          <w:rtl/>
        </w:rPr>
        <w:t>ً</w:t>
      </w:r>
      <w:r w:rsidRPr="00C668C1">
        <w:rPr>
          <w:rtl/>
        </w:rPr>
        <w:t xml:space="preserve"> </w:t>
      </w:r>
      <w:r w:rsidRPr="00C668C1">
        <w:rPr>
          <w:rFonts w:hint="cs"/>
          <w:rtl/>
        </w:rPr>
        <w:t>في</w:t>
      </w:r>
      <w:r w:rsidRPr="00C668C1">
        <w:rPr>
          <w:rtl/>
        </w:rPr>
        <w:t xml:space="preserve"> إبراز وجهات نظر جديدة، وإثراء جودة التوصيات، ودعم </w:t>
      </w:r>
      <w:r w:rsidRPr="00C668C1">
        <w:rPr>
          <w:rFonts w:hint="cs"/>
          <w:rtl/>
        </w:rPr>
        <w:t>شمولية التقييم</w:t>
      </w:r>
      <w:r w:rsidRPr="00C668C1">
        <w:rPr>
          <w:rtl/>
        </w:rPr>
        <w:t>.</w:t>
      </w:r>
    </w:p>
    <w:p w14:paraId="63FBD3AC" w14:textId="77777777" w:rsidR="00570598" w:rsidRPr="00C668C1" w:rsidRDefault="00570598" w:rsidP="00C668C1">
      <w:r w:rsidRPr="00C668C1">
        <w:rPr>
          <w:rtl/>
        </w:rPr>
        <w:t>وت</w:t>
      </w:r>
      <w:r w:rsidRPr="00C668C1">
        <w:rPr>
          <w:rFonts w:hint="cs"/>
          <w:rtl/>
        </w:rPr>
        <w:t>ُلقي</w:t>
      </w:r>
      <w:r w:rsidRPr="00C668C1">
        <w:rPr>
          <w:rtl/>
        </w:rPr>
        <w:t xml:space="preserve"> الاختصاصات</w:t>
      </w:r>
      <w:r w:rsidRPr="00C668C1">
        <w:rPr>
          <w:rFonts w:hint="cs"/>
          <w:rtl/>
        </w:rPr>
        <w:t xml:space="preserve"> المعتمدة</w:t>
      </w:r>
      <w:r w:rsidRPr="00C668C1">
        <w:rPr>
          <w:rtl/>
        </w:rPr>
        <w:t xml:space="preserve"> الضوء على </w:t>
      </w:r>
      <w:r w:rsidRPr="00C668C1">
        <w:rPr>
          <w:rFonts w:hint="cs"/>
          <w:rtl/>
        </w:rPr>
        <w:t>الفئات الرئيسية المتشاوَر معها بوصفها</w:t>
      </w:r>
      <w:r w:rsidRPr="00C668C1">
        <w:rPr>
          <w:rtl/>
        </w:rPr>
        <w:t xml:space="preserve"> الأمانة الداخلية للاتحاد (الأمانة العامة والمكاتب </w:t>
      </w:r>
      <w:proofErr w:type="spellStart"/>
      <w:r w:rsidRPr="00C668C1">
        <w:rPr>
          <w:rtl/>
        </w:rPr>
        <w:t>والمكاتب</w:t>
      </w:r>
      <w:proofErr w:type="spellEnd"/>
      <w:r w:rsidRPr="00C668C1">
        <w:rPr>
          <w:rtl/>
        </w:rPr>
        <w:t xml:space="preserve"> الإقليمية/مكاتب المناطق)</w:t>
      </w:r>
      <w:r w:rsidRPr="00C668C1">
        <w:rPr>
          <w:rFonts w:hint="cs"/>
          <w:rtl/>
        </w:rPr>
        <w:t>،</w:t>
      </w:r>
      <w:r w:rsidRPr="00C668C1">
        <w:rPr>
          <w:rtl/>
        </w:rPr>
        <w:t xml:space="preserve"> والدول الأعضاء</w:t>
      </w:r>
      <w:r w:rsidRPr="00C668C1">
        <w:rPr>
          <w:rFonts w:hint="cs"/>
          <w:rtl/>
        </w:rPr>
        <w:t>،</w:t>
      </w:r>
      <w:r w:rsidRPr="00C668C1">
        <w:rPr>
          <w:rtl/>
        </w:rPr>
        <w:t xml:space="preserve"> والمنظمات الإقليمية للاتصالات</w:t>
      </w:r>
      <w:r w:rsidRPr="00C668C1">
        <w:rPr>
          <w:rFonts w:hint="cs"/>
          <w:rtl/>
        </w:rPr>
        <w:t>،</w:t>
      </w:r>
      <w:r w:rsidRPr="00C668C1">
        <w:rPr>
          <w:rtl/>
        </w:rPr>
        <w:t xml:space="preserve"> وأعضاء القطاعات</w:t>
      </w:r>
      <w:r w:rsidRPr="00C668C1">
        <w:rPr>
          <w:rFonts w:hint="cs"/>
          <w:rtl/>
        </w:rPr>
        <w:t>،</w:t>
      </w:r>
      <w:r w:rsidRPr="00C668C1">
        <w:rPr>
          <w:rtl/>
        </w:rPr>
        <w:t xml:space="preserve"> </w:t>
      </w:r>
      <w:r w:rsidRPr="00C668C1">
        <w:rPr>
          <w:rFonts w:hint="cs"/>
          <w:rtl/>
        </w:rPr>
        <w:t>و</w:t>
      </w:r>
      <w:r w:rsidRPr="00C668C1">
        <w:rPr>
          <w:rtl/>
        </w:rPr>
        <w:t>الهيئات الأكاديمية.</w:t>
      </w:r>
    </w:p>
    <w:p w14:paraId="4EF45EC6" w14:textId="77777777" w:rsidR="00570598" w:rsidRPr="00C668C1" w:rsidRDefault="00570598" w:rsidP="00C668C1">
      <w:r w:rsidRPr="00C668C1">
        <w:rPr>
          <w:rtl/>
        </w:rPr>
        <w:t xml:space="preserve">وستشمل أدوات التشاور </w:t>
      </w:r>
      <w:r w:rsidRPr="00C668C1">
        <w:rPr>
          <w:rFonts w:hint="cs"/>
          <w:rtl/>
        </w:rPr>
        <w:t>وآلياتها الاستقصاءات</w:t>
      </w:r>
      <w:r w:rsidRPr="00C668C1">
        <w:rPr>
          <w:rtl/>
        </w:rPr>
        <w:t xml:space="preserve"> عبر الإنترنت، و</w:t>
      </w:r>
      <w:r w:rsidRPr="00C668C1">
        <w:rPr>
          <w:rFonts w:hint="cs"/>
          <w:rtl/>
        </w:rPr>
        <w:t>ال</w:t>
      </w:r>
      <w:r w:rsidRPr="00C668C1">
        <w:rPr>
          <w:rtl/>
        </w:rPr>
        <w:t xml:space="preserve">مقابلات شبه </w:t>
      </w:r>
      <w:r w:rsidRPr="00C668C1">
        <w:rPr>
          <w:rFonts w:hint="cs"/>
          <w:rtl/>
        </w:rPr>
        <w:t>ال</w:t>
      </w:r>
      <w:r w:rsidRPr="00C668C1">
        <w:rPr>
          <w:rtl/>
        </w:rPr>
        <w:t xml:space="preserve">منظمة، </w:t>
      </w:r>
      <w:r w:rsidRPr="00C668C1">
        <w:rPr>
          <w:rFonts w:hint="cs"/>
          <w:rtl/>
        </w:rPr>
        <w:t xml:space="preserve">وورش العمل الموجهة إلى </w:t>
      </w:r>
      <w:r w:rsidRPr="00C668C1">
        <w:rPr>
          <w:rtl/>
        </w:rPr>
        <w:t>أصحاب المصلحة، و</w:t>
      </w:r>
      <w:r w:rsidRPr="00C668C1">
        <w:rPr>
          <w:rFonts w:hint="cs"/>
          <w:rtl/>
        </w:rPr>
        <w:t>ال</w:t>
      </w:r>
      <w:r w:rsidRPr="00C668C1">
        <w:rPr>
          <w:rtl/>
        </w:rPr>
        <w:t xml:space="preserve">مشاركة </w:t>
      </w:r>
      <w:r w:rsidRPr="00C668C1">
        <w:rPr>
          <w:rFonts w:hint="cs"/>
          <w:rtl/>
        </w:rPr>
        <w:t>ال</w:t>
      </w:r>
      <w:r w:rsidRPr="00C668C1">
        <w:rPr>
          <w:rtl/>
        </w:rPr>
        <w:t xml:space="preserve">افتراضية </w:t>
      </w:r>
      <w:r w:rsidRPr="00C668C1">
        <w:rPr>
          <w:rFonts w:hint="cs"/>
          <w:rtl/>
        </w:rPr>
        <w:t>ال</w:t>
      </w:r>
      <w:r w:rsidRPr="00C668C1">
        <w:rPr>
          <w:rtl/>
        </w:rPr>
        <w:t>تفاعلية.</w:t>
      </w:r>
    </w:p>
    <w:p w14:paraId="0FE4C459" w14:textId="77777777" w:rsidR="00570598" w:rsidRPr="00C668C1" w:rsidRDefault="00570598" w:rsidP="00C668C1">
      <w:pPr>
        <w:rPr>
          <w:rtl/>
        </w:rPr>
      </w:pPr>
      <w:r w:rsidRPr="00C668C1">
        <w:rPr>
          <w:rtl/>
        </w:rPr>
        <w:t xml:space="preserve">ويسلط الجدول أدناه الضوء على قائمة أولية غير حصرية بالأحداث التي يمكن أن يشارك فيها أصحاب المصلحة </w:t>
      </w:r>
      <w:r w:rsidRPr="00C668C1">
        <w:rPr>
          <w:rFonts w:hint="cs"/>
          <w:rtl/>
        </w:rPr>
        <w:t xml:space="preserve">في إطار </w:t>
      </w:r>
      <w:r w:rsidRPr="00C668C1">
        <w:rPr>
          <w:rtl/>
        </w:rPr>
        <w:t xml:space="preserve">عملية التشاور. </w:t>
      </w:r>
      <w:r w:rsidRPr="00C668C1">
        <w:rPr>
          <w:rFonts w:hint="cs"/>
          <w:rtl/>
        </w:rPr>
        <w:t>وتتيح هذه الأحداث فرصاً</w:t>
      </w:r>
      <w:r w:rsidRPr="00C668C1">
        <w:rPr>
          <w:rtl/>
        </w:rPr>
        <w:t xml:space="preserve"> لجمع المدخلات </w:t>
      </w:r>
      <w:r w:rsidRPr="00C668C1">
        <w:rPr>
          <w:rFonts w:hint="cs"/>
          <w:rtl/>
        </w:rPr>
        <w:t>وإثبات</w:t>
      </w:r>
      <w:r w:rsidRPr="00C668C1">
        <w:rPr>
          <w:rtl/>
        </w:rPr>
        <w:t xml:space="preserve"> صحة النتائج وضمان انعكاس وجهات النظر المتنوعة في ال</w:t>
      </w:r>
      <w:r w:rsidRPr="00C668C1">
        <w:rPr>
          <w:rFonts w:hint="cs"/>
          <w:rtl/>
        </w:rPr>
        <w:t>استعراض</w:t>
      </w:r>
      <w:r w:rsidRPr="00C668C1">
        <w:rPr>
          <w:rtl/>
        </w:rPr>
        <w:t xml:space="preserve">. </w:t>
      </w:r>
      <w:r w:rsidRPr="00C668C1">
        <w:rPr>
          <w:rFonts w:hint="cs"/>
          <w:rtl/>
        </w:rPr>
        <w:t>وسيُختار المشاركون</w:t>
      </w:r>
      <w:r w:rsidRPr="00C668C1">
        <w:rPr>
          <w:rtl/>
        </w:rPr>
        <w:t xml:space="preserve"> في </w:t>
      </w:r>
      <w:r w:rsidRPr="00C668C1">
        <w:rPr>
          <w:rFonts w:hint="cs"/>
          <w:rtl/>
        </w:rPr>
        <w:t>ال</w:t>
      </w:r>
      <w:r w:rsidRPr="00C668C1">
        <w:rPr>
          <w:rtl/>
        </w:rPr>
        <w:t>مشاورات</w:t>
      </w:r>
      <w:r w:rsidRPr="00C668C1">
        <w:rPr>
          <w:rFonts w:hint="cs"/>
          <w:rtl/>
        </w:rPr>
        <w:t xml:space="preserve"> مع</w:t>
      </w:r>
      <w:r w:rsidRPr="00C668C1">
        <w:rPr>
          <w:rtl/>
        </w:rPr>
        <w:t xml:space="preserve"> أصحاب المصلحة بعناية </w:t>
      </w:r>
      <w:r w:rsidRPr="00C668C1">
        <w:rPr>
          <w:rFonts w:hint="cs"/>
          <w:rtl/>
        </w:rPr>
        <w:t>لضمان ملاءمتهم لطبيعة الدراسة وصلتهم بها.</w:t>
      </w:r>
    </w:p>
    <w:tbl>
      <w:tblPr>
        <w:tblStyle w:val="TableGrid"/>
        <w:bidiVisual/>
        <w:tblW w:w="0" w:type="auto"/>
        <w:tblLook w:val="04A0" w:firstRow="1" w:lastRow="0" w:firstColumn="1" w:lastColumn="0" w:noHBand="0" w:noVBand="1"/>
      </w:tblPr>
      <w:tblGrid>
        <w:gridCol w:w="2425"/>
        <w:gridCol w:w="2039"/>
        <w:gridCol w:w="2757"/>
        <w:gridCol w:w="1840"/>
      </w:tblGrid>
      <w:tr w:rsidR="00570598" w14:paraId="0A1F5FB3" w14:textId="77777777" w:rsidTr="00C40727">
        <w:tc>
          <w:tcPr>
            <w:tcW w:w="2425" w:type="dxa"/>
          </w:tcPr>
          <w:p w14:paraId="564D4BD1" w14:textId="77777777" w:rsidR="00570598" w:rsidRDefault="00570598" w:rsidP="0077792F">
            <w:pPr>
              <w:pStyle w:val="Tablehead"/>
            </w:pPr>
            <w:r>
              <w:rPr>
                <w:rFonts w:hint="cs"/>
                <w:rtl/>
              </w:rPr>
              <w:t>الموعد</w:t>
            </w:r>
          </w:p>
        </w:tc>
        <w:tc>
          <w:tcPr>
            <w:tcW w:w="2039" w:type="dxa"/>
          </w:tcPr>
          <w:p w14:paraId="6E6287AF" w14:textId="77777777" w:rsidR="00570598" w:rsidRDefault="00570598" w:rsidP="0077792F">
            <w:pPr>
              <w:pStyle w:val="Tablehead"/>
            </w:pPr>
            <w:r>
              <w:rPr>
                <w:rFonts w:hint="cs"/>
                <w:rtl/>
              </w:rPr>
              <w:t>ال</w:t>
            </w:r>
            <w:r w:rsidRPr="00814507">
              <w:rPr>
                <w:rtl/>
              </w:rPr>
              <w:t>قطاع</w:t>
            </w:r>
          </w:p>
        </w:tc>
        <w:tc>
          <w:tcPr>
            <w:tcW w:w="2757" w:type="dxa"/>
          </w:tcPr>
          <w:p w14:paraId="54FC40F4" w14:textId="77777777" w:rsidR="00570598" w:rsidRDefault="00570598" w:rsidP="0077792F">
            <w:pPr>
              <w:pStyle w:val="Tablehead"/>
            </w:pPr>
            <w:r>
              <w:rPr>
                <w:rFonts w:hint="cs"/>
                <w:rtl/>
              </w:rPr>
              <w:t>العنوان</w:t>
            </w:r>
          </w:p>
        </w:tc>
        <w:tc>
          <w:tcPr>
            <w:tcW w:w="1840" w:type="dxa"/>
          </w:tcPr>
          <w:p w14:paraId="6C54BE8F" w14:textId="77777777" w:rsidR="00570598" w:rsidRDefault="00570598" w:rsidP="0077792F">
            <w:pPr>
              <w:pStyle w:val="Tablehead"/>
            </w:pPr>
            <w:r>
              <w:rPr>
                <w:rFonts w:hint="cs"/>
                <w:rtl/>
              </w:rPr>
              <w:t>ال</w:t>
            </w:r>
            <w:r w:rsidRPr="00814507">
              <w:rPr>
                <w:rtl/>
              </w:rPr>
              <w:t>مكان</w:t>
            </w:r>
          </w:p>
        </w:tc>
      </w:tr>
      <w:tr w:rsidR="00570598" w14:paraId="640A4A2B" w14:textId="77777777" w:rsidTr="00C40727">
        <w:tc>
          <w:tcPr>
            <w:tcW w:w="2425" w:type="dxa"/>
          </w:tcPr>
          <w:p w14:paraId="70A7114B" w14:textId="77777777" w:rsidR="00570598" w:rsidRDefault="00570598" w:rsidP="0077792F">
            <w:pPr>
              <w:pStyle w:val="Tabletexte"/>
              <w:jc w:val="left"/>
            </w:pPr>
            <w:r w:rsidRPr="000B04B1">
              <w:rPr>
                <w:rtl/>
              </w:rPr>
              <w:t>22-23 سبتمبر 2025</w:t>
            </w:r>
          </w:p>
        </w:tc>
        <w:tc>
          <w:tcPr>
            <w:tcW w:w="2039" w:type="dxa"/>
          </w:tcPr>
          <w:p w14:paraId="544F5E16" w14:textId="77777777" w:rsidR="00570598" w:rsidRDefault="00570598" w:rsidP="0077792F">
            <w:pPr>
              <w:pStyle w:val="Tabletexte"/>
              <w:jc w:val="center"/>
            </w:pPr>
            <w:r w:rsidRPr="00814507">
              <w:rPr>
                <w:rtl/>
              </w:rPr>
              <w:t>قطاع تنمية الاتصالات</w:t>
            </w:r>
            <w:r>
              <w:rPr>
                <w:rFonts w:hint="cs"/>
                <w:rtl/>
              </w:rPr>
              <w:t xml:space="preserve"> بالاتحاد</w:t>
            </w:r>
          </w:p>
        </w:tc>
        <w:tc>
          <w:tcPr>
            <w:tcW w:w="2757" w:type="dxa"/>
          </w:tcPr>
          <w:p w14:paraId="03D944F1" w14:textId="77777777" w:rsidR="00570598" w:rsidRDefault="00570598" w:rsidP="0077792F">
            <w:pPr>
              <w:pStyle w:val="Tabletexte"/>
              <w:jc w:val="left"/>
            </w:pPr>
            <w:r w:rsidRPr="000B04B1">
              <w:rPr>
                <w:rtl/>
              </w:rPr>
              <w:t>الندوة العالمية</w:t>
            </w:r>
            <w:r>
              <w:rPr>
                <w:rFonts w:hint="cs"/>
                <w:rtl/>
              </w:rPr>
              <w:t xml:space="preserve"> العشرون</w:t>
            </w:r>
            <w:r w:rsidRPr="000B04B1">
              <w:rPr>
                <w:rtl/>
              </w:rPr>
              <w:t xml:space="preserve"> لمؤشرات الاتصالات/تكنولوجيا المعلومات والاتصالات</w:t>
            </w:r>
          </w:p>
        </w:tc>
        <w:tc>
          <w:tcPr>
            <w:tcW w:w="1840" w:type="dxa"/>
          </w:tcPr>
          <w:p w14:paraId="413687F3" w14:textId="77777777" w:rsidR="00570598" w:rsidRDefault="00570598" w:rsidP="0077792F">
            <w:pPr>
              <w:pStyle w:val="Tabletexte"/>
            </w:pPr>
            <w:r w:rsidRPr="000B04B1">
              <w:rPr>
                <w:rtl/>
              </w:rPr>
              <w:t>جنيف، سويسرا</w:t>
            </w:r>
          </w:p>
        </w:tc>
      </w:tr>
      <w:tr w:rsidR="00570598" w14:paraId="354E65D8" w14:textId="77777777" w:rsidTr="00C40727">
        <w:tc>
          <w:tcPr>
            <w:tcW w:w="2425" w:type="dxa"/>
          </w:tcPr>
          <w:p w14:paraId="79CC4C1A" w14:textId="77777777" w:rsidR="00570598" w:rsidRDefault="00570598" w:rsidP="0077792F">
            <w:pPr>
              <w:pStyle w:val="Tabletexte"/>
              <w:jc w:val="left"/>
            </w:pPr>
            <w:r w:rsidRPr="000B04B1">
              <w:rPr>
                <w:rtl/>
              </w:rPr>
              <w:t>17-28 نوفمبر 2025</w:t>
            </w:r>
          </w:p>
        </w:tc>
        <w:tc>
          <w:tcPr>
            <w:tcW w:w="2039" w:type="dxa"/>
          </w:tcPr>
          <w:p w14:paraId="2D9084A5" w14:textId="77777777" w:rsidR="00570598" w:rsidRDefault="00570598" w:rsidP="0077792F">
            <w:pPr>
              <w:pStyle w:val="Tabletexte"/>
              <w:jc w:val="center"/>
            </w:pPr>
            <w:r w:rsidRPr="00814507">
              <w:rPr>
                <w:rtl/>
              </w:rPr>
              <w:t>قطاع تنمية الاتصالات</w:t>
            </w:r>
            <w:r>
              <w:rPr>
                <w:rFonts w:hint="cs"/>
                <w:rtl/>
              </w:rPr>
              <w:t xml:space="preserve"> بالاتحاد</w:t>
            </w:r>
          </w:p>
        </w:tc>
        <w:tc>
          <w:tcPr>
            <w:tcW w:w="2757" w:type="dxa"/>
          </w:tcPr>
          <w:p w14:paraId="1C3D89E2" w14:textId="77777777" w:rsidR="00570598" w:rsidRDefault="00570598" w:rsidP="0077792F">
            <w:pPr>
              <w:pStyle w:val="Tabletexte"/>
              <w:jc w:val="left"/>
            </w:pPr>
            <w:r w:rsidRPr="000B04B1">
              <w:rPr>
                <w:rtl/>
              </w:rPr>
              <w:t>المؤتمر العالمي لتنمية الاتصالات</w:t>
            </w:r>
            <w:r>
              <w:rPr>
                <w:rFonts w:hint="cs"/>
                <w:rtl/>
              </w:rPr>
              <w:t xml:space="preserve"> لعام</w:t>
            </w:r>
            <w:r w:rsidRPr="000B04B1">
              <w:rPr>
                <w:rtl/>
              </w:rPr>
              <w:t xml:space="preserve"> 2025</w:t>
            </w:r>
          </w:p>
        </w:tc>
        <w:tc>
          <w:tcPr>
            <w:tcW w:w="1840" w:type="dxa"/>
          </w:tcPr>
          <w:p w14:paraId="7FDF51B4" w14:textId="77777777" w:rsidR="00570598" w:rsidRDefault="00570598" w:rsidP="0077792F">
            <w:pPr>
              <w:pStyle w:val="Tabletexte"/>
            </w:pPr>
            <w:r w:rsidRPr="00814507">
              <w:rPr>
                <w:rtl/>
              </w:rPr>
              <w:t>باكو، أذربيجان</w:t>
            </w:r>
          </w:p>
        </w:tc>
      </w:tr>
      <w:tr w:rsidR="00570598" w14:paraId="503ACA07" w14:textId="77777777" w:rsidTr="00C40727">
        <w:tc>
          <w:tcPr>
            <w:tcW w:w="2425" w:type="dxa"/>
          </w:tcPr>
          <w:p w14:paraId="1BA5E843" w14:textId="1DFAEDAB" w:rsidR="00570598" w:rsidRDefault="0077792F" w:rsidP="0077792F">
            <w:pPr>
              <w:pStyle w:val="Tabletexte"/>
              <w:jc w:val="left"/>
            </w:pPr>
            <w:r>
              <w:rPr>
                <w:rFonts w:hint="cs"/>
                <w:rtl/>
              </w:rPr>
              <w:t xml:space="preserve">26-30 </w:t>
            </w:r>
            <w:r w:rsidR="00570598" w:rsidRPr="00814507">
              <w:rPr>
                <w:rtl/>
              </w:rPr>
              <w:t xml:space="preserve">يناير 2026 </w:t>
            </w:r>
            <w:r w:rsidR="00C40727">
              <w:rPr>
                <w:rtl/>
              </w:rPr>
              <w:br/>
            </w:r>
            <w:r w:rsidR="00570598" w:rsidRPr="00814507">
              <w:rPr>
                <w:rtl/>
              </w:rPr>
              <w:t>[</w:t>
            </w:r>
            <w:r w:rsidR="00570598">
              <w:rPr>
                <w:rFonts w:hint="cs"/>
                <w:rtl/>
              </w:rPr>
              <w:t>س</w:t>
            </w:r>
            <w:r w:rsidR="00570598" w:rsidRPr="00814507">
              <w:rPr>
                <w:rtl/>
              </w:rPr>
              <w:t>يؤكد لاحقا</w:t>
            </w:r>
            <w:r w:rsidR="00570598">
              <w:rPr>
                <w:rFonts w:hint="cs"/>
                <w:rtl/>
              </w:rPr>
              <w:t>ً</w:t>
            </w:r>
            <w:r w:rsidR="00570598" w:rsidRPr="00814507">
              <w:rPr>
                <w:rtl/>
              </w:rPr>
              <w:t>]</w:t>
            </w:r>
          </w:p>
        </w:tc>
        <w:tc>
          <w:tcPr>
            <w:tcW w:w="2039" w:type="dxa"/>
          </w:tcPr>
          <w:p w14:paraId="46CC0F2E" w14:textId="77777777" w:rsidR="00570598" w:rsidRDefault="00570598" w:rsidP="0077792F">
            <w:pPr>
              <w:pStyle w:val="Tabletexte"/>
              <w:jc w:val="center"/>
            </w:pPr>
            <w:r w:rsidRPr="00814507">
              <w:rPr>
                <w:rtl/>
              </w:rPr>
              <w:t>قطاع تقييس الاتصالات</w:t>
            </w:r>
            <w:r>
              <w:rPr>
                <w:rFonts w:hint="cs"/>
                <w:rtl/>
              </w:rPr>
              <w:t xml:space="preserve"> بالاتحاد</w:t>
            </w:r>
          </w:p>
        </w:tc>
        <w:tc>
          <w:tcPr>
            <w:tcW w:w="2757" w:type="dxa"/>
          </w:tcPr>
          <w:p w14:paraId="1D6F446F" w14:textId="77777777" w:rsidR="00570598" w:rsidRDefault="00570598" w:rsidP="0077792F">
            <w:pPr>
              <w:pStyle w:val="Tabletexte"/>
              <w:jc w:val="left"/>
            </w:pPr>
            <w:r w:rsidRPr="00814507">
              <w:rPr>
                <w:rtl/>
              </w:rPr>
              <w:t>الفريق الاستشاري لمعايير الاتصالات</w:t>
            </w:r>
          </w:p>
        </w:tc>
        <w:tc>
          <w:tcPr>
            <w:tcW w:w="1840" w:type="dxa"/>
          </w:tcPr>
          <w:p w14:paraId="50A11F4E" w14:textId="77777777" w:rsidR="00570598" w:rsidRDefault="00570598" w:rsidP="0077792F">
            <w:pPr>
              <w:pStyle w:val="Tabletexte"/>
            </w:pPr>
            <w:r>
              <w:rPr>
                <w:rFonts w:hint="cs"/>
                <w:rtl/>
              </w:rPr>
              <w:t>س</w:t>
            </w:r>
            <w:r w:rsidRPr="00814507">
              <w:rPr>
                <w:rtl/>
              </w:rPr>
              <w:t>يؤكد لاحقا</w:t>
            </w:r>
            <w:r>
              <w:rPr>
                <w:rFonts w:hint="cs"/>
                <w:rtl/>
              </w:rPr>
              <w:t>ً</w:t>
            </w:r>
          </w:p>
        </w:tc>
      </w:tr>
      <w:tr w:rsidR="00570598" w14:paraId="418E637C" w14:textId="77777777" w:rsidTr="00C40727">
        <w:tc>
          <w:tcPr>
            <w:tcW w:w="2425" w:type="dxa"/>
          </w:tcPr>
          <w:p w14:paraId="7A654E73" w14:textId="77777777" w:rsidR="00570598" w:rsidRDefault="00570598" w:rsidP="0077792F">
            <w:pPr>
              <w:pStyle w:val="Tabletexte"/>
              <w:jc w:val="left"/>
            </w:pPr>
            <w:r w:rsidRPr="000B04B1">
              <w:rPr>
                <w:rtl/>
              </w:rPr>
              <w:t>30 مارس - 1 أبريل 2026</w:t>
            </w:r>
          </w:p>
        </w:tc>
        <w:tc>
          <w:tcPr>
            <w:tcW w:w="2039" w:type="dxa"/>
          </w:tcPr>
          <w:p w14:paraId="1B7F7ECD" w14:textId="77777777" w:rsidR="00570598" w:rsidRDefault="00570598" w:rsidP="0077792F">
            <w:pPr>
              <w:pStyle w:val="Tabletexte"/>
              <w:jc w:val="center"/>
            </w:pPr>
            <w:r w:rsidRPr="00814507">
              <w:rPr>
                <w:rtl/>
              </w:rPr>
              <w:t>قطاع الاتصالات الراديوية</w:t>
            </w:r>
            <w:r>
              <w:rPr>
                <w:rFonts w:hint="cs"/>
                <w:rtl/>
              </w:rPr>
              <w:t xml:space="preserve"> بالاتحاد</w:t>
            </w:r>
          </w:p>
        </w:tc>
        <w:tc>
          <w:tcPr>
            <w:tcW w:w="2757" w:type="dxa"/>
          </w:tcPr>
          <w:p w14:paraId="05303D0B" w14:textId="77777777" w:rsidR="00570598" w:rsidRDefault="00570598" w:rsidP="0077792F">
            <w:pPr>
              <w:pStyle w:val="Tabletexte"/>
              <w:jc w:val="left"/>
            </w:pPr>
            <w:r w:rsidRPr="000B04B1">
              <w:rPr>
                <w:rtl/>
              </w:rPr>
              <w:t>الفريق الاستشاري للاتصالات الراديوية</w:t>
            </w:r>
          </w:p>
        </w:tc>
        <w:tc>
          <w:tcPr>
            <w:tcW w:w="1840" w:type="dxa"/>
          </w:tcPr>
          <w:p w14:paraId="26A275D0" w14:textId="77777777" w:rsidR="00570598" w:rsidRDefault="00570598" w:rsidP="0077792F">
            <w:pPr>
              <w:pStyle w:val="Tabletexte"/>
            </w:pPr>
            <w:r w:rsidRPr="000B04B1">
              <w:rPr>
                <w:rtl/>
              </w:rPr>
              <w:t>جنيف، سويسرا</w:t>
            </w:r>
          </w:p>
        </w:tc>
      </w:tr>
      <w:tr w:rsidR="00570598" w14:paraId="6FDE3BF5" w14:textId="77777777" w:rsidTr="00C40727">
        <w:tc>
          <w:tcPr>
            <w:tcW w:w="2425" w:type="dxa"/>
          </w:tcPr>
          <w:p w14:paraId="0E8B6B5C" w14:textId="28F7FBE8" w:rsidR="00570598" w:rsidRPr="000B04B1" w:rsidRDefault="00570598" w:rsidP="0077792F">
            <w:pPr>
              <w:pStyle w:val="Tabletexte"/>
              <w:jc w:val="left"/>
            </w:pPr>
            <w:r>
              <w:rPr>
                <w:rtl/>
              </w:rPr>
              <w:t>مختلف</w:t>
            </w:r>
          </w:p>
        </w:tc>
        <w:tc>
          <w:tcPr>
            <w:tcW w:w="2039" w:type="dxa"/>
          </w:tcPr>
          <w:p w14:paraId="15A25DB3" w14:textId="77777777" w:rsidR="00570598" w:rsidRPr="00814507" w:rsidRDefault="00570598" w:rsidP="0077792F">
            <w:pPr>
              <w:pStyle w:val="Tabletexte"/>
              <w:jc w:val="center"/>
            </w:pPr>
            <w:r w:rsidRPr="00814507">
              <w:rPr>
                <w:rtl/>
              </w:rPr>
              <w:t>قطاع تنمية الاتصالات</w:t>
            </w:r>
            <w:r>
              <w:rPr>
                <w:rFonts w:hint="cs"/>
                <w:rtl/>
              </w:rPr>
              <w:t xml:space="preserve"> بالاتحاد</w:t>
            </w:r>
          </w:p>
        </w:tc>
        <w:tc>
          <w:tcPr>
            <w:tcW w:w="2757" w:type="dxa"/>
          </w:tcPr>
          <w:p w14:paraId="10F15520" w14:textId="77777777" w:rsidR="00570598" w:rsidRPr="000B04B1" w:rsidRDefault="00570598" w:rsidP="0077792F">
            <w:pPr>
              <w:pStyle w:val="Tabletexte"/>
              <w:jc w:val="left"/>
            </w:pPr>
            <w:r>
              <w:rPr>
                <w:rtl/>
              </w:rPr>
              <w:t>اجتماعات المنظمات الإقليمية للاتصالات</w:t>
            </w:r>
          </w:p>
        </w:tc>
        <w:tc>
          <w:tcPr>
            <w:tcW w:w="1840" w:type="dxa"/>
          </w:tcPr>
          <w:p w14:paraId="155B6FD7" w14:textId="77777777" w:rsidR="00570598" w:rsidRPr="000B04B1" w:rsidRDefault="00570598" w:rsidP="0077792F">
            <w:pPr>
              <w:pStyle w:val="Tabletexte"/>
            </w:pPr>
            <w:r>
              <w:rPr>
                <w:rtl/>
              </w:rPr>
              <w:t xml:space="preserve">مختلف </w:t>
            </w:r>
          </w:p>
        </w:tc>
      </w:tr>
    </w:tbl>
    <w:p w14:paraId="461236C4" w14:textId="77777777" w:rsidR="00570598" w:rsidRPr="00C668C1" w:rsidRDefault="00570598" w:rsidP="00C668C1">
      <w:pPr>
        <w:pStyle w:val="Heading1"/>
      </w:pPr>
      <w:r w:rsidRPr="00C668C1">
        <w:rPr>
          <w:rtl/>
        </w:rPr>
        <w:t>5</w:t>
      </w:r>
      <w:r w:rsidRPr="00C668C1">
        <w:rPr>
          <w:rtl/>
        </w:rPr>
        <w:tab/>
        <w:t>عمليات صنع القرار</w:t>
      </w:r>
    </w:p>
    <w:p w14:paraId="43CBC549" w14:textId="24C43004" w:rsidR="00570598" w:rsidRPr="00B50AF5" w:rsidRDefault="00570598" w:rsidP="00C668C1">
      <w:pPr>
        <w:rPr>
          <w:lang w:val="en-GB"/>
        </w:rPr>
      </w:pPr>
      <w:r w:rsidRPr="00D14587">
        <w:rPr>
          <w:rtl/>
        </w:rPr>
        <w:t>ستُضمَّن عملية الاستعراض في إطار الإدارة الحالي للاتحاد لضمان</w:t>
      </w:r>
      <w:r>
        <w:rPr>
          <w:rFonts w:hint="cs"/>
          <w:rtl/>
        </w:rPr>
        <w:t xml:space="preserve"> تحقق</w:t>
      </w:r>
      <w:r w:rsidRPr="00D14587">
        <w:rPr>
          <w:rtl/>
        </w:rPr>
        <w:t xml:space="preserve"> الشفافية والمساءلة والملكية المؤسسية. </w:t>
      </w:r>
      <w:r>
        <w:rPr>
          <w:rFonts w:hint="cs"/>
          <w:rtl/>
        </w:rPr>
        <w:t>وسيتخذ ذلك الشكلين التاليين</w:t>
      </w:r>
      <w:r w:rsidRPr="00D14587">
        <w:rPr>
          <w:rtl/>
        </w:rPr>
        <w:t>:</w:t>
      </w:r>
    </w:p>
    <w:p w14:paraId="7B5C5151" w14:textId="77777777" w:rsidR="00570598" w:rsidRPr="00C668C1" w:rsidRDefault="00570598" w:rsidP="00C668C1">
      <w:pPr>
        <w:pStyle w:val="enumlev1"/>
      </w:pPr>
      <w:r w:rsidRPr="00C668C1">
        <w:rPr>
          <w:rtl/>
        </w:rPr>
        <w:t>–</w:t>
      </w:r>
      <w:r w:rsidRPr="00C668C1">
        <w:rPr>
          <w:rtl/>
        </w:rPr>
        <w:tab/>
        <w:t xml:space="preserve">الرقابة الداخلية </w:t>
      </w:r>
      <w:r w:rsidRPr="00C668C1">
        <w:rPr>
          <w:rFonts w:hint="cs"/>
          <w:rtl/>
        </w:rPr>
        <w:t xml:space="preserve">عن طريق </w:t>
      </w:r>
      <w:r w:rsidRPr="00C668C1">
        <w:rPr>
          <w:rtl/>
        </w:rPr>
        <w:t>فرقة ال</w:t>
      </w:r>
      <w:r w:rsidRPr="00C668C1">
        <w:rPr>
          <w:rFonts w:hint="cs"/>
          <w:rtl/>
        </w:rPr>
        <w:t>مهام</w:t>
      </w:r>
      <w:r w:rsidRPr="00C668C1">
        <w:rPr>
          <w:rtl/>
        </w:rPr>
        <w:t xml:space="preserve"> المشتركة بين القطاعات المعنية بالحضور الإقليمي، </w:t>
      </w:r>
      <w:r w:rsidRPr="00C668C1">
        <w:rPr>
          <w:rFonts w:hint="cs"/>
          <w:rtl/>
        </w:rPr>
        <w:t>ورفع</w:t>
      </w:r>
      <w:r w:rsidRPr="00C668C1">
        <w:rPr>
          <w:rtl/>
        </w:rPr>
        <w:t xml:space="preserve"> تقارير إلى لجنة التنسيق، حسب الاقتضاء.</w:t>
      </w:r>
    </w:p>
    <w:p w14:paraId="1FA87B6D" w14:textId="77777777" w:rsidR="00570598" w:rsidRPr="00814507" w:rsidRDefault="00570598" w:rsidP="00C668C1">
      <w:pPr>
        <w:pStyle w:val="enumlev1"/>
      </w:pPr>
      <w:r w:rsidRPr="00C668C1">
        <w:rPr>
          <w:rtl/>
        </w:rPr>
        <w:t>–</w:t>
      </w:r>
      <w:r w:rsidRPr="00C668C1">
        <w:rPr>
          <w:rtl/>
        </w:rPr>
        <w:tab/>
        <w:t xml:space="preserve">إطلاع مجلس الاتحاد </w:t>
      </w:r>
      <w:r w:rsidRPr="00C668C1">
        <w:rPr>
          <w:rFonts w:hint="cs"/>
          <w:rtl/>
        </w:rPr>
        <w:t>وفريق العمل</w:t>
      </w:r>
      <w:r w:rsidRPr="00C668C1">
        <w:rPr>
          <w:rtl/>
        </w:rPr>
        <w:t xml:space="preserve"> المعني بالموارد المالية والبشرية</w:t>
      </w:r>
      <w:r w:rsidRPr="00C668C1">
        <w:rPr>
          <w:rFonts w:hint="cs"/>
          <w:rtl/>
        </w:rPr>
        <w:t xml:space="preserve"> التابع للمجلس، بانتظام، </w:t>
      </w:r>
      <w:r w:rsidRPr="00C668C1">
        <w:rPr>
          <w:rtl/>
        </w:rPr>
        <w:t>على التقدم المحرز و</w:t>
      </w:r>
      <w:r w:rsidRPr="00C668C1">
        <w:rPr>
          <w:rFonts w:hint="cs"/>
          <w:rtl/>
        </w:rPr>
        <w:t>المخرجات الناتجة</w:t>
      </w:r>
      <w:r w:rsidRPr="00C668C1">
        <w:rPr>
          <w:rtl/>
        </w:rPr>
        <w:t>.</w:t>
      </w:r>
    </w:p>
    <w:p w14:paraId="1D93C6C3" w14:textId="77777777" w:rsidR="00570598" w:rsidRPr="00AD4292" w:rsidRDefault="00570598" w:rsidP="00570598">
      <w:r w:rsidRPr="00AD4292">
        <w:rPr>
          <w:rtl/>
        </w:rPr>
        <w:t xml:space="preserve">ولتعزيز الشرعية وضمان إحساس الدول الأعضاء بالملكية، تقترح الأمانة إنشاء </w:t>
      </w:r>
      <w:r w:rsidRPr="00AD4292">
        <w:rPr>
          <w:b/>
          <w:bCs/>
          <w:rtl/>
        </w:rPr>
        <w:t>فريق استشاري للدول الأعضاء معني بالحضور الإقليمي</w:t>
      </w:r>
      <w:r>
        <w:rPr>
          <w:rFonts w:hint="cs"/>
          <w:rtl/>
        </w:rPr>
        <w:t>، من شأنه أن يضطلع بما يلي</w:t>
      </w:r>
      <w:r w:rsidRPr="00AD4292">
        <w:rPr>
          <w:rtl/>
        </w:rPr>
        <w:t>:</w:t>
      </w:r>
    </w:p>
    <w:p w14:paraId="493CE93A" w14:textId="77777777" w:rsidR="00570598" w:rsidRPr="00C668C1" w:rsidRDefault="00570598" w:rsidP="00C668C1">
      <w:pPr>
        <w:pStyle w:val="enumlev1"/>
      </w:pPr>
      <w:r w:rsidRPr="00C668C1">
        <w:rPr>
          <w:rtl/>
        </w:rPr>
        <w:t>–</w:t>
      </w:r>
      <w:r w:rsidRPr="00C668C1">
        <w:rPr>
          <w:rtl/>
        </w:rPr>
        <w:tab/>
      </w:r>
      <w:r w:rsidRPr="00C668C1">
        <w:rPr>
          <w:rFonts w:hint="cs"/>
          <w:rtl/>
        </w:rPr>
        <w:t>ممارسة</w:t>
      </w:r>
      <w:r w:rsidRPr="00C668C1">
        <w:rPr>
          <w:rtl/>
        </w:rPr>
        <w:t xml:space="preserve"> الإشراف والتوجيه الاستراتيجيين طوال </w:t>
      </w:r>
      <w:r w:rsidRPr="00C668C1">
        <w:rPr>
          <w:rFonts w:hint="cs"/>
          <w:rtl/>
        </w:rPr>
        <w:t>مدة الاستعراض.</w:t>
      </w:r>
    </w:p>
    <w:p w14:paraId="40CC2D5D" w14:textId="77777777" w:rsidR="00570598" w:rsidRPr="00C668C1" w:rsidRDefault="00570598" w:rsidP="00C668C1">
      <w:pPr>
        <w:pStyle w:val="enumlev1"/>
      </w:pPr>
      <w:r w:rsidRPr="00C668C1">
        <w:rPr>
          <w:rtl/>
        </w:rPr>
        <w:t>–</w:t>
      </w:r>
      <w:r w:rsidRPr="00C668C1">
        <w:rPr>
          <w:rtl/>
        </w:rPr>
        <w:tab/>
        <w:t xml:space="preserve">تقديم </w:t>
      </w:r>
      <w:r w:rsidRPr="00C668C1">
        <w:rPr>
          <w:rFonts w:hint="cs"/>
          <w:rtl/>
        </w:rPr>
        <w:t>تعقيبات</w:t>
      </w:r>
      <w:r w:rsidRPr="00C668C1">
        <w:rPr>
          <w:rtl/>
        </w:rPr>
        <w:t xml:space="preserve"> </w:t>
      </w:r>
      <w:r w:rsidRPr="00C668C1">
        <w:rPr>
          <w:rFonts w:hint="cs"/>
          <w:rtl/>
        </w:rPr>
        <w:t>على</w:t>
      </w:r>
      <w:r w:rsidRPr="00C668C1">
        <w:rPr>
          <w:rtl/>
        </w:rPr>
        <w:t xml:space="preserve"> النتائج الأولية.</w:t>
      </w:r>
    </w:p>
    <w:p w14:paraId="73F513B6" w14:textId="77777777" w:rsidR="00570598" w:rsidRPr="00C668C1" w:rsidRDefault="00570598" w:rsidP="00C668C1">
      <w:pPr>
        <w:pStyle w:val="enumlev1"/>
      </w:pPr>
      <w:r w:rsidRPr="00C668C1">
        <w:rPr>
          <w:rtl/>
        </w:rPr>
        <w:t>–</w:t>
      </w:r>
      <w:r w:rsidRPr="00C668C1">
        <w:rPr>
          <w:rtl/>
        </w:rPr>
        <w:tab/>
        <w:t xml:space="preserve">استعراض التوصيات المنبثقة عن الاستعراض </w:t>
      </w:r>
      <w:r w:rsidRPr="00C668C1">
        <w:rPr>
          <w:rFonts w:hint="cs"/>
          <w:rtl/>
        </w:rPr>
        <w:t>وإثبات موثوقيتها</w:t>
      </w:r>
      <w:r w:rsidRPr="00C668C1">
        <w:rPr>
          <w:rtl/>
        </w:rPr>
        <w:t xml:space="preserve"> قبل تقديمها إلى </w:t>
      </w:r>
      <w:r w:rsidRPr="00C668C1">
        <w:rPr>
          <w:rFonts w:hint="cs"/>
          <w:rtl/>
        </w:rPr>
        <w:t>هيئات الاتحاد الرئاسية.</w:t>
      </w:r>
    </w:p>
    <w:p w14:paraId="1C021F89" w14:textId="77777777" w:rsidR="00570598" w:rsidRPr="00C668C1" w:rsidRDefault="00570598" w:rsidP="00C668C1">
      <w:pPr>
        <w:pStyle w:val="Heading1"/>
      </w:pPr>
      <w:r w:rsidRPr="00C668C1">
        <w:rPr>
          <w:rtl/>
        </w:rPr>
        <w:lastRenderedPageBreak/>
        <w:t>6</w:t>
      </w:r>
      <w:r w:rsidRPr="00C668C1">
        <w:rPr>
          <w:rtl/>
        </w:rPr>
        <w:tab/>
      </w:r>
      <w:r w:rsidRPr="00C668C1">
        <w:rPr>
          <w:rFonts w:hint="cs"/>
          <w:rtl/>
        </w:rPr>
        <w:t>المتطلبات</w:t>
      </w:r>
      <w:r w:rsidRPr="00C668C1">
        <w:rPr>
          <w:rtl/>
        </w:rPr>
        <w:t xml:space="preserve"> من الموارد</w:t>
      </w:r>
    </w:p>
    <w:p w14:paraId="453C9F6E" w14:textId="1716AF8A" w:rsidR="00F50E3F" w:rsidRPr="00C668C1" w:rsidRDefault="00570598" w:rsidP="00C668C1">
      <w:pPr>
        <w:rPr>
          <w:rtl/>
        </w:rPr>
      </w:pPr>
      <w:r w:rsidRPr="00C668C1">
        <w:rPr>
          <w:rFonts w:hint="cs"/>
          <w:rtl/>
        </w:rPr>
        <w:t xml:space="preserve">تستلزم عملية الاستعراض المتينة، المدعومة جيداً، </w:t>
      </w:r>
      <w:r w:rsidRPr="00C668C1">
        <w:rPr>
          <w:rtl/>
        </w:rPr>
        <w:t>موارد مالية وبشرية</w:t>
      </w:r>
      <w:r w:rsidRPr="00C668C1">
        <w:rPr>
          <w:rFonts w:hint="cs"/>
          <w:rtl/>
        </w:rPr>
        <w:t>، على حد سواء، لضمان شمولها، وسلامتها منهجياً، وإمكانية تنفيذها تشغيلياً</w:t>
      </w:r>
      <w:r w:rsidRPr="00C668C1">
        <w:rPr>
          <w:rtl/>
        </w:rPr>
        <w:t xml:space="preserve">. </w:t>
      </w:r>
      <w:r w:rsidRPr="00C668C1">
        <w:rPr>
          <w:rFonts w:hint="cs"/>
          <w:rtl/>
        </w:rPr>
        <w:t>فلا غنى عن هذه الموارد</w:t>
      </w:r>
      <w:r w:rsidRPr="00C668C1">
        <w:rPr>
          <w:rtl/>
        </w:rPr>
        <w:t xml:space="preserve"> </w:t>
      </w:r>
      <w:r w:rsidRPr="00C668C1">
        <w:rPr>
          <w:rFonts w:hint="cs"/>
          <w:rtl/>
        </w:rPr>
        <w:t>لإتاحة إجراء تحليلات مستندة إلى أدلة،</w:t>
      </w:r>
      <w:r w:rsidRPr="00C668C1">
        <w:rPr>
          <w:rtl/>
        </w:rPr>
        <w:t xml:space="preserve"> </w:t>
      </w:r>
      <w:r w:rsidRPr="00C668C1">
        <w:rPr>
          <w:rFonts w:hint="cs"/>
          <w:rtl/>
        </w:rPr>
        <w:t xml:space="preserve">ومشاركة </w:t>
      </w:r>
      <w:r w:rsidRPr="00C668C1">
        <w:rPr>
          <w:rtl/>
        </w:rPr>
        <w:t>أصحاب المصلحة</w:t>
      </w:r>
      <w:r w:rsidRPr="00C668C1">
        <w:rPr>
          <w:rFonts w:hint="cs"/>
          <w:rtl/>
        </w:rPr>
        <w:t xml:space="preserve"> مشاركةً واسعة</w:t>
      </w:r>
      <w:r w:rsidRPr="00C668C1">
        <w:rPr>
          <w:rtl/>
        </w:rPr>
        <w:t xml:space="preserve">. وتشمل الموارد المتوخاة تعيين خبير استشاري </w:t>
      </w:r>
      <w:r w:rsidRPr="00C668C1">
        <w:rPr>
          <w:rFonts w:hint="cs"/>
          <w:rtl/>
        </w:rPr>
        <w:t xml:space="preserve">مؤقت </w:t>
      </w:r>
      <w:r w:rsidRPr="00C668C1">
        <w:rPr>
          <w:rtl/>
        </w:rPr>
        <w:t>لدعم فر</w:t>
      </w:r>
      <w:r w:rsidRPr="00C668C1">
        <w:rPr>
          <w:rFonts w:hint="cs"/>
          <w:rtl/>
        </w:rPr>
        <w:t xml:space="preserve">يق المهام </w:t>
      </w:r>
      <w:r w:rsidRPr="00C668C1">
        <w:rPr>
          <w:rtl/>
        </w:rPr>
        <w:t xml:space="preserve">في </w:t>
      </w:r>
      <w:r w:rsidRPr="00C668C1">
        <w:rPr>
          <w:rFonts w:hint="cs"/>
          <w:rtl/>
        </w:rPr>
        <w:t>إجراء الأبحاث وإدارة الاستقصاءات</w:t>
      </w:r>
      <w:r w:rsidRPr="00C668C1">
        <w:rPr>
          <w:rtl/>
        </w:rPr>
        <w:t xml:space="preserve"> وتجميع البيانات ومهام الصياغة، فضلا</w:t>
      </w:r>
      <w:r w:rsidRPr="00C668C1">
        <w:rPr>
          <w:rFonts w:hint="cs"/>
          <w:rtl/>
        </w:rPr>
        <w:t>ً</w:t>
      </w:r>
      <w:r w:rsidRPr="00C668C1">
        <w:rPr>
          <w:rtl/>
        </w:rPr>
        <w:t xml:space="preserve"> عن الموارد المالية</w:t>
      </w:r>
      <w:r w:rsidRPr="00C668C1">
        <w:rPr>
          <w:rFonts w:hint="cs"/>
          <w:rtl/>
        </w:rPr>
        <w:t xml:space="preserve"> اللازمة</w:t>
      </w:r>
      <w:r w:rsidRPr="00C668C1">
        <w:rPr>
          <w:rtl/>
        </w:rPr>
        <w:t xml:space="preserve"> لدعم عقد مشاورات مع أصحاب المصلحة. ولت</w:t>
      </w:r>
      <w:r w:rsidRPr="00C668C1">
        <w:rPr>
          <w:rFonts w:hint="cs"/>
          <w:rtl/>
        </w:rPr>
        <w:t>لبية</w:t>
      </w:r>
      <w:r w:rsidRPr="00C668C1">
        <w:rPr>
          <w:rtl/>
        </w:rPr>
        <w:t xml:space="preserve"> ال</w:t>
      </w:r>
      <w:r w:rsidRPr="00C668C1">
        <w:rPr>
          <w:rFonts w:hint="cs"/>
          <w:rtl/>
        </w:rPr>
        <w:t>متطلبات</w:t>
      </w:r>
      <w:r w:rsidRPr="00C668C1">
        <w:rPr>
          <w:rtl/>
        </w:rPr>
        <w:t xml:space="preserve"> من الموارد، ي</w:t>
      </w:r>
      <w:r w:rsidRPr="00C668C1">
        <w:rPr>
          <w:rFonts w:hint="cs"/>
          <w:rtl/>
        </w:rPr>
        <w:t>ُ</w:t>
      </w:r>
      <w:r w:rsidRPr="00C668C1">
        <w:rPr>
          <w:rtl/>
        </w:rPr>
        <w:t xml:space="preserve">قترح </w:t>
      </w:r>
      <w:r w:rsidRPr="00C668C1">
        <w:rPr>
          <w:rFonts w:hint="cs"/>
          <w:rtl/>
        </w:rPr>
        <w:t xml:space="preserve">رصد </w:t>
      </w:r>
      <w:r w:rsidRPr="00C668C1">
        <w:rPr>
          <w:rtl/>
        </w:rPr>
        <w:t xml:space="preserve">تخصيص إضافي على النحو المحدد في الوثيقة </w:t>
      </w:r>
      <w:hyperlink r:id="rId15" w:history="1">
        <w:r w:rsidRPr="00C668C1">
          <w:rPr>
            <w:rStyle w:val="Hyperlink"/>
            <w:rFonts w:ascii="Dubai" w:eastAsiaTheme="minorEastAsia" w:hAnsi="Dubai" w:cs="Dubai"/>
            <w:noProof w:val="0"/>
            <w:sz w:val="22"/>
            <w:rtl/>
            <w:lang w:val="en-US" w:eastAsia="zh-CN"/>
          </w:rPr>
          <w:t>C25/9</w:t>
        </w:r>
      </w:hyperlink>
      <w:r w:rsidRPr="00C668C1">
        <w:rPr>
          <w:rtl/>
        </w:rPr>
        <w:t>.</w:t>
      </w:r>
    </w:p>
    <w:p w14:paraId="0C2E5C03" w14:textId="77777777"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F363C">
      <w:footerReference w:type="default" r:id="rId16"/>
      <w:headerReference w:type="first" r:id="rId17"/>
      <w:footerReference w:type="first" r:id="rId18"/>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1206B" w14:textId="77777777" w:rsidR="00570598" w:rsidRDefault="00570598" w:rsidP="006C3242">
      <w:pPr>
        <w:spacing w:before="0" w:line="240" w:lineRule="auto"/>
      </w:pPr>
      <w:r>
        <w:separator/>
      </w:r>
    </w:p>
  </w:endnote>
  <w:endnote w:type="continuationSeparator" w:id="0">
    <w:p w14:paraId="4EE373FD" w14:textId="77777777" w:rsidR="00570598" w:rsidRDefault="00570598"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venir Nxt2 W1G Medium">
    <w:panose1 w:val="020B0603020202020204"/>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50E3F" w:rsidRPr="007B0AA0" w14:paraId="67E0686F" w14:textId="77777777" w:rsidTr="00A67F05">
      <w:trPr>
        <w:jc w:val="center"/>
      </w:trPr>
      <w:tc>
        <w:tcPr>
          <w:tcW w:w="868" w:type="pct"/>
          <w:vAlign w:val="center"/>
        </w:tcPr>
        <w:p w14:paraId="05C4A378" w14:textId="307D1BF7" w:rsidR="00F50E3F" w:rsidRPr="007B0AA0" w:rsidRDefault="00920E9E" w:rsidP="00920E9E">
          <w:pPr>
            <w:tabs>
              <w:tab w:val="clear" w:pos="794"/>
            </w:tabs>
            <w:overflowPunct w:val="0"/>
            <w:autoSpaceDE w:val="0"/>
            <w:autoSpaceDN w:val="0"/>
            <w:bidi w:val="0"/>
            <w:adjustRightInd w:val="0"/>
            <w:spacing w:before="0" w:line="240" w:lineRule="auto"/>
            <w:jc w:val="right"/>
            <w:textAlignment w:val="baseline"/>
            <w:rPr>
              <w:rFonts w:ascii="Calibri" w:hAnsi="Calibri" w:cs="Arial"/>
              <w:noProof/>
              <w:sz w:val="18"/>
            </w:rPr>
          </w:pPr>
          <w:r w:rsidRPr="005F5EAF">
            <w:rPr>
              <w:rFonts w:ascii="Calibri" w:hAnsi="Calibri" w:cs="Arial"/>
              <w:sz w:val="18"/>
              <w:szCs w:val="14"/>
              <w:lang w:val="en-US"/>
            </w:rPr>
            <w:t>2501244</w:t>
          </w:r>
        </w:p>
      </w:tc>
      <w:tc>
        <w:tcPr>
          <w:tcW w:w="3912" w:type="pct"/>
        </w:tcPr>
        <w:p w14:paraId="63BFD762" w14:textId="36B34C5B"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7A0F41">
            <w:rPr>
              <w:rFonts w:ascii="Calibri" w:hAnsi="Calibri" w:cs="Arial"/>
              <w:bCs/>
              <w:color w:val="7F7F7F"/>
              <w:sz w:val="18"/>
            </w:rPr>
            <w:t>69</w:t>
          </w:r>
          <w:r w:rsidRPr="007B0AA0">
            <w:rPr>
              <w:rFonts w:ascii="Calibri" w:hAnsi="Calibri" w:cs="Arial"/>
              <w:bCs/>
              <w:color w:val="7F7F7F"/>
              <w:sz w:val="18"/>
            </w:rPr>
            <w:t>-</w:t>
          </w:r>
          <w:r>
            <w:rPr>
              <w:rFonts w:ascii="Calibri" w:hAnsi="Calibri" w:cs="Arial"/>
              <w:bCs/>
              <w:color w:val="7F7F7F"/>
              <w:sz w:val="18"/>
            </w:rPr>
            <w:t>A</w:t>
          </w:r>
        </w:p>
      </w:tc>
      <w:tc>
        <w:tcPr>
          <w:tcW w:w="220" w:type="pct"/>
        </w:tcPr>
        <w:p w14:paraId="51B6AB8F" w14:textId="77777777"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27136236" w14:textId="77777777" w:rsidR="006C3242" w:rsidRPr="0026373E" w:rsidRDefault="006C3242" w:rsidP="00BA04B2">
    <w:pPr>
      <w:pStyle w:val="Footer"/>
      <w:tabs>
        <w:tab w:val="clear" w:pos="4153"/>
        <w:tab w:val="clear" w:pos="8306"/>
        <w:tab w:val="center" w:pos="5103"/>
        <w:tab w:val="right" w:pos="9639"/>
      </w:tabs>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631B9904" w14:textId="77777777" w:rsidTr="00A67F05">
      <w:trPr>
        <w:jc w:val="center"/>
      </w:trPr>
      <w:tc>
        <w:tcPr>
          <w:tcW w:w="1013" w:type="pct"/>
          <w:vAlign w:val="center"/>
        </w:tcPr>
        <w:p w14:paraId="33AD35F5" w14:textId="77777777" w:rsidR="007B0AA0" w:rsidRPr="00660DEA" w:rsidRDefault="00660DEA" w:rsidP="00A67F05">
          <w:pPr>
            <w:tabs>
              <w:tab w:val="clear" w:pos="794"/>
            </w:tabs>
            <w:overflowPunct w:val="0"/>
            <w:autoSpaceDE w:val="0"/>
            <w:autoSpaceDN w:val="0"/>
            <w:bidi w:val="0"/>
            <w:adjustRightInd w:val="0"/>
            <w:spacing w:before="0" w:line="240" w:lineRule="auto"/>
            <w:jc w:val="right"/>
            <w:textAlignment w:val="baseline"/>
            <w:rPr>
              <w:rFonts w:ascii="Calibri" w:hAnsi="Calibri" w:cs="Arial"/>
              <w:noProof/>
              <w:color w:val="7F7F7F"/>
              <w:sz w:val="18"/>
            </w:rPr>
          </w:pPr>
          <w:hyperlink r:id="rId1" w:history="1">
            <w:r w:rsidRPr="00660DEA">
              <w:rPr>
                <w:rStyle w:val="Hyperlink"/>
              </w:rPr>
              <w:t>council.itu.int/2025</w:t>
            </w:r>
          </w:hyperlink>
        </w:p>
      </w:tc>
      <w:tc>
        <w:tcPr>
          <w:tcW w:w="3768" w:type="pct"/>
        </w:tcPr>
        <w:p w14:paraId="16FBB55F" w14:textId="36CF131D" w:rsidR="007B0AA0" w:rsidRPr="007B0AA0" w:rsidRDefault="007B0AA0"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E6484F">
            <w:rPr>
              <w:rFonts w:ascii="Calibri" w:hAnsi="Calibri" w:cs="Arial"/>
              <w:bCs/>
              <w:color w:val="7F7F7F"/>
              <w:sz w:val="18"/>
            </w:rPr>
            <w:t>69</w:t>
          </w:r>
          <w:r w:rsidRPr="007B0AA0">
            <w:rPr>
              <w:rFonts w:ascii="Calibri" w:hAnsi="Calibri" w:cs="Arial"/>
              <w:bCs/>
              <w:color w:val="7F7F7F"/>
              <w:sz w:val="18"/>
            </w:rPr>
            <w:t>-</w:t>
          </w:r>
          <w:r>
            <w:rPr>
              <w:rFonts w:ascii="Calibri" w:hAnsi="Calibri" w:cs="Arial"/>
              <w:bCs/>
              <w:color w:val="7F7F7F"/>
              <w:sz w:val="18"/>
            </w:rPr>
            <w:t>A</w:t>
          </w:r>
        </w:p>
      </w:tc>
      <w:tc>
        <w:tcPr>
          <w:tcW w:w="220" w:type="pct"/>
        </w:tcPr>
        <w:p w14:paraId="5169CE49" w14:textId="77777777" w:rsidR="007B0AA0"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34CA07C5" w14:textId="77777777" w:rsidR="0006468A" w:rsidRPr="007B0AA0" w:rsidRDefault="0006468A" w:rsidP="00BA04B2">
    <w:pPr>
      <w:pStyle w:val="Footer"/>
      <w:tabs>
        <w:tab w:val="clear" w:pos="4153"/>
        <w:tab w:val="clear" w:pos="8306"/>
        <w:tab w:val="center" w:pos="5103"/>
        <w:tab w:val="right" w:pos="963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7370D" w14:textId="77777777" w:rsidR="00570598" w:rsidRDefault="00570598" w:rsidP="006C3242">
      <w:pPr>
        <w:spacing w:before="0" w:line="240" w:lineRule="auto"/>
      </w:pPr>
      <w:r>
        <w:separator/>
      </w:r>
    </w:p>
  </w:footnote>
  <w:footnote w:type="continuationSeparator" w:id="0">
    <w:p w14:paraId="70143180" w14:textId="77777777" w:rsidR="00570598" w:rsidRDefault="00570598"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9F202"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754CBA4" wp14:editId="0B155D59">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4A19E"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4DAAE218" wp14:editId="2FB0867D">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7B0145"/>
    <w:multiLevelType w:val="hybridMultilevel"/>
    <w:tmpl w:val="44E67EB6"/>
    <w:lvl w:ilvl="0" w:tplc="881C44F2">
      <w:start w:val="1"/>
      <w:numFmt w:val="bullet"/>
      <w:lvlText w:val=""/>
      <w:lvlJc w:val="left"/>
      <w:pPr>
        <w:ind w:left="720" w:hanging="360"/>
      </w:pPr>
      <w:rPr>
        <w:rFonts w:ascii="Symbol" w:eastAsiaTheme="minorEastAsia" w:hAnsi="Symbol"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7266EC"/>
    <w:multiLevelType w:val="hybridMultilevel"/>
    <w:tmpl w:val="79BA3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C9386C"/>
    <w:multiLevelType w:val="hybridMultilevel"/>
    <w:tmpl w:val="44BA2024"/>
    <w:lvl w:ilvl="0" w:tplc="508C8DF4">
      <w:start w:val="1"/>
      <w:numFmt w:val="bullet"/>
      <w:lvlText w:val=""/>
      <w:lvlJc w:val="left"/>
      <w:pPr>
        <w:ind w:left="720" w:hanging="360"/>
      </w:pPr>
      <w:rPr>
        <w:rFonts w:ascii="Symbol" w:eastAsiaTheme="minorEastAsia" w:hAnsi="Symbol"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BD41452"/>
    <w:multiLevelType w:val="hybridMultilevel"/>
    <w:tmpl w:val="CF0C906A"/>
    <w:lvl w:ilvl="0" w:tplc="B24823A4">
      <w:start w:val="1"/>
      <w:numFmt w:val="bullet"/>
      <w:lvlText w:val=""/>
      <w:lvlJc w:val="left"/>
      <w:pPr>
        <w:ind w:left="720" w:hanging="360"/>
      </w:pPr>
      <w:rPr>
        <w:rFonts w:ascii="Symbol" w:eastAsiaTheme="minorEastAsia" w:hAnsi="Symbol"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9F29AC"/>
    <w:multiLevelType w:val="hybridMultilevel"/>
    <w:tmpl w:val="0A78DC42"/>
    <w:lvl w:ilvl="0" w:tplc="6CCA0256">
      <w:start w:val="1"/>
      <w:numFmt w:val="bullet"/>
      <w:lvlText w:val=""/>
      <w:lvlJc w:val="left"/>
      <w:pPr>
        <w:ind w:left="720" w:hanging="360"/>
      </w:pPr>
      <w:rPr>
        <w:rFonts w:ascii="Symbol" w:eastAsiaTheme="minorEastAsia" w:hAnsi="Symbol"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BF5541"/>
    <w:multiLevelType w:val="hybridMultilevel"/>
    <w:tmpl w:val="BC3A8702"/>
    <w:lvl w:ilvl="0" w:tplc="03D0B95E">
      <w:start w:val="1"/>
      <w:numFmt w:val="bullet"/>
      <w:lvlText w:val=""/>
      <w:lvlJc w:val="left"/>
      <w:pPr>
        <w:ind w:left="720" w:hanging="360"/>
      </w:pPr>
      <w:rPr>
        <w:rFonts w:ascii="Symbol" w:eastAsiaTheme="minorEastAsia" w:hAnsi="Symbol"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3"/>
  </w:num>
  <w:num w:numId="12" w16cid:durableId="747115858">
    <w:abstractNumId w:val="11"/>
  </w:num>
  <w:num w:numId="13" w16cid:durableId="1780444687">
    <w:abstractNumId w:val="16"/>
  </w:num>
  <w:num w:numId="14" w16cid:durableId="1663238338">
    <w:abstractNumId w:val="10"/>
  </w:num>
  <w:num w:numId="15" w16cid:durableId="1212376629">
    <w:abstractNumId w:val="14"/>
  </w:num>
  <w:num w:numId="16" w16cid:durableId="1715425736">
    <w:abstractNumId w:val="12"/>
  </w:num>
  <w:num w:numId="17" w16cid:durableId="20327614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598"/>
    <w:rsid w:val="00027F24"/>
    <w:rsid w:val="0006468A"/>
    <w:rsid w:val="00090574"/>
    <w:rsid w:val="000C1C0E"/>
    <w:rsid w:val="000C548A"/>
    <w:rsid w:val="000F6A8A"/>
    <w:rsid w:val="001674BF"/>
    <w:rsid w:val="00191059"/>
    <w:rsid w:val="001B31A7"/>
    <w:rsid w:val="001B6E2B"/>
    <w:rsid w:val="001C0169"/>
    <w:rsid w:val="001C0C21"/>
    <w:rsid w:val="001C3D0A"/>
    <w:rsid w:val="001D1D50"/>
    <w:rsid w:val="001D64C7"/>
    <w:rsid w:val="001D6745"/>
    <w:rsid w:val="001E446E"/>
    <w:rsid w:val="002154EE"/>
    <w:rsid w:val="002276D2"/>
    <w:rsid w:val="0023283D"/>
    <w:rsid w:val="00254393"/>
    <w:rsid w:val="0026373E"/>
    <w:rsid w:val="00271C43"/>
    <w:rsid w:val="00290728"/>
    <w:rsid w:val="002978F4"/>
    <w:rsid w:val="002B028D"/>
    <w:rsid w:val="002C3F32"/>
    <w:rsid w:val="002E6541"/>
    <w:rsid w:val="00334924"/>
    <w:rsid w:val="003409BC"/>
    <w:rsid w:val="00357185"/>
    <w:rsid w:val="003606D6"/>
    <w:rsid w:val="00383829"/>
    <w:rsid w:val="003F4B29"/>
    <w:rsid w:val="00420F8A"/>
    <w:rsid w:val="0042686F"/>
    <w:rsid w:val="004317D8"/>
    <w:rsid w:val="0043260A"/>
    <w:rsid w:val="00434183"/>
    <w:rsid w:val="004415BE"/>
    <w:rsid w:val="00443869"/>
    <w:rsid w:val="00447F32"/>
    <w:rsid w:val="00491BA9"/>
    <w:rsid w:val="00494119"/>
    <w:rsid w:val="004A4701"/>
    <w:rsid w:val="004B7334"/>
    <w:rsid w:val="004E11DC"/>
    <w:rsid w:val="005130DE"/>
    <w:rsid w:val="00513157"/>
    <w:rsid w:val="00525DDD"/>
    <w:rsid w:val="005409AC"/>
    <w:rsid w:val="005434E0"/>
    <w:rsid w:val="005546CF"/>
    <w:rsid w:val="0055516A"/>
    <w:rsid w:val="00570598"/>
    <w:rsid w:val="0058491B"/>
    <w:rsid w:val="00592EA5"/>
    <w:rsid w:val="005A3170"/>
    <w:rsid w:val="005F5EAF"/>
    <w:rsid w:val="00657019"/>
    <w:rsid w:val="00660DEA"/>
    <w:rsid w:val="00677396"/>
    <w:rsid w:val="0069200F"/>
    <w:rsid w:val="006A65CB"/>
    <w:rsid w:val="006B12E5"/>
    <w:rsid w:val="006C3242"/>
    <w:rsid w:val="006C7CC0"/>
    <w:rsid w:val="006F363C"/>
    <w:rsid w:val="006F63F7"/>
    <w:rsid w:val="007025C7"/>
    <w:rsid w:val="00706D7A"/>
    <w:rsid w:val="00722F0D"/>
    <w:rsid w:val="007239D6"/>
    <w:rsid w:val="00735081"/>
    <w:rsid w:val="0074420E"/>
    <w:rsid w:val="007648A6"/>
    <w:rsid w:val="0077110E"/>
    <w:rsid w:val="0077792F"/>
    <w:rsid w:val="00783E26"/>
    <w:rsid w:val="007A0F41"/>
    <w:rsid w:val="007A6684"/>
    <w:rsid w:val="007B0AA0"/>
    <w:rsid w:val="007C3BC7"/>
    <w:rsid w:val="007C3BCD"/>
    <w:rsid w:val="007D4542"/>
    <w:rsid w:val="007D4ACF"/>
    <w:rsid w:val="007F0787"/>
    <w:rsid w:val="00810B7B"/>
    <w:rsid w:val="0082358A"/>
    <w:rsid w:val="008235CD"/>
    <w:rsid w:val="008247DE"/>
    <w:rsid w:val="008309F3"/>
    <w:rsid w:val="008339C0"/>
    <w:rsid w:val="00840B10"/>
    <w:rsid w:val="008513CB"/>
    <w:rsid w:val="00874E9F"/>
    <w:rsid w:val="008A7F84"/>
    <w:rsid w:val="0091702E"/>
    <w:rsid w:val="00920E9E"/>
    <w:rsid w:val="00923B0C"/>
    <w:rsid w:val="00924F46"/>
    <w:rsid w:val="00935AAC"/>
    <w:rsid w:val="0094021C"/>
    <w:rsid w:val="00952F86"/>
    <w:rsid w:val="00982B28"/>
    <w:rsid w:val="009D313F"/>
    <w:rsid w:val="00A47A5A"/>
    <w:rsid w:val="00A63AE6"/>
    <w:rsid w:val="00A6683B"/>
    <w:rsid w:val="00A67F05"/>
    <w:rsid w:val="00A97F94"/>
    <w:rsid w:val="00AA7EA2"/>
    <w:rsid w:val="00AB5A56"/>
    <w:rsid w:val="00AF5376"/>
    <w:rsid w:val="00B03099"/>
    <w:rsid w:val="00B05BC8"/>
    <w:rsid w:val="00B30F5E"/>
    <w:rsid w:val="00B64B47"/>
    <w:rsid w:val="00B95654"/>
    <w:rsid w:val="00B97F32"/>
    <w:rsid w:val="00BA04B2"/>
    <w:rsid w:val="00C002DE"/>
    <w:rsid w:val="00C0602B"/>
    <w:rsid w:val="00C224DA"/>
    <w:rsid w:val="00C40727"/>
    <w:rsid w:val="00C53BF8"/>
    <w:rsid w:val="00C66157"/>
    <w:rsid w:val="00C668C1"/>
    <w:rsid w:val="00C674FE"/>
    <w:rsid w:val="00C67501"/>
    <w:rsid w:val="00C75633"/>
    <w:rsid w:val="00CD57EC"/>
    <w:rsid w:val="00CE2EE1"/>
    <w:rsid w:val="00CE3349"/>
    <w:rsid w:val="00CE36E5"/>
    <w:rsid w:val="00CE4360"/>
    <w:rsid w:val="00CF27F5"/>
    <w:rsid w:val="00CF3FFD"/>
    <w:rsid w:val="00D10CCF"/>
    <w:rsid w:val="00D13941"/>
    <w:rsid w:val="00D23F5F"/>
    <w:rsid w:val="00D43F7D"/>
    <w:rsid w:val="00D63735"/>
    <w:rsid w:val="00D77D0F"/>
    <w:rsid w:val="00DA1CF0"/>
    <w:rsid w:val="00DA3306"/>
    <w:rsid w:val="00DC1E02"/>
    <w:rsid w:val="00DC24B4"/>
    <w:rsid w:val="00DC5FB0"/>
    <w:rsid w:val="00DF16DC"/>
    <w:rsid w:val="00E45211"/>
    <w:rsid w:val="00E473C5"/>
    <w:rsid w:val="00E61BE8"/>
    <w:rsid w:val="00E6484F"/>
    <w:rsid w:val="00E83FF1"/>
    <w:rsid w:val="00E92863"/>
    <w:rsid w:val="00E979B2"/>
    <w:rsid w:val="00EB1BF5"/>
    <w:rsid w:val="00EB1C0D"/>
    <w:rsid w:val="00EB796D"/>
    <w:rsid w:val="00F058DC"/>
    <w:rsid w:val="00F24FC4"/>
    <w:rsid w:val="00F2676C"/>
    <w:rsid w:val="00F363FE"/>
    <w:rsid w:val="00F50E3F"/>
    <w:rsid w:val="00F84366"/>
    <w:rsid w:val="00F85089"/>
    <w:rsid w:val="00F974C5"/>
    <w:rsid w:val="00FA3763"/>
    <w:rsid w:val="00FA6F46"/>
    <w:rsid w:val="00FB7868"/>
    <w:rsid w:val="00FC0E94"/>
    <w:rsid w:val="00FC4592"/>
    <w:rsid w:val="00FD30AB"/>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A1FB01"/>
  <w15:chartTrackingRefBased/>
  <w15:docId w15:val="{7F83AF92-1A94-4EF9-8FDE-468D01169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081"/>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CD57EC"/>
    <w:pPr>
      <w:spacing w:before="80" w:after="80"/>
      <w:ind w:left="794" w:hanging="794"/>
      <w:outlineLvl w:val="0"/>
    </w:pPr>
    <w:rPr>
      <w:lang w:bidi="ar-SY"/>
    </w:rPr>
  </w:style>
  <w:style w:type="paragraph" w:customStyle="1" w:styleId="enumlev2">
    <w:name w:val="enumlev2"/>
    <w:basedOn w:val="Normal"/>
    <w:next w:val="enumlev1"/>
    <w:qFormat/>
    <w:rsid w:val="00F974C5"/>
    <w:pPr>
      <w:spacing w:before="80"/>
      <w:ind w:left="1588" w:hanging="794"/>
      <w:outlineLvl w:val="1"/>
    </w:pPr>
  </w:style>
  <w:style w:type="paragraph" w:customStyle="1" w:styleId="enumlev3">
    <w:name w:val="enumlev3"/>
    <w:basedOn w:val="Normal"/>
    <w:qFormat/>
    <w:rsid w:val="008A7F84"/>
    <w:pPr>
      <w:spacing w:before="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_No"/>
    <w:basedOn w:val="Normal"/>
    <w:qFormat/>
    <w:rsid w:val="00F974C5"/>
    <w:pPr>
      <w:keepNext/>
      <w:spacing w:before="24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5F5EAF"/>
    <w:rPr>
      <w:rFonts w:ascii="Calibri" w:eastAsia="Calibri" w:hAnsi="Calibri" w:cs="Arial"/>
      <w:noProof/>
      <w:color w:val="5B9BD5" w:themeColor="accent1"/>
      <w:sz w:val="18"/>
      <w:u w:val="single"/>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character" w:customStyle="1" w:styleId="normaltextrun">
    <w:name w:val="normaltextrun"/>
    <w:basedOn w:val="DefaultParagraphFont"/>
    <w:uiPriority w:val="1"/>
    <w:rsid w:val="00570598"/>
    <w:rPr>
      <w:rFonts w:ascii="CG Times" w:eastAsia="Times New Roman" w:hAnsi="CG Times" w:cs="Times New Roman"/>
    </w:rPr>
  </w:style>
  <w:style w:type="paragraph" w:customStyle="1" w:styleId="Tabletext">
    <w:name w:val="Table_text"/>
    <w:basedOn w:val="Normal"/>
    <w:rsid w:val="00570598"/>
    <w:pPr>
      <w:tabs>
        <w:tab w:val="clear" w:pos="794"/>
      </w:tabs>
      <w:overflowPunct w:val="0"/>
      <w:autoSpaceDE w:val="0"/>
      <w:autoSpaceDN w:val="0"/>
      <w:bidi w:val="0"/>
      <w:adjustRightInd w:val="0"/>
      <w:spacing w:before="60" w:after="60" w:line="240" w:lineRule="auto"/>
      <w:jc w:val="left"/>
      <w:textAlignment w:val="baseline"/>
    </w:pPr>
    <w:rPr>
      <w:rFonts w:ascii="Calibri" w:eastAsia="Times New Roman" w:hAnsi="Calibri" w:cs="Times New Roman"/>
      <w:szCs w:val="20"/>
      <w:lang w:val="en-GB" w:eastAsia="en-US"/>
    </w:rPr>
  </w:style>
  <w:style w:type="character" w:styleId="FollowedHyperlink">
    <w:name w:val="FollowedHyperlink"/>
    <w:basedOn w:val="DefaultParagraphFont"/>
    <w:uiPriority w:val="99"/>
    <w:semiHidden/>
    <w:unhideWhenUsed/>
    <w:rsid w:val="00FB7868"/>
    <w:rPr>
      <w:color w:val="954F72" w:themeColor="followedHyperlink"/>
      <w:u w:val="single"/>
    </w:rPr>
  </w:style>
  <w:style w:type="paragraph" w:styleId="Revision">
    <w:name w:val="Revision"/>
    <w:hidden/>
    <w:uiPriority w:val="99"/>
    <w:semiHidden/>
    <w:rsid w:val="005F5EAF"/>
    <w:pPr>
      <w:spacing w:after="0" w:line="240" w:lineRule="auto"/>
    </w:pPr>
    <w:rPr>
      <w:rFonts w:ascii="Dubai" w:hAnsi="Dubai" w:cs="Dubai"/>
    </w:rPr>
  </w:style>
  <w:style w:type="paragraph" w:customStyle="1" w:styleId="Normal0">
    <w:name w:val="Normal'"/>
    <w:basedOn w:val="Normal"/>
    <w:qFormat/>
    <w:rsid w:val="00C66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CL-C-0009/en" TargetMode="External"/><Relationship Id="rId13" Type="http://schemas.openxmlformats.org/officeDocument/2006/relationships/hyperlink" Target="https://www.itu.int/en/publications/ITU-D/pages/publications.aspx?parent=D-TDC-WTDC-2022&amp;media=electronic"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council/Documents/basic-texts-2023/RES-157-A.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2023/RES-135-A.pdf" TargetMode="External"/><Relationship Id="rId5" Type="http://schemas.openxmlformats.org/officeDocument/2006/relationships/webSettings" Target="webSettings.xml"/><Relationship Id="rId15" Type="http://schemas.openxmlformats.org/officeDocument/2006/relationships/hyperlink" Target="https://www.itu.int/md/S25-CL-C-0009/en" TargetMode="External"/><Relationship Id="rId10" Type="http://schemas.openxmlformats.org/officeDocument/2006/relationships/hyperlink" Target="https://www.itu.int/en/council/Documents/basic-texts-2023/RES-025-A.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en/council/Documents/basic-texts/RES-025-A.pdf" TargetMode="External"/><Relationship Id="rId14" Type="http://schemas.openxmlformats.org/officeDocument/2006/relationships/hyperlink" Target="https://www.itu.int/md/S25-CL-C-0050/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SG\PA_Council%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2025.dotx</Template>
  <TotalTime>0</TotalTime>
  <Pages>5</Pages>
  <Words>1244</Words>
  <Characters>7474</Characters>
  <Application>Microsoft Office Word</Application>
  <DocSecurity>0</DocSecurity>
  <Lines>167</Lines>
  <Paragraphs>105</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Inception report on the review of ITU regional presence</dc:title>
  <dc:subject>ITU Council 2025</dc:subject>
  <cp:keywords>C2025, C25, Council-25</cp:keywords>
  <dc:description/>
  <dcterms:created xsi:type="dcterms:W3CDTF">2025-06-18T07:41:00Z</dcterms:created>
  <dcterms:modified xsi:type="dcterms:W3CDTF">2025-06-18T07:41:00Z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