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910B5" w14:paraId="38BB181C" w14:textId="77777777" w:rsidTr="1AF47034">
        <w:trPr>
          <w:cantSplit/>
          <w:trHeight w:val="23"/>
        </w:trPr>
        <w:tc>
          <w:tcPr>
            <w:tcW w:w="3969" w:type="dxa"/>
            <w:vMerge w:val="restart"/>
            <w:tcMar>
              <w:left w:w="0" w:type="dxa"/>
            </w:tcMar>
          </w:tcPr>
          <w:p w14:paraId="03240B48" w14:textId="0E6F8113" w:rsidR="00AD3606" w:rsidRPr="009910B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9910B5">
              <w:rPr>
                <w:b/>
              </w:rPr>
              <w:t xml:space="preserve">Agenda item: </w:t>
            </w:r>
            <w:r w:rsidR="001F71CE" w:rsidRPr="009910B5">
              <w:rPr>
                <w:b/>
              </w:rPr>
              <w:t>PL 2</w:t>
            </w:r>
          </w:p>
        </w:tc>
        <w:tc>
          <w:tcPr>
            <w:tcW w:w="5245" w:type="dxa"/>
          </w:tcPr>
          <w:p w14:paraId="18D183D4" w14:textId="3189A96F" w:rsidR="00AD3606" w:rsidRPr="009910B5" w:rsidRDefault="00AD3606" w:rsidP="00472BAD">
            <w:pPr>
              <w:tabs>
                <w:tab w:val="left" w:pos="851"/>
              </w:tabs>
              <w:spacing w:before="0" w:line="240" w:lineRule="atLeast"/>
              <w:jc w:val="right"/>
              <w:rPr>
                <w:b/>
              </w:rPr>
            </w:pPr>
            <w:r w:rsidRPr="009910B5">
              <w:rPr>
                <w:b/>
              </w:rPr>
              <w:t>Document C2</w:t>
            </w:r>
            <w:r w:rsidR="00BF1FDE" w:rsidRPr="009910B5">
              <w:rPr>
                <w:b/>
              </w:rPr>
              <w:t>5</w:t>
            </w:r>
            <w:r w:rsidRPr="009910B5">
              <w:rPr>
                <w:b/>
              </w:rPr>
              <w:t>/</w:t>
            </w:r>
            <w:r w:rsidR="00244BE1" w:rsidRPr="009910B5">
              <w:rPr>
                <w:b/>
              </w:rPr>
              <w:t>68</w:t>
            </w:r>
            <w:r w:rsidRPr="009910B5">
              <w:rPr>
                <w:b/>
              </w:rPr>
              <w:t>-E</w:t>
            </w:r>
          </w:p>
        </w:tc>
      </w:tr>
      <w:tr w:rsidR="00AD3606" w:rsidRPr="009910B5" w14:paraId="7C81FCE2" w14:textId="77777777" w:rsidTr="1AF47034">
        <w:trPr>
          <w:cantSplit/>
        </w:trPr>
        <w:tc>
          <w:tcPr>
            <w:tcW w:w="3969" w:type="dxa"/>
            <w:vMerge/>
          </w:tcPr>
          <w:p w14:paraId="7C98CE93" w14:textId="77777777" w:rsidR="00AD3606" w:rsidRPr="009910B5" w:rsidRDefault="00AD3606" w:rsidP="00AD3606">
            <w:pPr>
              <w:tabs>
                <w:tab w:val="left" w:pos="851"/>
              </w:tabs>
              <w:spacing w:line="240" w:lineRule="atLeast"/>
              <w:rPr>
                <w:b/>
              </w:rPr>
            </w:pPr>
            <w:bookmarkStart w:id="6" w:name="ddate" w:colFirst="1" w:colLast="1"/>
            <w:bookmarkEnd w:id="0"/>
            <w:bookmarkEnd w:id="1"/>
          </w:p>
        </w:tc>
        <w:tc>
          <w:tcPr>
            <w:tcW w:w="5245" w:type="dxa"/>
          </w:tcPr>
          <w:p w14:paraId="0D39C688" w14:textId="3919E497" w:rsidR="00AD3606" w:rsidRPr="009910B5" w:rsidRDefault="008F10A3" w:rsidP="00AD3606">
            <w:pPr>
              <w:tabs>
                <w:tab w:val="left" w:pos="851"/>
              </w:tabs>
              <w:spacing w:before="0"/>
              <w:jc w:val="right"/>
              <w:rPr>
                <w:b/>
              </w:rPr>
            </w:pPr>
            <w:r>
              <w:rPr>
                <w:b/>
              </w:rPr>
              <w:t>1</w:t>
            </w:r>
            <w:r w:rsidR="00366379">
              <w:rPr>
                <w:b/>
              </w:rPr>
              <w:t>9</w:t>
            </w:r>
            <w:r w:rsidR="00244BE1" w:rsidRPr="009910B5">
              <w:rPr>
                <w:b/>
              </w:rPr>
              <w:t xml:space="preserve"> May 2025</w:t>
            </w:r>
          </w:p>
        </w:tc>
      </w:tr>
      <w:tr w:rsidR="00AD3606" w:rsidRPr="009910B5" w14:paraId="476A8989" w14:textId="77777777" w:rsidTr="1AF47034">
        <w:trPr>
          <w:cantSplit/>
          <w:trHeight w:val="23"/>
        </w:trPr>
        <w:tc>
          <w:tcPr>
            <w:tcW w:w="3969" w:type="dxa"/>
            <w:vMerge/>
          </w:tcPr>
          <w:p w14:paraId="21CF741F" w14:textId="77777777" w:rsidR="00AD3606" w:rsidRPr="009910B5" w:rsidRDefault="00AD3606" w:rsidP="00AD3606">
            <w:pPr>
              <w:tabs>
                <w:tab w:val="left" w:pos="851"/>
              </w:tabs>
              <w:spacing w:line="240" w:lineRule="atLeast"/>
              <w:rPr>
                <w:b/>
              </w:rPr>
            </w:pPr>
            <w:bookmarkStart w:id="7" w:name="dorlang" w:colFirst="1" w:colLast="1"/>
            <w:bookmarkEnd w:id="6"/>
          </w:p>
        </w:tc>
        <w:tc>
          <w:tcPr>
            <w:tcW w:w="5245" w:type="dxa"/>
          </w:tcPr>
          <w:p w14:paraId="2EA69338" w14:textId="77777777" w:rsidR="00AD3606" w:rsidRPr="009910B5" w:rsidRDefault="00AD3606" w:rsidP="00AD3606">
            <w:pPr>
              <w:tabs>
                <w:tab w:val="left" w:pos="851"/>
              </w:tabs>
              <w:spacing w:before="0" w:line="240" w:lineRule="atLeast"/>
              <w:jc w:val="right"/>
              <w:rPr>
                <w:b/>
              </w:rPr>
            </w:pPr>
            <w:r w:rsidRPr="009910B5">
              <w:rPr>
                <w:b/>
              </w:rPr>
              <w:t>Original: English</w:t>
            </w:r>
          </w:p>
        </w:tc>
      </w:tr>
      <w:tr w:rsidR="00472BAD" w:rsidRPr="009910B5" w14:paraId="250C92B3" w14:textId="77777777" w:rsidTr="1AF47034">
        <w:trPr>
          <w:cantSplit/>
          <w:trHeight w:val="23"/>
        </w:trPr>
        <w:tc>
          <w:tcPr>
            <w:tcW w:w="3969" w:type="dxa"/>
          </w:tcPr>
          <w:p w14:paraId="5D2B1D77" w14:textId="77777777" w:rsidR="00472BAD" w:rsidRPr="009910B5" w:rsidRDefault="00472BAD" w:rsidP="00AD3606">
            <w:pPr>
              <w:tabs>
                <w:tab w:val="left" w:pos="851"/>
              </w:tabs>
              <w:spacing w:line="240" w:lineRule="atLeast"/>
              <w:rPr>
                <w:b/>
              </w:rPr>
            </w:pPr>
          </w:p>
        </w:tc>
        <w:tc>
          <w:tcPr>
            <w:tcW w:w="5245" w:type="dxa"/>
          </w:tcPr>
          <w:p w14:paraId="5A16501F" w14:textId="77777777" w:rsidR="00472BAD" w:rsidRPr="009910B5" w:rsidRDefault="00472BAD" w:rsidP="00AD3606">
            <w:pPr>
              <w:tabs>
                <w:tab w:val="left" w:pos="851"/>
              </w:tabs>
              <w:spacing w:before="0" w:line="240" w:lineRule="atLeast"/>
              <w:jc w:val="right"/>
              <w:rPr>
                <w:b/>
              </w:rPr>
            </w:pPr>
          </w:p>
        </w:tc>
      </w:tr>
      <w:tr w:rsidR="00AD3606" w:rsidRPr="009910B5" w14:paraId="25F0F50B" w14:textId="77777777" w:rsidTr="1AF47034">
        <w:trPr>
          <w:cantSplit/>
        </w:trPr>
        <w:tc>
          <w:tcPr>
            <w:tcW w:w="9214" w:type="dxa"/>
            <w:gridSpan w:val="2"/>
            <w:tcMar>
              <w:left w:w="0" w:type="dxa"/>
            </w:tcMar>
          </w:tcPr>
          <w:p w14:paraId="6E64A3E8" w14:textId="77777777" w:rsidR="00AD3606" w:rsidRPr="009910B5" w:rsidRDefault="00AD3606" w:rsidP="00AD3606">
            <w:pPr>
              <w:pStyle w:val="Source"/>
              <w:framePr w:hSpace="0" w:wrap="auto" w:vAnchor="margin" w:hAnchor="text" w:yAlign="inline"/>
            </w:pPr>
            <w:bookmarkStart w:id="8" w:name="dsource" w:colFirst="0" w:colLast="0"/>
            <w:bookmarkEnd w:id="7"/>
            <w:r w:rsidRPr="009910B5">
              <w:t>Report by the Secretary-General</w:t>
            </w:r>
          </w:p>
        </w:tc>
      </w:tr>
      <w:tr w:rsidR="00AD3606" w:rsidRPr="009910B5" w14:paraId="0B93DA83" w14:textId="77777777" w:rsidTr="1AF47034">
        <w:trPr>
          <w:cantSplit/>
        </w:trPr>
        <w:tc>
          <w:tcPr>
            <w:tcW w:w="9214" w:type="dxa"/>
            <w:gridSpan w:val="2"/>
            <w:tcMar>
              <w:left w:w="0" w:type="dxa"/>
            </w:tcMar>
          </w:tcPr>
          <w:p w14:paraId="27F560EB" w14:textId="5F4D6F73" w:rsidR="00AD3606" w:rsidRPr="009910B5" w:rsidRDefault="00244BE1" w:rsidP="00176F47">
            <w:pPr>
              <w:pStyle w:val="Subtitle"/>
              <w:framePr w:hSpace="0" w:wrap="auto" w:hAnchor="text" w:xAlign="left" w:yAlign="inline"/>
            </w:pPr>
            <w:bookmarkStart w:id="9" w:name="_Hlk164670350"/>
            <w:bookmarkStart w:id="10" w:name="dtitle1" w:colFirst="0" w:colLast="0"/>
            <w:bookmarkEnd w:id="8"/>
            <w:r w:rsidRPr="009910B5">
              <w:t>UPDATE ON THE IMPLEMENTATION OF ITU COUNCIL RESOLUTION 1408 ON ASSISTANCE AND SUPPORT TO UKRAINE FOR REBUILDING THEIR TELECOMMUNICATION SECTOR</w:t>
            </w:r>
            <w:bookmarkEnd w:id="9"/>
          </w:p>
        </w:tc>
      </w:tr>
      <w:tr w:rsidR="00AD3606" w:rsidRPr="009910B5" w14:paraId="6966E345" w14:textId="77777777" w:rsidTr="1AF47034">
        <w:trPr>
          <w:cantSplit/>
        </w:trPr>
        <w:tc>
          <w:tcPr>
            <w:tcW w:w="9214" w:type="dxa"/>
            <w:gridSpan w:val="2"/>
            <w:tcBorders>
              <w:top w:val="single" w:sz="4" w:space="0" w:color="auto"/>
              <w:bottom w:val="single" w:sz="4" w:space="0" w:color="auto"/>
            </w:tcBorders>
            <w:tcMar>
              <w:left w:w="0" w:type="dxa"/>
            </w:tcMar>
          </w:tcPr>
          <w:p w14:paraId="42327D7A" w14:textId="77777777" w:rsidR="00AD3606" w:rsidRPr="009910B5" w:rsidRDefault="00F16BAB" w:rsidP="00F16BAB">
            <w:pPr>
              <w:spacing w:before="160"/>
              <w:rPr>
                <w:b/>
                <w:bCs/>
                <w:sz w:val="26"/>
                <w:szCs w:val="26"/>
              </w:rPr>
            </w:pPr>
            <w:r w:rsidRPr="009910B5">
              <w:rPr>
                <w:b/>
                <w:bCs/>
                <w:sz w:val="26"/>
                <w:szCs w:val="26"/>
              </w:rPr>
              <w:t>Purpose</w:t>
            </w:r>
          </w:p>
          <w:p w14:paraId="26047967" w14:textId="6E046739" w:rsidR="00AD3606" w:rsidRPr="009910B5" w:rsidRDefault="00244BE1" w:rsidP="00244BE1">
            <w:pPr>
              <w:jc w:val="both"/>
            </w:pPr>
            <w:r w:rsidRPr="009910B5">
              <w:t>This report outlines the activities and developments since the ITU Council in June 2024 on assistance and support to Ukraine for rebuilding their telecommunication sector in response to the modified ITU Council Resolution 1408, focusing on monitoring and reporting, coordination mechanisms, technical assistance, mobilization of resources, and capacity-building activities.</w:t>
            </w:r>
          </w:p>
          <w:p w14:paraId="14B23438" w14:textId="77777777" w:rsidR="00AD3606" w:rsidRPr="009910B5" w:rsidRDefault="00AD3606" w:rsidP="00F16BAB">
            <w:pPr>
              <w:spacing w:before="160"/>
              <w:rPr>
                <w:b/>
                <w:bCs/>
                <w:sz w:val="26"/>
                <w:szCs w:val="26"/>
              </w:rPr>
            </w:pPr>
            <w:r w:rsidRPr="009910B5">
              <w:rPr>
                <w:b/>
                <w:bCs/>
                <w:sz w:val="26"/>
                <w:szCs w:val="26"/>
              </w:rPr>
              <w:t>Action required</w:t>
            </w:r>
            <w:r w:rsidR="00F16BAB" w:rsidRPr="009910B5">
              <w:rPr>
                <w:b/>
                <w:bCs/>
                <w:sz w:val="26"/>
                <w:szCs w:val="26"/>
              </w:rPr>
              <w:t xml:space="preserve"> by the Council</w:t>
            </w:r>
          </w:p>
          <w:p w14:paraId="138A0CFB" w14:textId="7FAFB06C" w:rsidR="00722551" w:rsidRPr="009910B5" w:rsidRDefault="00244BE1" w:rsidP="00244BE1">
            <w:pPr>
              <w:jc w:val="both"/>
            </w:pPr>
            <w:r w:rsidRPr="009910B5">
              <w:t>The Council is invited to</w:t>
            </w:r>
            <w:r w:rsidRPr="009910B5">
              <w:rPr>
                <w:b/>
                <w:bCs/>
              </w:rPr>
              <w:t xml:space="preserve"> note</w:t>
            </w:r>
            <w:r w:rsidRPr="009910B5">
              <w:t xml:space="preserve"> this report.</w:t>
            </w:r>
          </w:p>
          <w:p w14:paraId="3220BB59" w14:textId="77777777" w:rsidR="00722551" w:rsidRPr="009910B5" w:rsidRDefault="00722551" w:rsidP="00722551">
            <w:pPr>
              <w:spacing w:before="160"/>
              <w:rPr>
                <w:b/>
                <w:bCs/>
                <w:sz w:val="26"/>
                <w:szCs w:val="26"/>
              </w:rPr>
            </w:pPr>
            <w:r w:rsidRPr="009910B5">
              <w:rPr>
                <w:b/>
                <w:bCs/>
                <w:sz w:val="26"/>
                <w:szCs w:val="26"/>
              </w:rPr>
              <w:t>Relevant link</w:t>
            </w:r>
            <w:r w:rsidR="00176F47" w:rsidRPr="009910B5">
              <w:rPr>
                <w:b/>
                <w:bCs/>
                <w:sz w:val="26"/>
                <w:szCs w:val="26"/>
              </w:rPr>
              <w:t>(s)</w:t>
            </w:r>
            <w:r w:rsidRPr="009910B5">
              <w:rPr>
                <w:b/>
                <w:bCs/>
                <w:sz w:val="26"/>
                <w:szCs w:val="26"/>
              </w:rPr>
              <w:t xml:space="preserve"> with the Strategic Plan</w:t>
            </w:r>
          </w:p>
          <w:p w14:paraId="2CC007B8" w14:textId="0126B623" w:rsidR="00722551" w:rsidRPr="009910B5" w:rsidRDefault="00244BE1" w:rsidP="00244BE1">
            <w:pPr>
              <w:jc w:val="both"/>
            </w:pPr>
            <w:r w:rsidRPr="009910B5">
              <w:t>Provision of technical assistance.</w:t>
            </w:r>
          </w:p>
          <w:p w14:paraId="5DF4F522" w14:textId="77777777" w:rsidR="00722551" w:rsidRPr="009910B5" w:rsidRDefault="00722551" w:rsidP="00722551">
            <w:pPr>
              <w:spacing w:before="160"/>
              <w:rPr>
                <w:b/>
                <w:bCs/>
                <w:sz w:val="26"/>
                <w:szCs w:val="26"/>
              </w:rPr>
            </w:pPr>
            <w:r w:rsidRPr="009910B5">
              <w:rPr>
                <w:b/>
                <w:bCs/>
                <w:sz w:val="26"/>
                <w:szCs w:val="26"/>
              </w:rPr>
              <w:t>Financial implications</w:t>
            </w:r>
          </w:p>
          <w:p w14:paraId="196D0AA5" w14:textId="36CF4AB2" w:rsidR="00453079" w:rsidRPr="009910B5" w:rsidRDefault="00244BE1" w:rsidP="00244BE1">
            <w:pPr>
              <w:spacing w:before="160"/>
              <w:jc w:val="both"/>
            </w:pPr>
            <w:r>
              <w:t>CHF 325 000 since 2022, including CHF 75 000 from the ITU budget, CHF 180 000 in monetary voluntary contributions, and CHF 70 000</w:t>
            </w:r>
            <w:r w:rsidR="00171868">
              <w:t xml:space="preserve"> in</w:t>
            </w:r>
            <w:r>
              <w:t xml:space="preserve"> in-kind contribution</w:t>
            </w:r>
            <w:r w:rsidR="00171868">
              <w:t>s</w:t>
            </w:r>
            <w:r>
              <w:t>.</w:t>
            </w:r>
          </w:p>
          <w:p w14:paraId="073E27FF" w14:textId="77777777" w:rsidR="00C0458D" w:rsidRPr="009910B5" w:rsidRDefault="00C0458D">
            <w:r w:rsidRPr="009910B5">
              <w:t>_______________</w:t>
            </w:r>
          </w:p>
          <w:p w14:paraId="7691231F" w14:textId="77777777" w:rsidR="00AD3606" w:rsidRPr="009910B5" w:rsidRDefault="00AD3606" w:rsidP="00F16BAB">
            <w:pPr>
              <w:spacing w:before="160"/>
              <w:rPr>
                <w:b/>
                <w:bCs/>
                <w:sz w:val="26"/>
                <w:szCs w:val="26"/>
              </w:rPr>
            </w:pPr>
            <w:r w:rsidRPr="009910B5">
              <w:rPr>
                <w:b/>
                <w:bCs/>
                <w:sz w:val="26"/>
                <w:szCs w:val="26"/>
              </w:rPr>
              <w:t>References</w:t>
            </w:r>
          </w:p>
          <w:p w14:paraId="38FD5306" w14:textId="49FAD091" w:rsidR="00AD3606" w:rsidRPr="009910B5" w:rsidRDefault="00244BE1" w:rsidP="00F16BAB">
            <w:pPr>
              <w:spacing w:after="160"/>
              <w:rPr>
                <w:i/>
                <w:iCs/>
                <w:sz w:val="22"/>
                <w:szCs w:val="22"/>
              </w:rPr>
            </w:pPr>
            <w:hyperlink r:id="rId11">
              <w:r w:rsidRPr="009910B5">
                <w:rPr>
                  <w:rStyle w:val="Hyperlink"/>
                  <w:i/>
                  <w:iCs/>
                  <w:sz w:val="22"/>
                  <w:szCs w:val="22"/>
                </w:rPr>
                <w:t>Council Resolution 1408</w:t>
              </w:r>
            </w:hyperlink>
            <w:r w:rsidRPr="009910B5">
              <w:rPr>
                <w:i/>
                <w:iCs/>
                <w:sz w:val="22"/>
                <w:szCs w:val="22"/>
              </w:rPr>
              <w:t xml:space="preserve"> (Mod. 2023); Document </w:t>
            </w:r>
            <w:hyperlink r:id="rId12" w:history="1">
              <w:r w:rsidRPr="009910B5">
                <w:rPr>
                  <w:rStyle w:val="Hyperlink"/>
                  <w:i/>
                  <w:iCs/>
                  <w:sz w:val="22"/>
                  <w:szCs w:val="22"/>
                </w:rPr>
                <w:t>C23/59</w:t>
              </w:r>
            </w:hyperlink>
          </w:p>
        </w:tc>
      </w:tr>
    </w:tbl>
    <w:p w14:paraId="2B29C2F5" w14:textId="77777777" w:rsidR="00E227F3" w:rsidRPr="009910B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7C28F243" w14:textId="77777777" w:rsidR="0090147A" w:rsidRPr="009910B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910B5">
        <w:br w:type="page"/>
      </w:r>
    </w:p>
    <w:p w14:paraId="03E7A225" w14:textId="34615CF2" w:rsidR="003F277C" w:rsidRPr="009910B5" w:rsidRDefault="003F277C" w:rsidP="00796613">
      <w:pPr>
        <w:pStyle w:val="Heading1"/>
        <w:rPr>
          <w:lang w:eastAsia="zh-CN"/>
        </w:rPr>
      </w:pPr>
      <w:bookmarkStart w:id="12" w:name="_Toc309942973"/>
      <w:bookmarkEnd w:id="5"/>
      <w:bookmarkEnd w:id="11"/>
      <w:r w:rsidRPr="009910B5">
        <w:rPr>
          <w:lang w:eastAsia="zh-CN"/>
        </w:rPr>
        <w:lastRenderedPageBreak/>
        <w:t>1</w:t>
      </w:r>
      <w:r w:rsidRPr="009910B5">
        <w:tab/>
      </w:r>
      <w:r w:rsidRPr="009910B5">
        <w:rPr>
          <w:lang w:eastAsia="zh-CN"/>
        </w:rPr>
        <w:t>Introduction</w:t>
      </w:r>
      <w:bookmarkEnd w:id="12"/>
    </w:p>
    <w:p w14:paraId="6844171E" w14:textId="051B2A85" w:rsidR="003F277C" w:rsidRPr="009910B5" w:rsidRDefault="003F277C" w:rsidP="00796613">
      <w:pPr>
        <w:jc w:val="both"/>
        <w:rPr>
          <w:lang w:eastAsia="zh-CN"/>
        </w:rPr>
      </w:pPr>
      <w:r w:rsidRPr="009910B5">
        <w:t xml:space="preserve">At its 2023 session, the ITU Council amended </w:t>
      </w:r>
      <w:hyperlink r:id="rId13">
        <w:r w:rsidRPr="009910B5">
          <w:rPr>
            <w:rStyle w:val="Hyperlink"/>
            <w:rFonts w:asciiTheme="minorHAnsi" w:hAnsiTheme="minorHAnsi" w:cstheme="minorHAnsi"/>
            <w:szCs w:val="24"/>
          </w:rPr>
          <w:t>Resolution 1408</w:t>
        </w:r>
      </w:hyperlink>
      <w:r w:rsidRPr="009910B5">
        <w:t xml:space="preserve"> on “</w:t>
      </w:r>
      <w:r w:rsidRPr="009910B5">
        <w:rPr>
          <w:b/>
          <w:bCs/>
        </w:rPr>
        <w:t>Assistance and support to Ukraine for rebuilding their telecommunication sector</w:t>
      </w:r>
      <w:r w:rsidRPr="009910B5">
        <w:t xml:space="preserve">”. This report summarizes the actions the ITU secretariat has been undertaking since June 2024, to address the </w:t>
      </w:r>
      <w:r w:rsidRPr="009910B5">
        <w:rPr>
          <w:i/>
          <w:iCs/>
        </w:rPr>
        <w:t>resolves</w:t>
      </w:r>
      <w:r w:rsidRPr="009910B5">
        <w:t xml:space="preserve"> of this resolution, </w:t>
      </w:r>
      <w:proofErr w:type="gramStart"/>
      <w:r w:rsidRPr="009910B5">
        <w:t>in particular focusing</w:t>
      </w:r>
      <w:proofErr w:type="gramEnd"/>
      <w:r w:rsidRPr="009910B5">
        <w:t xml:space="preserve"> on monitoring and reporting, coordination mechanisms, technical assistance, mobilization of resources</w:t>
      </w:r>
      <w:r w:rsidRPr="009910B5">
        <w:rPr>
          <w:lang w:eastAsia="zh-CN"/>
        </w:rPr>
        <w:t xml:space="preserve"> and capacity-building activities. </w:t>
      </w:r>
    </w:p>
    <w:p w14:paraId="1737C426" w14:textId="16378AE1" w:rsidR="003F277C" w:rsidRPr="009910B5" w:rsidRDefault="003F277C" w:rsidP="004B07E2">
      <w:pPr>
        <w:pStyle w:val="Heading1"/>
        <w:spacing w:before="240"/>
        <w:rPr>
          <w:lang w:eastAsia="zh-CN"/>
        </w:rPr>
      </w:pPr>
      <w:bookmarkStart w:id="13" w:name="_Toc521108113"/>
      <w:r w:rsidRPr="009910B5">
        <w:rPr>
          <w:lang w:eastAsia="zh-CN"/>
        </w:rPr>
        <w:t>2</w:t>
      </w:r>
      <w:r w:rsidRPr="009910B5">
        <w:tab/>
        <w:t>Monitoring and reporting</w:t>
      </w:r>
      <w:bookmarkEnd w:id="13"/>
    </w:p>
    <w:p w14:paraId="516CAF02" w14:textId="77777777" w:rsidR="003F277C" w:rsidRPr="009910B5" w:rsidRDefault="003F277C" w:rsidP="00796613">
      <w:pPr>
        <w:jc w:val="both"/>
        <w:rPr>
          <w:rFonts w:asciiTheme="minorHAnsi" w:hAnsiTheme="minorHAnsi" w:cstheme="minorHAnsi"/>
          <w:szCs w:val="24"/>
          <w:lang w:eastAsia="zh-CN"/>
        </w:rPr>
      </w:pPr>
      <w:r w:rsidRPr="009910B5">
        <w:rPr>
          <w:rFonts w:asciiTheme="minorHAnsi" w:hAnsiTheme="minorHAnsi" w:cstheme="minorHAnsi"/>
          <w:szCs w:val="24"/>
        </w:rPr>
        <w:t xml:space="preserve">With </w:t>
      </w:r>
      <w:r w:rsidRPr="009910B5">
        <w:t>the</w:t>
      </w:r>
      <w:r w:rsidRPr="009910B5">
        <w:rPr>
          <w:rFonts w:asciiTheme="minorHAnsi" w:hAnsiTheme="minorHAnsi" w:cstheme="minorHAnsi"/>
          <w:szCs w:val="24"/>
        </w:rPr>
        <w:t xml:space="preserve"> aim of facilitating effective technical assistance, a constant monitoring of digital resilience in Ukraine was introduced. A s</w:t>
      </w:r>
      <w:r w:rsidRPr="009910B5">
        <w:rPr>
          <w:rFonts w:asciiTheme="minorHAnsi" w:hAnsiTheme="minorHAnsi" w:cstheme="minorHAnsi"/>
          <w:szCs w:val="24"/>
          <w:lang w:eastAsia="zh-CN"/>
        </w:rPr>
        <w:t xml:space="preserve">pecial website, dedicated to the implementation of Resolution 1408, was kept updated and is available </w:t>
      </w:r>
      <w:hyperlink r:id="rId14" w:history="1">
        <w:r w:rsidRPr="009910B5">
          <w:rPr>
            <w:rStyle w:val="Hyperlink"/>
            <w:rFonts w:asciiTheme="minorHAnsi" w:hAnsiTheme="minorHAnsi" w:cstheme="minorHAnsi"/>
            <w:szCs w:val="24"/>
            <w:lang w:eastAsia="zh-CN"/>
          </w:rPr>
          <w:t>here</w:t>
        </w:r>
      </w:hyperlink>
      <w:r w:rsidRPr="009910B5">
        <w:rPr>
          <w:rFonts w:asciiTheme="minorHAnsi" w:hAnsiTheme="minorHAnsi" w:cstheme="minorHAnsi"/>
          <w:szCs w:val="24"/>
          <w:lang w:eastAsia="zh-CN"/>
        </w:rPr>
        <w:t>.</w:t>
      </w:r>
    </w:p>
    <w:p w14:paraId="5182CB53" w14:textId="54AC8BCC" w:rsidR="003F277C" w:rsidRPr="009910B5" w:rsidRDefault="003F277C" w:rsidP="00796613">
      <w:pPr>
        <w:jc w:val="both"/>
        <w:rPr>
          <w:rFonts w:cs="Calibri"/>
        </w:rPr>
      </w:pPr>
      <w:r w:rsidRPr="009910B5">
        <w:rPr>
          <w:rFonts w:asciiTheme="minorHAnsi" w:eastAsiaTheme="minorEastAsia" w:hAnsiTheme="minorHAnsi" w:cstheme="minorBidi"/>
        </w:rPr>
        <w:t xml:space="preserve">ITU, as the United Nations (UN) Agency for Digital, continued to contribute to the regular exercise of </w:t>
      </w:r>
      <w:r w:rsidRPr="009910B5">
        <w:rPr>
          <w:rFonts w:asciiTheme="minorHAnsi" w:eastAsiaTheme="minorEastAsia" w:hAnsiTheme="minorHAnsi" w:cstheme="minorBidi"/>
          <w:b/>
          <w:bCs/>
        </w:rPr>
        <w:t>Rapid Damage and Needs Assessment Report (RDNA)</w:t>
      </w:r>
      <w:r w:rsidRPr="009910B5">
        <w:rPr>
          <w:rFonts w:asciiTheme="minorHAnsi" w:eastAsiaTheme="minorEastAsia" w:hAnsiTheme="minorHAnsi" w:cstheme="minorBidi"/>
        </w:rPr>
        <w:t xml:space="preserve">, facilitated by the European </w:t>
      </w:r>
      <w:r w:rsidRPr="009910B5">
        <w:t>Commission</w:t>
      </w:r>
      <w:r w:rsidRPr="009910B5">
        <w:rPr>
          <w:rFonts w:asciiTheme="minorHAnsi" w:eastAsiaTheme="minorEastAsia" w:hAnsiTheme="minorHAnsi" w:cstheme="minorBidi"/>
        </w:rPr>
        <w:t>, the World Bank and the UN. ITU</w:t>
      </w:r>
      <w:r w:rsidR="00125BB5">
        <w:rPr>
          <w:rFonts w:asciiTheme="minorHAnsi" w:eastAsiaTheme="minorEastAsia" w:hAnsiTheme="minorHAnsi" w:cstheme="minorBidi"/>
        </w:rPr>
        <w:t>’</w:t>
      </w:r>
      <w:r w:rsidRPr="009910B5">
        <w:rPr>
          <w:rFonts w:asciiTheme="minorHAnsi" w:eastAsiaTheme="minorEastAsia" w:hAnsiTheme="minorHAnsi" w:cstheme="minorBidi"/>
        </w:rPr>
        <w:t>s input mainly focused on the chapter on “Telecommunications</w:t>
      </w:r>
      <w:r w:rsidRPr="009910B5">
        <w:rPr>
          <w:rFonts w:asciiTheme="minorHAnsi" w:eastAsiaTheme="minorEastAsia" w:hAnsiTheme="minorHAnsi" w:cstheme="minorBidi"/>
          <w:color w:val="B6DDE8" w:themeColor="accent5" w:themeTint="66"/>
        </w:rPr>
        <w:t>,</w:t>
      </w:r>
      <w:r w:rsidRPr="009910B5">
        <w:rPr>
          <w:rFonts w:asciiTheme="minorHAnsi" w:eastAsiaTheme="minorEastAsia" w:hAnsiTheme="minorHAnsi" w:cstheme="minorBidi"/>
        </w:rPr>
        <w:t xml:space="preserve"> Digital</w:t>
      </w:r>
      <w:r w:rsidRPr="009910B5">
        <w:rPr>
          <w:rFonts w:eastAsia="Calibri" w:cs="Calibri"/>
          <w:szCs w:val="24"/>
        </w:rPr>
        <w:t>, and Media</w:t>
      </w:r>
      <w:r w:rsidRPr="009910B5">
        <w:rPr>
          <w:rFonts w:asciiTheme="minorHAnsi" w:eastAsiaTheme="minorEastAsia" w:hAnsiTheme="minorHAnsi" w:cstheme="minorBidi"/>
        </w:rPr>
        <w:t>”. The 4</w:t>
      </w:r>
      <w:r w:rsidRPr="009910B5">
        <w:rPr>
          <w:rFonts w:asciiTheme="minorHAnsi" w:eastAsiaTheme="minorEastAsia" w:hAnsiTheme="minorHAnsi" w:cstheme="minorBidi"/>
          <w:vertAlign w:val="superscript"/>
        </w:rPr>
        <w:t>th</w:t>
      </w:r>
      <w:r w:rsidRPr="009910B5">
        <w:rPr>
          <w:rFonts w:asciiTheme="minorHAnsi" w:eastAsiaTheme="minorEastAsia" w:hAnsiTheme="minorHAnsi" w:cstheme="minorBidi"/>
        </w:rPr>
        <w:t xml:space="preserve"> edition of the RDNA</w:t>
      </w:r>
      <w:r w:rsidRPr="009910B5">
        <w:rPr>
          <w:rStyle w:val="FootnoteReference"/>
          <w:rFonts w:eastAsiaTheme="minorEastAsia"/>
        </w:rPr>
        <w:footnoteReference w:id="2"/>
      </w:r>
      <w:r w:rsidRPr="009910B5">
        <w:rPr>
          <w:rFonts w:asciiTheme="minorHAnsi" w:eastAsiaTheme="minorEastAsia" w:hAnsiTheme="minorHAnsi" w:cstheme="minorBidi"/>
        </w:rPr>
        <w:t xml:space="preserve"> was released on 24 February 2025 and serves as a guiding document for the international donor community to assist in Ukraine</w:t>
      </w:r>
      <w:r w:rsidR="00125BB5">
        <w:rPr>
          <w:rFonts w:asciiTheme="minorHAnsi" w:eastAsiaTheme="minorEastAsia" w:hAnsiTheme="minorHAnsi" w:cstheme="minorBidi"/>
        </w:rPr>
        <w:t>’</w:t>
      </w:r>
      <w:r w:rsidRPr="009910B5">
        <w:rPr>
          <w:rFonts w:asciiTheme="minorHAnsi" w:eastAsiaTheme="minorEastAsia" w:hAnsiTheme="minorHAnsi" w:cstheme="minorBidi"/>
        </w:rPr>
        <w:t xml:space="preserve">s reconstruction process. </w:t>
      </w:r>
      <w:r w:rsidRPr="009910B5">
        <w:rPr>
          <w:rFonts w:cs="Calibri"/>
        </w:rPr>
        <w:t xml:space="preserve">The overall impact on </w:t>
      </w:r>
      <w:r w:rsidR="009910B5" w:rsidRPr="009910B5">
        <w:rPr>
          <w:rFonts w:cs="Calibri"/>
        </w:rPr>
        <w:t xml:space="preserve">the </w:t>
      </w:r>
      <w:r w:rsidRPr="009910B5">
        <w:rPr>
          <w:rFonts w:eastAsia="Calibri" w:cs="Calibri"/>
          <w:szCs w:val="24"/>
        </w:rPr>
        <w:t xml:space="preserve">telecommunications, digital, and media </w:t>
      </w:r>
      <w:r w:rsidRPr="009910B5">
        <w:rPr>
          <w:rFonts w:cs="Calibri"/>
        </w:rPr>
        <w:t xml:space="preserve">sector as of </w:t>
      </w:r>
      <w:r w:rsidR="001573A7" w:rsidRPr="009910B5">
        <w:rPr>
          <w:rFonts w:cs="Calibri"/>
        </w:rPr>
        <w:t>31</w:t>
      </w:r>
      <w:r w:rsidR="001573A7">
        <w:rPr>
          <w:rFonts w:cs="Calibri"/>
        </w:rPr>
        <w:t xml:space="preserve"> </w:t>
      </w:r>
      <w:r w:rsidRPr="009910B5">
        <w:rPr>
          <w:rFonts w:cs="Calibri"/>
        </w:rPr>
        <w:t>December 2024, is estimated at over US</w:t>
      </w:r>
      <w:r w:rsidR="00180312">
        <w:rPr>
          <w:rFonts w:cs="Calibri"/>
        </w:rPr>
        <w:t>D</w:t>
      </w:r>
      <w:r w:rsidR="001F71CE" w:rsidRPr="009910B5">
        <w:rPr>
          <w:rFonts w:cs="Calibri"/>
        </w:rPr>
        <w:t> </w:t>
      </w:r>
      <w:r w:rsidRPr="009910B5">
        <w:rPr>
          <w:rFonts w:cs="Calibri"/>
        </w:rPr>
        <w:t>2.24 billion in damage and US</w:t>
      </w:r>
      <w:r w:rsidR="00180312">
        <w:rPr>
          <w:rFonts w:cs="Calibri"/>
        </w:rPr>
        <w:t>D</w:t>
      </w:r>
      <w:r w:rsidR="001F71CE" w:rsidRPr="009910B5">
        <w:rPr>
          <w:rFonts w:cs="Calibri"/>
        </w:rPr>
        <w:t> </w:t>
      </w:r>
      <w:r w:rsidRPr="009910B5">
        <w:rPr>
          <w:rFonts w:cs="Calibri"/>
        </w:rPr>
        <w:t xml:space="preserve">2.38 billion in loss. </w:t>
      </w:r>
      <w:r w:rsidRPr="009910B5">
        <w:rPr>
          <w:rFonts w:eastAsia="Calibri" w:cs="Calibri"/>
          <w:szCs w:val="24"/>
        </w:rPr>
        <w:t xml:space="preserve">12.2% of households have lost access to mobile services. </w:t>
      </w:r>
      <w:r w:rsidRPr="009910B5">
        <w:rPr>
          <w:rFonts w:cs="Calibri"/>
        </w:rPr>
        <w:t xml:space="preserve">The total </w:t>
      </w:r>
      <w:r w:rsidRPr="009910B5">
        <w:t>reconstruction</w:t>
      </w:r>
      <w:r w:rsidRPr="009910B5">
        <w:rPr>
          <w:rFonts w:cs="Calibri"/>
        </w:rPr>
        <w:t xml:space="preserve"> and recovery needs are estimated at US</w:t>
      </w:r>
      <w:r w:rsidR="003339F5">
        <w:rPr>
          <w:rFonts w:cs="Calibri"/>
        </w:rPr>
        <w:t>D</w:t>
      </w:r>
      <w:r w:rsidR="001F71CE" w:rsidRPr="009910B5">
        <w:rPr>
          <w:rFonts w:cs="Calibri"/>
        </w:rPr>
        <w:t> </w:t>
      </w:r>
      <w:r w:rsidRPr="009910B5">
        <w:rPr>
          <w:rFonts w:cs="Calibri"/>
        </w:rPr>
        <w:t xml:space="preserve">5.86 billion over 10 years. </w:t>
      </w:r>
    </w:p>
    <w:p w14:paraId="21BF02B3" w14:textId="004A2E6F" w:rsidR="003F277C" w:rsidRPr="001573A7" w:rsidRDefault="003F277C" w:rsidP="001573A7">
      <w:pPr>
        <w:jc w:val="both"/>
        <w:rPr>
          <w:rFonts w:eastAsia="Calibri"/>
          <w:highlight w:val="cyan"/>
        </w:rPr>
      </w:pPr>
      <w:r w:rsidRPr="001573A7">
        <w:rPr>
          <w:rFonts w:eastAsiaTheme="minorEastAsia"/>
        </w:rPr>
        <w:t xml:space="preserve">For </w:t>
      </w:r>
      <w:r w:rsidRPr="001573A7">
        <w:t>the</w:t>
      </w:r>
      <w:r w:rsidRPr="001573A7">
        <w:rPr>
          <w:rFonts w:eastAsiaTheme="minorEastAsia"/>
        </w:rPr>
        <w:t xml:space="preserve"> purposes of the technical assistance on broadcasting, ITU elaborated 10 </w:t>
      </w:r>
      <w:r w:rsidRPr="001573A7">
        <w:t>technical reports on “</w:t>
      </w:r>
      <w:r w:rsidRPr="001573A7">
        <w:rPr>
          <w:b/>
          <w:bCs/>
        </w:rPr>
        <w:t>Primary Assessment of the Rehabilitation Costs of Broadcasting Stations</w:t>
      </w:r>
      <w:r w:rsidRPr="001573A7">
        <w:t xml:space="preserve">”, being the </w:t>
      </w:r>
      <w:r w:rsidRPr="001573A7">
        <w:rPr>
          <w:rFonts w:eastAsiaTheme="minorEastAsia"/>
        </w:rPr>
        <w:t>tool</w:t>
      </w:r>
      <w:r w:rsidRPr="001573A7">
        <w:t xml:space="preserve"> for engaging with </w:t>
      </w:r>
      <w:r w:rsidR="009910B5" w:rsidRPr="001573A7">
        <w:t xml:space="preserve">the </w:t>
      </w:r>
      <w:r w:rsidRPr="001573A7">
        <w:t>international donors</w:t>
      </w:r>
      <w:r w:rsidR="00125BB5">
        <w:t>’</w:t>
      </w:r>
      <w:r w:rsidRPr="001573A7">
        <w:t xml:space="preserve"> community.</w:t>
      </w:r>
      <w:r w:rsidRPr="001573A7" w:rsidDel="00903B09">
        <w:t xml:space="preserve"> </w:t>
      </w:r>
      <w:r w:rsidR="009910B5" w:rsidRPr="001573A7">
        <w:t>The l</w:t>
      </w:r>
      <w:r w:rsidRPr="001573A7">
        <w:rPr>
          <w:lang w:eastAsia="zh-CN"/>
        </w:rPr>
        <w:t xml:space="preserve">evel of </w:t>
      </w:r>
      <w:r w:rsidR="001573A7" w:rsidRPr="001573A7">
        <w:rPr>
          <w:lang w:eastAsia="zh-CN"/>
        </w:rPr>
        <w:t>damage to</w:t>
      </w:r>
      <w:r w:rsidRPr="001573A7">
        <w:rPr>
          <w:lang w:eastAsia="zh-CN"/>
        </w:rPr>
        <w:t xml:space="preserve"> </w:t>
      </w:r>
      <w:r w:rsidR="00291E87">
        <w:rPr>
          <w:lang w:eastAsia="zh-CN"/>
        </w:rPr>
        <w:t>15</w:t>
      </w:r>
      <w:r w:rsidRPr="001573A7">
        <w:rPr>
          <w:lang w:eastAsia="zh-CN"/>
        </w:rPr>
        <w:t xml:space="preserve"> broadcasting stations was considered, and ten stations were selected for the immediate assessment, leading towards the development of technical </w:t>
      </w:r>
      <w:r w:rsidR="009910B5" w:rsidRPr="001573A7">
        <w:rPr>
          <w:lang w:eastAsia="zh-CN"/>
        </w:rPr>
        <w:t>specifications,</w:t>
      </w:r>
      <w:r w:rsidRPr="001573A7">
        <w:rPr>
          <w:lang w:eastAsia="zh-CN"/>
        </w:rPr>
        <w:t xml:space="preserve"> including </w:t>
      </w:r>
      <w:r w:rsidR="009910B5" w:rsidRPr="001573A7">
        <w:rPr>
          <w:lang w:eastAsia="zh-CN"/>
        </w:rPr>
        <w:t xml:space="preserve">the </w:t>
      </w:r>
      <w:r w:rsidRPr="001573A7">
        <w:rPr>
          <w:lang w:eastAsia="zh-CN"/>
        </w:rPr>
        <w:t xml:space="preserve">financial dimension of investment needed and </w:t>
      </w:r>
      <w:r w:rsidR="009910B5" w:rsidRPr="001573A7">
        <w:rPr>
          <w:lang w:eastAsia="zh-CN"/>
        </w:rPr>
        <w:t xml:space="preserve">the </w:t>
      </w:r>
      <w:r w:rsidRPr="001573A7">
        <w:rPr>
          <w:lang w:eastAsia="zh-CN"/>
        </w:rPr>
        <w:t>implementation timeline. As the outcome of the activity</w:t>
      </w:r>
      <w:r w:rsidR="001573A7" w:rsidRPr="001573A7">
        <w:rPr>
          <w:lang w:eastAsia="zh-CN"/>
        </w:rPr>
        <w:t>,</w:t>
      </w:r>
      <w:r w:rsidRPr="001573A7">
        <w:rPr>
          <w:lang w:eastAsia="zh-CN"/>
        </w:rPr>
        <w:t xml:space="preserve"> ITU developed bankable project documents (available </w:t>
      </w:r>
      <w:hyperlink r:id="rId15" w:history="1">
        <w:r w:rsidRPr="001573A7">
          <w:rPr>
            <w:rStyle w:val="Hyperlink"/>
            <w:rFonts w:asciiTheme="minorHAnsi" w:hAnsiTheme="minorHAnsi" w:cstheme="minorHAnsi"/>
            <w:spacing w:val="-2"/>
            <w:szCs w:val="24"/>
            <w:lang w:eastAsia="zh-CN"/>
          </w:rPr>
          <w:t>here</w:t>
        </w:r>
      </w:hyperlink>
      <w:r w:rsidRPr="001573A7">
        <w:rPr>
          <w:lang w:eastAsia="zh-CN"/>
        </w:rPr>
        <w:t xml:space="preserve">) that are used to facilitate the aid from </w:t>
      </w:r>
      <w:r w:rsidR="009910B5" w:rsidRPr="001573A7">
        <w:rPr>
          <w:lang w:eastAsia="zh-CN"/>
        </w:rPr>
        <w:t xml:space="preserve">the </w:t>
      </w:r>
      <w:r w:rsidRPr="001573A7">
        <w:rPr>
          <w:lang w:eastAsia="zh-CN"/>
        </w:rPr>
        <w:t>international donor community for the reconstruction of the broadcasting infrastructure.</w:t>
      </w:r>
    </w:p>
    <w:p w14:paraId="37D754CF" w14:textId="44059B82" w:rsidR="003F277C" w:rsidRPr="009910B5" w:rsidRDefault="003F277C" w:rsidP="00796613">
      <w:pPr>
        <w:jc w:val="both"/>
        <w:rPr>
          <w:rFonts w:asciiTheme="minorHAnsi" w:eastAsiaTheme="minorEastAsia" w:hAnsiTheme="minorHAnsi" w:cstheme="minorBidi"/>
          <w:color w:val="000000" w:themeColor="text1"/>
        </w:rPr>
      </w:pPr>
      <w:r w:rsidRPr="009910B5">
        <w:rPr>
          <w:rFonts w:cs="Calibri"/>
          <w:color w:val="000000" w:themeColor="text1"/>
        </w:rPr>
        <w:t xml:space="preserve">As a contribution to the work of the UN, ITU developed the </w:t>
      </w:r>
      <w:r w:rsidRPr="009910B5">
        <w:rPr>
          <w:rFonts w:cs="Calibri"/>
          <w:b/>
          <w:bCs/>
          <w:color w:val="000000" w:themeColor="text1"/>
        </w:rPr>
        <w:t>Ukraine Digital Development Profile 2024</w:t>
      </w:r>
      <w:r w:rsidRPr="009910B5">
        <w:rPr>
          <w:rFonts w:cs="Calibri"/>
          <w:color w:val="000000" w:themeColor="text1"/>
        </w:rPr>
        <w:t>, which</w:t>
      </w:r>
      <w:r w:rsidRPr="009910B5">
        <w:rPr>
          <w:rFonts w:cs="Calibri"/>
          <w:b/>
          <w:bCs/>
          <w:color w:val="000000" w:themeColor="text1"/>
          <w:bdr w:val="none" w:sz="0" w:space="0" w:color="auto" w:frame="1"/>
          <w:shd w:val="clear" w:color="auto" w:fill="FFFFFF"/>
          <w:lang w:eastAsia="en-GB"/>
        </w:rPr>
        <w:t xml:space="preserve"> benefited from inputs from several UN Agencies.</w:t>
      </w:r>
      <w:r w:rsidRPr="009910B5" w:rsidDel="00EF64A3">
        <w:rPr>
          <w:rFonts w:cs="Calibri"/>
          <w:b/>
          <w:bCs/>
          <w:color w:val="000000" w:themeColor="text1"/>
          <w:bdr w:val="none" w:sz="0" w:space="0" w:color="auto" w:frame="1"/>
          <w:shd w:val="clear" w:color="auto" w:fill="FFFFFF"/>
          <w:lang w:eastAsia="en-GB"/>
        </w:rPr>
        <w:t xml:space="preserve"> </w:t>
      </w:r>
      <w:r w:rsidRPr="009910B5">
        <w:rPr>
          <w:rFonts w:cs="Calibri"/>
          <w:color w:val="000000" w:themeColor="text1"/>
          <w:bdr w:val="none" w:sz="0" w:space="0" w:color="auto" w:frame="1"/>
          <w:shd w:val="clear" w:color="auto" w:fill="FFFFFF"/>
          <w:lang w:eastAsia="en-GB"/>
        </w:rPr>
        <w:t>The report</w:t>
      </w:r>
      <w:r w:rsidRPr="009910B5">
        <w:rPr>
          <w:rFonts w:cs="Calibri"/>
          <w:color w:val="000000" w:themeColor="text1"/>
        </w:rPr>
        <w:t xml:space="preserve"> was developed in support of the Sustainable Development Cooperation Framework 2025-2029 and in cooperation and with the </w:t>
      </w:r>
      <w:r w:rsidR="00116C12">
        <w:rPr>
          <w:rFonts w:cs="Calibri"/>
          <w:color w:val="000000" w:themeColor="text1"/>
        </w:rPr>
        <w:t>m</w:t>
      </w:r>
      <w:r w:rsidRPr="009910B5">
        <w:rPr>
          <w:rFonts w:cs="Calibri"/>
          <w:color w:val="000000" w:themeColor="text1"/>
        </w:rPr>
        <w:t>embers of the United Nations Country Team for Ukraine and UN Digital Transformation Group for Europe and Central Asia.</w:t>
      </w:r>
    </w:p>
    <w:p w14:paraId="5ADD637D" w14:textId="6BD7A0D8" w:rsidR="003F277C" w:rsidRPr="009910B5" w:rsidRDefault="003F277C" w:rsidP="004B07E2">
      <w:pPr>
        <w:pStyle w:val="Heading1"/>
        <w:spacing w:before="240"/>
        <w:rPr>
          <w:rFonts w:cstheme="minorHAnsi"/>
          <w:szCs w:val="24"/>
        </w:rPr>
      </w:pPr>
      <w:bookmarkStart w:id="14" w:name="_Toc1291141038"/>
      <w:r w:rsidRPr="009910B5">
        <w:t>3</w:t>
      </w:r>
      <w:r w:rsidRPr="009910B5">
        <w:tab/>
        <w:t>Coordination mechanisms for effective implementation</w:t>
      </w:r>
      <w:bookmarkEnd w:id="14"/>
    </w:p>
    <w:p w14:paraId="7A3E8787" w14:textId="77777777" w:rsidR="003F277C" w:rsidRPr="009910B5" w:rsidRDefault="003F277C" w:rsidP="00796613">
      <w:pPr>
        <w:jc w:val="both"/>
        <w:rPr>
          <w:rFonts w:asciiTheme="minorHAnsi" w:hAnsiTheme="minorHAnsi" w:cstheme="minorBidi"/>
        </w:rPr>
      </w:pPr>
      <w:r w:rsidRPr="009910B5">
        <w:rPr>
          <w:rFonts w:asciiTheme="minorHAnsi" w:hAnsiTheme="minorHAnsi" w:cstheme="minorBidi"/>
        </w:rPr>
        <w:t xml:space="preserve">At the level of ITU, a </w:t>
      </w:r>
      <w:r w:rsidRPr="009910B5">
        <w:rPr>
          <w:rFonts w:asciiTheme="minorHAnsi" w:hAnsiTheme="minorHAnsi" w:cstheme="minorBidi"/>
          <w:b/>
          <w:bCs/>
        </w:rPr>
        <w:t>Special Task Force on Resolution 1408</w:t>
      </w:r>
      <w:r w:rsidRPr="009910B5">
        <w:rPr>
          <w:rFonts w:asciiTheme="minorHAnsi" w:hAnsiTheme="minorHAnsi" w:cstheme="minorBidi"/>
        </w:rPr>
        <w:t>, chaired by the Deputy Secretary-General and serviced by the ITU Office for Europe, continues to provide the platform for intersectoral response to all issues related to the implementation of this resolution.</w:t>
      </w:r>
    </w:p>
    <w:p w14:paraId="4BE22D12" w14:textId="6925FBD6" w:rsidR="003F277C" w:rsidRPr="009910B5" w:rsidDel="00903B09" w:rsidRDefault="003F277C" w:rsidP="009910B5">
      <w:pPr>
        <w:keepNext/>
        <w:jc w:val="both"/>
        <w:rPr>
          <w:rFonts w:asciiTheme="minorHAnsi" w:hAnsiTheme="minorHAnsi" w:cstheme="minorHAnsi"/>
          <w:szCs w:val="24"/>
        </w:rPr>
      </w:pPr>
      <w:r w:rsidRPr="009910B5" w:rsidDel="00903B09">
        <w:rPr>
          <w:rFonts w:asciiTheme="minorHAnsi" w:hAnsiTheme="minorHAnsi" w:cstheme="minorHAnsi"/>
          <w:spacing w:val="4"/>
          <w:szCs w:val="24"/>
        </w:rPr>
        <w:lastRenderedPageBreak/>
        <w:t xml:space="preserve">With the aim of ensuring </w:t>
      </w:r>
      <w:r w:rsidR="009910B5" w:rsidRPr="009910B5">
        <w:rPr>
          <w:rFonts w:asciiTheme="minorHAnsi" w:hAnsiTheme="minorHAnsi" w:cstheme="minorHAnsi"/>
          <w:spacing w:val="4"/>
          <w:szCs w:val="24"/>
        </w:rPr>
        <w:t xml:space="preserve">a </w:t>
      </w:r>
      <w:r w:rsidRPr="009910B5" w:rsidDel="00903B09">
        <w:rPr>
          <w:rFonts w:asciiTheme="minorHAnsi" w:hAnsiTheme="minorHAnsi" w:cstheme="minorHAnsi"/>
          <w:spacing w:val="4"/>
          <w:szCs w:val="24"/>
        </w:rPr>
        <w:t xml:space="preserve">coordinated approach for ITU activities in response to </w:t>
      </w:r>
      <w:r w:rsidRPr="009910B5" w:rsidDel="00903B09">
        <w:rPr>
          <w:rFonts w:asciiTheme="minorHAnsi" w:hAnsiTheme="minorHAnsi" w:cstheme="minorHAnsi"/>
          <w:szCs w:val="24"/>
        </w:rPr>
        <w:t>Resolution 1408, a series of coordination mechanisms have been put in place, as follows:</w:t>
      </w:r>
    </w:p>
    <w:p w14:paraId="3EE7DC16" w14:textId="4F93BAFA" w:rsidR="003F277C" w:rsidRPr="009910B5" w:rsidDel="00903B09" w:rsidRDefault="00796613" w:rsidP="00796613">
      <w:pPr>
        <w:pStyle w:val="enumlev1"/>
        <w:jc w:val="both"/>
      </w:pPr>
      <w:r w:rsidRPr="009910B5">
        <w:t>–</w:t>
      </w:r>
      <w:r w:rsidRPr="009910B5">
        <w:tab/>
      </w:r>
      <w:r w:rsidR="003F277C" w:rsidRPr="009910B5">
        <w:t xml:space="preserve">ITU conducts regular coordination calls with the official focal point of the </w:t>
      </w:r>
      <w:r w:rsidR="003F277C" w:rsidRPr="009910B5">
        <w:rPr>
          <w:b/>
          <w:bCs/>
        </w:rPr>
        <w:t xml:space="preserve">Ministry of Digital Transformation of Ukraine, </w:t>
      </w:r>
      <w:r w:rsidR="003F277C" w:rsidRPr="009910B5">
        <w:t xml:space="preserve">acting as Administration Member State for ITU. In </w:t>
      </w:r>
      <w:proofErr w:type="gramStart"/>
      <w:r w:rsidR="003F277C" w:rsidRPr="009910B5">
        <w:t>addition</w:t>
      </w:r>
      <w:proofErr w:type="gramEnd"/>
      <w:r w:rsidR="003F277C" w:rsidRPr="009910B5">
        <w:t xml:space="preserve"> ITU continues, upon the needs, to cooperate with </w:t>
      </w:r>
      <w:r w:rsidR="003F277C" w:rsidRPr="009910B5">
        <w:rPr>
          <w:rFonts w:eastAsia="Calibri" w:cs="Calibri"/>
        </w:rPr>
        <w:t xml:space="preserve">the </w:t>
      </w:r>
      <w:r w:rsidR="003F277C" w:rsidRPr="009910B5">
        <w:t xml:space="preserve">State Service of Special Communications and </w:t>
      </w:r>
      <w:r w:rsidR="003F277C" w:rsidRPr="009910B5">
        <w:rPr>
          <w:rFonts w:cstheme="minorHAnsi"/>
        </w:rPr>
        <w:t>Information</w:t>
      </w:r>
      <w:r w:rsidR="003F277C" w:rsidRPr="009910B5">
        <w:t xml:space="preserve"> Protection (SSSICP), the Broadcasting, Radiocommunications and Television Concern, </w:t>
      </w:r>
      <w:r w:rsidR="003F277C" w:rsidRPr="009910B5">
        <w:rPr>
          <w:rFonts w:eastAsia="Calibri" w:cs="Calibri"/>
        </w:rPr>
        <w:t xml:space="preserve">and the </w:t>
      </w:r>
      <w:r w:rsidR="003F277C" w:rsidRPr="009910B5" w:rsidDel="00903B09">
        <w:t>National Commission for the State Regulation of Electronic Communications, Radio Frequency Spectrum and the Provision of Postal Services</w:t>
      </w:r>
      <w:r w:rsidR="003F277C" w:rsidRPr="009910B5">
        <w:t xml:space="preserve">. </w:t>
      </w:r>
    </w:p>
    <w:p w14:paraId="5FF31BF2" w14:textId="01F70BC6" w:rsidR="003F277C" w:rsidRPr="009910B5" w:rsidRDefault="00796613" w:rsidP="00796613">
      <w:pPr>
        <w:pStyle w:val="enumlev1"/>
        <w:jc w:val="both"/>
        <w:rPr>
          <w:szCs w:val="24"/>
        </w:rPr>
      </w:pPr>
      <w:r w:rsidRPr="009910B5">
        <w:t>–</w:t>
      </w:r>
      <w:r w:rsidRPr="009910B5">
        <w:tab/>
      </w:r>
      <w:r w:rsidR="003F277C" w:rsidRPr="009910B5">
        <w:rPr>
          <w:szCs w:val="24"/>
        </w:rPr>
        <w:t xml:space="preserve">As a </w:t>
      </w:r>
      <w:r w:rsidR="003F277C" w:rsidRPr="009910B5">
        <w:t>member</w:t>
      </w:r>
      <w:r w:rsidR="003F277C" w:rsidRPr="009910B5">
        <w:rPr>
          <w:szCs w:val="24"/>
        </w:rPr>
        <w:t xml:space="preserve"> of the </w:t>
      </w:r>
      <w:r w:rsidR="003F277C" w:rsidRPr="009910B5">
        <w:rPr>
          <w:b/>
          <w:bCs/>
          <w:szCs w:val="24"/>
        </w:rPr>
        <w:t>UN Country Team</w:t>
      </w:r>
      <w:r w:rsidR="003F277C" w:rsidRPr="009910B5">
        <w:rPr>
          <w:szCs w:val="24"/>
        </w:rPr>
        <w:t>, ITU continues to coordinate all its actions with the UN system. ITU contributed to the implementation of the UN Transitional Framework for 2024 and currently support the process of the</w:t>
      </w:r>
      <w:r w:rsidR="003F277C" w:rsidRPr="009910B5" w:rsidDel="00E950F5">
        <w:rPr>
          <w:szCs w:val="24"/>
        </w:rPr>
        <w:t xml:space="preserve"> </w:t>
      </w:r>
      <w:r w:rsidR="003F277C" w:rsidRPr="009910B5">
        <w:rPr>
          <w:szCs w:val="24"/>
        </w:rPr>
        <w:t xml:space="preserve">UN Sustainable Development Cooperation Framework 2025-2029. </w:t>
      </w:r>
    </w:p>
    <w:p w14:paraId="0C83F898" w14:textId="09614DF3" w:rsidR="003F277C" w:rsidRPr="009910B5" w:rsidRDefault="00796613" w:rsidP="1AF47034">
      <w:pPr>
        <w:pStyle w:val="enumlev1"/>
        <w:jc w:val="both"/>
        <w:rPr>
          <w:rFonts w:cstheme="minorBidi"/>
        </w:rPr>
      </w:pPr>
      <w:r>
        <w:t>–</w:t>
      </w:r>
      <w:r>
        <w:tab/>
      </w:r>
      <w:r w:rsidR="003F277C" w:rsidRPr="1AF47034">
        <w:rPr>
          <w:rFonts w:cstheme="minorBidi"/>
        </w:rPr>
        <w:t xml:space="preserve">ITU conducts regular coordination with the </w:t>
      </w:r>
      <w:r w:rsidR="003F277C" w:rsidRPr="1AF47034">
        <w:rPr>
          <w:rFonts w:cstheme="minorBidi"/>
          <w:b/>
          <w:bCs/>
        </w:rPr>
        <w:t xml:space="preserve">European Commission </w:t>
      </w:r>
      <w:r w:rsidR="003F277C" w:rsidRPr="1AF47034">
        <w:rPr>
          <w:rFonts w:cstheme="minorBidi"/>
        </w:rPr>
        <w:t xml:space="preserve">on its ongoing and planned activities in the field of ICT and broadcasting infrastructure reconstruction, roll out of 5G infrastructure. As a </w:t>
      </w:r>
      <w:r w:rsidR="00C16DC9" w:rsidRPr="1AF47034">
        <w:rPr>
          <w:rFonts w:cstheme="minorBidi"/>
        </w:rPr>
        <w:t>result,</w:t>
      </w:r>
      <w:r w:rsidR="003F277C" w:rsidRPr="1AF47034">
        <w:rPr>
          <w:rFonts w:cstheme="minorBidi"/>
        </w:rPr>
        <w:t xml:space="preserve"> a first joint ITU-EU TAIEX workshop was held in December 2024.</w:t>
      </w:r>
    </w:p>
    <w:p w14:paraId="3DE4A55A" w14:textId="203B026C" w:rsidR="003F277C" w:rsidRPr="009910B5" w:rsidRDefault="00796613" w:rsidP="00796613">
      <w:pPr>
        <w:pStyle w:val="enumlev1"/>
        <w:jc w:val="both"/>
        <w:rPr>
          <w:rFonts w:cstheme="minorHAnsi"/>
          <w:szCs w:val="24"/>
        </w:rPr>
      </w:pPr>
      <w:r w:rsidRPr="009910B5">
        <w:t>–</w:t>
      </w:r>
      <w:r w:rsidRPr="009910B5">
        <w:tab/>
      </w:r>
      <w:r w:rsidR="003F277C" w:rsidRPr="009910B5">
        <w:rPr>
          <w:rFonts w:cstheme="minorHAnsi"/>
          <w:szCs w:val="24"/>
        </w:rPr>
        <w:t xml:space="preserve">In June 2024, upon the invitation of Germany, ITU contributed to the Ukraine Recovery Conference held in Berlin. </w:t>
      </w:r>
      <w:r w:rsidR="009910B5" w:rsidRPr="009910B5">
        <w:rPr>
          <w:rFonts w:cstheme="minorHAnsi"/>
          <w:szCs w:val="24"/>
        </w:rPr>
        <w:t>The roundtable for international organizations offered an opportunity to highlight</w:t>
      </w:r>
      <w:r w:rsidR="003F277C" w:rsidRPr="009910B5">
        <w:rPr>
          <w:rFonts w:cstheme="minorHAnsi"/>
          <w:szCs w:val="24"/>
        </w:rPr>
        <w:t xml:space="preserve"> the work carried out by ITU, while seeking effective partnerships to further advance the implementation of the ITU Council Resolution 1408. Preparations have started towards ITU</w:t>
      </w:r>
      <w:r w:rsidR="00125BB5">
        <w:rPr>
          <w:rFonts w:cstheme="minorHAnsi"/>
          <w:szCs w:val="24"/>
        </w:rPr>
        <w:t>’</w:t>
      </w:r>
      <w:r w:rsidR="003F277C" w:rsidRPr="009910B5">
        <w:rPr>
          <w:rFonts w:cstheme="minorHAnsi"/>
          <w:szCs w:val="24"/>
        </w:rPr>
        <w:t xml:space="preserve">s contribution to the Ukraine Recovery Conference 2025 to be held in Italy (10-11 July). </w:t>
      </w:r>
    </w:p>
    <w:p w14:paraId="07A84823" w14:textId="4A4266C5" w:rsidR="003F277C" w:rsidRPr="009910B5" w:rsidRDefault="003F277C" w:rsidP="004B07E2">
      <w:pPr>
        <w:pStyle w:val="Heading1"/>
        <w:spacing w:before="240"/>
      </w:pPr>
      <w:bookmarkStart w:id="15" w:name="_Toc740993895"/>
      <w:r w:rsidRPr="009910B5">
        <w:t>4</w:t>
      </w:r>
      <w:r w:rsidRPr="009910B5">
        <w:tab/>
        <w:t xml:space="preserve">Technical </w:t>
      </w:r>
      <w:proofErr w:type="gramStart"/>
      <w:r w:rsidRPr="009910B5">
        <w:t>assistance</w:t>
      </w:r>
      <w:bookmarkEnd w:id="15"/>
      <w:proofErr w:type="gramEnd"/>
      <w:r w:rsidRPr="009910B5">
        <w:t xml:space="preserve"> </w:t>
      </w:r>
    </w:p>
    <w:p w14:paraId="5DE42368" w14:textId="1F78D052" w:rsidR="003F277C" w:rsidRPr="009910B5" w:rsidRDefault="003F277C" w:rsidP="00796613">
      <w:pPr>
        <w:jc w:val="both"/>
        <w:rPr>
          <w:rFonts w:cstheme="minorBidi"/>
        </w:rPr>
      </w:pPr>
      <w:r w:rsidRPr="009910B5">
        <w:rPr>
          <w:rFonts w:asciiTheme="minorHAnsi" w:hAnsiTheme="minorHAnsi" w:cstheme="minorBidi"/>
        </w:rPr>
        <w:t xml:space="preserve">In coordination with and at the request of the </w:t>
      </w:r>
      <w:r w:rsidRPr="009910B5">
        <w:rPr>
          <w:rFonts w:asciiTheme="minorHAnsi" w:eastAsiaTheme="minorEastAsia" w:hAnsiTheme="minorHAnsi" w:cstheme="minorBidi"/>
          <w:b/>
        </w:rPr>
        <w:t>National Commission for the State Regulation</w:t>
      </w:r>
      <w:r w:rsidRPr="009910B5">
        <w:rPr>
          <w:rFonts w:asciiTheme="minorHAnsi" w:eastAsiaTheme="minorEastAsia" w:hAnsiTheme="minorHAnsi" w:cstheme="minorBidi"/>
        </w:rPr>
        <w:t xml:space="preserve"> of Electronic Communications, Radio Frequency Spectrum and the Provision of Postal Services and the Ministry of Digital Transformation of Ukraine, ITU has proposed the capacity-building activities to equip Ukrainian officials working on the telecommunication issues with required skills and knowledge. Building upon the expertise from three ITU Bureaux, the </w:t>
      </w:r>
      <w:r w:rsidRPr="009910B5">
        <w:rPr>
          <w:rFonts w:asciiTheme="minorHAnsi" w:hAnsiTheme="minorHAnsi" w:cstheme="minorBidi"/>
          <w:b/>
        </w:rPr>
        <w:t>Executive Training on Fifth Generation (5G) Implementation</w:t>
      </w:r>
      <w:r w:rsidRPr="009910B5">
        <w:rPr>
          <w:rFonts w:asciiTheme="minorHAnsi" w:hAnsiTheme="minorHAnsi" w:cstheme="minorBidi"/>
        </w:rPr>
        <w:t xml:space="preserve"> for Ukrainian officials has been rolled-out in spring 2024. In addition, responding</w:t>
      </w:r>
      <w:r w:rsidRPr="009910B5">
        <w:rPr>
          <w:rFonts w:cstheme="minorBidi"/>
        </w:rPr>
        <w:t xml:space="preserve"> to the</w:t>
      </w:r>
      <w:r w:rsidRPr="009910B5">
        <w:rPr>
          <w:rFonts w:cstheme="minorBidi"/>
          <w:b/>
        </w:rPr>
        <w:t xml:space="preserve"> </w:t>
      </w:r>
      <w:r w:rsidRPr="009910B5">
        <w:rPr>
          <w:rFonts w:cstheme="minorBidi"/>
        </w:rPr>
        <w:t>Administration</w:t>
      </w:r>
      <w:r w:rsidR="00125BB5">
        <w:rPr>
          <w:rFonts w:cstheme="minorBidi"/>
        </w:rPr>
        <w:t>’</w:t>
      </w:r>
      <w:r w:rsidRPr="009910B5">
        <w:rPr>
          <w:rFonts w:cstheme="minorBidi"/>
        </w:rPr>
        <w:t xml:space="preserve">s interest, a </w:t>
      </w:r>
      <w:r w:rsidRPr="009910B5">
        <w:rPr>
          <w:rFonts w:cstheme="minorBidi"/>
          <w:b/>
        </w:rPr>
        <w:t>series of trainings</w:t>
      </w:r>
      <w:r w:rsidRPr="009910B5">
        <w:rPr>
          <w:rFonts w:cstheme="minorBidi"/>
        </w:rPr>
        <w:t xml:space="preserve"> was made available through the </w:t>
      </w:r>
      <w:r w:rsidRPr="009910B5">
        <w:rPr>
          <w:rFonts w:cstheme="minorBidi"/>
          <w:b/>
        </w:rPr>
        <w:t>ITU Academy</w:t>
      </w:r>
      <w:r w:rsidRPr="009910B5">
        <w:rPr>
          <w:rFonts w:cstheme="minorBidi"/>
        </w:rPr>
        <w:t xml:space="preserve">. </w:t>
      </w:r>
    </w:p>
    <w:p w14:paraId="142F2B92" w14:textId="5D726C41" w:rsidR="003F277C" w:rsidRPr="009910B5" w:rsidRDefault="003F277C" w:rsidP="1AF47034">
      <w:pPr>
        <w:jc w:val="both"/>
        <w:rPr>
          <w:rFonts w:asciiTheme="minorHAnsi" w:hAnsiTheme="minorHAnsi" w:cstheme="minorBidi"/>
        </w:rPr>
      </w:pPr>
      <w:r w:rsidRPr="1AF47034">
        <w:rPr>
          <w:rFonts w:asciiTheme="minorHAnsi" w:hAnsiTheme="minorHAnsi" w:cstheme="minorBidi"/>
        </w:rPr>
        <w:t>In December 2024</w:t>
      </w:r>
      <w:r w:rsidR="009910B5" w:rsidRPr="1AF47034">
        <w:rPr>
          <w:rFonts w:asciiTheme="minorHAnsi" w:hAnsiTheme="minorHAnsi" w:cstheme="minorBidi"/>
        </w:rPr>
        <w:t>,</w:t>
      </w:r>
      <w:r w:rsidRPr="1AF47034">
        <w:rPr>
          <w:rFonts w:asciiTheme="minorHAnsi" w:hAnsiTheme="minorHAnsi" w:cstheme="minorBidi"/>
        </w:rPr>
        <w:t xml:space="preserve"> ITU</w:t>
      </w:r>
      <w:r w:rsidR="009910B5" w:rsidRPr="1AF47034">
        <w:rPr>
          <w:rFonts w:asciiTheme="minorHAnsi" w:hAnsiTheme="minorHAnsi" w:cstheme="minorBidi"/>
        </w:rPr>
        <w:t>, in cooperation with the European Commission,</w:t>
      </w:r>
      <w:r w:rsidRPr="1AF47034">
        <w:rPr>
          <w:rFonts w:asciiTheme="minorHAnsi" w:hAnsiTheme="minorHAnsi" w:cstheme="minorBidi"/>
        </w:rPr>
        <w:t xml:space="preserve"> organi</w:t>
      </w:r>
      <w:r w:rsidR="00B7068E" w:rsidRPr="1AF47034">
        <w:rPr>
          <w:rFonts w:asciiTheme="minorHAnsi" w:hAnsiTheme="minorHAnsi" w:cstheme="minorBidi"/>
        </w:rPr>
        <w:t>z</w:t>
      </w:r>
      <w:r w:rsidRPr="1AF47034">
        <w:rPr>
          <w:rFonts w:asciiTheme="minorHAnsi" w:hAnsiTheme="minorHAnsi" w:cstheme="minorBidi"/>
        </w:rPr>
        <w:t xml:space="preserve">ed the TAIEX </w:t>
      </w:r>
      <w:r w:rsidRPr="1AF47034">
        <w:rPr>
          <w:rFonts w:asciiTheme="minorHAnsi" w:hAnsiTheme="minorHAnsi" w:cstheme="minorBidi"/>
          <w:b/>
          <w:bCs/>
        </w:rPr>
        <w:t>Workshop on 5G and spectrum management</w:t>
      </w:r>
      <w:r w:rsidRPr="1AF47034">
        <w:rPr>
          <w:rFonts w:asciiTheme="minorHAnsi" w:hAnsiTheme="minorHAnsi" w:cstheme="minorBidi"/>
        </w:rPr>
        <w:t xml:space="preserve"> hosted by the Office of Electronic Communications (UKE) in Warsaw, Poland. The workshop has gathered the Ukrainian Officials from the</w:t>
      </w:r>
      <w:r w:rsidRPr="1AF47034">
        <w:rPr>
          <w:rFonts w:asciiTheme="minorHAnsi" w:eastAsiaTheme="minorEastAsia" w:hAnsiTheme="minorHAnsi" w:cstheme="minorBidi"/>
        </w:rPr>
        <w:t xml:space="preserve"> National Commission for the State Regulation of Electronic Communications, Radio Frequency Spectrum and the Provision of Postal Services and the Ministry of Digital Transformation of Ukraine, </w:t>
      </w:r>
      <w:r w:rsidRPr="1AF47034">
        <w:rPr>
          <w:rFonts w:eastAsia="Calibri" w:cs="Calibri"/>
        </w:rPr>
        <w:t xml:space="preserve">the </w:t>
      </w:r>
      <w:r w:rsidRPr="1AF47034">
        <w:rPr>
          <w:rFonts w:asciiTheme="minorHAnsi" w:eastAsiaTheme="minorEastAsia" w:hAnsiTheme="minorHAnsi" w:cstheme="minorBidi"/>
        </w:rPr>
        <w:t xml:space="preserve">Ukrainian Centre of Radio Frequences as well as the European experts, ITU and European Commission representatives to equip Ukrainian side with the skill and knowledge on </w:t>
      </w:r>
      <w:r w:rsidRPr="1AF47034">
        <w:rPr>
          <w:rFonts w:asciiTheme="minorHAnsi" w:hAnsiTheme="minorHAnsi" w:cstheme="minorBidi"/>
        </w:rPr>
        <w:t xml:space="preserve">5G deployment, providing practical insights into </w:t>
      </w:r>
      <w:r w:rsidR="301B1269" w:rsidRPr="1AF47034">
        <w:rPr>
          <w:rFonts w:asciiTheme="minorHAnsi" w:hAnsiTheme="minorHAnsi" w:cstheme="minorBidi"/>
        </w:rPr>
        <w:t xml:space="preserve">such areas as </w:t>
      </w:r>
      <w:r w:rsidRPr="1AF47034">
        <w:rPr>
          <w:rFonts w:asciiTheme="minorHAnsi" w:hAnsiTheme="minorHAnsi" w:cstheme="minorBidi"/>
        </w:rPr>
        <w:t>spectrum management</w:t>
      </w:r>
      <w:r w:rsidR="660F0E33" w:rsidRPr="1AF47034">
        <w:rPr>
          <w:rFonts w:asciiTheme="minorHAnsi" w:hAnsiTheme="minorHAnsi" w:cstheme="minorBidi"/>
        </w:rPr>
        <w:t xml:space="preserve"> and</w:t>
      </w:r>
      <w:r w:rsidRPr="1AF47034">
        <w:rPr>
          <w:rFonts w:asciiTheme="minorHAnsi" w:hAnsiTheme="minorHAnsi" w:cstheme="minorBidi"/>
        </w:rPr>
        <w:t xml:space="preserve"> cybersecurity.</w:t>
      </w:r>
    </w:p>
    <w:p w14:paraId="70A72AE5" w14:textId="127DBDA6" w:rsidR="003F277C" w:rsidRPr="009910B5" w:rsidRDefault="003F277C" w:rsidP="00796613">
      <w:pPr>
        <w:jc w:val="both"/>
        <w:rPr>
          <w:rFonts w:asciiTheme="minorHAnsi" w:hAnsiTheme="minorHAnsi" w:cstheme="minorBidi"/>
        </w:rPr>
      </w:pPr>
      <w:r w:rsidRPr="009910B5">
        <w:rPr>
          <w:rFonts w:asciiTheme="minorHAnsi" w:hAnsiTheme="minorHAnsi" w:cstheme="minorBidi"/>
        </w:rPr>
        <w:t xml:space="preserve">ITU is </w:t>
      </w:r>
      <w:r w:rsidR="009910B5" w:rsidRPr="009910B5">
        <w:rPr>
          <w:rFonts w:asciiTheme="minorHAnsi" w:hAnsiTheme="minorHAnsi" w:cstheme="minorBidi"/>
        </w:rPr>
        <w:t>continuing</w:t>
      </w:r>
      <w:r w:rsidRPr="009910B5">
        <w:rPr>
          <w:rFonts w:asciiTheme="minorHAnsi" w:hAnsiTheme="minorHAnsi" w:cstheme="minorBidi"/>
        </w:rPr>
        <w:t xml:space="preserve"> the </w:t>
      </w:r>
      <w:r w:rsidR="009910B5" w:rsidRPr="009910B5">
        <w:rPr>
          <w:rFonts w:asciiTheme="minorHAnsi" w:hAnsiTheme="minorHAnsi" w:cstheme="minorBidi"/>
        </w:rPr>
        <w:t>engagement</w:t>
      </w:r>
      <w:r w:rsidRPr="009910B5">
        <w:rPr>
          <w:rFonts w:asciiTheme="minorHAnsi" w:hAnsiTheme="minorHAnsi" w:cstheme="minorBidi"/>
        </w:rPr>
        <w:t xml:space="preserve"> within </w:t>
      </w:r>
      <w:r w:rsidR="009910B5" w:rsidRPr="009910B5">
        <w:rPr>
          <w:rFonts w:asciiTheme="minorHAnsi" w:hAnsiTheme="minorHAnsi" w:cstheme="minorBidi"/>
        </w:rPr>
        <w:t xml:space="preserve">the </w:t>
      </w:r>
      <w:r w:rsidRPr="009910B5">
        <w:rPr>
          <w:rFonts w:asciiTheme="minorHAnsi" w:hAnsiTheme="minorHAnsi" w:cstheme="minorBidi"/>
        </w:rPr>
        <w:t>TAIEX mechanis</w:t>
      </w:r>
      <w:r w:rsidR="009910B5" w:rsidRPr="009910B5">
        <w:rPr>
          <w:rFonts w:asciiTheme="minorHAnsi" w:hAnsiTheme="minorHAnsi" w:cstheme="minorBidi"/>
        </w:rPr>
        <w:t>m</w:t>
      </w:r>
      <w:r w:rsidRPr="009910B5">
        <w:rPr>
          <w:rFonts w:asciiTheme="minorHAnsi" w:hAnsiTheme="minorHAnsi" w:cstheme="minorBidi"/>
        </w:rPr>
        <w:t xml:space="preserve"> and is planning in September 2025 the powered TAIEX </w:t>
      </w:r>
      <w:r w:rsidRPr="009910B5">
        <w:rPr>
          <w:rFonts w:asciiTheme="minorHAnsi" w:hAnsiTheme="minorHAnsi" w:cstheme="minorBidi"/>
          <w:b/>
          <w:bCs/>
        </w:rPr>
        <w:t>Workshop on ICT Infrastructure Reconstruction in Ukraine: Collaboration for a Resilient Future</w:t>
      </w:r>
      <w:r w:rsidRPr="009910B5">
        <w:rPr>
          <w:rFonts w:asciiTheme="minorHAnsi" w:hAnsiTheme="minorHAnsi" w:cstheme="minorBidi"/>
        </w:rPr>
        <w:t xml:space="preserve">. Considering the ongoing challenges faced by Ukraine due </w:t>
      </w:r>
      <w:r w:rsidRPr="009910B5">
        <w:rPr>
          <w:rFonts w:asciiTheme="minorHAnsi" w:hAnsiTheme="minorHAnsi" w:cstheme="minorBidi"/>
        </w:rPr>
        <w:lastRenderedPageBreak/>
        <w:t>to ICT infrastructure damage, this workshop will focus on building the capacities of Ukrainian representatives on policies, financial instrument</w:t>
      </w:r>
      <w:r w:rsidR="001573A7">
        <w:rPr>
          <w:rFonts w:asciiTheme="minorHAnsi" w:hAnsiTheme="minorHAnsi" w:cstheme="minorBidi"/>
        </w:rPr>
        <w:t>s</w:t>
      </w:r>
      <w:r w:rsidRPr="009910B5">
        <w:rPr>
          <w:rFonts w:asciiTheme="minorHAnsi" w:hAnsiTheme="minorHAnsi" w:cstheme="minorBidi"/>
        </w:rPr>
        <w:t xml:space="preserve"> and approaches towards the rehabilitation and moderni</w:t>
      </w:r>
      <w:r w:rsidR="00B7068E">
        <w:rPr>
          <w:rFonts w:asciiTheme="minorHAnsi" w:hAnsiTheme="minorHAnsi" w:cstheme="minorBidi"/>
        </w:rPr>
        <w:t>z</w:t>
      </w:r>
      <w:r w:rsidRPr="009910B5">
        <w:rPr>
          <w:rFonts w:asciiTheme="minorHAnsi" w:hAnsiTheme="minorHAnsi" w:cstheme="minorBidi"/>
        </w:rPr>
        <w:t>ation of Ukraine</w:t>
      </w:r>
      <w:r w:rsidR="00125BB5">
        <w:rPr>
          <w:rFonts w:asciiTheme="minorHAnsi" w:hAnsiTheme="minorHAnsi" w:cstheme="minorBidi"/>
        </w:rPr>
        <w:t>’</w:t>
      </w:r>
      <w:r w:rsidRPr="009910B5">
        <w:rPr>
          <w:rFonts w:asciiTheme="minorHAnsi" w:hAnsiTheme="minorHAnsi" w:cstheme="minorBidi"/>
        </w:rPr>
        <w:t>s ICT infrastructure to address critical gaps and prioritize actions for building a resilient and inclusive digital ecosystem.</w:t>
      </w:r>
    </w:p>
    <w:p w14:paraId="58258F7F" w14:textId="3E01027C" w:rsidR="003F277C" w:rsidRPr="009910B5" w:rsidRDefault="003F277C" w:rsidP="004B07E2">
      <w:pPr>
        <w:pStyle w:val="Heading1"/>
        <w:spacing w:before="240"/>
      </w:pPr>
      <w:bookmarkStart w:id="16" w:name="_Toc210312260"/>
      <w:r w:rsidRPr="009910B5">
        <w:t>5</w:t>
      </w:r>
      <w:r w:rsidRPr="009910B5">
        <w:tab/>
        <w:t>Mobilization of resources</w:t>
      </w:r>
      <w:bookmarkEnd w:id="16"/>
    </w:p>
    <w:p w14:paraId="33FEE22A" w14:textId="78DC9641" w:rsidR="003F277C" w:rsidRPr="009910B5" w:rsidRDefault="003F277C" w:rsidP="00796613">
      <w:pPr>
        <w:jc w:val="both"/>
        <w:rPr>
          <w:rFonts w:asciiTheme="minorHAnsi" w:hAnsiTheme="minorHAnsi" w:cstheme="minorBidi"/>
        </w:rPr>
      </w:pPr>
      <w:r w:rsidRPr="009910B5">
        <w:rPr>
          <w:rFonts w:asciiTheme="minorHAnsi" w:hAnsiTheme="minorHAnsi" w:cstheme="minorBidi"/>
        </w:rPr>
        <w:t>With the aim of facilitating technical assistance to the country, ITU continues to encourage Member States and partners to pledge commitments and financial resources tailored to Ukraine</w:t>
      </w:r>
      <w:r w:rsidR="00125BB5">
        <w:rPr>
          <w:rFonts w:asciiTheme="minorHAnsi" w:hAnsiTheme="minorHAnsi" w:cstheme="minorBidi"/>
        </w:rPr>
        <w:t>’</w:t>
      </w:r>
      <w:r w:rsidRPr="009910B5">
        <w:rPr>
          <w:rFonts w:asciiTheme="minorHAnsi" w:hAnsiTheme="minorHAnsi" w:cstheme="minorBidi"/>
        </w:rPr>
        <w:t xml:space="preserve">s needs with the number of strategic actions: </w:t>
      </w:r>
    </w:p>
    <w:p w14:paraId="543735BB" w14:textId="516A0297" w:rsidR="003F277C" w:rsidRPr="004B07E2" w:rsidRDefault="001F71CE" w:rsidP="1AF47034">
      <w:pPr>
        <w:pStyle w:val="enumlev1"/>
        <w:jc w:val="both"/>
        <w:rPr>
          <w:rFonts w:eastAsia="SimSun"/>
          <w:spacing w:val="-2"/>
        </w:rPr>
      </w:pPr>
      <w:r w:rsidRPr="004B07E2">
        <w:rPr>
          <w:spacing w:val="-2"/>
        </w:rPr>
        <w:t>–</w:t>
      </w:r>
      <w:r w:rsidRPr="004B07E2">
        <w:rPr>
          <w:spacing w:val="-2"/>
        </w:rPr>
        <w:tab/>
      </w:r>
      <w:r w:rsidR="003F277C" w:rsidRPr="1AF47034">
        <w:rPr>
          <w:spacing w:val="-2"/>
        </w:rPr>
        <w:t xml:space="preserve">ITU continues to </w:t>
      </w:r>
      <w:r w:rsidR="5A9909FB" w:rsidRPr="1AF47034">
        <w:rPr>
          <w:spacing w:val="-2"/>
        </w:rPr>
        <w:t>advance the</w:t>
      </w:r>
      <w:r w:rsidR="003F277C" w:rsidRPr="1AF47034">
        <w:rPr>
          <w:spacing w:val="-2"/>
        </w:rPr>
        <w:t xml:space="preserve">Partner2Connect </w:t>
      </w:r>
      <w:r w:rsidR="6CD573B6" w:rsidRPr="1AF47034">
        <w:rPr>
          <w:spacing w:val="-2"/>
        </w:rPr>
        <w:t>coalition</w:t>
      </w:r>
      <w:r w:rsidR="003F277C" w:rsidRPr="1AF47034">
        <w:rPr>
          <w:spacing w:val="-2"/>
        </w:rPr>
        <w:t xml:space="preserve">, and </w:t>
      </w:r>
      <w:r w:rsidR="2CBE8DE3" w:rsidRPr="1AF47034">
        <w:rPr>
          <w:spacing w:val="-2"/>
        </w:rPr>
        <w:t>its</w:t>
      </w:r>
      <w:r w:rsidR="003F277C" w:rsidRPr="1AF47034">
        <w:rPr>
          <w:spacing w:val="-2"/>
        </w:rPr>
        <w:t xml:space="preserve"> collection of pledges dedicated to </w:t>
      </w:r>
      <w:r w:rsidR="003F277C" w:rsidRPr="1AF47034">
        <w:rPr>
          <w:rFonts w:cstheme="minorBidi"/>
          <w:spacing w:val="-2"/>
        </w:rPr>
        <w:t>support</w:t>
      </w:r>
      <w:r w:rsidR="003F277C" w:rsidRPr="1AF47034">
        <w:rPr>
          <w:spacing w:val="-2"/>
        </w:rPr>
        <w:t xml:space="preserve"> to Ukraine. The Annual Meeting of Partner2Connect (Geneva, January </w:t>
      </w:r>
      <w:r w:rsidR="003F277C" w:rsidRPr="1AF47034">
        <w:rPr>
          <w:rFonts w:cstheme="minorBidi"/>
          <w:spacing w:val="-2"/>
        </w:rPr>
        <w:t>2025</w:t>
      </w:r>
      <w:r w:rsidR="003F277C" w:rsidRPr="1AF47034">
        <w:rPr>
          <w:spacing w:val="-2"/>
        </w:rPr>
        <w:t>) and ITU Regional Development Forum for Europe (Budapest, Hungary, 24</w:t>
      </w:r>
      <w:r w:rsidR="001573A7" w:rsidRPr="004B07E2">
        <w:rPr>
          <w:spacing w:val="-2"/>
          <w:szCs w:val="24"/>
        </w:rPr>
        <w:t> </w:t>
      </w:r>
      <w:r w:rsidR="003F277C" w:rsidRPr="1AF47034">
        <w:rPr>
          <w:spacing w:val="-2"/>
        </w:rPr>
        <w:t xml:space="preserve">February 2025) provided an opportunity for highlighting the needs and expressing commitments. </w:t>
      </w:r>
    </w:p>
    <w:p w14:paraId="651523EB" w14:textId="15081D7C" w:rsidR="003F277C" w:rsidRPr="009910B5" w:rsidRDefault="001F71CE" w:rsidP="00796613">
      <w:pPr>
        <w:pStyle w:val="enumlev1"/>
        <w:jc w:val="both"/>
        <w:rPr>
          <w:rFonts w:eastAsia="SimSun" w:cstheme="minorHAnsi"/>
          <w:szCs w:val="24"/>
        </w:rPr>
      </w:pPr>
      <w:r w:rsidRPr="009910B5">
        <w:t>–</w:t>
      </w:r>
      <w:r w:rsidRPr="009910B5">
        <w:tab/>
      </w:r>
      <w:r w:rsidR="003F277C" w:rsidRPr="00C16DC9">
        <w:rPr>
          <w:rFonts w:cstheme="minorHAnsi"/>
          <w:spacing w:val="-2"/>
          <w:szCs w:val="24"/>
        </w:rPr>
        <w:t xml:space="preserve">As of </w:t>
      </w:r>
      <w:r w:rsidR="003F277C" w:rsidRPr="00C16DC9">
        <w:rPr>
          <w:spacing w:val="-2"/>
          <w:szCs w:val="24"/>
        </w:rPr>
        <w:t>2025</w:t>
      </w:r>
      <w:r w:rsidR="003F277C" w:rsidRPr="00C16DC9">
        <w:rPr>
          <w:rFonts w:cstheme="minorHAnsi"/>
          <w:spacing w:val="-2"/>
          <w:szCs w:val="24"/>
        </w:rPr>
        <w:t xml:space="preserve"> </w:t>
      </w:r>
      <w:r w:rsidR="003F277C" w:rsidRPr="00C16DC9">
        <w:rPr>
          <w:spacing w:val="-2"/>
          <w:szCs w:val="24"/>
        </w:rPr>
        <w:t>overall</w:t>
      </w:r>
      <w:r w:rsidR="003F277C" w:rsidRPr="00C16DC9">
        <w:rPr>
          <w:rFonts w:cstheme="minorHAnsi"/>
          <w:spacing w:val="-2"/>
          <w:szCs w:val="24"/>
        </w:rPr>
        <w:t xml:space="preserve"> envelope of collected commitments amounts to over USD 740 million.</w:t>
      </w:r>
      <w:r w:rsidR="003F277C" w:rsidRPr="009910B5">
        <w:rPr>
          <w:rFonts w:cstheme="minorHAnsi"/>
          <w:szCs w:val="24"/>
        </w:rPr>
        <w:t xml:space="preserve"> The list of pledges is available </w:t>
      </w:r>
      <w:hyperlink r:id="rId16">
        <w:r w:rsidR="003F277C" w:rsidRPr="009910B5">
          <w:rPr>
            <w:rStyle w:val="Hyperlink"/>
            <w:rFonts w:cstheme="minorHAnsi"/>
            <w:szCs w:val="24"/>
          </w:rPr>
          <w:t>here</w:t>
        </w:r>
      </w:hyperlink>
      <w:r w:rsidR="003F277C" w:rsidRPr="009910B5">
        <w:rPr>
          <w:rFonts w:cstheme="minorHAnsi"/>
          <w:szCs w:val="24"/>
        </w:rPr>
        <w:t xml:space="preserve">. </w:t>
      </w:r>
    </w:p>
    <w:p w14:paraId="770FD82B" w14:textId="13138FEA" w:rsidR="003F277C" w:rsidRPr="001573A7" w:rsidRDefault="001F71CE" w:rsidP="00796613">
      <w:pPr>
        <w:pStyle w:val="enumlev1"/>
        <w:jc w:val="both"/>
        <w:rPr>
          <w:rFonts w:asciiTheme="minorHAnsi" w:hAnsiTheme="minorHAnsi" w:cstheme="minorHAnsi"/>
          <w:szCs w:val="24"/>
        </w:rPr>
      </w:pPr>
      <w:r w:rsidRPr="001573A7">
        <w:rPr>
          <w:rFonts w:asciiTheme="minorHAnsi" w:hAnsiTheme="minorHAnsi" w:cstheme="minorHAnsi"/>
        </w:rPr>
        <w:t>–</w:t>
      </w:r>
      <w:r w:rsidRPr="001573A7">
        <w:rPr>
          <w:rFonts w:asciiTheme="minorHAnsi" w:hAnsiTheme="minorHAnsi" w:cstheme="minorHAnsi"/>
        </w:rPr>
        <w:tab/>
      </w:r>
      <w:r w:rsidR="003F277C" w:rsidRPr="001573A7">
        <w:rPr>
          <w:rFonts w:asciiTheme="minorHAnsi" w:hAnsiTheme="minorHAnsi" w:cstheme="minorHAnsi"/>
          <w:szCs w:val="24"/>
        </w:rPr>
        <w:t>ITU is engaged in further mobilization of the contributions to the Special Fund in Trust dedicated to the further implementation of Resolution 1408. For the time being the fund benefited from the contributions by Japan (CHF 100 000; 2022), Czech Republic (CHF 46</w:t>
      </w:r>
      <w:r w:rsidR="003F277C" w:rsidRPr="001573A7" w:rsidDel="00196965">
        <w:rPr>
          <w:rFonts w:asciiTheme="minorHAnsi" w:hAnsiTheme="minorHAnsi" w:cstheme="minorHAnsi"/>
          <w:szCs w:val="24"/>
        </w:rPr>
        <w:t> </w:t>
      </w:r>
      <w:r w:rsidR="003F277C" w:rsidRPr="001573A7">
        <w:rPr>
          <w:rFonts w:asciiTheme="minorHAnsi" w:hAnsiTheme="minorHAnsi" w:cstheme="minorHAnsi"/>
          <w:szCs w:val="24"/>
        </w:rPr>
        <w:t>000; 2023/2024), Bulgaria (</w:t>
      </w:r>
      <w:r w:rsidR="00A47248">
        <w:rPr>
          <w:rFonts w:asciiTheme="minorHAnsi" w:hAnsiTheme="minorHAnsi" w:cstheme="minorHAnsi"/>
          <w:szCs w:val="24"/>
        </w:rPr>
        <w:t>CHF </w:t>
      </w:r>
      <w:r w:rsidR="003F277C" w:rsidRPr="001573A7">
        <w:rPr>
          <w:rFonts w:asciiTheme="minorHAnsi" w:hAnsiTheme="minorHAnsi" w:cstheme="minorHAnsi"/>
          <w:szCs w:val="24"/>
        </w:rPr>
        <w:t>16294)</w:t>
      </w:r>
      <w:r w:rsidR="00125BB5">
        <w:rPr>
          <w:rFonts w:asciiTheme="minorHAnsi" w:hAnsiTheme="minorHAnsi" w:cstheme="minorHAnsi"/>
          <w:szCs w:val="24"/>
        </w:rPr>
        <w:t>,</w:t>
      </w:r>
      <w:r w:rsidR="003F277C" w:rsidRPr="001573A7">
        <w:rPr>
          <w:rFonts w:asciiTheme="minorHAnsi" w:hAnsiTheme="minorHAnsi" w:cstheme="minorHAnsi"/>
          <w:szCs w:val="24"/>
        </w:rPr>
        <w:t xml:space="preserve"> and Lithuania (</w:t>
      </w:r>
      <w:r w:rsidR="00A47248">
        <w:rPr>
          <w:rFonts w:asciiTheme="minorHAnsi" w:hAnsiTheme="minorHAnsi" w:cstheme="minorHAnsi"/>
          <w:szCs w:val="24"/>
        </w:rPr>
        <w:t>CHF </w:t>
      </w:r>
      <w:r w:rsidR="003F277C" w:rsidRPr="001573A7">
        <w:rPr>
          <w:rFonts w:asciiTheme="minorHAnsi" w:hAnsiTheme="minorHAnsi" w:cstheme="minorHAnsi"/>
          <w:color w:val="000000"/>
          <w:szCs w:val="24"/>
        </w:rPr>
        <w:t>18</w:t>
      </w:r>
      <w:r w:rsidR="001573A7">
        <w:rPr>
          <w:rFonts w:asciiTheme="minorHAnsi" w:hAnsiTheme="minorHAnsi" w:cstheme="minorHAnsi"/>
          <w:color w:val="000000"/>
          <w:szCs w:val="24"/>
        </w:rPr>
        <w:t> </w:t>
      </w:r>
      <w:r w:rsidR="003F277C" w:rsidRPr="001573A7">
        <w:rPr>
          <w:rFonts w:asciiTheme="minorHAnsi" w:hAnsiTheme="minorHAnsi" w:cstheme="minorHAnsi"/>
          <w:color w:val="000000"/>
          <w:szCs w:val="24"/>
        </w:rPr>
        <w:t>335</w:t>
      </w:r>
      <w:r w:rsidR="003F277C" w:rsidRPr="001573A7">
        <w:rPr>
          <w:rFonts w:asciiTheme="minorHAnsi" w:hAnsiTheme="minorHAnsi" w:cstheme="minorHAnsi"/>
          <w:szCs w:val="24"/>
        </w:rPr>
        <w:t>).</w:t>
      </w:r>
    </w:p>
    <w:p w14:paraId="35E4D5BE" w14:textId="2D24115E" w:rsidR="003F277C" w:rsidRPr="009910B5" w:rsidRDefault="001F71CE" w:rsidP="00796613">
      <w:pPr>
        <w:pStyle w:val="enumlev1"/>
        <w:jc w:val="both"/>
        <w:rPr>
          <w:rFonts w:eastAsia="SimSun"/>
          <w:szCs w:val="24"/>
        </w:rPr>
      </w:pPr>
      <w:r w:rsidRPr="009910B5">
        <w:t>–</w:t>
      </w:r>
      <w:r w:rsidRPr="009910B5">
        <w:tab/>
      </w:r>
      <w:r w:rsidR="003F277C" w:rsidRPr="009910B5">
        <w:rPr>
          <w:szCs w:val="24"/>
        </w:rPr>
        <w:t>Since 2022, ITU has allocated CHF 75</w:t>
      </w:r>
      <w:r w:rsidR="00A47248">
        <w:rPr>
          <w:szCs w:val="24"/>
        </w:rPr>
        <w:t> </w:t>
      </w:r>
      <w:r w:rsidR="003F277C" w:rsidRPr="009910B5">
        <w:rPr>
          <w:szCs w:val="24"/>
        </w:rPr>
        <w:t xml:space="preserve">000 from the operating budget annually to allow to </w:t>
      </w:r>
      <w:r w:rsidR="003F277C" w:rsidRPr="009910B5">
        <w:rPr>
          <w:rFonts w:cstheme="minorHAnsi"/>
          <w:szCs w:val="24"/>
        </w:rPr>
        <w:t>continue</w:t>
      </w:r>
      <w:r w:rsidR="003F277C" w:rsidRPr="009910B5">
        <w:rPr>
          <w:szCs w:val="24"/>
        </w:rPr>
        <w:t xml:space="preserve"> the implementation work. </w:t>
      </w:r>
    </w:p>
    <w:p w14:paraId="26E8B80F" w14:textId="543F7DDD" w:rsidR="003F277C" w:rsidRPr="009910B5" w:rsidRDefault="001F71CE" w:rsidP="00796613">
      <w:pPr>
        <w:pStyle w:val="enumlev1"/>
        <w:jc w:val="both"/>
        <w:rPr>
          <w:rFonts w:eastAsia="SimSun"/>
          <w:szCs w:val="24"/>
        </w:rPr>
      </w:pPr>
      <w:r w:rsidRPr="009910B5">
        <w:t>–</w:t>
      </w:r>
      <w:r w:rsidRPr="009910B5">
        <w:tab/>
      </w:r>
      <w:r w:rsidR="003F277C" w:rsidRPr="009910B5">
        <w:rPr>
          <w:szCs w:val="24"/>
        </w:rPr>
        <w:t>ITU has facilitated the European Commission</w:t>
      </w:r>
      <w:r w:rsidR="00125BB5">
        <w:rPr>
          <w:szCs w:val="24"/>
        </w:rPr>
        <w:t>’</w:t>
      </w:r>
      <w:r w:rsidR="003F277C" w:rsidRPr="009910B5">
        <w:rPr>
          <w:szCs w:val="24"/>
        </w:rPr>
        <w:t xml:space="preserve">s in-kind contribution of </w:t>
      </w:r>
      <w:r w:rsidR="00A47248">
        <w:rPr>
          <w:szCs w:val="24"/>
        </w:rPr>
        <w:t>CHF </w:t>
      </w:r>
      <w:r w:rsidR="003F277C" w:rsidRPr="009910B5">
        <w:rPr>
          <w:szCs w:val="24"/>
        </w:rPr>
        <w:t>50</w:t>
      </w:r>
      <w:r w:rsidR="001573A7">
        <w:rPr>
          <w:szCs w:val="24"/>
        </w:rPr>
        <w:t> </w:t>
      </w:r>
      <w:r w:rsidR="003F277C" w:rsidRPr="009910B5">
        <w:rPr>
          <w:szCs w:val="24"/>
        </w:rPr>
        <w:t>000</w:t>
      </w:r>
      <w:r w:rsidR="003F277C" w:rsidRPr="009910B5" w:rsidDel="00BC54D4">
        <w:rPr>
          <w:szCs w:val="24"/>
        </w:rPr>
        <w:t xml:space="preserve"> </w:t>
      </w:r>
      <w:r w:rsidR="003F277C" w:rsidRPr="009910B5">
        <w:rPr>
          <w:szCs w:val="24"/>
        </w:rPr>
        <w:t xml:space="preserve">to the </w:t>
      </w:r>
      <w:r w:rsidR="003F277C" w:rsidRPr="009910B5">
        <w:rPr>
          <w:rFonts w:cstheme="minorHAnsi"/>
          <w:szCs w:val="24"/>
        </w:rPr>
        <w:t>conduct</w:t>
      </w:r>
      <w:r w:rsidR="003F277C" w:rsidRPr="009910B5">
        <w:rPr>
          <w:szCs w:val="24"/>
        </w:rPr>
        <w:t xml:space="preserve"> of the TAIEX programs for Ukrainian Officials. </w:t>
      </w:r>
    </w:p>
    <w:p w14:paraId="48E9EFB7" w14:textId="5E74F972" w:rsidR="003F277C" w:rsidRPr="009910B5" w:rsidRDefault="001F71CE" w:rsidP="00796613">
      <w:pPr>
        <w:pStyle w:val="enumlev1"/>
        <w:jc w:val="both"/>
        <w:rPr>
          <w:rFonts w:cstheme="minorHAnsi"/>
          <w:szCs w:val="24"/>
        </w:rPr>
      </w:pPr>
      <w:r w:rsidRPr="009910B5">
        <w:t>–</w:t>
      </w:r>
      <w:r w:rsidRPr="009910B5">
        <w:tab/>
      </w:r>
      <w:r w:rsidR="003F277C" w:rsidRPr="009910B5">
        <w:rPr>
          <w:rFonts w:cstheme="minorHAnsi"/>
          <w:szCs w:val="24"/>
        </w:rPr>
        <w:t>ITU continues regular bilateral discussions with</w:t>
      </w:r>
      <w:r w:rsidR="003F277C" w:rsidRPr="009910B5" w:rsidDel="00983741">
        <w:rPr>
          <w:rFonts w:cstheme="minorHAnsi"/>
          <w:szCs w:val="24"/>
        </w:rPr>
        <w:t xml:space="preserve"> </w:t>
      </w:r>
      <w:r w:rsidR="003F277C" w:rsidRPr="009910B5">
        <w:rPr>
          <w:rFonts w:cstheme="minorHAnsi"/>
          <w:szCs w:val="24"/>
        </w:rPr>
        <w:t xml:space="preserve">Member States and partners to safeguard the </w:t>
      </w:r>
      <w:r w:rsidR="003F277C" w:rsidRPr="009910B5">
        <w:rPr>
          <w:szCs w:val="24"/>
        </w:rPr>
        <w:t>financial</w:t>
      </w:r>
      <w:r w:rsidR="003F277C" w:rsidRPr="009910B5">
        <w:rPr>
          <w:rFonts w:cstheme="minorHAnsi"/>
          <w:szCs w:val="24"/>
        </w:rPr>
        <w:t xml:space="preserve"> resources for the continuation of ITU operations related to Resolution 1408 and the rehabilitation of the broadcasting infrastructure required in accordance with the Primary Assessment of ten</w:t>
      </w:r>
      <w:r w:rsidR="003F277C" w:rsidRPr="009910B5" w:rsidDel="00903B09">
        <w:rPr>
          <w:rFonts w:cstheme="minorHAnsi"/>
          <w:szCs w:val="24"/>
        </w:rPr>
        <w:t xml:space="preserve"> </w:t>
      </w:r>
      <w:r w:rsidR="003F277C" w:rsidRPr="009910B5">
        <w:rPr>
          <w:rFonts w:cstheme="minorHAnsi"/>
          <w:szCs w:val="24"/>
        </w:rPr>
        <w:t xml:space="preserve">broadcasting stations. </w:t>
      </w:r>
    </w:p>
    <w:p w14:paraId="519E1845" w14:textId="47C92F1B" w:rsidR="003F277C" w:rsidRPr="009910B5" w:rsidRDefault="003F277C" w:rsidP="004B07E2">
      <w:pPr>
        <w:pStyle w:val="Heading1"/>
        <w:spacing w:before="240"/>
      </w:pPr>
      <w:bookmarkStart w:id="17" w:name="_Toc2037035869"/>
      <w:r w:rsidRPr="009910B5">
        <w:t>6</w:t>
      </w:r>
      <w:r w:rsidRPr="009910B5">
        <w:tab/>
        <w:t>Conclusions</w:t>
      </w:r>
      <w:bookmarkEnd w:id="17"/>
    </w:p>
    <w:p w14:paraId="3915F246" w14:textId="77777777" w:rsidR="003F277C" w:rsidRPr="009910B5" w:rsidRDefault="003F277C" w:rsidP="00796613">
      <w:pPr>
        <w:jc w:val="both"/>
        <w:rPr>
          <w:rFonts w:asciiTheme="minorHAnsi" w:hAnsiTheme="minorHAnsi" w:cstheme="minorHAnsi"/>
          <w:szCs w:val="24"/>
        </w:rPr>
      </w:pPr>
      <w:r w:rsidRPr="009910B5">
        <w:rPr>
          <w:rFonts w:asciiTheme="minorHAnsi" w:hAnsiTheme="minorHAnsi" w:cstheme="minorHAnsi"/>
          <w:szCs w:val="24"/>
        </w:rPr>
        <w:t xml:space="preserve">ITU has continued to build-up the activities aimed at the implementation of Resolution 1408 with </w:t>
      </w:r>
      <w:r w:rsidRPr="009910B5">
        <w:rPr>
          <w:rFonts w:asciiTheme="minorHAnsi" w:hAnsiTheme="minorHAnsi" w:cstheme="minorBidi"/>
        </w:rPr>
        <w:t>strengthened</w:t>
      </w:r>
      <w:r w:rsidRPr="009910B5">
        <w:rPr>
          <w:rFonts w:asciiTheme="minorHAnsi" w:hAnsiTheme="minorHAnsi" w:cstheme="minorHAnsi"/>
          <w:szCs w:val="24"/>
        </w:rPr>
        <w:t xml:space="preserve"> partnerships and established well-coordinated mechanisms to advance on the roll-out of activities and mobilisation of financial resources. </w:t>
      </w:r>
    </w:p>
    <w:p w14:paraId="19FC2DCA" w14:textId="77777777" w:rsidR="003F277C" w:rsidRPr="009910B5" w:rsidRDefault="003F277C" w:rsidP="00796613">
      <w:pPr>
        <w:jc w:val="both"/>
        <w:rPr>
          <w:rFonts w:asciiTheme="minorHAnsi" w:hAnsiTheme="minorHAnsi" w:cstheme="minorHAnsi"/>
          <w:szCs w:val="24"/>
        </w:rPr>
      </w:pPr>
      <w:r w:rsidRPr="009910B5">
        <w:rPr>
          <w:rFonts w:asciiTheme="minorHAnsi" w:hAnsiTheme="minorHAnsi" w:cstheme="minorHAnsi"/>
          <w:szCs w:val="24"/>
        </w:rPr>
        <w:t xml:space="preserve">All stakeholders are kindly invited to support global cooperation and activities of ITU in </w:t>
      </w:r>
      <w:r w:rsidRPr="009910B5">
        <w:rPr>
          <w:rFonts w:asciiTheme="minorHAnsi" w:hAnsiTheme="minorHAnsi" w:cstheme="minorBidi"/>
        </w:rPr>
        <w:t>response</w:t>
      </w:r>
      <w:r w:rsidRPr="009910B5">
        <w:rPr>
          <w:rFonts w:asciiTheme="minorHAnsi" w:hAnsiTheme="minorHAnsi" w:cstheme="minorHAnsi"/>
          <w:szCs w:val="24"/>
        </w:rPr>
        <w:t xml:space="preserve"> to the Resolution 1408, </w:t>
      </w:r>
      <w:proofErr w:type="gramStart"/>
      <w:r w:rsidRPr="009910B5">
        <w:rPr>
          <w:rFonts w:asciiTheme="minorHAnsi" w:hAnsiTheme="minorHAnsi" w:cstheme="minorHAnsi"/>
          <w:szCs w:val="24"/>
        </w:rPr>
        <w:t>in particular the</w:t>
      </w:r>
      <w:proofErr w:type="gramEnd"/>
      <w:r w:rsidRPr="009910B5">
        <w:rPr>
          <w:rFonts w:asciiTheme="minorHAnsi" w:hAnsiTheme="minorHAnsi" w:cstheme="minorHAnsi"/>
          <w:szCs w:val="24"/>
        </w:rPr>
        <w:t xml:space="preserve"> following:</w:t>
      </w:r>
    </w:p>
    <w:p w14:paraId="7A75675C" w14:textId="1507F732" w:rsidR="003F277C" w:rsidRPr="009910B5" w:rsidRDefault="001573A7" w:rsidP="001F71CE">
      <w:pPr>
        <w:pStyle w:val="enumlev1"/>
        <w:jc w:val="both"/>
        <w:rPr>
          <w:szCs w:val="24"/>
        </w:rPr>
      </w:pPr>
      <w:r w:rsidRPr="009910B5">
        <w:t>–</w:t>
      </w:r>
      <w:r w:rsidRPr="009910B5">
        <w:tab/>
      </w:r>
      <w:r w:rsidR="003F277C" w:rsidRPr="009910B5">
        <w:rPr>
          <w:szCs w:val="24"/>
        </w:rPr>
        <w:t xml:space="preserve">committing to providing technical assistance, capacity-building and financial support to Ukraine for rehabilitation and modernization of their telecommunication sector, in </w:t>
      </w:r>
      <w:r w:rsidR="003F277C" w:rsidRPr="009910B5">
        <w:rPr>
          <w:rFonts w:cstheme="minorHAnsi"/>
          <w:szCs w:val="24"/>
        </w:rPr>
        <w:t>particular</w:t>
      </w:r>
      <w:r w:rsidR="003F277C" w:rsidRPr="009910B5">
        <w:rPr>
          <w:szCs w:val="24"/>
        </w:rPr>
        <w:t xml:space="preserve"> broadcasting </w:t>
      </w:r>
      <w:proofErr w:type="gramStart"/>
      <w:r w:rsidR="003F277C" w:rsidRPr="009910B5">
        <w:rPr>
          <w:szCs w:val="24"/>
        </w:rPr>
        <w:t>infrastructure</w:t>
      </w:r>
      <w:r>
        <w:rPr>
          <w:szCs w:val="24"/>
        </w:rPr>
        <w:t>;</w:t>
      </w:r>
      <w:proofErr w:type="gramEnd"/>
    </w:p>
    <w:p w14:paraId="050B317B" w14:textId="426C726B" w:rsidR="003F277C" w:rsidRPr="009910B5" w:rsidDel="00950F78" w:rsidRDefault="001573A7" w:rsidP="001F71CE">
      <w:pPr>
        <w:pStyle w:val="enumlev1"/>
        <w:jc w:val="both"/>
        <w:rPr>
          <w:szCs w:val="24"/>
        </w:rPr>
      </w:pPr>
      <w:r w:rsidRPr="009910B5">
        <w:t>–</w:t>
      </w:r>
      <w:r w:rsidRPr="009910B5">
        <w:tab/>
      </w:r>
      <w:r w:rsidR="003F277C" w:rsidRPr="009910B5" w:rsidDel="00950F78">
        <w:rPr>
          <w:szCs w:val="24"/>
        </w:rPr>
        <w:t xml:space="preserve">providing a financial contribution to the Special Fund in Trust, enabling the continuation and scaling-up of the implementation of Resolution </w:t>
      </w:r>
      <w:proofErr w:type="gramStart"/>
      <w:r w:rsidR="003F277C" w:rsidRPr="009910B5" w:rsidDel="00950F78">
        <w:rPr>
          <w:szCs w:val="24"/>
        </w:rPr>
        <w:t>1408</w:t>
      </w:r>
      <w:r>
        <w:rPr>
          <w:szCs w:val="24"/>
        </w:rPr>
        <w:t>;</w:t>
      </w:r>
      <w:proofErr w:type="gramEnd"/>
    </w:p>
    <w:p w14:paraId="02C510E3" w14:textId="55B183CB" w:rsidR="003F277C" w:rsidRPr="009910B5" w:rsidRDefault="001F71CE" w:rsidP="001F71CE">
      <w:pPr>
        <w:pStyle w:val="enumlev1"/>
        <w:jc w:val="both"/>
      </w:pPr>
      <w:r w:rsidRPr="009910B5">
        <w:t>–</w:t>
      </w:r>
      <w:r w:rsidRPr="009910B5">
        <w:tab/>
      </w:r>
      <w:r w:rsidR="003F277C" w:rsidRPr="009910B5">
        <w:t xml:space="preserve">joining Partner2Connect initiative and providing pledges focusing on Ukraine through online system available </w:t>
      </w:r>
      <w:hyperlink r:id="rId17">
        <w:r w:rsidR="003F277C" w:rsidRPr="009910B5">
          <w:rPr>
            <w:rStyle w:val="Hyperlink"/>
            <w:rFonts w:cstheme="minorHAnsi"/>
            <w:szCs w:val="24"/>
          </w:rPr>
          <w:t>here</w:t>
        </w:r>
      </w:hyperlink>
      <w:r w:rsidR="003F277C" w:rsidRPr="009910B5">
        <w:t>.</w:t>
      </w:r>
    </w:p>
    <w:p w14:paraId="29BA2F0E" w14:textId="2BC369F8" w:rsidR="007A3FCD" w:rsidRPr="009910B5" w:rsidRDefault="007A3FCD" w:rsidP="003F277C">
      <w:pPr>
        <w:jc w:val="center"/>
      </w:pPr>
      <w:r w:rsidRPr="009910B5">
        <w:t>______________</w:t>
      </w:r>
    </w:p>
    <w:sectPr w:rsidR="007A3FCD" w:rsidRPr="009910B5"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04180" w14:textId="77777777" w:rsidR="000E3CFB" w:rsidRDefault="000E3CFB">
      <w:r>
        <w:separator/>
      </w:r>
    </w:p>
  </w:endnote>
  <w:endnote w:type="continuationSeparator" w:id="0">
    <w:p w14:paraId="3BF1D394" w14:textId="77777777" w:rsidR="000E3CFB" w:rsidRDefault="000E3CFB">
      <w:r>
        <w:continuationSeparator/>
      </w:r>
    </w:p>
  </w:endnote>
  <w:endnote w:type="continuationNotice" w:id="1">
    <w:p w14:paraId="2D824507" w14:textId="77777777" w:rsidR="000E3CFB" w:rsidRDefault="000E3C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1145C85" w14:textId="77777777">
      <w:trPr>
        <w:jc w:val="center"/>
      </w:trPr>
      <w:tc>
        <w:tcPr>
          <w:tcW w:w="1803" w:type="dxa"/>
          <w:vAlign w:val="center"/>
        </w:tcPr>
        <w:p w14:paraId="6F0F397A" w14:textId="77777777" w:rsidR="00EE49E8" w:rsidRDefault="00C6520B" w:rsidP="00EE49E8">
          <w:pPr>
            <w:pStyle w:val="Header"/>
            <w:jc w:val="left"/>
            <w:rPr>
              <w:noProof/>
            </w:rPr>
          </w:pPr>
          <w:r>
            <w:rPr>
              <w:noProof/>
            </w:rPr>
            <w:t>gDoc #</w:t>
          </w:r>
        </w:p>
      </w:tc>
      <w:tc>
        <w:tcPr>
          <w:tcW w:w="8261" w:type="dxa"/>
        </w:tcPr>
        <w:p w14:paraId="361CFCA0" w14:textId="75B0A8AB"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3F277C">
            <w:rPr>
              <w:bCs/>
            </w:rPr>
            <w:t>68</w:t>
          </w:r>
          <w:r w:rsidRPr="00623AE3">
            <w:rPr>
              <w:bCs/>
            </w:rPr>
            <w:t>-E</w:t>
          </w:r>
          <w:r>
            <w:rPr>
              <w:bCs/>
            </w:rPr>
            <w:tab/>
          </w:r>
          <w:r>
            <w:fldChar w:fldCharType="begin"/>
          </w:r>
          <w:r>
            <w:instrText>PAGE</w:instrText>
          </w:r>
          <w:r>
            <w:fldChar w:fldCharType="separate"/>
          </w:r>
          <w:r>
            <w:t>1</w:t>
          </w:r>
          <w:r>
            <w:rPr>
              <w:noProof/>
            </w:rPr>
            <w:fldChar w:fldCharType="end"/>
          </w:r>
        </w:p>
      </w:tc>
    </w:tr>
  </w:tbl>
  <w:p w14:paraId="552E1E5A"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0AFA548C" w14:textId="77777777" w:rsidTr="006B77F1">
      <w:trPr>
        <w:jc w:val="center"/>
      </w:trPr>
      <w:tc>
        <w:tcPr>
          <w:tcW w:w="1803" w:type="dxa"/>
          <w:vAlign w:val="center"/>
        </w:tcPr>
        <w:p w14:paraId="1210F1A6"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2F131ADD" w14:textId="04FDE335"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3F277C">
            <w:rPr>
              <w:bCs/>
            </w:rPr>
            <w:t>68</w:t>
          </w:r>
          <w:r w:rsidRPr="00623AE3">
            <w:rPr>
              <w:bCs/>
            </w:rPr>
            <w:t>-E</w:t>
          </w:r>
          <w:r>
            <w:rPr>
              <w:bCs/>
            </w:rPr>
            <w:tab/>
          </w:r>
          <w:r>
            <w:fldChar w:fldCharType="begin"/>
          </w:r>
          <w:r>
            <w:instrText>PAGE</w:instrText>
          </w:r>
          <w:r>
            <w:fldChar w:fldCharType="separate"/>
          </w:r>
          <w:r>
            <w:t>1</w:t>
          </w:r>
          <w:r>
            <w:rPr>
              <w:noProof/>
            </w:rPr>
            <w:fldChar w:fldCharType="end"/>
          </w:r>
        </w:p>
      </w:tc>
    </w:tr>
  </w:tbl>
  <w:p w14:paraId="408A448B"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00A1" w14:textId="77777777" w:rsidR="000E3CFB" w:rsidRDefault="000E3CFB">
      <w:r>
        <w:t>____________________</w:t>
      </w:r>
    </w:p>
  </w:footnote>
  <w:footnote w:type="continuationSeparator" w:id="0">
    <w:p w14:paraId="6323A4FA" w14:textId="77777777" w:rsidR="000E3CFB" w:rsidRDefault="000E3CFB">
      <w:r>
        <w:continuationSeparator/>
      </w:r>
    </w:p>
  </w:footnote>
  <w:footnote w:type="continuationNotice" w:id="1">
    <w:p w14:paraId="797F207E" w14:textId="77777777" w:rsidR="000E3CFB" w:rsidRDefault="000E3CFB">
      <w:pPr>
        <w:spacing w:before="0"/>
      </w:pPr>
    </w:p>
  </w:footnote>
  <w:footnote w:id="2">
    <w:p w14:paraId="5D507EF6" w14:textId="00DBCB0A" w:rsidR="003F277C" w:rsidRPr="009910B5" w:rsidRDefault="003F277C" w:rsidP="003F277C">
      <w:pPr>
        <w:pStyle w:val="FootnoteText"/>
        <w:rPr>
          <w:sz w:val="20"/>
          <w:lang w:val="en-US"/>
        </w:rPr>
      </w:pPr>
      <w:r>
        <w:rPr>
          <w:rStyle w:val="FootnoteReference"/>
        </w:rPr>
        <w:footnoteRef/>
      </w:r>
      <w:r>
        <w:tab/>
      </w:r>
      <w:hyperlink r:id="rId1" w:history="1">
        <w:r w:rsidRPr="008F10A3">
          <w:rPr>
            <w:rStyle w:val="Hyperlink"/>
            <w:sz w:val="20"/>
          </w:rPr>
          <w:t>https://ukraine.un.org/sites/default/files/2025-02/P1801741ca39ec0d81b5371ff73a675a0a8.pdf</w:t>
        </w:r>
      </w:hyperlink>
      <w:r w:rsidR="009910B5" w:rsidRPr="008F10A3">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17E83335" w14:textId="77777777">
      <w:trPr>
        <w:trHeight w:val="1104"/>
        <w:jc w:val="center"/>
      </w:trPr>
      <w:tc>
        <w:tcPr>
          <w:tcW w:w="4390" w:type="dxa"/>
          <w:vAlign w:val="center"/>
        </w:tcPr>
        <w:p w14:paraId="2B6AAA19" w14:textId="77777777" w:rsidR="00AD3606" w:rsidRPr="009621F8" w:rsidRDefault="003936D3" w:rsidP="00CF4A2B">
          <w:pPr>
            <w:pStyle w:val="Header"/>
            <w:jc w:val="left"/>
            <w:rPr>
              <w:rFonts w:ascii="Arial" w:hAnsi="Arial" w:cs="Arial"/>
              <w:b/>
              <w:bCs/>
              <w:color w:val="009CD6"/>
              <w:sz w:val="36"/>
              <w:szCs w:val="36"/>
            </w:rPr>
          </w:pPr>
          <w:bookmarkStart w:id="18" w:name="_Hlk133422111"/>
          <w:r>
            <w:rPr>
              <w:rFonts w:ascii="Arial" w:hAnsi="Arial" w:cs="Arial"/>
              <w:b/>
              <w:bCs/>
              <w:noProof/>
              <w:color w:val="009CD6"/>
              <w:sz w:val="36"/>
              <w:szCs w:val="36"/>
            </w:rPr>
            <w:drawing>
              <wp:inline distT="0" distB="0" distL="0" distR="0" wp14:anchorId="3685888E" wp14:editId="3BD46FA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360C5561" w14:textId="77777777" w:rsidR="00AD3606" w:rsidRDefault="00AD3606" w:rsidP="00AD3606">
          <w:pPr>
            <w:pStyle w:val="Header"/>
            <w:jc w:val="right"/>
            <w:rPr>
              <w:rFonts w:ascii="Arial" w:hAnsi="Arial" w:cs="Arial"/>
              <w:b/>
              <w:bCs/>
              <w:color w:val="009CD6"/>
              <w:szCs w:val="18"/>
            </w:rPr>
          </w:pPr>
        </w:p>
        <w:p w14:paraId="12342AFB" w14:textId="77777777" w:rsidR="00AD3606" w:rsidRDefault="00AD3606" w:rsidP="00AD3606">
          <w:pPr>
            <w:pStyle w:val="Header"/>
            <w:jc w:val="right"/>
            <w:rPr>
              <w:rFonts w:ascii="Arial" w:hAnsi="Arial" w:cs="Arial"/>
              <w:b/>
              <w:bCs/>
              <w:color w:val="009CD6"/>
              <w:szCs w:val="18"/>
            </w:rPr>
          </w:pPr>
        </w:p>
        <w:p w14:paraId="7661904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42013C37"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FCC18C2" wp14:editId="33DEA212">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A476"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B4D29"/>
    <w:multiLevelType w:val="hybridMultilevel"/>
    <w:tmpl w:val="AB1869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80789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24"/>
    <w:rsid w:val="000210D4"/>
    <w:rsid w:val="00025060"/>
    <w:rsid w:val="0006007D"/>
    <w:rsid w:val="00063016"/>
    <w:rsid w:val="00066795"/>
    <w:rsid w:val="00076AF6"/>
    <w:rsid w:val="00085CF2"/>
    <w:rsid w:val="000A0250"/>
    <w:rsid w:val="000B1705"/>
    <w:rsid w:val="000D75B2"/>
    <w:rsid w:val="000E3CFB"/>
    <w:rsid w:val="000F5DDB"/>
    <w:rsid w:val="001121F5"/>
    <w:rsid w:val="00116C12"/>
    <w:rsid w:val="00125146"/>
    <w:rsid w:val="00125BB5"/>
    <w:rsid w:val="00126429"/>
    <w:rsid w:val="001400DC"/>
    <w:rsid w:val="00140CE1"/>
    <w:rsid w:val="001573A7"/>
    <w:rsid w:val="00163E30"/>
    <w:rsid w:val="00171868"/>
    <w:rsid w:val="0017539C"/>
    <w:rsid w:val="00175AC2"/>
    <w:rsid w:val="0017609F"/>
    <w:rsid w:val="00176F47"/>
    <w:rsid w:val="00180312"/>
    <w:rsid w:val="001A3154"/>
    <w:rsid w:val="001A7D1D"/>
    <w:rsid w:val="001B51DD"/>
    <w:rsid w:val="001C628E"/>
    <w:rsid w:val="001E0F7B"/>
    <w:rsid w:val="001F5569"/>
    <w:rsid w:val="001F71CE"/>
    <w:rsid w:val="002119FD"/>
    <w:rsid w:val="002130E0"/>
    <w:rsid w:val="00221F46"/>
    <w:rsid w:val="00244BE1"/>
    <w:rsid w:val="00246A24"/>
    <w:rsid w:val="00264425"/>
    <w:rsid w:val="00265875"/>
    <w:rsid w:val="0027303B"/>
    <w:rsid w:val="0028109B"/>
    <w:rsid w:val="00291E87"/>
    <w:rsid w:val="002A2188"/>
    <w:rsid w:val="002B1F58"/>
    <w:rsid w:val="002C1C7A"/>
    <w:rsid w:val="002C3F32"/>
    <w:rsid w:val="002C54E2"/>
    <w:rsid w:val="002E63DF"/>
    <w:rsid w:val="0030160F"/>
    <w:rsid w:val="00302174"/>
    <w:rsid w:val="00320223"/>
    <w:rsid w:val="00322D0D"/>
    <w:rsid w:val="003339F5"/>
    <w:rsid w:val="00361465"/>
    <w:rsid w:val="00366379"/>
    <w:rsid w:val="003877F5"/>
    <w:rsid w:val="003936D3"/>
    <w:rsid w:val="003942D4"/>
    <w:rsid w:val="003958A8"/>
    <w:rsid w:val="003B0113"/>
    <w:rsid w:val="003B29C2"/>
    <w:rsid w:val="003B4FAF"/>
    <w:rsid w:val="003C2533"/>
    <w:rsid w:val="003D5A7F"/>
    <w:rsid w:val="003F277C"/>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B07E2"/>
    <w:rsid w:val="004D1851"/>
    <w:rsid w:val="004D599D"/>
    <w:rsid w:val="004E2EA5"/>
    <w:rsid w:val="004E3AEB"/>
    <w:rsid w:val="0050223C"/>
    <w:rsid w:val="005243FF"/>
    <w:rsid w:val="00564FBC"/>
    <w:rsid w:val="005800BC"/>
    <w:rsid w:val="00582442"/>
    <w:rsid w:val="005F3269"/>
    <w:rsid w:val="00623AE3"/>
    <w:rsid w:val="0064737F"/>
    <w:rsid w:val="006535F1"/>
    <w:rsid w:val="006537F8"/>
    <w:rsid w:val="0065557D"/>
    <w:rsid w:val="00660D50"/>
    <w:rsid w:val="00662984"/>
    <w:rsid w:val="006716BB"/>
    <w:rsid w:val="006B1859"/>
    <w:rsid w:val="006B6680"/>
    <w:rsid w:val="006B6DCC"/>
    <w:rsid w:val="006B77F1"/>
    <w:rsid w:val="006F7A76"/>
    <w:rsid w:val="00702C57"/>
    <w:rsid w:val="00702DEF"/>
    <w:rsid w:val="00706861"/>
    <w:rsid w:val="007160B5"/>
    <w:rsid w:val="00717296"/>
    <w:rsid w:val="00722551"/>
    <w:rsid w:val="0075051B"/>
    <w:rsid w:val="0077110E"/>
    <w:rsid w:val="00777254"/>
    <w:rsid w:val="00793188"/>
    <w:rsid w:val="00794D34"/>
    <w:rsid w:val="00796613"/>
    <w:rsid w:val="007A3FCD"/>
    <w:rsid w:val="007B19CF"/>
    <w:rsid w:val="007D01AF"/>
    <w:rsid w:val="00813E5E"/>
    <w:rsid w:val="00816848"/>
    <w:rsid w:val="0083581B"/>
    <w:rsid w:val="00863874"/>
    <w:rsid w:val="00864AFF"/>
    <w:rsid w:val="00865925"/>
    <w:rsid w:val="008B4A6A"/>
    <w:rsid w:val="008C7E27"/>
    <w:rsid w:val="008F10A3"/>
    <w:rsid w:val="008F4D8E"/>
    <w:rsid w:val="008F671D"/>
    <w:rsid w:val="008F7448"/>
    <w:rsid w:val="0090147A"/>
    <w:rsid w:val="009173EF"/>
    <w:rsid w:val="00932906"/>
    <w:rsid w:val="00961B0B"/>
    <w:rsid w:val="00962D33"/>
    <w:rsid w:val="009910B5"/>
    <w:rsid w:val="009B38C3"/>
    <w:rsid w:val="009E17BD"/>
    <w:rsid w:val="009E2690"/>
    <w:rsid w:val="009E485A"/>
    <w:rsid w:val="00A04CEC"/>
    <w:rsid w:val="00A05F81"/>
    <w:rsid w:val="00A1328D"/>
    <w:rsid w:val="00A27F92"/>
    <w:rsid w:val="00A32257"/>
    <w:rsid w:val="00A36D20"/>
    <w:rsid w:val="00A47248"/>
    <w:rsid w:val="00A514A4"/>
    <w:rsid w:val="00A55622"/>
    <w:rsid w:val="00A83502"/>
    <w:rsid w:val="00A94BAB"/>
    <w:rsid w:val="00AD15B3"/>
    <w:rsid w:val="00AD3606"/>
    <w:rsid w:val="00AD4A3D"/>
    <w:rsid w:val="00AF6E49"/>
    <w:rsid w:val="00B04A67"/>
    <w:rsid w:val="00B0583C"/>
    <w:rsid w:val="00B40A81"/>
    <w:rsid w:val="00B44910"/>
    <w:rsid w:val="00B7068E"/>
    <w:rsid w:val="00B72267"/>
    <w:rsid w:val="00B76EB6"/>
    <w:rsid w:val="00B7737B"/>
    <w:rsid w:val="00B824C8"/>
    <w:rsid w:val="00B84B9D"/>
    <w:rsid w:val="00B9131F"/>
    <w:rsid w:val="00BB0646"/>
    <w:rsid w:val="00BC251A"/>
    <w:rsid w:val="00BC4A20"/>
    <w:rsid w:val="00BC66D2"/>
    <w:rsid w:val="00BD032B"/>
    <w:rsid w:val="00BE01C6"/>
    <w:rsid w:val="00BE2640"/>
    <w:rsid w:val="00BF1FDE"/>
    <w:rsid w:val="00C01189"/>
    <w:rsid w:val="00C0458D"/>
    <w:rsid w:val="00C16DC9"/>
    <w:rsid w:val="00C374DE"/>
    <w:rsid w:val="00C47AD4"/>
    <w:rsid w:val="00C52D81"/>
    <w:rsid w:val="00C55198"/>
    <w:rsid w:val="00C63A46"/>
    <w:rsid w:val="00C6520B"/>
    <w:rsid w:val="00CA6393"/>
    <w:rsid w:val="00CA7995"/>
    <w:rsid w:val="00CB18FF"/>
    <w:rsid w:val="00CD0C08"/>
    <w:rsid w:val="00CE03FB"/>
    <w:rsid w:val="00CE433C"/>
    <w:rsid w:val="00CF0161"/>
    <w:rsid w:val="00CF33F3"/>
    <w:rsid w:val="00CF4A2B"/>
    <w:rsid w:val="00D024CA"/>
    <w:rsid w:val="00D06183"/>
    <w:rsid w:val="00D22C42"/>
    <w:rsid w:val="00D65041"/>
    <w:rsid w:val="00D802EE"/>
    <w:rsid w:val="00DB1936"/>
    <w:rsid w:val="00DB384B"/>
    <w:rsid w:val="00DE4C5B"/>
    <w:rsid w:val="00DF0189"/>
    <w:rsid w:val="00E01141"/>
    <w:rsid w:val="00E06FD5"/>
    <w:rsid w:val="00E10E80"/>
    <w:rsid w:val="00E124F0"/>
    <w:rsid w:val="00E227F3"/>
    <w:rsid w:val="00E545C6"/>
    <w:rsid w:val="00E60F04"/>
    <w:rsid w:val="00E629BD"/>
    <w:rsid w:val="00E64CB2"/>
    <w:rsid w:val="00E65B24"/>
    <w:rsid w:val="00E854E4"/>
    <w:rsid w:val="00E86DBF"/>
    <w:rsid w:val="00E969AF"/>
    <w:rsid w:val="00EB0D6F"/>
    <w:rsid w:val="00EB2232"/>
    <w:rsid w:val="00EC5337"/>
    <w:rsid w:val="00ED1984"/>
    <w:rsid w:val="00EE49E8"/>
    <w:rsid w:val="00F16BAB"/>
    <w:rsid w:val="00F2150A"/>
    <w:rsid w:val="00F231D8"/>
    <w:rsid w:val="00F44C00"/>
    <w:rsid w:val="00F45D2C"/>
    <w:rsid w:val="00F46C5F"/>
    <w:rsid w:val="00F632C0"/>
    <w:rsid w:val="00F641E1"/>
    <w:rsid w:val="00F94A63"/>
    <w:rsid w:val="00FA1C28"/>
    <w:rsid w:val="00FB1279"/>
    <w:rsid w:val="00FB1295"/>
    <w:rsid w:val="00FB6B76"/>
    <w:rsid w:val="00FB7596"/>
    <w:rsid w:val="00FE4077"/>
    <w:rsid w:val="00FE500D"/>
    <w:rsid w:val="00FE77D2"/>
    <w:rsid w:val="00FF39B1"/>
    <w:rsid w:val="0F9DFE8E"/>
    <w:rsid w:val="0FF8195C"/>
    <w:rsid w:val="1AF47034"/>
    <w:rsid w:val="2CBE8DE3"/>
    <w:rsid w:val="301B1269"/>
    <w:rsid w:val="3CB1EB90"/>
    <w:rsid w:val="56644A97"/>
    <w:rsid w:val="5A3ECFF3"/>
    <w:rsid w:val="5A9909FB"/>
    <w:rsid w:val="660F0E33"/>
    <w:rsid w:val="6CD573B6"/>
    <w:rsid w:val="714AA5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7532D"/>
  <w15:docId w15:val="{D79889ED-E835-419A-AE7A-22756367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FootnoteTextChar">
    <w:name w:val="Footnote Text Char"/>
    <w:basedOn w:val="DefaultParagraphFont"/>
    <w:link w:val="FootnoteText"/>
    <w:rsid w:val="003F277C"/>
    <w:rPr>
      <w:rFonts w:ascii="Calibri" w:hAnsi="Calibri"/>
      <w:sz w:val="22"/>
      <w:lang w:val="en-GB" w:eastAsia="en-US"/>
    </w:rPr>
  </w:style>
  <w:style w:type="paragraph" w:styleId="ListParagraph">
    <w:name w:val="List Paragraph"/>
    <w:aliases w:val="List Paragraph1,Dot pt,F5 List Paragraph,No Spacing1,List Paragraph Char Char Char,Indicator Text,Colorful List - Accent 11,Numbered Para 1,Bullet 1,Bullet Points,MAIN CONTENT,List Paragraph11,List Paragraph12,List Paragraph2,OBC Bullet,L"/>
    <w:basedOn w:val="Normal"/>
    <w:link w:val="ListParagraphChar"/>
    <w:uiPriority w:val="34"/>
    <w:qFormat/>
    <w:rsid w:val="003F277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1 Char,Dot pt Char,F5 List Paragraph Char,No Spacing1 Char,List Paragraph Char Char Char Char,Indicator Text Char,Colorful List - Accent 11 Char,Numbered Para 1 Char,Bullet 1 Char,Bullet Points Char,MAIN CONTENT Char"/>
    <w:link w:val="ListParagraph"/>
    <w:uiPriority w:val="34"/>
    <w:locked/>
    <w:rsid w:val="003F277C"/>
    <w:rPr>
      <w:rFonts w:asciiTheme="minorHAnsi" w:eastAsiaTheme="minorEastAsia" w:hAnsiTheme="minorHAnsi" w:cstheme="minorBidi"/>
      <w:sz w:val="22"/>
      <w:szCs w:val="22"/>
    </w:rPr>
  </w:style>
  <w:style w:type="paragraph" w:styleId="Revision">
    <w:name w:val="Revision"/>
    <w:hidden/>
    <w:uiPriority w:val="99"/>
    <w:semiHidden/>
    <w:rsid w:val="008F4D8E"/>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122/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3-CL-C-0059/en" TargetMode="External"/><Relationship Id="rId17" Type="http://schemas.openxmlformats.org/officeDocument/2006/relationships/hyperlink" Target="https://www.itu.int/partner2connect-pledges" TargetMode="External"/><Relationship Id="rId2" Type="http://schemas.openxmlformats.org/officeDocument/2006/relationships/customXml" Target="../customXml/item2.xml"/><Relationship Id="rId16"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122/en" TargetMode="External"/><Relationship Id="rId5" Type="http://schemas.openxmlformats.org/officeDocument/2006/relationships/numbering" Target="numbering.xml"/><Relationship Id="rId15"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kraine.un.org/sites/default/files/2025-02/P1801741ca39ec0d81b5371ff73a675a0a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8" ma:contentTypeDescription="Crear nuevo documento." ma:contentTypeScope="" ma:versionID="c2c2f485b5c056a560ec1111beebbd3b">
  <xsd:schema xmlns:xsd="http://www.w3.org/2001/XMLSchema" xmlns:xs="http://www.w3.org/2001/XMLSchema" xmlns:p="http://schemas.microsoft.com/office/2006/metadata/properties" xmlns:ns2="a1cf676c-2816-4389-ad5d-0f2e7c7e67c4" targetNamespace="http://schemas.microsoft.com/office/2006/metadata/properties" ma:root="true" ma:fieldsID="5236e9d7d5fcf3dc960c2645a60fa07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FE583-2C2A-4424-B2E3-3812076DC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A4FA3613-252A-4504-AEF4-459914D14F84}">
  <ds:schemaRefs>
    <ds:schemaRef ds:uri="http://schemas.microsoft.com/sharepoint/v3/contenttype/forms"/>
  </ds:schemaRefs>
</ds:datastoreItem>
</file>

<file path=customXml/itemProps4.xml><?xml version="1.0" encoding="utf-8"?>
<ds:datastoreItem xmlns:ds="http://schemas.openxmlformats.org/officeDocument/2006/customXml" ds:itemID="{B126293F-8D7A-4CFD-AC14-1912C1150D35}">
  <ds:schemaRefs>
    <ds:schemaRef ds:uri="a1cf676c-2816-4389-ad5d-0f2e7c7e67c4"/>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PE_Council25.dotx</Template>
  <TotalTime>4</TotalTime>
  <Pages>4</Pages>
  <Words>1493</Words>
  <Characters>9862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Update on the implementation of ITU Council Resolution 1408 on assistance and support to Ukraine for rebuilding their telecommunication sector</vt:lpstr>
    </vt:vector>
  </TitlesOfParts>
  <Manager>General Secretariat</Manager>
  <Company>International Telecommunication Union (ITU)</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implementation of ITU Council Resolution 1408 on assistance and support to Ukraine for rebuilding their telecommunication sector</dc:title>
  <dc:subject>Council 2025</dc:subject>
  <dc:creator>LRT</dc:creator>
  <cp:keywords>C25; C2025; Council 2025; ITU160</cp:keywords>
  <dc:description/>
  <cp:lastModifiedBy>GBS</cp:lastModifiedBy>
  <cp:revision>3</cp:revision>
  <cp:lastPrinted>2000-07-18T22:30:00Z</cp:lastPrinted>
  <dcterms:created xsi:type="dcterms:W3CDTF">2025-05-19T15:28:00Z</dcterms:created>
  <dcterms:modified xsi:type="dcterms:W3CDTF">2025-05-19T15:31:00Z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