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6"/>
        <w:gridCol w:w="2965"/>
      </w:tblGrid>
      <w:tr w:rsidR="007B0AA0" w14:paraId="1F7C880F" w14:textId="77777777" w:rsidTr="00F363FE">
        <w:tc>
          <w:tcPr>
            <w:tcW w:w="6512" w:type="dxa"/>
          </w:tcPr>
          <w:p w14:paraId="47E682E6" w14:textId="531ACF87" w:rsidR="007B0AA0" w:rsidRPr="007B0AA0" w:rsidRDefault="007B0AA0" w:rsidP="00291E0D">
            <w:pPr>
              <w:spacing w:before="60" w:after="60" w:line="260" w:lineRule="exact"/>
              <w:rPr>
                <w:b/>
                <w:bCs/>
                <w:lang w:bidi="ar-EG"/>
              </w:rPr>
            </w:pPr>
            <w:r w:rsidRPr="007B0AA0">
              <w:rPr>
                <w:rFonts w:hint="cs"/>
                <w:b/>
                <w:bCs/>
                <w:rtl/>
                <w:lang w:bidi="ar-EG"/>
              </w:rPr>
              <w:t>بند جدول الأعمال:</w:t>
            </w:r>
            <w:r w:rsidR="00291E0D">
              <w:rPr>
                <w:rFonts w:hint="cs"/>
                <w:b/>
                <w:bCs/>
                <w:rtl/>
                <w:lang w:bidi="ar-EG"/>
              </w:rPr>
              <w:t xml:space="preserve"> </w:t>
            </w:r>
            <w:r w:rsidR="00291E0D" w:rsidRPr="00291E0D">
              <w:rPr>
                <w:b/>
                <w:bCs/>
                <w:lang w:val="en-GB" w:bidi="ar-EG"/>
              </w:rPr>
              <w:t>PL 2</w:t>
            </w:r>
          </w:p>
        </w:tc>
        <w:tc>
          <w:tcPr>
            <w:tcW w:w="3117" w:type="dxa"/>
          </w:tcPr>
          <w:p w14:paraId="71387F67" w14:textId="2E9C3C77"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291E0D">
              <w:rPr>
                <w:b/>
                <w:bCs/>
                <w:lang w:bidi="ar-EG"/>
              </w:rPr>
              <w:t>68</w:t>
            </w:r>
            <w:r w:rsidRPr="007B0AA0">
              <w:rPr>
                <w:b/>
                <w:bCs/>
                <w:lang w:bidi="ar-EG"/>
              </w:rPr>
              <w:t>-A</w:t>
            </w:r>
          </w:p>
        </w:tc>
      </w:tr>
      <w:tr w:rsidR="007B0AA0" w14:paraId="1EB9F7E6" w14:textId="77777777" w:rsidTr="00F363FE">
        <w:tc>
          <w:tcPr>
            <w:tcW w:w="6512" w:type="dxa"/>
          </w:tcPr>
          <w:p w14:paraId="077C61D2" w14:textId="77777777" w:rsidR="007B0AA0" w:rsidRPr="007B0AA0" w:rsidRDefault="007B0AA0" w:rsidP="00F363FE">
            <w:pPr>
              <w:spacing w:before="60" w:after="60" w:line="260" w:lineRule="exact"/>
              <w:rPr>
                <w:b/>
                <w:bCs/>
                <w:rtl/>
                <w:lang w:bidi="ar-EG"/>
              </w:rPr>
            </w:pPr>
          </w:p>
        </w:tc>
        <w:tc>
          <w:tcPr>
            <w:tcW w:w="3117" w:type="dxa"/>
          </w:tcPr>
          <w:p w14:paraId="49C17BDF" w14:textId="0259718D" w:rsidR="007B0AA0" w:rsidRPr="007B0AA0" w:rsidRDefault="00CA0A6D" w:rsidP="00F363FE">
            <w:pPr>
              <w:spacing w:before="60" w:after="60" w:line="260" w:lineRule="exact"/>
              <w:rPr>
                <w:b/>
                <w:bCs/>
                <w:rtl/>
                <w:lang w:bidi="ar-EG"/>
              </w:rPr>
            </w:pPr>
            <w:r w:rsidRPr="00CA0A6D">
              <w:rPr>
                <w:b/>
                <w:bCs/>
                <w:rtl/>
                <w:lang w:bidi="ar-EG"/>
              </w:rPr>
              <w:t>19 مايو 2025</w:t>
            </w:r>
          </w:p>
        </w:tc>
      </w:tr>
      <w:tr w:rsidR="007B0AA0" w14:paraId="1D1839CF" w14:textId="77777777" w:rsidTr="00F363FE">
        <w:tc>
          <w:tcPr>
            <w:tcW w:w="6512" w:type="dxa"/>
          </w:tcPr>
          <w:p w14:paraId="5F67FCE2" w14:textId="77777777" w:rsidR="007B0AA0" w:rsidRPr="007B0AA0" w:rsidRDefault="007B0AA0" w:rsidP="00F363FE">
            <w:pPr>
              <w:spacing w:before="60" w:after="60" w:line="260" w:lineRule="exact"/>
              <w:rPr>
                <w:b/>
                <w:bCs/>
                <w:rtl/>
                <w:lang w:bidi="ar-EG"/>
              </w:rPr>
            </w:pPr>
          </w:p>
        </w:tc>
        <w:tc>
          <w:tcPr>
            <w:tcW w:w="3117" w:type="dxa"/>
          </w:tcPr>
          <w:p w14:paraId="335D4B23" w14:textId="77777777" w:rsidR="007B0AA0" w:rsidRPr="007B0AA0" w:rsidRDefault="001D64C7" w:rsidP="00F363FE">
            <w:pPr>
              <w:spacing w:before="60" w:after="60" w:line="260" w:lineRule="exact"/>
              <w:rPr>
                <w:b/>
                <w:bCs/>
                <w:rtl/>
                <w:lang w:bidi="ar-EG"/>
              </w:rPr>
            </w:pPr>
            <w:r w:rsidRPr="007B0AA0">
              <w:rPr>
                <w:rFonts w:hint="cs"/>
                <w:b/>
                <w:bCs/>
                <w:rtl/>
                <w:lang w:bidi="ar-EG"/>
              </w:rPr>
              <w:t>الأصل: بالإنكليزية</w:t>
            </w:r>
          </w:p>
        </w:tc>
      </w:tr>
      <w:tr w:rsidR="007B0AA0" w14:paraId="20BF80E1" w14:textId="77777777" w:rsidTr="00F363FE">
        <w:tc>
          <w:tcPr>
            <w:tcW w:w="6512" w:type="dxa"/>
          </w:tcPr>
          <w:p w14:paraId="456E879A" w14:textId="77777777" w:rsidR="007B0AA0" w:rsidRDefault="007B0AA0" w:rsidP="00F363FE">
            <w:pPr>
              <w:spacing w:before="60" w:after="60" w:line="260" w:lineRule="exact"/>
              <w:rPr>
                <w:lang w:bidi="ar-EG"/>
              </w:rPr>
            </w:pPr>
          </w:p>
        </w:tc>
        <w:tc>
          <w:tcPr>
            <w:tcW w:w="3117" w:type="dxa"/>
          </w:tcPr>
          <w:p w14:paraId="3C54EAC6" w14:textId="77777777" w:rsidR="007B0AA0" w:rsidRDefault="007B0AA0" w:rsidP="00F363FE">
            <w:pPr>
              <w:spacing w:before="60" w:after="60" w:line="260" w:lineRule="exact"/>
              <w:rPr>
                <w:rtl/>
                <w:lang w:bidi="ar-EG"/>
              </w:rPr>
            </w:pPr>
          </w:p>
        </w:tc>
      </w:tr>
      <w:tr w:rsidR="007B0AA0" w14:paraId="771F899B" w14:textId="77777777" w:rsidTr="00EE7446">
        <w:tc>
          <w:tcPr>
            <w:tcW w:w="9629" w:type="dxa"/>
            <w:gridSpan w:val="2"/>
          </w:tcPr>
          <w:p w14:paraId="6DBFEE22" w14:textId="77777777" w:rsidR="007B0AA0" w:rsidRDefault="001D64C7" w:rsidP="007B0AA0">
            <w:pPr>
              <w:pStyle w:val="Source"/>
              <w:jc w:val="left"/>
              <w:rPr>
                <w:lang w:bidi="ar-EG"/>
              </w:rPr>
            </w:pPr>
            <w:r>
              <w:rPr>
                <w:rFonts w:hint="cs"/>
                <w:rtl/>
                <w:lang w:bidi="ar-EG"/>
              </w:rPr>
              <w:t>تقرير من الأمينة العامة</w:t>
            </w:r>
          </w:p>
        </w:tc>
      </w:tr>
      <w:tr w:rsidR="007B0AA0" w14:paraId="5DA7E387" w14:textId="77777777" w:rsidTr="007B0AA0">
        <w:tc>
          <w:tcPr>
            <w:tcW w:w="9629" w:type="dxa"/>
            <w:gridSpan w:val="2"/>
            <w:tcBorders>
              <w:bottom w:val="single" w:sz="4" w:space="0" w:color="auto"/>
            </w:tcBorders>
          </w:tcPr>
          <w:p w14:paraId="0FEEF7DF" w14:textId="4AA08CD8" w:rsidR="007B0AA0" w:rsidRPr="005546CF" w:rsidRDefault="00CA0A6D" w:rsidP="00CA0A6D">
            <w:pPr>
              <w:pStyle w:val="Subtitle0"/>
              <w:rPr>
                <w:sz w:val="32"/>
                <w:szCs w:val="32"/>
              </w:rPr>
            </w:pPr>
            <w:bookmarkStart w:id="0" w:name="_Hlk164670350"/>
            <w:r w:rsidRPr="00CA0A6D">
              <w:rPr>
                <w:sz w:val="32"/>
                <w:szCs w:val="32"/>
                <w:rtl/>
                <w:lang w:bidi="ar-SA"/>
              </w:rPr>
              <w:t>معلومات محدَّثة عن تنفيذ قرار مجلس الاتحاد 1408 بشأن تقديم المساعدة والدعم إلى أوكرانيا لإعادة بناء قطاع اتصالاتها</w:t>
            </w:r>
            <w:bookmarkEnd w:id="0"/>
          </w:p>
        </w:tc>
      </w:tr>
      <w:tr w:rsidR="007B0AA0" w14:paraId="2EA896A3" w14:textId="77777777" w:rsidTr="007B0AA0">
        <w:tc>
          <w:tcPr>
            <w:tcW w:w="9629" w:type="dxa"/>
            <w:gridSpan w:val="2"/>
            <w:tcBorders>
              <w:top w:val="single" w:sz="4" w:space="0" w:color="auto"/>
              <w:bottom w:val="single" w:sz="4" w:space="0" w:color="auto"/>
            </w:tcBorders>
          </w:tcPr>
          <w:p w14:paraId="0CD090C1" w14:textId="77777777" w:rsidR="007B0AA0" w:rsidRPr="007B0AA0" w:rsidRDefault="007B0AA0" w:rsidP="007B0AA0">
            <w:pPr>
              <w:rPr>
                <w:b/>
                <w:bCs/>
                <w:rtl/>
              </w:rPr>
            </w:pPr>
            <w:r w:rsidRPr="00494119">
              <w:rPr>
                <w:rFonts w:hint="cs"/>
                <w:b/>
                <w:bCs/>
                <w:rtl/>
              </w:rPr>
              <w:t>الغرض</w:t>
            </w:r>
          </w:p>
          <w:p w14:paraId="384E065E" w14:textId="0F5A4F92" w:rsidR="007B0AA0" w:rsidRDefault="00CA0A6D" w:rsidP="00CA0A6D">
            <w:pPr>
              <w:rPr>
                <w:rtl/>
              </w:rPr>
            </w:pPr>
            <w:r w:rsidRPr="00CA0A6D">
              <w:rPr>
                <w:rtl/>
              </w:rPr>
              <w:t>يعرض هذا التقرير ما جري من أنشطة وتطورات منذ انعقاد دورة المجلس في يونيو 2024 فيما يتعلق بتقديم المساعدة والدعم إلى أوكرانيا لإعادة بناء قطاع اتصالاتها استجابةً للقرار 1408 المعدَّل الصادر عن مجلس الاتحاد، مع التركيز على الرصد والإبلاغ وآليات التنسيق، والمساعدة التقنية، وتعبئة الموارد وأنشطة بناء القدرات.</w:t>
            </w:r>
          </w:p>
          <w:p w14:paraId="24571E37" w14:textId="77777777" w:rsidR="007B0AA0" w:rsidRPr="007B0AA0" w:rsidRDefault="007B0AA0" w:rsidP="007B0AA0">
            <w:pPr>
              <w:rPr>
                <w:b/>
                <w:bCs/>
                <w:rtl/>
              </w:rPr>
            </w:pPr>
            <w:r w:rsidRPr="007B0AA0">
              <w:rPr>
                <w:rFonts w:hint="cs"/>
                <w:b/>
                <w:bCs/>
                <w:rtl/>
              </w:rPr>
              <w:t>الإجراء المطلوب من المجلس</w:t>
            </w:r>
          </w:p>
          <w:p w14:paraId="3D2EE432" w14:textId="4F9F786E" w:rsidR="007B0AA0" w:rsidRDefault="00CA0A6D" w:rsidP="00CA0A6D">
            <w:pPr>
              <w:rPr>
                <w:rtl/>
              </w:rPr>
            </w:pPr>
            <w:r w:rsidRPr="00CA0A6D">
              <w:rPr>
                <w:rtl/>
              </w:rPr>
              <w:t xml:space="preserve">يُدعى المجلس إلى </w:t>
            </w:r>
            <w:r w:rsidRPr="00CA0A6D">
              <w:rPr>
                <w:b/>
                <w:bCs/>
                <w:rtl/>
              </w:rPr>
              <w:t>الإحاطة علماً</w:t>
            </w:r>
            <w:r w:rsidRPr="00CA0A6D">
              <w:rPr>
                <w:rtl/>
              </w:rPr>
              <w:t xml:space="preserve"> بهذا التقرير.</w:t>
            </w:r>
          </w:p>
          <w:p w14:paraId="4AF51F31" w14:textId="77777777"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38BA6A27" w14:textId="00EEF867" w:rsidR="007B0AA0" w:rsidRDefault="00CA0A6D" w:rsidP="00CA0A6D">
            <w:pPr>
              <w:rPr>
                <w:rtl/>
              </w:rPr>
            </w:pPr>
            <w:r w:rsidRPr="00CA0A6D">
              <w:rPr>
                <w:rtl/>
              </w:rPr>
              <w:t>تقديم المساعدة التقنية.</w:t>
            </w:r>
          </w:p>
          <w:p w14:paraId="62871B5B" w14:textId="77777777" w:rsidR="007B0AA0" w:rsidRDefault="007B0AA0" w:rsidP="00B97F32">
            <w:pPr>
              <w:rPr>
                <w:b/>
                <w:bCs/>
              </w:rPr>
            </w:pPr>
            <w:r w:rsidRPr="007B0AA0">
              <w:rPr>
                <w:rFonts w:hint="cs"/>
                <w:b/>
                <w:bCs/>
                <w:rtl/>
              </w:rPr>
              <w:t>الآثار المالية</w:t>
            </w:r>
          </w:p>
          <w:p w14:paraId="74314CF2" w14:textId="526141D9" w:rsidR="006F363C" w:rsidRPr="00B53810" w:rsidRDefault="008E7BB6" w:rsidP="00CA0A6D">
            <w:pPr>
              <w:rPr>
                <w:spacing w:val="2"/>
                <w:rtl/>
              </w:rPr>
            </w:pPr>
            <w:r w:rsidRPr="00B53810">
              <w:rPr>
                <w:spacing w:val="2"/>
              </w:rPr>
              <w:t>325 000</w:t>
            </w:r>
            <w:r w:rsidR="00CA0A6D" w:rsidRPr="00B53810">
              <w:rPr>
                <w:spacing w:val="2"/>
                <w:rtl/>
              </w:rPr>
              <w:t xml:space="preserve"> فرنك سويسري منذ عام 2022، بما في ذلك </w:t>
            </w:r>
            <w:r w:rsidRPr="00B53810">
              <w:rPr>
                <w:spacing w:val="2"/>
              </w:rPr>
              <w:t>75 000</w:t>
            </w:r>
            <w:r w:rsidR="00CA0A6D" w:rsidRPr="00B53810">
              <w:rPr>
                <w:spacing w:val="2"/>
                <w:rtl/>
              </w:rPr>
              <w:t xml:space="preserve"> فرنك سويسري من ميزانية الاتحاد، و</w:t>
            </w:r>
            <w:r w:rsidRPr="00B53810">
              <w:rPr>
                <w:spacing w:val="2"/>
              </w:rPr>
              <w:t>180 000</w:t>
            </w:r>
            <w:r w:rsidR="00B53810" w:rsidRPr="00B53810">
              <w:rPr>
                <w:rFonts w:hint="cs"/>
                <w:spacing w:val="2"/>
                <w:rtl/>
              </w:rPr>
              <w:t> </w:t>
            </w:r>
            <w:r w:rsidR="00CA0A6D" w:rsidRPr="00B53810">
              <w:rPr>
                <w:spacing w:val="2"/>
                <w:rtl/>
              </w:rPr>
              <w:t>فرنك</w:t>
            </w:r>
            <w:r w:rsidR="00B53810" w:rsidRPr="00B53810">
              <w:rPr>
                <w:rFonts w:hint="cs"/>
                <w:spacing w:val="2"/>
                <w:rtl/>
              </w:rPr>
              <w:t> </w:t>
            </w:r>
            <w:r w:rsidR="00CA0A6D" w:rsidRPr="00B53810">
              <w:rPr>
                <w:spacing w:val="2"/>
                <w:rtl/>
              </w:rPr>
              <w:t>سويسري كمساهمات طوعية نقدية، و</w:t>
            </w:r>
            <w:r w:rsidRPr="00B53810">
              <w:rPr>
                <w:spacing w:val="2"/>
              </w:rPr>
              <w:t>70 000</w:t>
            </w:r>
            <w:r w:rsidR="00CA0A6D" w:rsidRPr="00B53810">
              <w:rPr>
                <w:spacing w:val="2"/>
                <w:rtl/>
              </w:rPr>
              <w:t xml:space="preserve"> فرنك سويسري كمساهمات عينية.</w:t>
            </w:r>
          </w:p>
          <w:p w14:paraId="2261C66B"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C05BCEE" w14:textId="77777777" w:rsidR="007B0AA0" w:rsidRPr="007B0AA0" w:rsidRDefault="007B0AA0" w:rsidP="007B0AA0">
            <w:pPr>
              <w:rPr>
                <w:b/>
                <w:bCs/>
                <w:rtl/>
              </w:rPr>
            </w:pPr>
            <w:r w:rsidRPr="007B0AA0">
              <w:rPr>
                <w:rFonts w:hint="cs"/>
                <w:b/>
                <w:bCs/>
                <w:rtl/>
              </w:rPr>
              <w:t>المراجع</w:t>
            </w:r>
          </w:p>
          <w:p w14:paraId="232DC9EF" w14:textId="5700BC23" w:rsidR="007B0AA0" w:rsidRPr="005546CF" w:rsidRDefault="00CA0A6D" w:rsidP="00806A21">
            <w:pPr>
              <w:rPr>
                <w:i/>
                <w:iCs/>
                <w:rtl/>
              </w:rPr>
            </w:pPr>
            <w:hyperlink r:id="rId8" w:history="1">
              <w:r w:rsidRPr="00806A21">
                <w:rPr>
                  <w:rStyle w:val="Hyperlink"/>
                  <w:rFonts w:ascii="Dubai" w:eastAsiaTheme="minorEastAsia" w:hAnsi="Dubai" w:cs="Dubai"/>
                  <w:i/>
                  <w:iCs/>
                  <w:noProof w:val="0"/>
                  <w:sz w:val="22"/>
                  <w:rtl/>
                  <w:lang w:val="en-US" w:eastAsia="zh-CN"/>
                </w:rPr>
                <w:t>القرار 1408 الصادر عن المجلس</w:t>
              </w:r>
            </w:hyperlink>
            <w:r w:rsidRPr="00CA0A6D">
              <w:rPr>
                <w:i/>
                <w:iCs/>
                <w:rtl/>
              </w:rPr>
              <w:t xml:space="preserve"> (المعدَّل في 2023)؛ الوثيقة </w:t>
            </w:r>
            <w:hyperlink r:id="rId9" w:history="1">
              <w:r w:rsidR="00806A21" w:rsidRPr="00806A21">
                <w:rPr>
                  <w:rStyle w:val="Hyperlink"/>
                  <w:rFonts w:ascii="Dubai" w:eastAsiaTheme="minorEastAsia" w:hAnsi="Dubai" w:cs="Dubai"/>
                  <w:i/>
                  <w:iCs/>
                  <w:noProof w:val="0"/>
                  <w:sz w:val="22"/>
                  <w:lang w:eastAsia="zh-CN"/>
                </w:rPr>
                <w:t>C23/59</w:t>
              </w:r>
            </w:hyperlink>
          </w:p>
        </w:tc>
      </w:tr>
    </w:tbl>
    <w:p w14:paraId="03EED3DF" w14:textId="77777777" w:rsidR="00F50E3F" w:rsidRDefault="00F50E3F" w:rsidP="0043260A">
      <w:pPr>
        <w:rPr>
          <w:rtl/>
          <w:lang w:bidi="ar-EG"/>
        </w:rPr>
      </w:pPr>
      <w:r>
        <w:rPr>
          <w:rtl/>
          <w:lang w:bidi="ar-EG"/>
        </w:rPr>
        <w:br w:type="page"/>
      </w:r>
    </w:p>
    <w:p w14:paraId="34EE8E14" w14:textId="77777777" w:rsidR="00CA0A6D" w:rsidRPr="00CA0A6D" w:rsidRDefault="00CA0A6D" w:rsidP="008E469C">
      <w:pPr>
        <w:pStyle w:val="Heading1"/>
        <w:rPr>
          <w:lang w:val="ar-SA" w:bidi="ar-EG"/>
        </w:rPr>
      </w:pPr>
      <w:bookmarkStart w:id="1" w:name="_Toc309942973"/>
      <w:r w:rsidRPr="00CA0A6D">
        <w:rPr>
          <w:rtl/>
        </w:rPr>
        <w:lastRenderedPageBreak/>
        <w:t>1</w:t>
      </w:r>
      <w:r w:rsidRPr="00CA0A6D">
        <w:rPr>
          <w:rtl/>
        </w:rPr>
        <w:tab/>
        <w:t>مقدمة</w:t>
      </w:r>
      <w:bookmarkEnd w:id="1"/>
    </w:p>
    <w:p w14:paraId="3ECD66F0" w14:textId="34618B71" w:rsidR="00CA0A6D" w:rsidRPr="00CA0A6D" w:rsidRDefault="00CA0A6D" w:rsidP="00CA0A6D">
      <w:pPr>
        <w:rPr>
          <w:lang w:val="ar-SA" w:bidi="ar-EG"/>
        </w:rPr>
      </w:pPr>
      <w:r w:rsidRPr="00CA0A6D">
        <w:rPr>
          <w:rtl/>
        </w:rPr>
        <w:t xml:space="preserve">عدَّل مجلس الاتحاد في دورته لعام 2023، </w:t>
      </w:r>
      <w:hyperlink r:id="rId10" w:history="1">
        <w:r w:rsidRPr="00CA0A6D">
          <w:rPr>
            <w:rStyle w:val="Hyperlink"/>
            <w:rFonts w:ascii="Dubai" w:eastAsiaTheme="minorEastAsia" w:hAnsi="Dubai" w:cs="Dubai"/>
            <w:noProof w:val="0"/>
            <w:sz w:val="22"/>
            <w:rtl/>
            <w:lang w:val="en-US" w:eastAsia="zh-CN"/>
          </w:rPr>
          <w:t>القرار 1408</w:t>
        </w:r>
      </w:hyperlink>
      <w:r w:rsidRPr="00CA0A6D">
        <w:rPr>
          <w:rtl/>
        </w:rPr>
        <w:t xml:space="preserve"> بشأن "</w:t>
      </w:r>
      <w:r w:rsidRPr="00CA0A6D">
        <w:rPr>
          <w:b/>
          <w:bCs/>
          <w:rtl/>
        </w:rPr>
        <w:t>تقديم المساعدة والدعم إلى أوكرانيا لإعادة بناء قطاع</w:t>
      </w:r>
      <w:r w:rsidR="009678EF">
        <w:rPr>
          <w:rFonts w:hint="cs"/>
          <w:b/>
          <w:bCs/>
          <w:rtl/>
        </w:rPr>
        <w:t> </w:t>
      </w:r>
      <w:r w:rsidRPr="00CA0A6D">
        <w:rPr>
          <w:b/>
          <w:bCs/>
          <w:rtl/>
        </w:rPr>
        <w:t>اتصالاتها</w:t>
      </w:r>
      <w:r w:rsidRPr="00CA0A6D">
        <w:rPr>
          <w:rtl/>
        </w:rPr>
        <w:t xml:space="preserve">". ويوجز هذا التقرير الإجراءات التي تتخذها أمانة الاتحاد منذ يونيو 2024 لتنفيذ أحكام الفقرة </w:t>
      </w:r>
      <w:r w:rsidRPr="00B53810">
        <w:rPr>
          <w:rtl/>
        </w:rPr>
        <w:t>"</w:t>
      </w:r>
      <w:r w:rsidRPr="00DB66E3">
        <w:rPr>
          <w:i/>
          <w:iCs/>
          <w:rtl/>
        </w:rPr>
        <w:t>يقرر</w:t>
      </w:r>
      <w:r w:rsidRPr="00B53810">
        <w:rPr>
          <w:rtl/>
        </w:rPr>
        <w:t>"</w:t>
      </w:r>
      <w:r w:rsidRPr="00CA0A6D">
        <w:rPr>
          <w:rtl/>
        </w:rPr>
        <w:t xml:space="preserve"> من هذا القرار، مع التركيز بشكل خاص على الرصد والإبلاغ، وآليات التنسيق، وتيسير المساعدة التقنية، وتعبئة الموارد وأنشطة بناء القدرات. </w:t>
      </w:r>
    </w:p>
    <w:p w14:paraId="68F2DE93" w14:textId="77777777" w:rsidR="00CA0A6D" w:rsidRPr="00CA0A6D" w:rsidRDefault="00CA0A6D" w:rsidP="008E469C">
      <w:pPr>
        <w:pStyle w:val="Heading1"/>
        <w:rPr>
          <w:lang w:val="ar-SA" w:bidi="ar-EG"/>
        </w:rPr>
      </w:pPr>
      <w:bookmarkStart w:id="2" w:name="_Toc521108113"/>
      <w:r w:rsidRPr="00CA0A6D">
        <w:rPr>
          <w:rtl/>
        </w:rPr>
        <w:t>2</w:t>
      </w:r>
      <w:r w:rsidRPr="00CA0A6D">
        <w:rPr>
          <w:rtl/>
        </w:rPr>
        <w:tab/>
        <w:t>الرصد والإبلاغ</w:t>
      </w:r>
      <w:bookmarkEnd w:id="2"/>
    </w:p>
    <w:p w14:paraId="4851A1FE" w14:textId="5CEBFBD9" w:rsidR="00CA0A6D" w:rsidRPr="00CA0A6D" w:rsidRDefault="00CA0A6D" w:rsidP="00CA0A6D">
      <w:pPr>
        <w:rPr>
          <w:lang w:val="ar-SA" w:bidi="ar-EG"/>
        </w:rPr>
      </w:pPr>
      <w:r w:rsidRPr="00CA0A6D">
        <w:rPr>
          <w:rtl/>
        </w:rPr>
        <w:t xml:space="preserve">طُبقت عملية رصد مستمر لمستوى المرونة الرقمية في أوكرانيا، وذلك بهدف تيسير المساعدة التقنية الفعالة. واستمر </w:t>
      </w:r>
      <w:r w:rsidRPr="00B16841">
        <w:rPr>
          <w:rtl/>
        </w:rPr>
        <w:t>تحديث</w:t>
      </w:r>
      <w:r w:rsidRPr="00CA0A6D">
        <w:rPr>
          <w:rtl/>
        </w:rPr>
        <w:t xml:space="preserve"> موقع إلكتروني خاص مكرَّس لتنفيذ القرار 1408، وهو متاح </w:t>
      </w:r>
      <w:hyperlink r:id="rId11" w:history="1">
        <w:r w:rsidRPr="00CA0A6D">
          <w:rPr>
            <w:rStyle w:val="Hyperlink"/>
            <w:rFonts w:ascii="Dubai" w:eastAsiaTheme="minorEastAsia" w:hAnsi="Dubai" w:cs="Dubai"/>
            <w:noProof w:val="0"/>
            <w:sz w:val="22"/>
            <w:rtl/>
            <w:lang w:val="en-US" w:eastAsia="zh-CN"/>
          </w:rPr>
          <w:t>هنا</w:t>
        </w:r>
      </w:hyperlink>
      <w:r w:rsidRPr="00CA0A6D">
        <w:rPr>
          <w:rtl/>
        </w:rPr>
        <w:t>.</w:t>
      </w:r>
    </w:p>
    <w:p w14:paraId="7EC05906" w14:textId="4356FCD9" w:rsidR="00CA0A6D" w:rsidRPr="00CA0A6D" w:rsidRDefault="00CA0A6D" w:rsidP="00C13916">
      <w:pPr>
        <w:rPr>
          <w:lang w:val="ar-SA" w:bidi="ar-EG"/>
        </w:rPr>
      </w:pPr>
      <w:r w:rsidRPr="00CA0A6D">
        <w:rPr>
          <w:rtl/>
        </w:rPr>
        <w:t xml:space="preserve">وواصل الاتحاد، بصفته وكالة الأمم المتحدة </w:t>
      </w:r>
      <w:r w:rsidR="00C45F94">
        <w:t>(UN)</w:t>
      </w:r>
      <w:r w:rsidR="00C45F94">
        <w:rPr>
          <w:rFonts w:hint="cs"/>
          <w:rtl/>
          <w:lang w:bidi="ar-EG"/>
        </w:rPr>
        <w:t xml:space="preserve"> </w:t>
      </w:r>
      <w:r w:rsidRPr="00CA0A6D">
        <w:rPr>
          <w:rtl/>
        </w:rPr>
        <w:t xml:space="preserve">المعنية بالتكنولوجيا الرقمية، المساهمة في الممارسة المنتظمة المتمثلة في إعداد </w:t>
      </w:r>
      <w:r w:rsidRPr="00CA0A6D">
        <w:rPr>
          <w:b/>
          <w:bCs/>
          <w:rtl/>
        </w:rPr>
        <w:t>تقرير التقييم السريع للأضرار والاحتياجات (</w:t>
      </w:r>
      <w:r w:rsidRPr="00CA0A6D">
        <w:rPr>
          <w:b/>
          <w:bCs/>
          <w:lang w:bidi="ar-EG"/>
        </w:rPr>
        <w:t>RDNA</w:t>
      </w:r>
      <w:r w:rsidRPr="00CA0A6D">
        <w:rPr>
          <w:b/>
          <w:bCs/>
          <w:rtl/>
        </w:rPr>
        <w:t>)</w:t>
      </w:r>
      <w:r w:rsidRPr="00CA0A6D">
        <w:rPr>
          <w:rtl/>
        </w:rPr>
        <w:t xml:space="preserve"> الذي تيسره المفوضية الأوروبية والبنك الدولي والأمم المتحدة. وركزت مساهمة الاتحاد أساساً على الفصل المتعلق "بالاتصالات والتكنولوجيا الرقمية". وصدرت الطبعة الرابعة من التقرير </w:t>
      </w:r>
      <w:r w:rsidRPr="00CA0A6D">
        <w:rPr>
          <w:lang w:bidi="ar-EG"/>
        </w:rPr>
        <w:t>RDNA</w:t>
      </w:r>
      <w:r w:rsidR="00806A21">
        <w:rPr>
          <w:rStyle w:val="FootnoteReference"/>
          <w:rtl/>
          <w:lang w:bidi="ar-EG"/>
        </w:rPr>
        <w:footnoteReference w:customMarkFollows="1" w:id="1"/>
        <w:t>1</w:t>
      </w:r>
      <w:r w:rsidRPr="00CA0A6D">
        <w:rPr>
          <w:rtl/>
        </w:rPr>
        <w:t xml:space="preserve"> في 24 فبراير </w:t>
      </w:r>
      <w:r w:rsidR="002765EE">
        <w:t>2025</w:t>
      </w:r>
      <w:r w:rsidRPr="00CA0A6D">
        <w:rPr>
          <w:rtl/>
        </w:rPr>
        <w:t>، وهي وثيقة توجيهية لمجتمع المانحين الدوليين فيما يخص المساعدة في عملية إعادة إعمار أوكرانيا. وتأثر قطاع الاتصالات والتكنولوجيا الرقمية ووسائط الإعلام إجمالاً، فحتى 31</w:t>
      </w:r>
      <w:r w:rsidR="00C45F94">
        <w:rPr>
          <w:rFonts w:hint="cs"/>
          <w:rtl/>
        </w:rPr>
        <w:t> </w:t>
      </w:r>
      <w:r w:rsidRPr="00CA0A6D">
        <w:rPr>
          <w:rtl/>
        </w:rPr>
        <w:t>ديسمبر</w:t>
      </w:r>
      <w:r w:rsidR="00C45F94">
        <w:rPr>
          <w:rFonts w:hint="cs"/>
          <w:rtl/>
        </w:rPr>
        <w:t> </w:t>
      </w:r>
      <w:r w:rsidRPr="00CA0A6D">
        <w:rPr>
          <w:rtl/>
        </w:rPr>
        <w:t xml:space="preserve">2024 قدرت الأضرار بأكثر من 2,24 مليار دولار أمريكي والتلف التام بمبلغ 2,38 مليار دولار أمريكي. وفقدت </w:t>
      </w:r>
      <w:r w:rsidR="008E7BB6">
        <w:t>%12,2</w:t>
      </w:r>
      <w:r w:rsidRPr="00CA0A6D">
        <w:rPr>
          <w:rtl/>
        </w:rPr>
        <w:t xml:space="preserve"> من الأسر إمكانية الوصول إلى خدمات الهاتف المحمول. وتُقدَّر الاحتياجات الإجمالية لإعادة الإعمار والتعافي بزهاء </w:t>
      </w:r>
      <w:r w:rsidR="008E7BB6">
        <w:t>5,86</w:t>
      </w:r>
      <w:r w:rsidRPr="00CA0A6D">
        <w:rPr>
          <w:rtl/>
        </w:rPr>
        <w:t xml:space="preserve"> مليار دولار أمريكي</w:t>
      </w:r>
      <w:r w:rsidR="00C13916">
        <w:rPr>
          <w:rFonts w:hint="cs"/>
          <w:rtl/>
        </w:rPr>
        <w:t xml:space="preserve"> </w:t>
      </w:r>
      <w:r w:rsidR="00C13916" w:rsidRPr="00C13916">
        <w:rPr>
          <w:rtl/>
        </w:rPr>
        <w:t>على مدار عشر سنوات.</w:t>
      </w:r>
    </w:p>
    <w:p w14:paraId="34242D85" w14:textId="39DA4805" w:rsidR="00CA0A6D" w:rsidRPr="00CA0A6D" w:rsidRDefault="00CA0A6D" w:rsidP="00CA0A6D">
      <w:pPr>
        <w:rPr>
          <w:lang w:val="ar-SA" w:bidi="ar-EG"/>
        </w:rPr>
      </w:pPr>
      <w:r w:rsidRPr="00C45F94">
        <w:rPr>
          <w:rtl/>
        </w:rPr>
        <w:t>ولأغراض المساعدة التقنية في مجال الإذاعة، أعد الاتحاد 10 تقارير تقنية بشأن "</w:t>
      </w:r>
      <w:r w:rsidRPr="00C45F94">
        <w:rPr>
          <w:b/>
          <w:bCs/>
          <w:rtl/>
        </w:rPr>
        <w:t>التقييم الأولي لتكاليف إعادة تأهيل المحطات الإذاعية</w:t>
      </w:r>
      <w:r w:rsidRPr="00C45F94">
        <w:rPr>
          <w:rtl/>
        </w:rPr>
        <w:t>"، باعتباره أداة للتواصل مع مجتمع المانحين الدوليين. وتم بحث مستوى الأضرار التي لحقت بخمس عشرة محطة إذاعية واختيرت عشر محطات للتقييم الفوري، ومن بعده وضع المواصفات التقنية بما في ذلك البُعد المالي للاستثمار المطلوب والجدول الزمني للتنفيذ. وتمخض هذا النشاط عن وضع الاتحاد وثائق مشاريع قابلة للتمويل (متاحة</w:t>
      </w:r>
      <w:r w:rsidR="009678EF" w:rsidRPr="00C45F94">
        <w:rPr>
          <w:rFonts w:hint="cs"/>
          <w:rtl/>
        </w:rPr>
        <w:t> </w:t>
      </w:r>
      <w:hyperlink r:id="rId12" w:history="1">
        <w:r w:rsidRPr="00C45F94">
          <w:rPr>
            <w:rStyle w:val="Hyperlink"/>
            <w:rFonts w:ascii="Dubai" w:eastAsiaTheme="minorEastAsia" w:hAnsi="Dubai" w:cs="Dubai"/>
            <w:noProof w:val="0"/>
            <w:sz w:val="22"/>
            <w:rtl/>
            <w:lang w:val="en-US" w:eastAsia="zh-CN"/>
          </w:rPr>
          <w:t>هنا</w:t>
        </w:r>
      </w:hyperlink>
      <w:r w:rsidRPr="00C45F94">
        <w:rPr>
          <w:rtl/>
        </w:rPr>
        <w:t>) تستخدم لتيسير الحصول على العون من مجتمع المانحين الدوليين لإعادة بناء البنية التحتية للإذاعة.</w:t>
      </w:r>
    </w:p>
    <w:p w14:paraId="6AF32859" w14:textId="4B213A2F" w:rsidR="00CA0A6D" w:rsidRPr="009678EF" w:rsidRDefault="00CA0A6D" w:rsidP="00CA0A6D">
      <w:pPr>
        <w:rPr>
          <w:spacing w:val="-2"/>
          <w:lang w:val="ar-SA" w:bidi="ar-EG"/>
        </w:rPr>
      </w:pPr>
      <w:r w:rsidRPr="009678EF">
        <w:rPr>
          <w:spacing w:val="-2"/>
          <w:rtl/>
        </w:rPr>
        <w:t xml:space="preserve">وللمساهمة في عمل الأمم المتحدة، وضع الاتحاد </w:t>
      </w:r>
      <w:r w:rsidRPr="009678EF">
        <w:rPr>
          <w:b/>
          <w:bCs/>
          <w:spacing w:val="-2"/>
          <w:rtl/>
        </w:rPr>
        <w:t>مواصفات التنمية الرقمية لأوكرانيا 2024</w:t>
      </w:r>
      <w:r w:rsidRPr="009678EF">
        <w:rPr>
          <w:spacing w:val="-2"/>
          <w:rtl/>
        </w:rPr>
        <w:t xml:space="preserve">، </w:t>
      </w:r>
      <w:r w:rsidRPr="009678EF">
        <w:rPr>
          <w:b/>
          <w:bCs/>
          <w:spacing w:val="-2"/>
          <w:rtl/>
        </w:rPr>
        <w:t>مستفيداً من آراء وكالات عديدة تابعة للأمم المتحدة</w:t>
      </w:r>
      <w:r w:rsidRPr="009678EF">
        <w:rPr>
          <w:spacing w:val="-2"/>
          <w:rtl/>
        </w:rPr>
        <w:t xml:space="preserve">. وقد أعد التقرير لدعم إطار التعاون في مجال التنمية المستدامة للفترة </w:t>
      </w:r>
      <w:r w:rsidR="008E7BB6" w:rsidRPr="009678EF">
        <w:rPr>
          <w:spacing w:val="-2"/>
        </w:rPr>
        <w:t>2029-2025</w:t>
      </w:r>
      <w:r w:rsidRPr="009678EF">
        <w:rPr>
          <w:spacing w:val="-2"/>
          <w:rtl/>
        </w:rPr>
        <w:t xml:space="preserve"> وبالتعاون مع أعضاء فريق الأمم المتحدة ال</w:t>
      </w:r>
      <w:r w:rsidR="00B16841">
        <w:rPr>
          <w:rFonts w:hint="cs"/>
          <w:spacing w:val="-2"/>
          <w:rtl/>
        </w:rPr>
        <w:t>قُ</w:t>
      </w:r>
      <w:r w:rsidRPr="009678EF">
        <w:rPr>
          <w:spacing w:val="-2"/>
          <w:rtl/>
        </w:rPr>
        <w:t>طري لأوكرانيا وفريق الأمم المتحدة المعني بالتحول الرقمي لأوروبا وآسيا الوسطى.</w:t>
      </w:r>
    </w:p>
    <w:p w14:paraId="0D5FC0CB" w14:textId="77777777" w:rsidR="00CA0A6D" w:rsidRPr="00CA0A6D" w:rsidRDefault="00CA0A6D" w:rsidP="008E469C">
      <w:pPr>
        <w:pStyle w:val="Heading1"/>
        <w:rPr>
          <w:lang w:val="ar-SA" w:bidi="ar-EG"/>
        </w:rPr>
      </w:pPr>
      <w:bookmarkStart w:id="3" w:name="_Toc1291141038"/>
      <w:r w:rsidRPr="00CA0A6D">
        <w:rPr>
          <w:rtl/>
        </w:rPr>
        <w:t>3</w:t>
      </w:r>
      <w:r w:rsidRPr="00CA0A6D">
        <w:rPr>
          <w:rtl/>
        </w:rPr>
        <w:tab/>
        <w:t>آليات التنسيق لضمان فعالية التنفيذ</w:t>
      </w:r>
      <w:bookmarkEnd w:id="3"/>
    </w:p>
    <w:p w14:paraId="2D73D2EF" w14:textId="77777777" w:rsidR="00CA0A6D" w:rsidRPr="00CA0A6D" w:rsidRDefault="00CA0A6D" w:rsidP="00CA0A6D">
      <w:pPr>
        <w:rPr>
          <w:lang w:val="ar-SA" w:bidi="ar-EG"/>
        </w:rPr>
      </w:pPr>
      <w:r w:rsidRPr="00CA0A6D">
        <w:rPr>
          <w:rtl/>
        </w:rPr>
        <w:t xml:space="preserve">على مستوى الاتحاد، يواصل </w:t>
      </w:r>
      <w:r w:rsidRPr="00CA0A6D">
        <w:rPr>
          <w:b/>
          <w:bCs/>
          <w:rtl/>
        </w:rPr>
        <w:t>فريقُ مهام خاص معني بالقرار 1408</w:t>
      </w:r>
      <w:r w:rsidRPr="00CA0A6D">
        <w:rPr>
          <w:rtl/>
        </w:rPr>
        <w:t xml:space="preserve"> يترأسه نائب الأمينة العامة ويديره مكتب الاتحاد لأوروبا الاضطلاع بدوره كمنصة للاستجابة المشتركة بين القطاعات فيما يخص جميع القضايا المتعلقة بتنفيذ هذا القرار.</w:t>
      </w:r>
    </w:p>
    <w:p w14:paraId="4F6FF496" w14:textId="77777777" w:rsidR="00CA0A6D" w:rsidRPr="00CA0A6D" w:rsidDel="00903B09" w:rsidRDefault="00CA0A6D" w:rsidP="00CA0A6D">
      <w:pPr>
        <w:rPr>
          <w:lang w:val="ar-SA" w:bidi="ar-EG"/>
        </w:rPr>
      </w:pPr>
      <w:r w:rsidRPr="00CA0A6D">
        <w:rPr>
          <w:rtl/>
        </w:rPr>
        <w:t>وبهدف ضمان اتباع نهج منسق في الأنشطة التي ينفذها الاتحاد استجابةً للقرار 1408، اتُّخذت مجموعة من آليات التنسيق على النحو التالي:</w:t>
      </w:r>
    </w:p>
    <w:p w14:paraId="15070F90" w14:textId="54C2005A" w:rsidR="00CA0A6D" w:rsidRPr="00CA0A6D" w:rsidDel="00903B09" w:rsidRDefault="00843B95" w:rsidP="008E469C">
      <w:pPr>
        <w:pStyle w:val="enumlev1"/>
        <w:rPr>
          <w:lang w:val="ar-SA" w:bidi="ar-EG"/>
        </w:rPr>
      </w:pPr>
      <w:r>
        <w:rPr>
          <w:rtl/>
          <w:lang w:bidi="ar-EG"/>
        </w:rPr>
        <w:noBreakHyphen/>
      </w:r>
      <w:r w:rsidR="00CA0A6D" w:rsidRPr="00CA0A6D">
        <w:rPr>
          <w:rtl/>
        </w:rPr>
        <w:tab/>
        <w:t xml:space="preserve">يجري الاتحاد مكالمات تنسيق منتظمة مع جهة الاتصال الرسمية </w:t>
      </w:r>
      <w:r w:rsidR="00CA0A6D" w:rsidRPr="00CA0A6D">
        <w:rPr>
          <w:b/>
          <w:bCs/>
          <w:rtl/>
        </w:rPr>
        <w:t>لوزارة التحول الرقمي في أوكرانيا</w:t>
      </w:r>
      <w:r w:rsidR="00CA0A6D" w:rsidRPr="00CA0A6D">
        <w:rPr>
          <w:rtl/>
        </w:rPr>
        <w:t>، بصفتها الإدارة/الدولة العضو في الاتحاد. وبالإضافة إلى ذلك، يواصل الاتحاد، بحسب الحاجة، التعاون مع الدائرة الحكومية للاتصالات الخاصة وحماية المعلومات (</w:t>
      </w:r>
      <w:r w:rsidR="00CA0A6D" w:rsidRPr="00CA0A6D">
        <w:rPr>
          <w:lang w:bidi="ar-EG"/>
        </w:rPr>
        <w:t>SSSICP</w:t>
      </w:r>
      <w:r w:rsidR="00CA0A6D" w:rsidRPr="00CA0A6D">
        <w:rPr>
          <w:rtl/>
        </w:rPr>
        <w:t>)، وهيئة الإذاعة والاتصالات الراديوية والتلفزيونية، واللجنة الوطنية لتنظيم الدولة للاتصالات الإلكترونية وطيف الترددات الراديوية وتوفير الخدمات البريدية.</w:t>
      </w:r>
    </w:p>
    <w:p w14:paraId="4AECBE76" w14:textId="5873D059" w:rsidR="00CA0A6D" w:rsidRPr="00CA0A6D" w:rsidRDefault="00843B95" w:rsidP="008E469C">
      <w:pPr>
        <w:pStyle w:val="enumlev1"/>
        <w:rPr>
          <w:lang w:val="ar-SA" w:bidi="ar-EG"/>
        </w:rPr>
      </w:pPr>
      <w:r>
        <w:rPr>
          <w:rtl/>
          <w:lang w:bidi="ar-EG"/>
        </w:rPr>
        <w:noBreakHyphen/>
      </w:r>
      <w:r w:rsidR="00CA0A6D" w:rsidRPr="00CA0A6D">
        <w:rPr>
          <w:rtl/>
        </w:rPr>
        <w:tab/>
        <w:t xml:space="preserve">يواصل الاتحاد، بصفته عضواً في </w:t>
      </w:r>
      <w:r w:rsidR="00CA0A6D" w:rsidRPr="00CA0A6D">
        <w:rPr>
          <w:b/>
          <w:bCs/>
          <w:rtl/>
        </w:rPr>
        <w:t>فريق الأمم المتحدة الق</w:t>
      </w:r>
      <w:r>
        <w:rPr>
          <w:rFonts w:hint="cs"/>
          <w:b/>
          <w:bCs/>
          <w:rtl/>
        </w:rPr>
        <w:t>ُ</w:t>
      </w:r>
      <w:r w:rsidR="00CA0A6D" w:rsidRPr="00CA0A6D">
        <w:rPr>
          <w:b/>
          <w:bCs/>
          <w:rtl/>
        </w:rPr>
        <w:t>طري</w:t>
      </w:r>
      <w:r w:rsidR="00CA0A6D" w:rsidRPr="00CA0A6D">
        <w:rPr>
          <w:rtl/>
        </w:rPr>
        <w:t>، تنسيق جميع أعماله مع منظومة الأمم المتحدة. ويساهم الاتحاد في تنفيذ الإطار الانتقالي للأمم المتحدة لعام 2024 ويساهم حالياً في عملية إعداد إطار التعاون في مجال التنمية المستدامة للأمم المتحدة للفترة 2025-2029.</w:t>
      </w:r>
    </w:p>
    <w:p w14:paraId="775382B7" w14:textId="3BFE823E" w:rsidR="00CA0A6D" w:rsidRPr="00CA0A6D" w:rsidRDefault="00843B95" w:rsidP="008E469C">
      <w:pPr>
        <w:pStyle w:val="enumlev1"/>
        <w:rPr>
          <w:lang w:val="ar-SA" w:bidi="ar-EG"/>
        </w:rPr>
      </w:pPr>
      <w:r>
        <w:rPr>
          <w:rtl/>
        </w:rPr>
        <w:lastRenderedPageBreak/>
        <w:noBreakHyphen/>
      </w:r>
      <w:r w:rsidR="00CA0A6D" w:rsidRPr="00CA0A6D">
        <w:rPr>
          <w:rtl/>
        </w:rPr>
        <w:tab/>
        <w:t xml:space="preserve">يواظب الاتحاد على التنسيق مع </w:t>
      </w:r>
      <w:r w:rsidR="00CA0A6D" w:rsidRPr="00CA0A6D">
        <w:rPr>
          <w:b/>
          <w:bCs/>
          <w:rtl/>
        </w:rPr>
        <w:t>المفوضية الأوروبية</w:t>
      </w:r>
      <w:r w:rsidR="00CA0A6D" w:rsidRPr="00CA0A6D">
        <w:rPr>
          <w:rtl/>
        </w:rPr>
        <w:t xml:space="preserve"> بشأن أنشطته الجارية والمخططة في مجال تكنولوجيا المعلومات والاتصالات وإعادة بناء البنية التحتية للإذاعة، ونشر البنية التحتية للجيل الخامس. ونتيجة لذلك، عقدت أول ورشة عمل مشتركة بين الاتحاد والاتحاد الأوروبي ووحدة تبادل معلومات المساعدة التقنية</w:t>
      </w:r>
      <w:r w:rsidR="009678EF">
        <w:rPr>
          <w:rFonts w:hint="cs"/>
          <w:rtl/>
        </w:rPr>
        <w:t> </w:t>
      </w:r>
      <w:r w:rsidR="00CA0A6D" w:rsidRPr="00CA0A6D">
        <w:t>(</w:t>
      </w:r>
      <w:r w:rsidR="00CA0A6D" w:rsidRPr="00CA0A6D">
        <w:rPr>
          <w:lang w:val="en-GB" w:bidi="ar-EG"/>
        </w:rPr>
        <w:t>TAIEX</w:t>
      </w:r>
      <w:r w:rsidR="00CA0A6D" w:rsidRPr="00CA0A6D">
        <w:t>)</w:t>
      </w:r>
      <w:r w:rsidR="00CA0A6D" w:rsidRPr="00CA0A6D">
        <w:rPr>
          <w:rtl/>
        </w:rPr>
        <w:t xml:space="preserve"> في ديسمبر 2024.</w:t>
      </w:r>
    </w:p>
    <w:p w14:paraId="59CA9C1E" w14:textId="3701825A" w:rsidR="00CA0A6D" w:rsidRPr="00CA0A6D" w:rsidRDefault="00843B95" w:rsidP="008E469C">
      <w:pPr>
        <w:pStyle w:val="enumlev1"/>
        <w:rPr>
          <w:lang w:val="ar-SA" w:bidi="ar-EG"/>
        </w:rPr>
      </w:pPr>
      <w:r>
        <w:rPr>
          <w:rtl/>
          <w:lang w:bidi="ar-EG"/>
        </w:rPr>
        <w:noBreakHyphen/>
      </w:r>
      <w:r w:rsidR="00CA0A6D" w:rsidRPr="00CA0A6D">
        <w:rPr>
          <w:rtl/>
        </w:rPr>
        <w:tab/>
        <w:t xml:space="preserve">في يونيو 2024، وبناء على دعوة من ألمانيا، ساهم الاتحاد في مؤتمر تعافي أوكرانيا الذي عقد في برلين. وأتاحت المائدة المستديرة للمنظمات الدولية فرصة لتسليط الضوء على العمل الذي يضطلع به الاتحاد، وسعت إلى إقامة شراكات فعالة للمضي قدماً في تنفيذ القرار 1408 الصادر عن مجلس الاتحاد. وبدأت الأعمال التحضيرية المتعلقة بمساهمة الاتحاد في مؤتمر تعافي أوكرانيا لعام 2025 الذي سيعقد في إيطاليا (10 و11 يوليو). </w:t>
      </w:r>
    </w:p>
    <w:p w14:paraId="4CD40BA1" w14:textId="31947063" w:rsidR="00CA0A6D" w:rsidRPr="00CA0A6D" w:rsidRDefault="00CA0A6D" w:rsidP="008E469C">
      <w:pPr>
        <w:pStyle w:val="Heading1"/>
        <w:rPr>
          <w:lang w:val="ar-SA" w:bidi="ar-EG"/>
        </w:rPr>
      </w:pPr>
      <w:bookmarkStart w:id="4" w:name="_Toc740993895"/>
      <w:r w:rsidRPr="00CA0A6D">
        <w:rPr>
          <w:rtl/>
        </w:rPr>
        <w:t>4</w:t>
      </w:r>
      <w:r w:rsidRPr="00CA0A6D">
        <w:rPr>
          <w:rtl/>
        </w:rPr>
        <w:tab/>
        <w:t>المساعدة التقنية</w:t>
      </w:r>
      <w:bookmarkEnd w:id="4"/>
    </w:p>
    <w:p w14:paraId="7DCF0C6E" w14:textId="214B57B9" w:rsidR="00CA0A6D" w:rsidRPr="00CA0A6D" w:rsidRDefault="00CA0A6D" w:rsidP="00CA0A6D">
      <w:pPr>
        <w:rPr>
          <w:lang w:val="ar-SA" w:bidi="ar-EG"/>
        </w:rPr>
      </w:pPr>
      <w:r w:rsidRPr="00CA0A6D">
        <w:rPr>
          <w:rtl/>
        </w:rPr>
        <w:t xml:space="preserve">اقترح الاتحاد أنشطة لبناء قدرات المسؤولين الأوكرانيين العاملين في مجال الاتصالات بتزويدهم بالمهارات والمعارف المطلوبة بالتنسيق مع </w:t>
      </w:r>
      <w:r w:rsidRPr="00CA0A6D">
        <w:rPr>
          <w:b/>
          <w:bCs/>
          <w:rtl/>
        </w:rPr>
        <w:t xml:space="preserve">اللجنة الوطنية لتنظيم الدولة للاتصالات الإلكترونية وطيف الترددات الراديوية وتوفير الخدمات البريدية </w:t>
      </w:r>
      <w:r w:rsidRPr="00CA0A6D">
        <w:rPr>
          <w:rtl/>
        </w:rPr>
        <w:t>ووزارة التحول الرقمي في أوكرانيا وبناء</w:t>
      </w:r>
      <w:r w:rsidR="00B16841">
        <w:rPr>
          <w:rFonts w:hint="cs"/>
          <w:rtl/>
        </w:rPr>
        <w:t>ً</w:t>
      </w:r>
      <w:r w:rsidRPr="00CA0A6D">
        <w:rPr>
          <w:rtl/>
        </w:rPr>
        <w:t xml:space="preserve"> على طلبهما. واستناداً إلى الخبرة المكتسبة من ثلاثة مكاتب للاتحاد، بدأ </w:t>
      </w:r>
      <w:r w:rsidRPr="00CA0A6D">
        <w:rPr>
          <w:b/>
          <w:bCs/>
          <w:rtl/>
        </w:rPr>
        <w:t xml:space="preserve">التدريب التنفيذي لتنفيذ الجيل الخامس </w:t>
      </w:r>
      <w:r w:rsidRPr="00CA0A6D">
        <w:rPr>
          <w:b/>
          <w:bCs/>
        </w:rPr>
        <w:t>(5G)</w:t>
      </w:r>
      <w:r w:rsidRPr="00CA0A6D">
        <w:rPr>
          <w:rtl/>
        </w:rPr>
        <w:t xml:space="preserve"> للمسؤولين الأوكرانيين في ربيع عام 2024. وبالإضافة إلى ذلك، واستجابة للاهتمام الذي أبدته الإدارة، قُدمت </w:t>
      </w:r>
      <w:r w:rsidRPr="00CA0A6D">
        <w:rPr>
          <w:b/>
          <w:bCs/>
          <w:rtl/>
        </w:rPr>
        <w:t>سلسلة من الدورات التدريبية</w:t>
      </w:r>
      <w:r w:rsidRPr="00CA0A6D">
        <w:rPr>
          <w:rtl/>
        </w:rPr>
        <w:t xml:space="preserve"> من خلال </w:t>
      </w:r>
      <w:r w:rsidRPr="00CA0A6D">
        <w:rPr>
          <w:b/>
          <w:bCs/>
          <w:rtl/>
        </w:rPr>
        <w:t>أكاديمية الاتحاد</w:t>
      </w:r>
      <w:r w:rsidRPr="00CA0A6D">
        <w:rPr>
          <w:rtl/>
        </w:rPr>
        <w:t>.</w:t>
      </w:r>
    </w:p>
    <w:p w14:paraId="0B1CDC37" w14:textId="6E576080" w:rsidR="00CA0A6D" w:rsidRPr="00CA0A6D" w:rsidRDefault="00CA0A6D" w:rsidP="00CA0A6D">
      <w:pPr>
        <w:rPr>
          <w:lang w:val="ar-SA" w:bidi="ar-EG"/>
        </w:rPr>
      </w:pPr>
      <w:r w:rsidRPr="00CA0A6D">
        <w:rPr>
          <w:rtl/>
        </w:rPr>
        <w:t xml:space="preserve">وفي ديسمبر 2024، نظم الاتحاد، بالتعاون مع المفوضية الأوروبية، </w:t>
      </w:r>
      <w:r w:rsidRPr="00CA0A6D">
        <w:rPr>
          <w:b/>
          <w:bCs/>
          <w:rtl/>
        </w:rPr>
        <w:t xml:space="preserve">ورشة عمل </w:t>
      </w:r>
      <w:r w:rsidRPr="00CA0A6D">
        <w:rPr>
          <w:b/>
          <w:bCs/>
          <w:lang w:bidi="ar-EG"/>
        </w:rPr>
        <w:t>TAIEX</w:t>
      </w:r>
      <w:r w:rsidRPr="00CA0A6D">
        <w:rPr>
          <w:b/>
          <w:bCs/>
          <w:rtl/>
        </w:rPr>
        <w:t xml:space="preserve"> بشأن الجيل الخامس وإدارة الطيف</w:t>
      </w:r>
      <w:r w:rsidRPr="00CA0A6D">
        <w:rPr>
          <w:rtl/>
        </w:rPr>
        <w:t xml:space="preserve"> التي استضافها مكتب الاتصالات الإلكترونية </w:t>
      </w:r>
      <w:r w:rsidRPr="00CA0A6D">
        <w:t>(</w:t>
      </w:r>
      <w:r w:rsidRPr="00CA0A6D">
        <w:rPr>
          <w:lang w:bidi="ar-EG"/>
        </w:rPr>
        <w:t>UKE</w:t>
      </w:r>
      <w:r w:rsidRPr="00CA0A6D">
        <w:t>)</w:t>
      </w:r>
      <w:r w:rsidRPr="00CA0A6D">
        <w:rPr>
          <w:rtl/>
        </w:rPr>
        <w:t xml:space="preserve"> في وارسو، بولندا. وجمعت ورشة العمل مسؤولين أوكرانيين من اللجنة الوطنية لتنظيم الدولة للاتصالات الإلكترونية وطيف الترددات الراديوية وتوفير الخدمات البريدية ووزارة التحول الرقمي في أوكرانيا والمركز الأوكراني للترددات الراديوية بالإضافة إلى خبراء </w:t>
      </w:r>
      <w:r w:rsidR="001F15A2">
        <w:rPr>
          <w:rFonts w:hint="cs"/>
          <w:rtl/>
        </w:rPr>
        <w:t>أوروبيين</w:t>
      </w:r>
      <w:r w:rsidR="001F15A2" w:rsidRPr="00CA0A6D">
        <w:rPr>
          <w:rtl/>
        </w:rPr>
        <w:t xml:space="preserve"> </w:t>
      </w:r>
      <w:r w:rsidRPr="00CA0A6D">
        <w:rPr>
          <w:rtl/>
        </w:rPr>
        <w:t>والاتحاد الدولي للاتصالات وممثلين من المفوضية الأوروبية، وهدفت الورشة إلى تزويد الجانب الأوكراني بالمهارة والمعرفة بشأن نشر 5G، وتقديم رؤى عملية في مجالات مثل إدارة الطيف والأمن السيبراني.</w:t>
      </w:r>
    </w:p>
    <w:p w14:paraId="6D38CE05" w14:textId="77777777" w:rsidR="00CA0A6D" w:rsidRPr="00CA0A6D" w:rsidRDefault="00CA0A6D" w:rsidP="00CA0A6D">
      <w:pPr>
        <w:rPr>
          <w:lang w:val="ar-SA" w:bidi="ar-EG"/>
        </w:rPr>
      </w:pPr>
      <w:r w:rsidRPr="00CA0A6D">
        <w:rPr>
          <w:rtl/>
        </w:rPr>
        <w:t xml:space="preserve">ويواصل الاتحاد العمل مع آلية </w:t>
      </w:r>
      <w:r w:rsidRPr="00CA0A6D">
        <w:rPr>
          <w:lang w:bidi="ar-EG"/>
        </w:rPr>
        <w:t>TAIEX</w:t>
      </w:r>
      <w:r w:rsidRPr="00CA0A6D">
        <w:rPr>
          <w:rtl/>
        </w:rPr>
        <w:t xml:space="preserve"> ويخطط في سبتمبر 2025 لعقد </w:t>
      </w:r>
      <w:r w:rsidRPr="00CA0A6D">
        <w:rPr>
          <w:b/>
          <w:bCs/>
          <w:rtl/>
        </w:rPr>
        <w:t xml:space="preserve">ورشة عمل </w:t>
      </w:r>
      <w:r w:rsidRPr="00CA0A6D">
        <w:rPr>
          <w:b/>
          <w:bCs/>
          <w:lang w:bidi="ar-EG"/>
        </w:rPr>
        <w:t>TAIEX</w:t>
      </w:r>
      <w:r w:rsidRPr="00CA0A6D">
        <w:rPr>
          <w:b/>
          <w:bCs/>
          <w:rtl/>
        </w:rPr>
        <w:t xml:space="preserve"> بشأن إعادة بناء البنية التحتية لتكنولوجيا المعلومات والاتصالات في أوكرانيا: التعاون من أجل مستقبل قادر على الصمود</w:t>
      </w:r>
      <w:r w:rsidRPr="00CA0A6D">
        <w:rPr>
          <w:rtl/>
        </w:rPr>
        <w:t>. وبالنظر إلى التحديات المستمرة التي تواجهها أوكرانيا بسبب الأضرار التي لحقت بالبنية التحتية لتكنولوجيا المعلومات والاتصالات، ستركز ورشة العمل هذه على بناء قدرات ممثلين أوكرانيين في مجالات السياسات والأدوات المالية والنهج الرامية إلى إعادة تأهيل وتحديث البنية التحتية لتكنولوجيا المعلومات والاتصالات في أوكرانيا لمعالجة الثغرات الحرجة وتحديد الإجراءات ذات الأولوية التي تتخذ لبناء نظام إيكولوجي رقمي مرن وشامل.</w:t>
      </w:r>
    </w:p>
    <w:p w14:paraId="37447DD1" w14:textId="77777777" w:rsidR="00CA0A6D" w:rsidRPr="00CA0A6D" w:rsidRDefault="00CA0A6D" w:rsidP="008E469C">
      <w:pPr>
        <w:pStyle w:val="Heading1"/>
        <w:rPr>
          <w:lang w:val="ar-SA" w:bidi="ar-EG"/>
        </w:rPr>
      </w:pPr>
      <w:bookmarkStart w:id="5" w:name="_Toc210312260"/>
      <w:r w:rsidRPr="00CA0A6D">
        <w:rPr>
          <w:rtl/>
        </w:rPr>
        <w:t>5</w:t>
      </w:r>
      <w:r w:rsidRPr="00CA0A6D">
        <w:rPr>
          <w:rtl/>
        </w:rPr>
        <w:tab/>
        <w:t>تعبئة الموارد</w:t>
      </w:r>
      <w:bookmarkEnd w:id="5"/>
    </w:p>
    <w:p w14:paraId="599B9942" w14:textId="0F6F981E" w:rsidR="00CA0A6D" w:rsidRPr="00CA0A6D" w:rsidRDefault="00CA0A6D" w:rsidP="00CA0A6D">
      <w:pPr>
        <w:rPr>
          <w:rtl/>
          <w:lang w:val="ar-SA" w:bidi="ar-EG"/>
        </w:rPr>
      </w:pPr>
      <w:r w:rsidRPr="00CA0A6D">
        <w:rPr>
          <w:rtl/>
        </w:rPr>
        <w:t>يسعى الاتحاد إلى تسهيل تقديم المساعدة التقنية إلى أوكرانيا، ولذلك يَجِدُّ في تشجيع الدول الأعضاء والشركاء على التعهد بالتزامات وموارد مالية تلائم احتياجات أوكرانيا، ويتخذ من أجل ذلك عدداً من الإجراءات الاستراتيجية</w:t>
      </w:r>
      <w:r w:rsidR="00B16841">
        <w:rPr>
          <w:rFonts w:hint="cs"/>
          <w:rtl/>
          <w:lang w:bidi="ar-EG"/>
        </w:rPr>
        <w:t>:</w:t>
      </w:r>
    </w:p>
    <w:p w14:paraId="41536D1E" w14:textId="438AE0E0" w:rsidR="00CA0A6D" w:rsidRPr="00CA0A6D" w:rsidRDefault="00843B95" w:rsidP="008E469C">
      <w:pPr>
        <w:pStyle w:val="enumlev1"/>
        <w:rPr>
          <w:lang w:val="ar-SA" w:bidi="ar-EG"/>
        </w:rPr>
      </w:pPr>
      <w:r>
        <w:rPr>
          <w:rtl/>
          <w:lang w:bidi="ar-EG"/>
        </w:rPr>
        <w:noBreakHyphen/>
      </w:r>
      <w:r w:rsidR="00CA0A6D" w:rsidRPr="00CA0A6D">
        <w:rPr>
          <w:rtl/>
        </w:rPr>
        <w:tab/>
        <w:t>يواصل الاتحاد الدفع قدما</w:t>
      </w:r>
      <w:r w:rsidR="003D3F64">
        <w:rPr>
          <w:rFonts w:hint="cs"/>
          <w:rtl/>
        </w:rPr>
        <w:t>ً</w:t>
      </w:r>
      <w:r w:rsidR="00CA0A6D" w:rsidRPr="00CA0A6D">
        <w:rPr>
          <w:rtl/>
        </w:rPr>
        <w:t xml:space="preserve"> بتحالف الشراكة من أجل التوصيل </w:t>
      </w:r>
      <w:r w:rsidR="00B16841">
        <w:t>(</w:t>
      </w:r>
      <w:r w:rsidR="00B16841" w:rsidRPr="1AF47034">
        <w:rPr>
          <w:spacing w:val="-2"/>
        </w:rPr>
        <w:t>Partner2Connect</w:t>
      </w:r>
      <w:r w:rsidR="00B16841">
        <w:t>)</w:t>
      </w:r>
      <w:r w:rsidR="00B16841">
        <w:rPr>
          <w:rFonts w:hint="cs"/>
          <w:rtl/>
          <w:lang w:bidi="ar-EG"/>
        </w:rPr>
        <w:t xml:space="preserve"> </w:t>
      </w:r>
      <w:r w:rsidR="00CA0A6D" w:rsidRPr="00CA0A6D">
        <w:rPr>
          <w:rtl/>
        </w:rPr>
        <w:t>وجمع التعهدات المكرسة لدعم أوكرانيا. وأتاح الاجتماع السنوي للشراكة من أجل التوصيل (جنيف، يناير 2025) والمنتدى الإقليمي للتنمية من أجل أوروبا الذي نظمه الاتحاد (بودابست، هنغاريا، 24 فبراير 2025) فرصة لتسليط الضوء على الاحتياجات والإعراب عن الالتزامات.</w:t>
      </w:r>
    </w:p>
    <w:p w14:paraId="388DE034" w14:textId="6027A944" w:rsidR="00CA0A6D" w:rsidRPr="00CA0A6D" w:rsidRDefault="00843B95" w:rsidP="008E469C">
      <w:pPr>
        <w:pStyle w:val="enumlev1"/>
        <w:rPr>
          <w:lang w:val="ar-SA" w:bidi="ar-EG"/>
        </w:rPr>
      </w:pPr>
      <w:r>
        <w:rPr>
          <w:rtl/>
          <w:lang w:bidi="ar-EG"/>
        </w:rPr>
        <w:noBreakHyphen/>
      </w:r>
      <w:r w:rsidR="00CA0A6D" w:rsidRPr="00CA0A6D">
        <w:rPr>
          <w:rtl/>
        </w:rPr>
        <w:tab/>
        <w:t>في عام 2025، بلغ إجمالي الالتزامات المجمعة أكثر من 740 مليون دولار أمريكي. ويمكن الاطلاع على قائمة التعهدات</w:t>
      </w:r>
      <w:r w:rsidR="009678EF">
        <w:rPr>
          <w:rFonts w:hint="cs"/>
          <w:rtl/>
        </w:rPr>
        <w:t> </w:t>
      </w:r>
      <w:hyperlink r:id="rId13" w:history="1">
        <w:r w:rsidR="00CA0A6D" w:rsidRPr="00CA0A6D">
          <w:rPr>
            <w:rStyle w:val="Hyperlink"/>
            <w:rFonts w:ascii="Dubai" w:eastAsiaTheme="minorEastAsia" w:hAnsi="Dubai" w:cs="Dubai"/>
            <w:noProof w:val="0"/>
            <w:sz w:val="22"/>
            <w:rtl/>
            <w:lang w:val="en-US" w:eastAsia="zh-CN" w:bidi="ar-SA"/>
          </w:rPr>
          <w:t>هنا</w:t>
        </w:r>
      </w:hyperlink>
      <w:r w:rsidR="00CA0A6D" w:rsidRPr="00CA0A6D">
        <w:rPr>
          <w:rtl/>
        </w:rPr>
        <w:t>.</w:t>
      </w:r>
    </w:p>
    <w:p w14:paraId="35DF0F98" w14:textId="37409D1A" w:rsidR="00CA0A6D" w:rsidRPr="00CA0A6D" w:rsidRDefault="00843B95" w:rsidP="008E469C">
      <w:pPr>
        <w:pStyle w:val="enumlev1"/>
        <w:rPr>
          <w:lang w:val="ar-SA" w:bidi="ar-EG"/>
        </w:rPr>
      </w:pPr>
      <w:r>
        <w:rPr>
          <w:rtl/>
          <w:lang w:bidi="ar-EG"/>
        </w:rPr>
        <w:noBreakHyphen/>
      </w:r>
      <w:r w:rsidR="00CA0A6D" w:rsidRPr="00CA0A6D">
        <w:rPr>
          <w:rtl/>
        </w:rPr>
        <w:tab/>
      </w:r>
      <w:r w:rsidR="00CA0A6D" w:rsidRPr="009678EF">
        <w:rPr>
          <w:spacing w:val="-4"/>
          <w:rtl/>
        </w:rPr>
        <w:t xml:space="preserve">يشارك الاتحاد في الجهود المستمرة لجمع المساهمات للصندوق الخاص </w:t>
      </w:r>
      <w:proofErr w:type="spellStart"/>
      <w:r w:rsidR="00CA0A6D" w:rsidRPr="009678EF">
        <w:rPr>
          <w:spacing w:val="-4"/>
          <w:rtl/>
        </w:rPr>
        <w:t>الاستئماني</w:t>
      </w:r>
      <w:proofErr w:type="spellEnd"/>
      <w:r w:rsidR="00CA0A6D" w:rsidRPr="009678EF">
        <w:rPr>
          <w:spacing w:val="-4"/>
          <w:rtl/>
        </w:rPr>
        <w:t xml:space="preserve"> المكرس لمواصلة تنفيذ القرار</w:t>
      </w:r>
      <w:r w:rsidR="009678EF">
        <w:rPr>
          <w:rFonts w:hint="cs"/>
          <w:spacing w:val="-4"/>
          <w:rtl/>
        </w:rPr>
        <w:t> </w:t>
      </w:r>
      <w:r w:rsidR="00CA0A6D" w:rsidRPr="009678EF">
        <w:rPr>
          <w:spacing w:val="-4"/>
          <w:rtl/>
        </w:rPr>
        <w:t>1408. وفي الوقت الراهن استفاد الصندوق من مساهمات من اليابان (</w:t>
      </w:r>
      <w:r w:rsidR="008E7BB6" w:rsidRPr="009678EF">
        <w:rPr>
          <w:spacing w:val="-4"/>
        </w:rPr>
        <w:t>100 000</w:t>
      </w:r>
      <w:r w:rsidR="00CA0A6D" w:rsidRPr="009678EF">
        <w:rPr>
          <w:spacing w:val="-4"/>
          <w:rtl/>
        </w:rPr>
        <w:t xml:space="preserve"> فرنك سويسري؛ 2022)،</w:t>
      </w:r>
      <w:r w:rsidR="00CA0A6D" w:rsidRPr="00CA0A6D">
        <w:rPr>
          <w:rtl/>
        </w:rPr>
        <w:t xml:space="preserve"> والجمهورية التشيكية (</w:t>
      </w:r>
      <w:r w:rsidR="008E7BB6">
        <w:t>46 000</w:t>
      </w:r>
      <w:r w:rsidR="00CA0A6D" w:rsidRPr="00CA0A6D">
        <w:rPr>
          <w:rtl/>
        </w:rPr>
        <w:t xml:space="preserve"> فرنك سويسري؛ 2023/2024)، وبلغاريا (</w:t>
      </w:r>
      <w:r w:rsidR="008E7BB6">
        <w:t>16 294</w:t>
      </w:r>
      <w:r w:rsidR="00CA0A6D" w:rsidRPr="00CA0A6D">
        <w:rPr>
          <w:rtl/>
        </w:rPr>
        <w:t xml:space="preserve"> فرنكاً سويسرياً)، وليتوانيا</w:t>
      </w:r>
      <w:r w:rsidR="009678EF">
        <w:rPr>
          <w:rFonts w:hint="cs"/>
          <w:rtl/>
        </w:rPr>
        <w:t> </w:t>
      </w:r>
      <w:r w:rsidR="00CA0A6D" w:rsidRPr="00CA0A6D">
        <w:rPr>
          <w:rtl/>
        </w:rPr>
        <w:t>(</w:t>
      </w:r>
      <w:r w:rsidR="008E7BB6">
        <w:t>18 335</w:t>
      </w:r>
      <w:r w:rsidR="00CA0A6D" w:rsidRPr="00CA0A6D">
        <w:rPr>
          <w:rtl/>
        </w:rPr>
        <w:t xml:space="preserve"> فرنكاً سويسرياَ).</w:t>
      </w:r>
    </w:p>
    <w:p w14:paraId="496618DA" w14:textId="45DC9745" w:rsidR="00CA0A6D" w:rsidRPr="00CA0A6D" w:rsidRDefault="00843B95" w:rsidP="008E469C">
      <w:pPr>
        <w:pStyle w:val="enumlev1"/>
        <w:rPr>
          <w:lang w:val="ar-SA" w:bidi="ar-EG"/>
        </w:rPr>
      </w:pPr>
      <w:r>
        <w:rPr>
          <w:rtl/>
          <w:lang w:bidi="ar-EG"/>
        </w:rPr>
        <w:lastRenderedPageBreak/>
        <w:noBreakHyphen/>
      </w:r>
      <w:r w:rsidR="00CA0A6D" w:rsidRPr="00CA0A6D">
        <w:rPr>
          <w:rtl/>
        </w:rPr>
        <w:tab/>
        <w:t>منذ 2022، ظل الاتحاد يخصص سنويا</w:t>
      </w:r>
      <w:r w:rsidR="003D3F64">
        <w:rPr>
          <w:rFonts w:hint="cs"/>
          <w:rtl/>
        </w:rPr>
        <w:t>ً</w:t>
      </w:r>
      <w:r w:rsidR="00CA0A6D" w:rsidRPr="00CA0A6D">
        <w:rPr>
          <w:rtl/>
        </w:rPr>
        <w:t xml:space="preserve"> </w:t>
      </w:r>
      <w:r w:rsidR="008E7BB6">
        <w:t>75 000</w:t>
      </w:r>
      <w:r w:rsidR="00CA0A6D" w:rsidRPr="00CA0A6D">
        <w:rPr>
          <w:rtl/>
        </w:rPr>
        <w:t xml:space="preserve"> فرنك سويسري من ميزانية التشغيل من أجل مواصلة العمل التنفيذي.</w:t>
      </w:r>
    </w:p>
    <w:p w14:paraId="6CD44CD7" w14:textId="3FE16B42" w:rsidR="00CA0A6D" w:rsidRPr="00CA0A6D" w:rsidRDefault="00843B95" w:rsidP="008E469C">
      <w:pPr>
        <w:pStyle w:val="enumlev1"/>
        <w:rPr>
          <w:lang w:val="ar-SA" w:bidi="ar-EG"/>
        </w:rPr>
      </w:pPr>
      <w:r>
        <w:rPr>
          <w:rtl/>
          <w:lang w:bidi="ar-EG"/>
        </w:rPr>
        <w:noBreakHyphen/>
      </w:r>
      <w:r w:rsidR="00CA0A6D" w:rsidRPr="00CA0A6D">
        <w:rPr>
          <w:rtl/>
        </w:rPr>
        <w:tab/>
        <w:t xml:space="preserve">يسر الاتحاد المساهمة العينية من المفوضية الأوروبية البالغة </w:t>
      </w:r>
      <w:r w:rsidR="008E7BB6">
        <w:t>50 000</w:t>
      </w:r>
      <w:r w:rsidR="00CA0A6D" w:rsidRPr="00CA0A6D">
        <w:rPr>
          <w:rtl/>
        </w:rPr>
        <w:t xml:space="preserve"> فرنك سويسري لتنفيذ برامج تبادل معلومات المساعدة التقنية </w:t>
      </w:r>
      <w:r w:rsidR="00CA0A6D" w:rsidRPr="00CA0A6D">
        <w:rPr>
          <w:lang w:bidi="ar-EG"/>
        </w:rPr>
        <w:t>TAIEX</w:t>
      </w:r>
      <w:r w:rsidR="00CA0A6D" w:rsidRPr="00CA0A6D">
        <w:rPr>
          <w:rtl/>
        </w:rPr>
        <w:t xml:space="preserve"> للمسؤولين الأوكرانيين.</w:t>
      </w:r>
    </w:p>
    <w:p w14:paraId="2794D8A8" w14:textId="6C958A24" w:rsidR="00CA0A6D" w:rsidRPr="00CA0A6D" w:rsidRDefault="00843B95" w:rsidP="008E469C">
      <w:pPr>
        <w:pStyle w:val="enumlev1"/>
        <w:rPr>
          <w:lang w:val="ar-SA" w:bidi="ar-EG"/>
        </w:rPr>
      </w:pPr>
      <w:r>
        <w:rPr>
          <w:rtl/>
          <w:lang w:bidi="ar-EG"/>
        </w:rPr>
        <w:noBreakHyphen/>
      </w:r>
      <w:r w:rsidR="00CA0A6D" w:rsidRPr="00CA0A6D">
        <w:rPr>
          <w:rtl/>
        </w:rPr>
        <w:tab/>
        <w:t>يواصل الاتحاد إجراء مناقشات ثنائية منتظمة مع الدول الأعضاء والشركاء للحفاظ على الموارد المالية اللازمة لاستمرار عمليات الاتحاد المتعلقة بتنفيذ القرار 1408 وما هو مطلوب من إعادة تأهيل للبنية التحتية للإذاعة وفقاً للتقييم الأولي الذي أجري لعشر محطات إذاعية.</w:t>
      </w:r>
    </w:p>
    <w:p w14:paraId="144864F3" w14:textId="77777777" w:rsidR="00CA0A6D" w:rsidRPr="00CA0A6D" w:rsidRDefault="00CA0A6D" w:rsidP="008E469C">
      <w:pPr>
        <w:pStyle w:val="Heading1"/>
        <w:rPr>
          <w:lang w:val="ar-SA" w:bidi="ar-EG"/>
        </w:rPr>
      </w:pPr>
      <w:bookmarkStart w:id="6" w:name="_Toc2037035869"/>
      <w:r w:rsidRPr="00CA0A6D">
        <w:rPr>
          <w:rtl/>
        </w:rPr>
        <w:t>6</w:t>
      </w:r>
      <w:r w:rsidRPr="00CA0A6D">
        <w:rPr>
          <w:rtl/>
        </w:rPr>
        <w:tab/>
        <w:t>الاستنتاجات</w:t>
      </w:r>
      <w:bookmarkEnd w:id="6"/>
    </w:p>
    <w:p w14:paraId="38556F6E" w14:textId="70BB144C" w:rsidR="00CA0A6D" w:rsidRPr="00CA0A6D" w:rsidRDefault="00CA0A6D" w:rsidP="0092152A">
      <w:pPr>
        <w:rPr>
          <w:lang w:val="ar-SA" w:bidi="ar-EG"/>
        </w:rPr>
      </w:pPr>
      <w:r w:rsidRPr="00CA0A6D">
        <w:rPr>
          <w:rtl/>
        </w:rPr>
        <w:t>واصل الاتحاد تكثيف الأنشطة الرامية إلى تنفيذ القرار 1408 بتعزيز الشراكات وإنشاء آليات منسقة تنسيقاً جيداً للمضي قدماً في تنفيذ الأنشطة وتعبئة الموارد المالية.</w:t>
      </w:r>
    </w:p>
    <w:p w14:paraId="40A0AECB" w14:textId="26399E09" w:rsidR="00CA0A6D" w:rsidRPr="00CA0A6D" w:rsidRDefault="00CA0A6D" w:rsidP="0092152A">
      <w:pPr>
        <w:rPr>
          <w:lang w:val="ar-SA" w:bidi="ar-EG"/>
        </w:rPr>
      </w:pPr>
      <w:r w:rsidRPr="00CA0A6D">
        <w:rPr>
          <w:rtl/>
        </w:rPr>
        <w:t>ويُرجى من جميع أصحاب المصلحة دعم التعاون العالمي الذي يقدمه الاتحاد والأنشطة التي ينفذها استجابةً للقرار</w:t>
      </w:r>
      <w:r w:rsidR="009678EF">
        <w:rPr>
          <w:rFonts w:hint="cs"/>
          <w:rtl/>
        </w:rPr>
        <w:t> </w:t>
      </w:r>
      <w:r w:rsidRPr="00CA0A6D">
        <w:rPr>
          <w:rtl/>
        </w:rPr>
        <w:t>1408، لا سيما ما يلي:</w:t>
      </w:r>
    </w:p>
    <w:p w14:paraId="6F5E87CC" w14:textId="72E556E8" w:rsidR="00CA0A6D" w:rsidRPr="0092152A" w:rsidRDefault="00E43456" w:rsidP="00B16841">
      <w:pPr>
        <w:pStyle w:val="enumlev1"/>
        <w:spacing w:after="80"/>
      </w:pPr>
      <w:r w:rsidRPr="0092152A">
        <w:rPr>
          <w:rtl/>
        </w:rPr>
        <w:noBreakHyphen/>
      </w:r>
      <w:r w:rsidR="00CA0A6D" w:rsidRPr="0092152A">
        <w:rPr>
          <w:rtl/>
        </w:rPr>
        <w:tab/>
        <w:t>الالتزام بتقديم المساعدة التقنية وبناء القدرات وتقديم الدعم المالي إلى أوكرانيا لإعادة تأهيل قطاع الاتصالات وتحديثه، ولا سيما البنية التحتية للإذاعة؛</w:t>
      </w:r>
    </w:p>
    <w:p w14:paraId="188C8616" w14:textId="6B1A76EF" w:rsidR="00CA0A6D" w:rsidRPr="0092152A" w:rsidDel="00950F78" w:rsidRDefault="00E43456" w:rsidP="00B16841">
      <w:pPr>
        <w:pStyle w:val="enumlev1"/>
        <w:spacing w:after="80"/>
      </w:pPr>
      <w:r w:rsidRPr="0092152A">
        <w:rPr>
          <w:rtl/>
        </w:rPr>
        <w:noBreakHyphen/>
      </w:r>
      <w:r w:rsidR="00CA0A6D" w:rsidRPr="0092152A">
        <w:rPr>
          <w:rtl/>
        </w:rPr>
        <w:tab/>
      </w:r>
      <w:r w:rsidR="00CA0A6D" w:rsidRPr="00B16841">
        <w:rPr>
          <w:spacing w:val="-4"/>
          <w:rtl/>
        </w:rPr>
        <w:t>تقديم مساهمة مالية إلى صندوق الاستئمان الخاص، مما يمكّن من مواصلة تنفيذ القرار 1408 وتوسيع نطاقه؛</w:t>
      </w:r>
    </w:p>
    <w:p w14:paraId="2B20213E" w14:textId="3B91D2FF" w:rsidR="00F50E3F" w:rsidRDefault="00E43456" w:rsidP="00B16841">
      <w:pPr>
        <w:pStyle w:val="enumlev1"/>
        <w:spacing w:after="80"/>
        <w:rPr>
          <w:rtl/>
          <w:lang w:bidi="ar-EG"/>
        </w:rPr>
      </w:pPr>
      <w:r w:rsidRPr="0092152A">
        <w:rPr>
          <w:rtl/>
        </w:rPr>
        <w:noBreakHyphen/>
      </w:r>
      <w:r w:rsidR="00CA0A6D" w:rsidRPr="0092152A">
        <w:rPr>
          <w:rtl/>
        </w:rPr>
        <w:tab/>
        <w:t xml:space="preserve">الانضمام إلى مبادرة "الشراكة من أجل التوصيل" وتقديم تعهدات تركز على أوكرانيا من خلال النظام المتاح على الإنترنت </w:t>
      </w:r>
      <w:hyperlink r:id="rId14" w:history="1">
        <w:r w:rsidR="0092152A" w:rsidRPr="0092152A">
          <w:rPr>
            <w:rStyle w:val="Hyperlink"/>
            <w:rFonts w:ascii="Dubai" w:eastAsiaTheme="minorEastAsia" w:hAnsi="Dubai" w:cs="Dubai" w:hint="cs"/>
            <w:noProof w:val="0"/>
            <w:sz w:val="22"/>
            <w:rtl/>
            <w:lang w:val="en-US" w:eastAsia="zh-CN" w:bidi="ar-EG"/>
          </w:rPr>
          <w:t>هنا</w:t>
        </w:r>
      </w:hyperlink>
      <w:r w:rsidR="0092152A">
        <w:rPr>
          <w:rFonts w:hint="cs"/>
          <w:rtl/>
        </w:rPr>
        <w:t>.</w:t>
      </w:r>
    </w:p>
    <w:p w14:paraId="6F487C20"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5"/>
      <w:headerReference w:type="first" r:id="rId16"/>
      <w:footerReference w:type="first" r:id="rId17"/>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CD650" w14:textId="77777777" w:rsidR="00831C97" w:rsidRDefault="00831C97" w:rsidP="006C3242">
      <w:pPr>
        <w:spacing w:before="0" w:line="240" w:lineRule="auto"/>
      </w:pPr>
      <w:r>
        <w:separator/>
      </w:r>
    </w:p>
  </w:endnote>
  <w:endnote w:type="continuationSeparator" w:id="0">
    <w:p w14:paraId="229558E5" w14:textId="77777777" w:rsidR="00831C97" w:rsidRDefault="00831C9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7A22C730" w14:textId="77777777" w:rsidTr="00A67F05">
      <w:trPr>
        <w:jc w:val="center"/>
      </w:trPr>
      <w:tc>
        <w:tcPr>
          <w:tcW w:w="868" w:type="pct"/>
          <w:vAlign w:val="center"/>
        </w:tcPr>
        <w:p w14:paraId="1B67CAC3" w14:textId="269312BD" w:rsidR="00F50E3F" w:rsidRPr="007B0AA0" w:rsidRDefault="00291E0D" w:rsidP="006F363C">
          <w:pPr>
            <w:tabs>
              <w:tab w:val="clear" w:pos="794"/>
            </w:tabs>
            <w:overflowPunct w:val="0"/>
            <w:autoSpaceDE w:val="0"/>
            <w:autoSpaceDN w:val="0"/>
            <w:bidi w:val="0"/>
            <w:adjustRightInd w:val="0"/>
            <w:spacing w:before="0" w:line="240" w:lineRule="auto"/>
            <w:jc w:val="right"/>
            <w:textAlignment w:val="baseline"/>
            <w:rPr>
              <w:rFonts w:ascii="Calibri" w:hAnsi="Calibri" w:cs="Arial"/>
              <w:noProof/>
              <w:sz w:val="18"/>
            </w:rPr>
          </w:pPr>
          <w:r w:rsidRPr="00291E0D">
            <w:rPr>
              <w:rFonts w:ascii="Calibri" w:hAnsi="Calibri" w:cs="Arial"/>
              <w:sz w:val="18"/>
              <w:szCs w:val="14"/>
            </w:rPr>
            <w:t>2501245</w:t>
          </w:r>
        </w:p>
      </w:tc>
      <w:tc>
        <w:tcPr>
          <w:tcW w:w="3912" w:type="pct"/>
        </w:tcPr>
        <w:p w14:paraId="77DA4BC4" w14:textId="47778F08"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291E0D">
            <w:rPr>
              <w:rFonts w:ascii="Calibri" w:hAnsi="Calibri" w:cs="Arial"/>
              <w:bCs/>
              <w:color w:val="7F7F7F"/>
              <w:sz w:val="18"/>
            </w:rPr>
            <w:t>68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C998F80" w14:textId="77777777" w:rsidR="00F50E3F"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340644A"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4FC27DAE" w14:textId="77777777" w:rsidTr="00A67F05">
      <w:trPr>
        <w:jc w:val="center"/>
      </w:trPr>
      <w:tc>
        <w:tcPr>
          <w:tcW w:w="1013" w:type="pct"/>
          <w:vAlign w:val="center"/>
        </w:tcPr>
        <w:p w14:paraId="3D0D01D0" w14:textId="77777777" w:rsidR="007B0AA0" w:rsidRPr="00660DEA" w:rsidRDefault="00660DEA" w:rsidP="00A67F05">
          <w:pPr>
            <w:tabs>
              <w:tab w:val="clear" w:pos="794"/>
            </w:tabs>
            <w:overflowPunct w:val="0"/>
            <w:autoSpaceDE w:val="0"/>
            <w:autoSpaceDN w:val="0"/>
            <w:bidi w:val="0"/>
            <w:adjustRightInd w:val="0"/>
            <w:spacing w:before="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370B5AE9" w14:textId="497DFF9D" w:rsidR="007B0AA0" w:rsidRPr="007B0AA0" w:rsidRDefault="007B0AA0"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291E0D">
            <w:rPr>
              <w:rFonts w:ascii="Calibri" w:hAnsi="Calibri" w:cs="Arial"/>
              <w:bCs/>
              <w:color w:val="7F7F7F"/>
              <w:sz w:val="18"/>
            </w:rPr>
            <w:t>68</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9AB6806" w14:textId="77777777" w:rsidR="007B0AA0" w:rsidRPr="007B0AA0" w:rsidRDefault="00F50E3F" w:rsidP="006F363C">
          <w:pPr>
            <w:tabs>
              <w:tab w:val="clear" w:pos="794"/>
              <w:tab w:val="left" w:pos="862"/>
              <w:tab w:val="right" w:pos="8505"/>
              <w:tab w:val="right" w:pos="9639"/>
            </w:tabs>
            <w:overflowPunct w:val="0"/>
            <w:autoSpaceDE w:val="0"/>
            <w:autoSpaceDN w:val="0"/>
            <w:adjustRightInd w:val="0"/>
            <w:spacing w:before="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35C4B55"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90E3" w14:textId="77777777" w:rsidR="00831C97" w:rsidRDefault="00831C97" w:rsidP="006C3242">
      <w:pPr>
        <w:spacing w:before="0" w:line="240" w:lineRule="auto"/>
      </w:pPr>
      <w:r>
        <w:separator/>
      </w:r>
    </w:p>
  </w:footnote>
  <w:footnote w:type="continuationSeparator" w:id="0">
    <w:p w14:paraId="6C02F496" w14:textId="77777777" w:rsidR="00831C97" w:rsidRDefault="00831C97" w:rsidP="006C3242">
      <w:pPr>
        <w:spacing w:before="0" w:line="240" w:lineRule="auto"/>
      </w:pPr>
      <w:r>
        <w:continuationSeparator/>
      </w:r>
    </w:p>
  </w:footnote>
  <w:footnote w:id="1">
    <w:p w14:paraId="62C3B590" w14:textId="66039B63" w:rsidR="00806A21" w:rsidRPr="00806A21" w:rsidRDefault="00806A21" w:rsidP="00806A21">
      <w:pPr>
        <w:pStyle w:val="FootnoteText"/>
        <w:tabs>
          <w:tab w:val="clear" w:pos="794"/>
          <w:tab w:val="left" w:pos="284"/>
        </w:tabs>
        <w:ind w:left="284" w:hanging="284"/>
        <w:rPr>
          <w:sz w:val="18"/>
          <w:szCs w:val="18"/>
        </w:rPr>
      </w:pPr>
      <w:r w:rsidRPr="00806A21">
        <w:rPr>
          <w:rStyle w:val="FootnoteReference"/>
          <w:rtl/>
        </w:rPr>
        <w:t>1</w:t>
      </w:r>
      <w:r w:rsidRPr="00806A21">
        <w:rPr>
          <w:sz w:val="18"/>
          <w:szCs w:val="18"/>
          <w:rtl/>
        </w:rPr>
        <w:t xml:space="preserve"> </w:t>
      </w:r>
      <w:r w:rsidRPr="00806A21">
        <w:rPr>
          <w:sz w:val="18"/>
          <w:szCs w:val="18"/>
        </w:rPr>
        <w:tab/>
      </w:r>
      <w:hyperlink r:id="rId1" w:history="1">
        <w:r w:rsidRPr="00806A21">
          <w:rPr>
            <w:rStyle w:val="Hyperlink"/>
            <w:rFonts w:ascii="Dubai" w:eastAsiaTheme="minorEastAsia" w:hAnsi="Dubai" w:cs="Dubai"/>
            <w:noProof w:val="0"/>
            <w:szCs w:val="18"/>
            <w:lang w:eastAsia="zh-CN"/>
          </w:rPr>
          <w:t>https://ukraine.un.org/sites/default/files/2025-02/P1801741ca39ec0d81b5371ff73a675a0a8.pdf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CEEA"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B4E24BA" wp14:editId="2FE3E696">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2006D"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5511DB70" wp14:editId="291C3473">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1743002">
    <w:abstractNumId w:val="9"/>
  </w:num>
  <w:num w:numId="2" w16cid:durableId="457143566">
    <w:abstractNumId w:val="7"/>
  </w:num>
  <w:num w:numId="3" w16cid:durableId="1344160375">
    <w:abstractNumId w:val="6"/>
  </w:num>
  <w:num w:numId="4" w16cid:durableId="663555541">
    <w:abstractNumId w:val="5"/>
  </w:num>
  <w:num w:numId="5" w16cid:durableId="1558516986">
    <w:abstractNumId w:val="4"/>
  </w:num>
  <w:num w:numId="6" w16cid:durableId="1096830366">
    <w:abstractNumId w:val="8"/>
  </w:num>
  <w:num w:numId="7" w16cid:durableId="1778061347">
    <w:abstractNumId w:val="3"/>
  </w:num>
  <w:num w:numId="8" w16cid:durableId="1562448171">
    <w:abstractNumId w:val="2"/>
  </w:num>
  <w:num w:numId="9" w16cid:durableId="1342662455">
    <w:abstractNumId w:val="1"/>
  </w:num>
  <w:num w:numId="10" w16cid:durableId="850610083">
    <w:abstractNumId w:val="0"/>
  </w:num>
  <w:num w:numId="11" w16cid:durableId="21349039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E2"/>
    <w:rsid w:val="0006468A"/>
    <w:rsid w:val="00070154"/>
    <w:rsid w:val="00090574"/>
    <w:rsid w:val="000C1C0E"/>
    <w:rsid w:val="000C548A"/>
    <w:rsid w:val="00181ED0"/>
    <w:rsid w:val="001875E2"/>
    <w:rsid w:val="00191059"/>
    <w:rsid w:val="001B6E2B"/>
    <w:rsid w:val="001C0169"/>
    <w:rsid w:val="001C0C21"/>
    <w:rsid w:val="001D1D50"/>
    <w:rsid w:val="001D64C7"/>
    <w:rsid w:val="001D6745"/>
    <w:rsid w:val="001E446E"/>
    <w:rsid w:val="001F15A2"/>
    <w:rsid w:val="00200784"/>
    <w:rsid w:val="002154EE"/>
    <w:rsid w:val="002276D2"/>
    <w:rsid w:val="0023283D"/>
    <w:rsid w:val="00254393"/>
    <w:rsid w:val="0026373E"/>
    <w:rsid w:val="00271C43"/>
    <w:rsid w:val="002765EE"/>
    <w:rsid w:val="00290728"/>
    <w:rsid w:val="00291E0D"/>
    <w:rsid w:val="002978F4"/>
    <w:rsid w:val="002B028D"/>
    <w:rsid w:val="002C3F32"/>
    <w:rsid w:val="002E6541"/>
    <w:rsid w:val="00334924"/>
    <w:rsid w:val="003409BC"/>
    <w:rsid w:val="00357185"/>
    <w:rsid w:val="00365074"/>
    <w:rsid w:val="00376D7A"/>
    <w:rsid w:val="00383829"/>
    <w:rsid w:val="003C5B60"/>
    <w:rsid w:val="003D3F64"/>
    <w:rsid w:val="003F4B29"/>
    <w:rsid w:val="00420F8A"/>
    <w:rsid w:val="0042686F"/>
    <w:rsid w:val="004317D8"/>
    <w:rsid w:val="0043260A"/>
    <w:rsid w:val="00434183"/>
    <w:rsid w:val="00443869"/>
    <w:rsid w:val="00447F32"/>
    <w:rsid w:val="00455F0A"/>
    <w:rsid w:val="00491BA9"/>
    <w:rsid w:val="00494119"/>
    <w:rsid w:val="004A4701"/>
    <w:rsid w:val="004B7334"/>
    <w:rsid w:val="004E11DC"/>
    <w:rsid w:val="00501BE2"/>
    <w:rsid w:val="005130DE"/>
    <w:rsid w:val="00513157"/>
    <w:rsid w:val="00525DDD"/>
    <w:rsid w:val="005409AC"/>
    <w:rsid w:val="005434E0"/>
    <w:rsid w:val="005438CF"/>
    <w:rsid w:val="005546CF"/>
    <w:rsid w:val="0055516A"/>
    <w:rsid w:val="0058491B"/>
    <w:rsid w:val="00592EA5"/>
    <w:rsid w:val="00594D3D"/>
    <w:rsid w:val="005A3170"/>
    <w:rsid w:val="00657019"/>
    <w:rsid w:val="00660DEA"/>
    <w:rsid w:val="00677396"/>
    <w:rsid w:val="0069200F"/>
    <w:rsid w:val="006A65CB"/>
    <w:rsid w:val="006B12E5"/>
    <w:rsid w:val="006C3242"/>
    <w:rsid w:val="006C7CC0"/>
    <w:rsid w:val="006F363C"/>
    <w:rsid w:val="006F63F7"/>
    <w:rsid w:val="007025C7"/>
    <w:rsid w:val="00706D7A"/>
    <w:rsid w:val="00722F0D"/>
    <w:rsid w:val="00735081"/>
    <w:rsid w:val="0074420E"/>
    <w:rsid w:val="007648A6"/>
    <w:rsid w:val="0077110E"/>
    <w:rsid w:val="00783E26"/>
    <w:rsid w:val="007A2B0E"/>
    <w:rsid w:val="007A6684"/>
    <w:rsid w:val="007B0AA0"/>
    <w:rsid w:val="007B33ED"/>
    <w:rsid w:val="007C3BC7"/>
    <w:rsid w:val="007C3BCD"/>
    <w:rsid w:val="007D4ACF"/>
    <w:rsid w:val="007F0787"/>
    <w:rsid w:val="00806A21"/>
    <w:rsid w:val="00810B7B"/>
    <w:rsid w:val="0082358A"/>
    <w:rsid w:val="008235CD"/>
    <w:rsid w:val="008247DE"/>
    <w:rsid w:val="00831C97"/>
    <w:rsid w:val="008339C0"/>
    <w:rsid w:val="00840B10"/>
    <w:rsid w:val="00843B95"/>
    <w:rsid w:val="008513CB"/>
    <w:rsid w:val="00874E9F"/>
    <w:rsid w:val="008A7F84"/>
    <w:rsid w:val="008E29AF"/>
    <w:rsid w:val="008E469C"/>
    <w:rsid w:val="008E7BB6"/>
    <w:rsid w:val="0091702E"/>
    <w:rsid w:val="0092152A"/>
    <w:rsid w:val="00923B0C"/>
    <w:rsid w:val="00924F46"/>
    <w:rsid w:val="00935AAC"/>
    <w:rsid w:val="0094021C"/>
    <w:rsid w:val="00952F86"/>
    <w:rsid w:val="009678EF"/>
    <w:rsid w:val="00982B28"/>
    <w:rsid w:val="009A03E5"/>
    <w:rsid w:val="009D313F"/>
    <w:rsid w:val="00A47A5A"/>
    <w:rsid w:val="00A63AE6"/>
    <w:rsid w:val="00A6683B"/>
    <w:rsid w:val="00A67F05"/>
    <w:rsid w:val="00A97F94"/>
    <w:rsid w:val="00AA7EA2"/>
    <w:rsid w:val="00AB5A56"/>
    <w:rsid w:val="00B03099"/>
    <w:rsid w:val="00B05BC8"/>
    <w:rsid w:val="00B16841"/>
    <w:rsid w:val="00B30F5E"/>
    <w:rsid w:val="00B53810"/>
    <w:rsid w:val="00B64B47"/>
    <w:rsid w:val="00B95654"/>
    <w:rsid w:val="00B97F32"/>
    <w:rsid w:val="00BA04B2"/>
    <w:rsid w:val="00C002DE"/>
    <w:rsid w:val="00C0602B"/>
    <w:rsid w:val="00C13916"/>
    <w:rsid w:val="00C224DA"/>
    <w:rsid w:val="00C45F94"/>
    <w:rsid w:val="00C53BF8"/>
    <w:rsid w:val="00C66157"/>
    <w:rsid w:val="00C674FE"/>
    <w:rsid w:val="00C67501"/>
    <w:rsid w:val="00C75633"/>
    <w:rsid w:val="00CA0A6D"/>
    <w:rsid w:val="00CD6149"/>
    <w:rsid w:val="00CE2EE1"/>
    <w:rsid w:val="00CE3349"/>
    <w:rsid w:val="00CE36E5"/>
    <w:rsid w:val="00CE4360"/>
    <w:rsid w:val="00CF27F5"/>
    <w:rsid w:val="00CF3FFD"/>
    <w:rsid w:val="00D10CCF"/>
    <w:rsid w:val="00D13941"/>
    <w:rsid w:val="00D23F5F"/>
    <w:rsid w:val="00D43F7D"/>
    <w:rsid w:val="00D63735"/>
    <w:rsid w:val="00D77D0F"/>
    <w:rsid w:val="00DA1CF0"/>
    <w:rsid w:val="00DB66E3"/>
    <w:rsid w:val="00DC1E02"/>
    <w:rsid w:val="00DC24B4"/>
    <w:rsid w:val="00DC5FB0"/>
    <w:rsid w:val="00DF16DC"/>
    <w:rsid w:val="00E04D75"/>
    <w:rsid w:val="00E43456"/>
    <w:rsid w:val="00E45211"/>
    <w:rsid w:val="00E473C5"/>
    <w:rsid w:val="00E61BE8"/>
    <w:rsid w:val="00E83FF1"/>
    <w:rsid w:val="00E92863"/>
    <w:rsid w:val="00E979B2"/>
    <w:rsid w:val="00EB4A5F"/>
    <w:rsid w:val="00EB796D"/>
    <w:rsid w:val="00F058DC"/>
    <w:rsid w:val="00F24FC4"/>
    <w:rsid w:val="00F2676C"/>
    <w:rsid w:val="00F363FE"/>
    <w:rsid w:val="00F50E3F"/>
    <w:rsid w:val="00F84366"/>
    <w:rsid w:val="00F85089"/>
    <w:rsid w:val="00F974C5"/>
    <w:rsid w:val="00FA3763"/>
    <w:rsid w:val="00FA6F46"/>
    <w:rsid w:val="00FB3F8C"/>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B3C9B"/>
  <w15:chartTrackingRefBased/>
  <w15:docId w15:val="{851643F8-566E-4085-913B-14B6B7BE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B53810"/>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806A21"/>
    <w:rPr>
      <w:color w:val="954F72" w:themeColor="followedHyperlink"/>
      <w:u w:val="single"/>
    </w:rPr>
  </w:style>
  <w:style w:type="paragraph" w:styleId="Revision">
    <w:name w:val="Revision"/>
    <w:hidden/>
    <w:uiPriority w:val="99"/>
    <w:semiHidden/>
    <w:rsid w:val="00C45F94"/>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2/en" TargetMode="External"/><Relationship Id="rId13"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3-CL-C-012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059/en" TargetMode="External"/><Relationship Id="rId14" Type="http://schemas.openxmlformats.org/officeDocument/2006/relationships/hyperlink" Target="https://www.itu.int/partner2connect-pledg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kraine.un.org/sites/default/files/2025-02/P1801741ca39ec0d81b5371ff73a675a0a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26\2501245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4</Pages>
  <Words>1337</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implementation of ITU Council Resolution 1408 on assistance and support to Ukraine for rebuilding their telecommunication sector</dc:title>
  <dc:subject>ITU Council 2025</dc:subject>
  <dc:creator>PC-28</dc:creator>
  <cp:keywords>C2025, C25, Council-25</cp:keywords>
  <dc:description/>
  <cp:lastModifiedBy>GBS</cp:lastModifiedBy>
  <cp:revision>2</cp:revision>
  <dcterms:created xsi:type="dcterms:W3CDTF">2025-06-12T19:37:00Z</dcterms:created>
  <dcterms:modified xsi:type="dcterms:W3CDTF">2025-06-12T19:37:00Z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