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BA3F47" w14:paraId="62ED7F2A" w14:textId="77777777" w:rsidTr="00D72F49">
        <w:trPr>
          <w:cantSplit/>
          <w:trHeight w:val="23"/>
        </w:trPr>
        <w:tc>
          <w:tcPr>
            <w:tcW w:w="3969" w:type="dxa"/>
            <w:vMerge w:val="restart"/>
            <w:tcMar>
              <w:left w:w="0" w:type="dxa"/>
            </w:tcMar>
          </w:tcPr>
          <w:p w14:paraId="161BFE44" w14:textId="7E17FDDE" w:rsidR="00D72F49" w:rsidRPr="00BA3F47" w:rsidRDefault="00D72F49" w:rsidP="00D72F49">
            <w:pPr>
              <w:tabs>
                <w:tab w:val="left" w:pos="851"/>
              </w:tabs>
              <w:spacing w:before="0" w:line="240" w:lineRule="atLeast"/>
              <w:rPr>
                <w:b/>
              </w:rPr>
            </w:pPr>
            <w:r w:rsidRPr="00BA3F47">
              <w:rPr>
                <w:b/>
              </w:rPr>
              <w:t>Point de l'ordre du jour:</w:t>
            </w:r>
            <w:r w:rsidR="00990293" w:rsidRPr="00BA3F47">
              <w:rPr>
                <w:b/>
              </w:rPr>
              <w:t xml:space="preserve"> ADM 1</w:t>
            </w:r>
          </w:p>
        </w:tc>
        <w:tc>
          <w:tcPr>
            <w:tcW w:w="5245" w:type="dxa"/>
          </w:tcPr>
          <w:p w14:paraId="4AF638CA" w14:textId="5639B1E1" w:rsidR="00D72F49" w:rsidRPr="00BA3F47" w:rsidRDefault="00D72F49" w:rsidP="00D72F49">
            <w:pPr>
              <w:tabs>
                <w:tab w:val="left" w:pos="851"/>
              </w:tabs>
              <w:spacing w:before="0" w:line="240" w:lineRule="atLeast"/>
              <w:jc w:val="right"/>
              <w:rPr>
                <w:b/>
              </w:rPr>
            </w:pPr>
            <w:r w:rsidRPr="00BA3F47">
              <w:rPr>
                <w:b/>
              </w:rPr>
              <w:t>Document C2</w:t>
            </w:r>
            <w:r w:rsidR="00FC6D7D" w:rsidRPr="00BA3F47">
              <w:rPr>
                <w:b/>
              </w:rPr>
              <w:t>5</w:t>
            </w:r>
            <w:r w:rsidRPr="00BA3F47">
              <w:rPr>
                <w:b/>
              </w:rPr>
              <w:t>/</w:t>
            </w:r>
            <w:r w:rsidR="00990293" w:rsidRPr="00BA3F47">
              <w:rPr>
                <w:b/>
              </w:rPr>
              <w:t>67</w:t>
            </w:r>
            <w:r w:rsidRPr="00BA3F47">
              <w:rPr>
                <w:b/>
              </w:rPr>
              <w:t>-F</w:t>
            </w:r>
          </w:p>
        </w:tc>
      </w:tr>
      <w:tr w:rsidR="00D72F49" w:rsidRPr="00BA3F47" w14:paraId="17894D36" w14:textId="77777777" w:rsidTr="00D72F49">
        <w:trPr>
          <w:cantSplit/>
        </w:trPr>
        <w:tc>
          <w:tcPr>
            <w:tcW w:w="3969" w:type="dxa"/>
            <w:vMerge/>
          </w:tcPr>
          <w:p w14:paraId="4C3449AB" w14:textId="77777777" w:rsidR="00D72F49" w:rsidRPr="00BA3F47" w:rsidRDefault="00D72F49" w:rsidP="00D72F49">
            <w:pPr>
              <w:tabs>
                <w:tab w:val="left" w:pos="851"/>
              </w:tabs>
              <w:spacing w:line="240" w:lineRule="atLeast"/>
              <w:rPr>
                <w:b/>
              </w:rPr>
            </w:pPr>
          </w:p>
        </w:tc>
        <w:tc>
          <w:tcPr>
            <w:tcW w:w="5245" w:type="dxa"/>
          </w:tcPr>
          <w:p w14:paraId="0CFB160B" w14:textId="2D88D8F0" w:rsidR="00D72F49" w:rsidRPr="00BA3F47" w:rsidRDefault="00990293" w:rsidP="00D72F49">
            <w:pPr>
              <w:tabs>
                <w:tab w:val="left" w:pos="851"/>
              </w:tabs>
              <w:spacing w:before="0"/>
              <w:jc w:val="right"/>
              <w:rPr>
                <w:b/>
              </w:rPr>
            </w:pPr>
            <w:r w:rsidRPr="00BA3F47">
              <w:rPr>
                <w:b/>
              </w:rPr>
              <w:t>16 mai 2025</w:t>
            </w:r>
          </w:p>
        </w:tc>
      </w:tr>
      <w:tr w:rsidR="00D72F49" w:rsidRPr="00BA3F47" w14:paraId="19168D30" w14:textId="77777777" w:rsidTr="00D72F49">
        <w:trPr>
          <w:cantSplit/>
          <w:trHeight w:val="23"/>
        </w:trPr>
        <w:tc>
          <w:tcPr>
            <w:tcW w:w="3969" w:type="dxa"/>
            <w:vMerge/>
          </w:tcPr>
          <w:p w14:paraId="0963C05A" w14:textId="77777777" w:rsidR="00D72F49" w:rsidRPr="00BA3F47" w:rsidRDefault="00D72F49" w:rsidP="00D72F49">
            <w:pPr>
              <w:tabs>
                <w:tab w:val="left" w:pos="851"/>
              </w:tabs>
              <w:spacing w:line="240" w:lineRule="atLeast"/>
              <w:rPr>
                <w:b/>
              </w:rPr>
            </w:pPr>
          </w:p>
        </w:tc>
        <w:tc>
          <w:tcPr>
            <w:tcW w:w="5245" w:type="dxa"/>
          </w:tcPr>
          <w:p w14:paraId="52D6E4DB" w14:textId="77777777" w:rsidR="00D72F49" w:rsidRPr="00BA3F47" w:rsidRDefault="00D72F49" w:rsidP="00D72F49">
            <w:pPr>
              <w:tabs>
                <w:tab w:val="left" w:pos="851"/>
              </w:tabs>
              <w:spacing w:before="0" w:line="240" w:lineRule="atLeast"/>
              <w:jc w:val="right"/>
              <w:rPr>
                <w:b/>
              </w:rPr>
            </w:pPr>
            <w:r w:rsidRPr="00BA3F47">
              <w:rPr>
                <w:b/>
              </w:rPr>
              <w:t>Original: anglais</w:t>
            </w:r>
          </w:p>
        </w:tc>
      </w:tr>
      <w:tr w:rsidR="00D72F49" w:rsidRPr="00BA3F47" w14:paraId="0F110DE8" w14:textId="77777777" w:rsidTr="00D72F49">
        <w:trPr>
          <w:cantSplit/>
          <w:trHeight w:val="23"/>
        </w:trPr>
        <w:tc>
          <w:tcPr>
            <w:tcW w:w="3969" w:type="dxa"/>
          </w:tcPr>
          <w:p w14:paraId="113325EF" w14:textId="77777777" w:rsidR="00D72F49" w:rsidRPr="00BA3F47" w:rsidRDefault="00D72F49" w:rsidP="002353C1">
            <w:pPr>
              <w:tabs>
                <w:tab w:val="left" w:pos="851"/>
              </w:tabs>
              <w:spacing w:before="0" w:line="240" w:lineRule="atLeast"/>
              <w:rPr>
                <w:b/>
              </w:rPr>
            </w:pPr>
          </w:p>
        </w:tc>
        <w:tc>
          <w:tcPr>
            <w:tcW w:w="5245" w:type="dxa"/>
          </w:tcPr>
          <w:p w14:paraId="7242FDD7" w14:textId="77777777" w:rsidR="00D72F49" w:rsidRPr="00BA3F47" w:rsidRDefault="00D72F49" w:rsidP="002353C1">
            <w:pPr>
              <w:tabs>
                <w:tab w:val="left" w:pos="851"/>
              </w:tabs>
              <w:spacing w:before="0" w:line="240" w:lineRule="atLeast"/>
              <w:jc w:val="right"/>
              <w:rPr>
                <w:b/>
              </w:rPr>
            </w:pPr>
          </w:p>
        </w:tc>
      </w:tr>
      <w:tr w:rsidR="00D72F49" w:rsidRPr="00BA3F47" w14:paraId="2392E539" w14:textId="77777777" w:rsidTr="00D72F49">
        <w:trPr>
          <w:cantSplit/>
        </w:trPr>
        <w:tc>
          <w:tcPr>
            <w:tcW w:w="9214" w:type="dxa"/>
            <w:gridSpan w:val="2"/>
            <w:tcMar>
              <w:left w:w="0" w:type="dxa"/>
            </w:tcMar>
          </w:tcPr>
          <w:p w14:paraId="1C4F26DE" w14:textId="77777777" w:rsidR="00D72F49" w:rsidRPr="00BA3F47" w:rsidRDefault="00D72F49" w:rsidP="00D72F49">
            <w:pPr>
              <w:pStyle w:val="Source"/>
              <w:jc w:val="left"/>
              <w:rPr>
                <w:sz w:val="34"/>
                <w:szCs w:val="34"/>
              </w:rPr>
            </w:pPr>
            <w:r w:rsidRPr="00BA3F47">
              <w:rPr>
                <w:rFonts w:cstheme="minorHAnsi"/>
                <w:color w:val="000000"/>
                <w:sz w:val="34"/>
                <w:szCs w:val="34"/>
              </w:rPr>
              <w:t xml:space="preserve">Rapport </w:t>
            </w:r>
            <w:r w:rsidR="00E95647" w:rsidRPr="00BA3F47">
              <w:rPr>
                <w:rFonts w:cstheme="minorHAnsi"/>
                <w:color w:val="000000"/>
                <w:sz w:val="34"/>
                <w:szCs w:val="34"/>
              </w:rPr>
              <w:t xml:space="preserve">de la </w:t>
            </w:r>
            <w:r w:rsidRPr="00BA3F47">
              <w:rPr>
                <w:rFonts w:cstheme="minorHAnsi"/>
                <w:color w:val="000000"/>
                <w:sz w:val="34"/>
                <w:szCs w:val="34"/>
              </w:rPr>
              <w:t>Secrétaire général</w:t>
            </w:r>
            <w:r w:rsidR="00E95647" w:rsidRPr="00BA3F47">
              <w:rPr>
                <w:rFonts w:cstheme="minorHAnsi"/>
                <w:color w:val="000000"/>
                <w:sz w:val="34"/>
                <w:szCs w:val="34"/>
              </w:rPr>
              <w:t>e</w:t>
            </w:r>
          </w:p>
        </w:tc>
      </w:tr>
      <w:tr w:rsidR="00D72F49" w:rsidRPr="00BA3F47" w14:paraId="565D649F" w14:textId="77777777" w:rsidTr="00D72F49">
        <w:trPr>
          <w:cantSplit/>
        </w:trPr>
        <w:tc>
          <w:tcPr>
            <w:tcW w:w="9214" w:type="dxa"/>
            <w:gridSpan w:val="2"/>
            <w:tcMar>
              <w:left w:w="0" w:type="dxa"/>
            </w:tcMar>
          </w:tcPr>
          <w:p w14:paraId="557075A0" w14:textId="19B977CE" w:rsidR="00D72F49" w:rsidRPr="00BA3F47" w:rsidRDefault="004C3124" w:rsidP="00D72F49">
            <w:pPr>
              <w:pStyle w:val="Subtitle"/>
              <w:framePr w:hSpace="0" w:wrap="auto" w:hAnchor="text" w:xAlign="left" w:yAlign="inline"/>
              <w:rPr>
                <w:sz w:val="32"/>
                <w:szCs w:val="32"/>
                <w:lang w:val="fr-FR"/>
              </w:rPr>
            </w:pPr>
            <w:r w:rsidRPr="00BA3F47">
              <w:rPr>
                <w:color w:val="000000"/>
                <w:lang w:val="fr-FR"/>
              </w:rPr>
              <w:t>MISE EN ŒUVRE DE LA STRATÉGIE DE MOBILISATION DES RESSOURCES DE L'UIT</w:t>
            </w:r>
          </w:p>
        </w:tc>
      </w:tr>
      <w:tr w:rsidR="00D72F49" w:rsidRPr="00BA3F47" w14:paraId="488C5C54" w14:textId="77777777" w:rsidTr="00D72F49">
        <w:trPr>
          <w:cantSplit/>
        </w:trPr>
        <w:tc>
          <w:tcPr>
            <w:tcW w:w="9214" w:type="dxa"/>
            <w:gridSpan w:val="2"/>
            <w:tcBorders>
              <w:top w:val="single" w:sz="4" w:space="0" w:color="auto"/>
              <w:bottom w:val="single" w:sz="4" w:space="0" w:color="auto"/>
            </w:tcBorders>
            <w:tcMar>
              <w:left w:w="0" w:type="dxa"/>
            </w:tcMar>
          </w:tcPr>
          <w:p w14:paraId="57EA1E5F" w14:textId="77777777" w:rsidR="00D72F49" w:rsidRPr="00BA3F47" w:rsidRDefault="00F37FE5" w:rsidP="002353C1">
            <w:pPr>
              <w:rPr>
                <w:b/>
                <w:bCs/>
                <w:sz w:val="26"/>
                <w:szCs w:val="26"/>
              </w:rPr>
            </w:pPr>
            <w:r w:rsidRPr="00BA3F47">
              <w:rPr>
                <w:b/>
                <w:bCs/>
                <w:sz w:val="26"/>
                <w:szCs w:val="26"/>
              </w:rPr>
              <w:t>Objet</w:t>
            </w:r>
          </w:p>
          <w:p w14:paraId="1957FD99" w14:textId="2EB70D9B" w:rsidR="00990293" w:rsidRPr="004C3124" w:rsidRDefault="00990293" w:rsidP="002353C1">
            <w:pPr>
              <w:spacing w:before="100"/>
              <w:jc w:val="both"/>
              <w:rPr>
                <w:spacing w:val="-2"/>
              </w:rPr>
            </w:pPr>
            <w:r w:rsidRPr="004C3124">
              <w:rPr>
                <w:spacing w:val="-2"/>
              </w:rPr>
              <w:t>Par sa Décision 5 (Rév. Bucarest, 2022), la Conférence de plénipotentiaires (Bucarest, 2022) a chargé le Secrétaire général d'élaborer une stratégie de mobilisation des ressources financières à l'échelle de l'UIT et de la présenter au Conseil de l'UIT. À sa session de 2025, le Conseil a approuvé la stratégie, dont la mise en œuvre est en cours. Le présent document porte sur l'obtention des unités contributives des États Membres, qui représentent environ 70% du budget ordinaire de l'UIT et constituent donc la priorité absolue dans le cadre de la stratégie.</w:t>
            </w:r>
          </w:p>
          <w:p w14:paraId="4B9C10F5" w14:textId="583E97D5" w:rsidR="00D72F49" w:rsidRPr="00BA3F47" w:rsidRDefault="00990293" w:rsidP="002353C1">
            <w:pPr>
              <w:spacing w:before="100"/>
              <w:jc w:val="both"/>
            </w:pPr>
            <w:r w:rsidRPr="00BA3F47">
              <w:t xml:space="preserve">Conformément à la pratique recommandée dans la stratégie de mobilisation des ressources, le secrétariat élabore actuellement un dossier intitulé </w:t>
            </w:r>
            <w:r w:rsidR="00D4694E" w:rsidRPr="00BA3F47">
              <w:t>"</w:t>
            </w:r>
            <w:r w:rsidRPr="00BA3F47">
              <w:t>Utilité d'investir dans l'UIT</w:t>
            </w:r>
            <w:r w:rsidR="00D4694E" w:rsidRPr="00BA3F47">
              <w:t>"</w:t>
            </w:r>
            <w:r w:rsidRPr="00BA3F47">
              <w:t xml:space="preserve"> que les délégués pourront utiliser au sein de leurs administrations nationales, pour contribuer à obtenir les unités contributives ou à en accroître le nombre. De plus, des efforts sont actuellement déployés pour améliorer la présentation de rapports à l'intention des États Membres, notamment par une meilleure harmonisation des plans stratégique, financier et opérationnel et par l'amélioration de la communication concernant l'efficacité des processus et les économies réalisées, afin de démontrer plus clairement le retour sur investissement pour les États Membres.</w:t>
            </w:r>
          </w:p>
          <w:p w14:paraId="3D4356CE" w14:textId="77777777" w:rsidR="00D72F49" w:rsidRPr="00BA3F47" w:rsidRDefault="00D72F49" w:rsidP="002353C1">
            <w:pPr>
              <w:rPr>
                <w:b/>
                <w:bCs/>
                <w:sz w:val="26"/>
                <w:szCs w:val="26"/>
              </w:rPr>
            </w:pPr>
            <w:r w:rsidRPr="00BA3F47">
              <w:rPr>
                <w:b/>
                <w:bCs/>
                <w:sz w:val="26"/>
                <w:szCs w:val="26"/>
              </w:rPr>
              <w:t>Suite à donner par le Conseil</w:t>
            </w:r>
          </w:p>
          <w:p w14:paraId="5B65E178" w14:textId="72AD3A52" w:rsidR="00D72F49" w:rsidRPr="00BA3F47" w:rsidRDefault="00990293" w:rsidP="002353C1">
            <w:pPr>
              <w:spacing w:before="100"/>
            </w:pPr>
            <w:r w:rsidRPr="00BA3F47">
              <w:t xml:space="preserve">Le Conseil est invité à </w:t>
            </w:r>
            <w:r w:rsidRPr="00BA3F47">
              <w:rPr>
                <w:b/>
                <w:bCs/>
              </w:rPr>
              <w:t>prendre note</w:t>
            </w:r>
            <w:r w:rsidRPr="00BA3F47">
              <w:t xml:space="preserve"> du présent rapport.</w:t>
            </w:r>
          </w:p>
          <w:p w14:paraId="6E87A11E" w14:textId="7E6F6217" w:rsidR="00D72F49" w:rsidRPr="00BA3F47" w:rsidRDefault="00D72F49" w:rsidP="002353C1">
            <w:pPr>
              <w:rPr>
                <w:b/>
                <w:bCs/>
                <w:sz w:val="26"/>
                <w:szCs w:val="26"/>
              </w:rPr>
            </w:pPr>
            <w:r w:rsidRPr="00BA3F47">
              <w:rPr>
                <w:b/>
                <w:bCs/>
                <w:sz w:val="26"/>
                <w:szCs w:val="26"/>
              </w:rPr>
              <w:t xml:space="preserve">Lien pertinent avec le </w:t>
            </w:r>
            <w:r w:rsidR="00F37FE5" w:rsidRPr="00BA3F47">
              <w:rPr>
                <w:b/>
                <w:bCs/>
                <w:sz w:val="26"/>
                <w:szCs w:val="26"/>
              </w:rPr>
              <w:t>p</w:t>
            </w:r>
            <w:r w:rsidRPr="00BA3F47">
              <w:rPr>
                <w:b/>
                <w:bCs/>
                <w:sz w:val="26"/>
                <w:szCs w:val="26"/>
              </w:rPr>
              <w:t>lan stratégique</w:t>
            </w:r>
          </w:p>
          <w:p w14:paraId="643CE4A5" w14:textId="2627DCE7" w:rsidR="00D72F49" w:rsidRPr="00BA3F47" w:rsidRDefault="00990293" w:rsidP="002353C1">
            <w:pPr>
              <w:spacing w:before="100"/>
            </w:pPr>
            <w:r w:rsidRPr="00BA3F47">
              <w:t>Mobilisation des ressources.</w:t>
            </w:r>
          </w:p>
          <w:p w14:paraId="0F1C8BC0" w14:textId="77777777" w:rsidR="00E95647" w:rsidRPr="00BA3F47" w:rsidRDefault="00D72F49" w:rsidP="002353C1">
            <w:pPr>
              <w:rPr>
                <w:b/>
                <w:bCs/>
                <w:sz w:val="26"/>
                <w:szCs w:val="26"/>
              </w:rPr>
            </w:pPr>
            <w:r w:rsidRPr="00BA3F47">
              <w:rPr>
                <w:b/>
                <w:bCs/>
                <w:sz w:val="26"/>
                <w:szCs w:val="26"/>
              </w:rPr>
              <w:t>Incidences financières</w:t>
            </w:r>
          </w:p>
          <w:p w14:paraId="4C84A5D0" w14:textId="77777777" w:rsidR="00D72F49" w:rsidRPr="00BA3F47" w:rsidRDefault="00990293" w:rsidP="002353C1">
            <w:pPr>
              <w:spacing w:before="100"/>
              <w:rPr>
                <w:szCs w:val="24"/>
              </w:rPr>
            </w:pPr>
            <w:r w:rsidRPr="00BA3F47">
              <w:rPr>
                <w:szCs w:val="24"/>
              </w:rPr>
              <w:t>Augmentation possible du budget ordinaire et des fonds extrabudgétaires.</w:t>
            </w:r>
          </w:p>
          <w:p w14:paraId="620D3127" w14:textId="77777777" w:rsidR="00D4694E" w:rsidRDefault="00D4694E" w:rsidP="002353C1">
            <w:pPr>
              <w:spacing w:before="0"/>
              <w:rPr>
                <w:sz w:val="22"/>
              </w:rPr>
            </w:pPr>
            <w:r w:rsidRPr="00BA3F47">
              <w:rPr>
                <w:sz w:val="22"/>
              </w:rPr>
              <w:t>__________________</w:t>
            </w:r>
          </w:p>
          <w:p w14:paraId="4213DF0C" w14:textId="77777777" w:rsidR="002353C1" w:rsidRPr="00BA3F47" w:rsidRDefault="002353C1" w:rsidP="002353C1">
            <w:pPr>
              <w:spacing w:before="160"/>
              <w:rPr>
                <w:b/>
                <w:bCs/>
                <w:sz w:val="26"/>
                <w:szCs w:val="26"/>
              </w:rPr>
            </w:pPr>
            <w:r w:rsidRPr="00BA3F47">
              <w:rPr>
                <w:b/>
                <w:bCs/>
                <w:sz w:val="26"/>
                <w:szCs w:val="26"/>
              </w:rPr>
              <w:t>Références</w:t>
            </w:r>
          </w:p>
          <w:p w14:paraId="6EDA5218" w14:textId="0F60B830" w:rsidR="004C3124" w:rsidRPr="00BA3F47" w:rsidRDefault="002353C1" w:rsidP="002353C1">
            <w:pPr>
              <w:spacing w:before="100"/>
              <w:rPr>
                <w:szCs w:val="24"/>
              </w:rPr>
            </w:pPr>
            <w:hyperlink r:id="rId6" w:history="1">
              <w:r w:rsidRPr="004C3124">
                <w:rPr>
                  <w:rStyle w:val="Hyperlink"/>
                  <w:i/>
                  <w:iCs/>
                  <w:sz w:val="22"/>
                </w:rPr>
                <w:t>Décision 5</w:t>
              </w:r>
            </w:hyperlink>
            <w:r w:rsidRPr="004C3124">
              <w:rPr>
                <w:i/>
                <w:iCs/>
                <w:sz w:val="22"/>
                <w:szCs w:val="22"/>
              </w:rPr>
              <w:t xml:space="preserve"> (Rév. Bucarest, 2022) de la Conférence de plénipotentiaires; Documents </w:t>
            </w:r>
            <w:hyperlink r:id="rId7" w:history="1">
              <w:proofErr w:type="spellStart"/>
              <w:r w:rsidRPr="004C3124">
                <w:rPr>
                  <w:rStyle w:val="Hyperlink"/>
                  <w:i/>
                  <w:iCs/>
                  <w:sz w:val="22"/>
                </w:rPr>
                <w:t>C17</w:t>
              </w:r>
              <w:proofErr w:type="spellEnd"/>
              <w:r w:rsidRPr="004C3124">
                <w:rPr>
                  <w:rStyle w:val="Hyperlink"/>
                  <w:i/>
                  <w:iCs/>
                  <w:sz w:val="22"/>
                </w:rPr>
                <w:t>/67</w:t>
              </w:r>
            </w:hyperlink>
            <w:r w:rsidRPr="004C3124">
              <w:rPr>
                <w:i/>
                <w:iCs/>
                <w:sz w:val="22"/>
                <w:szCs w:val="22"/>
              </w:rPr>
              <w:t xml:space="preserve"> et </w:t>
            </w:r>
            <w:hyperlink r:id="rId8" w:history="1">
              <w:proofErr w:type="spellStart"/>
              <w:r w:rsidRPr="004C3124">
                <w:rPr>
                  <w:rStyle w:val="Hyperlink"/>
                  <w:i/>
                  <w:iCs/>
                  <w:sz w:val="22"/>
                </w:rPr>
                <w:t>C23</w:t>
              </w:r>
              <w:proofErr w:type="spellEnd"/>
              <w:r w:rsidRPr="004C3124">
                <w:rPr>
                  <w:rStyle w:val="Hyperlink"/>
                  <w:i/>
                  <w:iCs/>
                  <w:sz w:val="22"/>
                </w:rPr>
                <w:t>/</w:t>
              </w:r>
              <w:proofErr w:type="spellStart"/>
              <w:r w:rsidRPr="004C3124">
                <w:rPr>
                  <w:rStyle w:val="Hyperlink"/>
                  <w:i/>
                  <w:iCs/>
                  <w:sz w:val="22"/>
                </w:rPr>
                <w:t>INF</w:t>
              </w:r>
              <w:proofErr w:type="spellEnd"/>
              <w:r w:rsidRPr="004C3124">
                <w:rPr>
                  <w:rStyle w:val="Hyperlink"/>
                  <w:i/>
                  <w:iCs/>
                  <w:sz w:val="22"/>
                </w:rPr>
                <w:t>/12</w:t>
              </w:r>
            </w:hyperlink>
            <w:r w:rsidRPr="004C3124">
              <w:rPr>
                <w:i/>
                <w:iCs/>
                <w:sz w:val="22"/>
                <w:szCs w:val="22"/>
              </w:rPr>
              <w:t xml:space="preserve"> du Conseil; </w:t>
            </w:r>
            <w:hyperlink r:id="rId9" w:history="1">
              <w:r w:rsidRPr="004C3124">
                <w:rPr>
                  <w:rStyle w:val="Hyperlink"/>
                  <w:i/>
                  <w:iCs/>
                  <w:sz w:val="22"/>
                </w:rPr>
                <w:t>Plan d'action de Kigali</w:t>
              </w:r>
            </w:hyperlink>
            <w:r w:rsidRPr="004C3124">
              <w:rPr>
                <w:i/>
                <w:iCs/>
                <w:sz w:val="22"/>
                <w:szCs w:val="22"/>
              </w:rPr>
              <w:t xml:space="preserve">, Documents </w:t>
            </w:r>
            <w:hyperlink r:id="rId10" w:history="1">
              <w:proofErr w:type="spellStart"/>
              <w:r w:rsidRPr="004C3124">
                <w:rPr>
                  <w:rStyle w:val="Hyperlink"/>
                  <w:i/>
                  <w:iCs/>
                  <w:sz w:val="22"/>
                </w:rPr>
                <w:t>C23</w:t>
              </w:r>
              <w:proofErr w:type="spellEnd"/>
              <w:r w:rsidRPr="004C3124">
                <w:rPr>
                  <w:rStyle w:val="Hyperlink"/>
                  <w:i/>
                  <w:iCs/>
                  <w:sz w:val="22"/>
                </w:rPr>
                <w:t>/62(</w:t>
              </w:r>
              <w:proofErr w:type="spellStart"/>
              <w:r w:rsidRPr="004C3124">
                <w:rPr>
                  <w:rStyle w:val="Hyperlink"/>
                  <w:i/>
                  <w:iCs/>
                  <w:sz w:val="22"/>
                </w:rPr>
                <w:t>Rév.1</w:t>
              </w:r>
              <w:proofErr w:type="spellEnd"/>
              <w:r w:rsidRPr="004C3124">
                <w:rPr>
                  <w:rStyle w:val="Hyperlink"/>
                  <w:i/>
                  <w:iCs/>
                  <w:sz w:val="22"/>
                </w:rPr>
                <w:t>)</w:t>
              </w:r>
            </w:hyperlink>
            <w:r w:rsidRPr="004C3124">
              <w:rPr>
                <w:i/>
                <w:iCs/>
                <w:sz w:val="22"/>
                <w:szCs w:val="22"/>
              </w:rPr>
              <w:t xml:space="preserve">, </w:t>
            </w:r>
            <w:hyperlink r:id="rId11" w:history="1">
              <w:proofErr w:type="spellStart"/>
              <w:r w:rsidRPr="004C3124">
                <w:rPr>
                  <w:rStyle w:val="Hyperlink"/>
                  <w:i/>
                  <w:iCs/>
                  <w:sz w:val="22"/>
                </w:rPr>
                <w:t>CWG</w:t>
              </w:r>
              <w:r w:rsidRPr="004C3124">
                <w:rPr>
                  <w:rStyle w:val="Hyperlink"/>
                  <w:i/>
                  <w:iCs/>
                  <w:sz w:val="22"/>
                </w:rPr>
                <w:noBreakHyphen/>
                <w:t>FHR</w:t>
              </w:r>
              <w:proofErr w:type="spellEnd"/>
              <w:r w:rsidRPr="004C3124">
                <w:rPr>
                  <w:rStyle w:val="Hyperlink"/>
                  <w:i/>
                  <w:iCs/>
                  <w:sz w:val="22"/>
                </w:rPr>
                <w:t> 16/11</w:t>
              </w:r>
            </w:hyperlink>
            <w:r w:rsidRPr="004C3124">
              <w:rPr>
                <w:i/>
                <w:iCs/>
                <w:sz w:val="22"/>
                <w:szCs w:val="22"/>
              </w:rPr>
              <w:t xml:space="preserve">, </w:t>
            </w:r>
            <w:hyperlink r:id="rId12" w:history="1">
              <w:proofErr w:type="spellStart"/>
              <w:r w:rsidRPr="004C3124">
                <w:rPr>
                  <w:rStyle w:val="Hyperlink"/>
                  <w:i/>
                  <w:iCs/>
                  <w:sz w:val="22"/>
                </w:rPr>
                <w:t>CWG-FHR</w:t>
              </w:r>
              <w:proofErr w:type="spellEnd"/>
              <w:r w:rsidRPr="004C3124">
                <w:rPr>
                  <w:rStyle w:val="Hyperlink"/>
                  <w:i/>
                  <w:iCs/>
                  <w:sz w:val="22"/>
                </w:rPr>
                <w:t xml:space="preserve"> 17/3</w:t>
              </w:r>
            </w:hyperlink>
            <w:r w:rsidRPr="004C3124">
              <w:rPr>
                <w:i/>
                <w:iCs/>
                <w:sz w:val="22"/>
                <w:szCs w:val="22"/>
              </w:rPr>
              <w:t xml:space="preserve">, </w:t>
            </w:r>
            <w:hyperlink r:id="rId13" w:history="1">
              <w:proofErr w:type="spellStart"/>
              <w:r w:rsidRPr="004C3124">
                <w:rPr>
                  <w:rStyle w:val="Hyperlink"/>
                  <w:i/>
                  <w:iCs/>
                  <w:sz w:val="22"/>
                </w:rPr>
                <w:t>CWG</w:t>
              </w:r>
              <w:proofErr w:type="spellEnd"/>
              <w:r w:rsidRPr="004C3124">
                <w:rPr>
                  <w:rStyle w:val="Hyperlink"/>
                  <w:i/>
                  <w:iCs/>
                  <w:sz w:val="22"/>
                </w:rPr>
                <w:t>-</w:t>
              </w:r>
              <w:proofErr w:type="spellStart"/>
              <w:r w:rsidRPr="004C3124">
                <w:rPr>
                  <w:rStyle w:val="Hyperlink"/>
                  <w:i/>
                  <w:iCs/>
                  <w:sz w:val="22"/>
                </w:rPr>
                <w:t>FHR</w:t>
              </w:r>
              <w:proofErr w:type="spellEnd"/>
              <w:r w:rsidRPr="004C3124">
                <w:rPr>
                  <w:rStyle w:val="Hyperlink"/>
                  <w:i/>
                  <w:iCs/>
                  <w:sz w:val="22"/>
                </w:rPr>
                <w:t>-17/</w:t>
              </w:r>
              <w:proofErr w:type="spellStart"/>
              <w:r w:rsidRPr="004C3124">
                <w:rPr>
                  <w:rStyle w:val="Hyperlink"/>
                  <w:i/>
                  <w:iCs/>
                  <w:sz w:val="22"/>
                </w:rPr>
                <w:t>INF</w:t>
              </w:r>
              <w:proofErr w:type="spellEnd"/>
              <w:r w:rsidRPr="004C3124">
                <w:rPr>
                  <w:rStyle w:val="Hyperlink"/>
                  <w:i/>
                  <w:iCs/>
                  <w:sz w:val="22"/>
                </w:rPr>
                <w:t>/9</w:t>
              </w:r>
            </w:hyperlink>
            <w:r w:rsidRPr="004C3124">
              <w:rPr>
                <w:i/>
                <w:iCs/>
                <w:sz w:val="22"/>
                <w:szCs w:val="22"/>
              </w:rPr>
              <w:t xml:space="preserve"> et </w:t>
            </w:r>
            <w:hyperlink r:id="rId14" w:history="1">
              <w:proofErr w:type="spellStart"/>
              <w:r w:rsidRPr="004C3124">
                <w:rPr>
                  <w:rStyle w:val="Hyperlink"/>
                  <w:i/>
                  <w:iCs/>
                  <w:sz w:val="22"/>
                </w:rPr>
                <w:t>C24</w:t>
              </w:r>
              <w:proofErr w:type="spellEnd"/>
              <w:r w:rsidRPr="004C3124">
                <w:rPr>
                  <w:rStyle w:val="Hyperlink"/>
                  <w:i/>
                  <w:iCs/>
                  <w:sz w:val="22"/>
                </w:rPr>
                <w:t>/70</w:t>
              </w:r>
            </w:hyperlink>
            <w:r w:rsidRPr="004C3124">
              <w:rPr>
                <w:i/>
                <w:iCs/>
                <w:sz w:val="22"/>
                <w:szCs w:val="22"/>
              </w:rPr>
              <w:t xml:space="preserve"> (Stratégie de mobilisation des ressources).</w:t>
            </w:r>
          </w:p>
        </w:tc>
      </w:tr>
    </w:tbl>
    <w:p w14:paraId="3C3A6E1C" w14:textId="7528D543" w:rsidR="00D4694E" w:rsidRPr="00BA3F47" w:rsidRDefault="00D4694E">
      <w:pPr>
        <w:tabs>
          <w:tab w:val="clear" w:pos="567"/>
          <w:tab w:val="clear" w:pos="1134"/>
          <w:tab w:val="clear" w:pos="1701"/>
          <w:tab w:val="clear" w:pos="2268"/>
          <w:tab w:val="clear" w:pos="2835"/>
        </w:tabs>
        <w:overflowPunct/>
        <w:autoSpaceDE/>
        <w:autoSpaceDN/>
        <w:adjustRightInd/>
        <w:spacing w:before="0"/>
        <w:textAlignment w:val="auto"/>
      </w:pPr>
      <w:r w:rsidRPr="00BA3F47">
        <w:br w:type="page"/>
      </w:r>
    </w:p>
    <w:p w14:paraId="51F2AF21" w14:textId="77777777" w:rsidR="00990293" w:rsidRPr="00BA3F47" w:rsidRDefault="00990293" w:rsidP="00D4694E">
      <w:pPr>
        <w:pStyle w:val="Headingb"/>
      </w:pPr>
      <w:r w:rsidRPr="00BA3F47">
        <w:lastRenderedPageBreak/>
        <w:t>Considérations générales</w:t>
      </w:r>
    </w:p>
    <w:p w14:paraId="663577ED" w14:textId="77777777" w:rsidR="00990293" w:rsidRPr="00BA3F47" w:rsidRDefault="00990293" w:rsidP="002353C1">
      <w:pPr>
        <w:jc w:val="both"/>
      </w:pPr>
      <w:r w:rsidRPr="00BA3F47">
        <w:t xml:space="preserve">Par sa Décision 5 (Rév. Bucarest, 2022), la Conférence de plénipotentiaires (Bucarest, 2022) a chargé le Secrétaire général d'élaborer une stratégie de mobilisation des ressources financières à l'échelle de l'UIT et de la présenter au Conseil de l'UIT afin qu'il l'examine et fournisse des orientations quant à sa mise en œuvre. </w:t>
      </w:r>
    </w:p>
    <w:p w14:paraId="2C46B15D" w14:textId="2A19547B" w:rsidR="00990293" w:rsidRPr="00BA3F47" w:rsidRDefault="00990293" w:rsidP="002353C1">
      <w:pPr>
        <w:jc w:val="both"/>
      </w:pPr>
      <w:r w:rsidRPr="00BA3F47">
        <w:t xml:space="preserve">La stratégie de mobilisation des ressources, adoptée par le Conseil à sa session de 2024 (voir le </w:t>
      </w:r>
      <w:r w:rsidR="00D4694E" w:rsidRPr="00BA3F47">
        <w:t>D</w:t>
      </w:r>
      <w:r w:rsidRPr="00BA3F47">
        <w:t xml:space="preserve">ocument </w:t>
      </w:r>
      <w:hyperlink r:id="rId15" w:history="1">
        <w:r w:rsidRPr="00BA3F47">
          <w:rPr>
            <w:rStyle w:val="Hyperlink"/>
            <w:rFonts w:eastAsia="Times New Roman" w:cs="Times New Roman"/>
            <w:szCs w:val="20"/>
          </w:rPr>
          <w:t>C24/70</w:t>
        </w:r>
      </w:hyperlink>
      <w:r w:rsidRPr="00BA3F47">
        <w:t>), s'articule autour de trois grands domaines d'action consistant à renforcer la mobilisation des membres, à tirer parti des manifestations, des produits et des services et à susciter davantage de contributions volontaires. Les contributions des États</w:t>
      </w:r>
      <w:r w:rsidR="00D4694E" w:rsidRPr="00BA3F47">
        <w:t> </w:t>
      </w:r>
      <w:r w:rsidRPr="00BA3F47">
        <w:t xml:space="preserve">Membres représentent environ 70% des produits dans le budget ordinaire de l'UIT. L'obtention de cette source de revenus est la priorité absolue de la stratégie de mobilisation des ressources et est essentielle pour garantir la stabilité financière de l'Union. </w:t>
      </w:r>
    </w:p>
    <w:p w14:paraId="2F0F16B3" w14:textId="4CE96E10" w:rsidR="00990293" w:rsidRPr="00BA3F47" w:rsidRDefault="00990293" w:rsidP="002353C1">
      <w:pPr>
        <w:jc w:val="both"/>
      </w:pPr>
      <w:r w:rsidRPr="00BA3F47">
        <w:t>Conformément à la Décision 5 (Rév. Bucarest, 2022), le Conseil, à sa session de 2025, fixera le montant préliminaire de l'unité contributive pour la période 2028-2031. Une fois que le montant préliminaire aura été fixé, le secrétariat publiera une lettre circulaire invitant les États Membres à annoncer leur classe provisoire de contribution pour la période 2028-2031, avant la fin de l'année calendaire 2025.</w:t>
      </w:r>
    </w:p>
    <w:p w14:paraId="70E6A9AA" w14:textId="2801EEA4" w:rsidR="00990293" w:rsidRPr="00BA3F47" w:rsidRDefault="00990293" w:rsidP="002353C1">
      <w:pPr>
        <w:jc w:val="both"/>
      </w:pPr>
      <w:r w:rsidRPr="00BA3F47">
        <w:t xml:space="preserve">Des efforts sont en cours pour mettre en œuvre différents aspects de la stratégie, y compris la mobilisation prévue des États Membres concernant les unités contributives et les consultations, par l'intermédiaire des groupes consultatifs des Secteurs, sur le renforcement de la mobilisation des Membres de Secteur et l'accroissement des produits correspondants. Dans le cadre de la feuille de route pour la transformation, le secrétariat met aussi en œuvre de nouveaux systèmes informatiques et de nouvelles plates-formes web afin d'améliorer l'expérience utilisateur durant les manifestations, d'offrir de nouveaux modèles de produits potentiels, ainsi que d'assurer une mobilisation coordonnée des membres et des partenaires à l'échelle de l'UIT et des procédures de passation de marchés et de recrutement simplifiées, l'objectif étant d'appuyer la mise en œuvre des projets. </w:t>
      </w:r>
    </w:p>
    <w:p w14:paraId="5C07DA63" w14:textId="77777777" w:rsidR="00990293" w:rsidRPr="00BA3F47" w:rsidRDefault="00990293" w:rsidP="00D4694E">
      <w:pPr>
        <w:pStyle w:val="Headingb"/>
      </w:pPr>
      <w:r w:rsidRPr="00BA3F47">
        <w:t>Obtention des unités de contribution des États Membres</w:t>
      </w:r>
    </w:p>
    <w:p w14:paraId="3451FD14" w14:textId="12F9FAA1" w:rsidR="00990293" w:rsidRPr="00BA3F47" w:rsidRDefault="00990293" w:rsidP="002353C1">
      <w:pPr>
        <w:jc w:val="both"/>
      </w:pPr>
      <w:r w:rsidRPr="00BA3F47">
        <w:t xml:space="preserve">Au cours de la séance de réflexion du Groupe de travail du Conseil sur les ressources financières et humaines (GTC-FHR) sur la stratégie de mobilisation des ressources, qui s'est tenue en janvier 2024, les États Membres ont exprimé leur intérêt quant à la possibilité de plaider auprès de leurs administrations nationales afin d'obtenir les unités contributives de l'UIT ou d'en accroître le nombre, mais ont sollicité l'appui du secrétariat pour ce faire. Les États Membres ont également souligné que l'obtention des unités contributives, en particulier l'augmentation de ces contributions, constituait un défi, car les ministères des finances et des affaires étrangères jouent également un rôle en la matière. Il est important de mieux faire connaître les travaux de l'UIT et leurs retombées auprès des ministères des différents pays. </w:t>
      </w:r>
    </w:p>
    <w:p w14:paraId="4866BE6F" w14:textId="3FDF6F16" w:rsidR="00990293" w:rsidRPr="00BA3F47" w:rsidRDefault="00990293" w:rsidP="002353C1">
      <w:pPr>
        <w:jc w:val="both"/>
      </w:pPr>
      <w:r w:rsidRPr="00BA3F47">
        <w:t xml:space="preserve">À l'appui de cet effort, la stratégie de mobilisation des ressources comprend une recommandation tendant à ce que le secrétariat élabore une présentation plus intéressante de son budget et des besoins non satisfaits. Cette présentation pourrait prendre la forme d'une page web facile d'utilisation, qui mettrait en correspondance le plan stratégique et les thèmes, d'une part, et le budget et les résultats ou incidences escomptés, d'autre part, ainsi que de documents d'information et de supports promotionnels de haut niveau que les </w:t>
      </w:r>
      <w:r w:rsidRPr="00BA3F47">
        <w:lastRenderedPageBreak/>
        <w:t>délégués pourraient utiliser pour plaider en faveur d'un appui à l'UIT au sein de leurs administrations nationales.</w:t>
      </w:r>
    </w:p>
    <w:p w14:paraId="28A47DD2" w14:textId="114F8A1C" w:rsidR="00990293" w:rsidRPr="00BA3F47" w:rsidRDefault="00990293" w:rsidP="00D4694E">
      <w:pPr>
        <w:pStyle w:val="Headingb"/>
      </w:pPr>
      <w:r w:rsidRPr="00BA3F47">
        <w:t>Utilité d'investir dans l'UIT</w:t>
      </w:r>
    </w:p>
    <w:p w14:paraId="497B9E6E" w14:textId="22D264FF" w:rsidR="00990293" w:rsidRPr="00BA3F47" w:rsidRDefault="00990293" w:rsidP="002353C1">
      <w:pPr>
        <w:jc w:val="both"/>
      </w:pPr>
      <w:r w:rsidRPr="00BA3F47">
        <w:t xml:space="preserve">Le secrétariat élabore actuellement une brochure électronique intitulée </w:t>
      </w:r>
      <w:r w:rsidRPr="002353C1">
        <w:t xml:space="preserve">"Pourquoi l'UIT est utile: </w:t>
      </w:r>
      <w:r w:rsidR="00823A70" w:rsidRPr="002353C1">
        <w:t>c</w:t>
      </w:r>
      <w:r w:rsidRPr="002353C1">
        <w:t>onvaincre les investisseurs pour 2027-2031"</w:t>
      </w:r>
      <w:r w:rsidRPr="00BA3F47">
        <w:t xml:space="preserve">. Les délégations seront en mesure d'utiliser et d'adapter ces documents selon leurs besoins. </w:t>
      </w:r>
    </w:p>
    <w:p w14:paraId="2679C432" w14:textId="425F2FC0" w:rsidR="00990293" w:rsidRPr="00BA3F47" w:rsidRDefault="00990293" w:rsidP="002353C1">
      <w:pPr>
        <w:jc w:val="both"/>
      </w:pPr>
      <w:r w:rsidRPr="00BA3F47">
        <w:t xml:space="preserve">De plus, le Groupe de travail du Conseil chargé d'élaborer le Plan stratégique et le Plan financier (GTC-SFP) s'efforce d'harmoniser davantage les plans stratégique et financier, et le secrétariat modernise son approche en matière de planification opérationnelle et établit des liens entre ces divers instruments, afin d'améliorer la cohérence des processus et de la présentation de rapports à destination des membres, en s'appuyant sur une gestion axée sur les résultats. </w:t>
      </w:r>
    </w:p>
    <w:p w14:paraId="28686AA9" w14:textId="2A70F89D" w:rsidR="00990293" w:rsidRPr="00BA3F47" w:rsidRDefault="00990293" w:rsidP="002353C1">
      <w:pPr>
        <w:jc w:val="both"/>
      </w:pPr>
      <w:r w:rsidRPr="00BA3F47">
        <w:t xml:space="preserve">Le secrétariat élabore également des rapports plus détaillés sur les mesures prises pour réduire les coûts et améliorer l'efficacité. </w:t>
      </w:r>
    </w:p>
    <w:p w14:paraId="48D0AD96" w14:textId="6C67AEE9" w:rsidR="00990293" w:rsidRDefault="00990293" w:rsidP="002353C1">
      <w:pPr>
        <w:jc w:val="both"/>
      </w:pPr>
      <w:r w:rsidRPr="00BA3F47">
        <w:t>Ces efforts conjugués visent à répondre aux préoccupations soulevées par les États</w:t>
      </w:r>
      <w:r w:rsidR="00B013E2" w:rsidRPr="00BA3F47">
        <w:t> </w:t>
      </w:r>
      <w:r w:rsidRPr="00BA3F47">
        <w:t>Membres, en présentant plus clairement les besoins, les priorités et les incidences de l'Union, et ce faisant, à assurer une plus grande transparence sur la manière dont les financements des États Membres sont utilisés et, par conséquent, sur le retour sur investissement qui peut être communiqué aux administrations nationales.</w:t>
      </w:r>
    </w:p>
    <w:p w14:paraId="7749A2FB" w14:textId="77777777" w:rsidR="002353C1" w:rsidRPr="00BA3F47" w:rsidRDefault="002353C1" w:rsidP="002353C1">
      <w:pPr>
        <w:jc w:val="both"/>
      </w:pPr>
    </w:p>
    <w:p w14:paraId="6BDD90F6" w14:textId="77777777" w:rsidR="00897553" w:rsidRPr="00BA3F47" w:rsidRDefault="006A11AE" w:rsidP="006A11AE">
      <w:pPr>
        <w:jc w:val="center"/>
      </w:pPr>
      <w:r w:rsidRPr="00BA3F47">
        <w:t>______________</w:t>
      </w:r>
    </w:p>
    <w:sectPr w:rsidR="00897553" w:rsidRPr="00BA3F47" w:rsidSect="00D72F49">
      <w:headerReference w:type="even" r:id="rId16"/>
      <w:footerReference w:type="even" r:id="rId17"/>
      <w:footerReference w:type="default" r:id="rId18"/>
      <w:headerReference w:type="first" r:id="rId19"/>
      <w:footerReference w:type="first" r:id="rId20"/>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6C51" w14:textId="77777777" w:rsidR="0020442F" w:rsidRDefault="0020442F">
      <w:r>
        <w:separator/>
      </w:r>
    </w:p>
  </w:endnote>
  <w:endnote w:type="continuationSeparator" w:id="0">
    <w:p w14:paraId="104571F2" w14:textId="77777777" w:rsidR="0020442F" w:rsidRDefault="0020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6660" w14:textId="0190DDB3" w:rsidR="00732045" w:rsidRDefault="0020442F">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655A75">
      <w:t>29.05.25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6E1EDFB" w14:textId="77777777" w:rsidTr="00E31DCE">
      <w:trPr>
        <w:jc w:val="center"/>
      </w:trPr>
      <w:tc>
        <w:tcPr>
          <w:tcW w:w="1803" w:type="dxa"/>
          <w:vAlign w:val="center"/>
        </w:tcPr>
        <w:p w14:paraId="66E8DBB2" w14:textId="061466D6" w:rsidR="00A51849" w:rsidRDefault="00990293" w:rsidP="00A51849">
          <w:pPr>
            <w:pStyle w:val="Header"/>
            <w:jc w:val="left"/>
            <w:rPr>
              <w:noProof/>
            </w:rPr>
          </w:pPr>
          <w:r>
            <w:rPr>
              <w:noProof/>
            </w:rPr>
            <w:t>2501239</w:t>
          </w:r>
        </w:p>
      </w:tc>
      <w:tc>
        <w:tcPr>
          <w:tcW w:w="8261" w:type="dxa"/>
        </w:tcPr>
        <w:p w14:paraId="0E4136D9" w14:textId="54FA898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990293">
            <w:rPr>
              <w:bCs/>
            </w:rPr>
            <w:t>67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473BD8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C9FE6E9" w14:textId="77777777" w:rsidTr="00E31DCE">
      <w:trPr>
        <w:jc w:val="center"/>
      </w:trPr>
      <w:tc>
        <w:tcPr>
          <w:tcW w:w="1803" w:type="dxa"/>
          <w:vAlign w:val="center"/>
        </w:tcPr>
        <w:p w14:paraId="3DCEBE6E"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3F6C665D" w14:textId="7777777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/xx-</w:t>
          </w:r>
          <w:r w:rsidR="00D72F49">
            <w:rPr>
              <w:bCs/>
            </w:rPr>
            <w:t>F</w:t>
          </w:r>
          <w:r>
            <w:rPr>
              <w:bCs/>
            </w:rPr>
            <w:tab/>
          </w:r>
          <w:r>
            <w:fldChar w:fldCharType="begin"/>
          </w:r>
          <w:r>
            <w:instrText>PAGE</w:instrText>
          </w:r>
          <w:r>
            <w:fldChar w:fldCharType="separate"/>
          </w:r>
          <w:r>
            <w:t>1</w:t>
          </w:r>
          <w:r>
            <w:rPr>
              <w:noProof/>
            </w:rPr>
            <w:fldChar w:fldCharType="end"/>
          </w:r>
        </w:p>
      </w:tc>
    </w:tr>
  </w:tbl>
  <w:p w14:paraId="5D6A4C6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80CC" w14:textId="77777777" w:rsidR="0020442F" w:rsidRDefault="0020442F">
      <w:r>
        <w:t>____________________</w:t>
      </w:r>
    </w:p>
  </w:footnote>
  <w:footnote w:type="continuationSeparator" w:id="0">
    <w:p w14:paraId="78D425FF" w14:textId="77777777" w:rsidR="0020442F" w:rsidRDefault="00204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A27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D47C0B6"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635C56B9" w14:textId="77777777" w:rsidTr="00D37B53">
      <w:trPr>
        <w:trHeight w:val="1104"/>
        <w:jc w:val="center"/>
      </w:trPr>
      <w:tc>
        <w:tcPr>
          <w:tcW w:w="5317" w:type="dxa"/>
          <w:vAlign w:val="center"/>
        </w:tcPr>
        <w:p w14:paraId="0159E2F6"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7AC05798" wp14:editId="3FED650B">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7064BABA" w14:textId="77777777" w:rsidR="00524E8D" w:rsidRDefault="00524E8D" w:rsidP="00A51849">
          <w:pPr>
            <w:pStyle w:val="Header"/>
            <w:jc w:val="right"/>
            <w:rPr>
              <w:rFonts w:ascii="Arial" w:hAnsi="Arial" w:cs="Arial"/>
              <w:b/>
              <w:bCs/>
              <w:color w:val="009CD6"/>
              <w:szCs w:val="18"/>
            </w:rPr>
          </w:pPr>
        </w:p>
      </w:tc>
    </w:tr>
  </w:tbl>
  <w:p w14:paraId="6877E4D3"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14A3688" wp14:editId="671AC995">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7178"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2F"/>
    <w:rsid w:val="00076A2C"/>
    <w:rsid w:val="00094EB6"/>
    <w:rsid w:val="000D0D0A"/>
    <w:rsid w:val="00103163"/>
    <w:rsid w:val="00106B19"/>
    <w:rsid w:val="001133EF"/>
    <w:rsid w:val="00115D93"/>
    <w:rsid w:val="001247A8"/>
    <w:rsid w:val="001370B2"/>
    <w:rsid w:val="001378C0"/>
    <w:rsid w:val="0018694A"/>
    <w:rsid w:val="001A3287"/>
    <w:rsid w:val="001A6508"/>
    <w:rsid w:val="001D4C31"/>
    <w:rsid w:val="001E4D21"/>
    <w:rsid w:val="0020442F"/>
    <w:rsid w:val="00207CD1"/>
    <w:rsid w:val="00226657"/>
    <w:rsid w:val="002353C1"/>
    <w:rsid w:val="00240B32"/>
    <w:rsid w:val="002477A2"/>
    <w:rsid w:val="00263A51"/>
    <w:rsid w:val="00267E02"/>
    <w:rsid w:val="002A5D44"/>
    <w:rsid w:val="002C3F32"/>
    <w:rsid w:val="002C4E3D"/>
    <w:rsid w:val="002E0BC4"/>
    <w:rsid w:val="002F1B76"/>
    <w:rsid w:val="0033568E"/>
    <w:rsid w:val="00355FF5"/>
    <w:rsid w:val="00361350"/>
    <w:rsid w:val="003C3FAE"/>
    <w:rsid w:val="004038CB"/>
    <w:rsid w:val="0040546F"/>
    <w:rsid w:val="004177BD"/>
    <w:rsid w:val="0042404A"/>
    <w:rsid w:val="0044618F"/>
    <w:rsid w:val="0046769A"/>
    <w:rsid w:val="00475FB3"/>
    <w:rsid w:val="004C3124"/>
    <w:rsid w:val="004C37A9"/>
    <w:rsid w:val="004D1D50"/>
    <w:rsid w:val="004F259E"/>
    <w:rsid w:val="004F64FF"/>
    <w:rsid w:val="00511F1D"/>
    <w:rsid w:val="00520F36"/>
    <w:rsid w:val="00524E8D"/>
    <w:rsid w:val="00534E13"/>
    <w:rsid w:val="00540615"/>
    <w:rsid w:val="00540A6D"/>
    <w:rsid w:val="00566679"/>
    <w:rsid w:val="00571EEA"/>
    <w:rsid w:val="00575417"/>
    <w:rsid w:val="005768E1"/>
    <w:rsid w:val="005B1938"/>
    <w:rsid w:val="005C3890"/>
    <w:rsid w:val="005F7BFE"/>
    <w:rsid w:val="00600017"/>
    <w:rsid w:val="006235CA"/>
    <w:rsid w:val="0062366E"/>
    <w:rsid w:val="00655A75"/>
    <w:rsid w:val="006643AB"/>
    <w:rsid w:val="006A11AE"/>
    <w:rsid w:val="006F0A53"/>
    <w:rsid w:val="007210CD"/>
    <w:rsid w:val="00732045"/>
    <w:rsid w:val="0073275D"/>
    <w:rsid w:val="007369DB"/>
    <w:rsid w:val="0077110E"/>
    <w:rsid w:val="007956C2"/>
    <w:rsid w:val="007A00F2"/>
    <w:rsid w:val="007A187E"/>
    <w:rsid w:val="007C72C2"/>
    <w:rsid w:val="007D4436"/>
    <w:rsid w:val="007F257A"/>
    <w:rsid w:val="007F3665"/>
    <w:rsid w:val="00800037"/>
    <w:rsid w:val="0082299A"/>
    <w:rsid w:val="00823A70"/>
    <w:rsid w:val="0083391C"/>
    <w:rsid w:val="00861D73"/>
    <w:rsid w:val="00882919"/>
    <w:rsid w:val="00897553"/>
    <w:rsid w:val="008A4E87"/>
    <w:rsid w:val="008D76E6"/>
    <w:rsid w:val="0092392D"/>
    <w:rsid w:val="0093234A"/>
    <w:rsid w:val="00956A78"/>
    <w:rsid w:val="0097363B"/>
    <w:rsid w:val="00973F53"/>
    <w:rsid w:val="00990293"/>
    <w:rsid w:val="009A6BAA"/>
    <w:rsid w:val="009C307F"/>
    <w:rsid w:val="009C353C"/>
    <w:rsid w:val="009F0FB8"/>
    <w:rsid w:val="00A2113E"/>
    <w:rsid w:val="00A23A51"/>
    <w:rsid w:val="00A24607"/>
    <w:rsid w:val="00A25CD3"/>
    <w:rsid w:val="00A51849"/>
    <w:rsid w:val="00A709FE"/>
    <w:rsid w:val="00A73C60"/>
    <w:rsid w:val="00A82767"/>
    <w:rsid w:val="00AA332F"/>
    <w:rsid w:val="00AA7BBB"/>
    <w:rsid w:val="00AB64A8"/>
    <w:rsid w:val="00AC0266"/>
    <w:rsid w:val="00AD24EC"/>
    <w:rsid w:val="00B013E2"/>
    <w:rsid w:val="00B27B00"/>
    <w:rsid w:val="00B309F9"/>
    <w:rsid w:val="00B32B60"/>
    <w:rsid w:val="00B51005"/>
    <w:rsid w:val="00B61619"/>
    <w:rsid w:val="00B7722E"/>
    <w:rsid w:val="00BA3F47"/>
    <w:rsid w:val="00BB4545"/>
    <w:rsid w:val="00BD5873"/>
    <w:rsid w:val="00BF4B60"/>
    <w:rsid w:val="00C049D7"/>
    <w:rsid w:val="00C04BE3"/>
    <w:rsid w:val="00C25D29"/>
    <w:rsid w:val="00C27A7C"/>
    <w:rsid w:val="00C42437"/>
    <w:rsid w:val="00C95F15"/>
    <w:rsid w:val="00CA08ED"/>
    <w:rsid w:val="00CC6EAA"/>
    <w:rsid w:val="00CD6DBB"/>
    <w:rsid w:val="00CF183B"/>
    <w:rsid w:val="00D375CD"/>
    <w:rsid w:val="00D37B53"/>
    <w:rsid w:val="00D4694E"/>
    <w:rsid w:val="00D553A2"/>
    <w:rsid w:val="00D72F49"/>
    <w:rsid w:val="00D774D3"/>
    <w:rsid w:val="00D904E8"/>
    <w:rsid w:val="00DA08C3"/>
    <w:rsid w:val="00DB5A3E"/>
    <w:rsid w:val="00DC22AA"/>
    <w:rsid w:val="00DD1A99"/>
    <w:rsid w:val="00DF74DD"/>
    <w:rsid w:val="00E25AD0"/>
    <w:rsid w:val="00E4428F"/>
    <w:rsid w:val="00E47427"/>
    <w:rsid w:val="00E93668"/>
    <w:rsid w:val="00E95647"/>
    <w:rsid w:val="00EB6350"/>
    <w:rsid w:val="00F15B57"/>
    <w:rsid w:val="00F35EF4"/>
    <w:rsid w:val="00F37FE5"/>
    <w:rsid w:val="00F409FA"/>
    <w:rsid w:val="00F427DB"/>
    <w:rsid w:val="00FA5EB1"/>
    <w:rsid w:val="00FA7439"/>
    <w:rsid w:val="00FC4EC0"/>
    <w:rsid w:val="00FC6D7D"/>
    <w:rsid w:val="00FD098C"/>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C3774"/>
  <w15:docId w15:val="{07F195F3-F4C6-433D-AFBE-2B75E578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INF-0012/en" TargetMode="External"/><Relationship Id="rId13" Type="http://schemas.openxmlformats.org/officeDocument/2006/relationships/hyperlink" Target="https://www.itu.int/md/S24-CWGFHR17-INF-0009/en"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tu.int/md/S17-CL-C-0067/en" TargetMode="External"/><Relationship Id="rId12" Type="http://schemas.openxmlformats.org/officeDocument/2006/relationships/hyperlink" Target="https://www.itu.int/md/S24-CWGFHR17-C-0003/en"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itu.int/en/council/Documents/basic-texts-2023/DEC-005-F.pdf" TargetMode="External"/><Relationship Id="rId11" Type="http://schemas.openxmlformats.org/officeDocument/2006/relationships/hyperlink" Target="https://www.itu.int/md/S23-CWGFHR16-C-0011/en" TargetMode="External"/><Relationship Id="rId5" Type="http://schemas.openxmlformats.org/officeDocument/2006/relationships/endnotes" Target="endnotes.xml"/><Relationship Id="rId15" Type="http://schemas.openxmlformats.org/officeDocument/2006/relationships/hyperlink" Target="https://www.itu.int/md/S24-CL-C-0070/en" TargetMode="External"/><Relationship Id="rId10" Type="http://schemas.openxmlformats.org/officeDocument/2006/relationships/hyperlink" Target="https://www.itu.int/md/S23-CL-C-0062/en"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itu.int/dms_pub/itu-d/opb/tdc/D-TDC-WTDC-2022-PDF-F.pdf" TargetMode="External"/><Relationship Id="rId14" Type="http://schemas.openxmlformats.org/officeDocument/2006/relationships/hyperlink" Target="https://www.itu.int/md/S24-CL-C-0070/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375</TotalTime>
  <Pages>3</Pages>
  <Words>1051</Words>
  <Characters>6106</Characters>
  <Application>Microsoft Office Word</Application>
  <DocSecurity>0</DocSecurity>
  <Lines>103</Lines>
  <Paragraphs>32</Paragraphs>
  <ScaleCrop>false</ScaleCrop>
  <HeadingPairs>
    <vt:vector size="2" baseType="variant">
      <vt:variant>
        <vt:lpstr>Title</vt:lpstr>
      </vt:variant>
      <vt:variant>
        <vt:i4>1</vt:i4>
      </vt:variant>
    </vt:vector>
  </HeadingPairs>
  <TitlesOfParts>
    <vt:vector size="1" baseType="lpstr">
      <vt:lpstr>Mise en œuvre de la stratégie de mobilisation des ressources de l'UIT</vt:lpstr>
    </vt:vector>
  </TitlesOfParts>
  <Manager>Secrétariat général - Pool</Manager>
  <Company>Union internationale des télécommunications (UIT)</Company>
  <LinksUpToDate>false</LinksUpToDate>
  <CharactersWithSpaces>7132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en œuvre de la stratégie de mobilisation des ressources de l'UIT</dc:title>
  <dc:subject>Conseil 2025 de l'UIT</dc:subject>
  <cp:keywords>C2025, C25, Council-25</cp:keywords>
  <dc:description/>
  <cp:lastPrinted>2000-07-18T08:55:00Z</cp:lastPrinted>
  <dcterms:created xsi:type="dcterms:W3CDTF">2025-06-04T13:21:00Z</dcterms:created>
  <dcterms:modified xsi:type="dcterms:W3CDTF">2025-06-04T19:54:00Z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