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3E1C2769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147B863" w14:textId="2EB69CF5" w:rsidR="00AD3606" w:rsidRPr="00C0458D" w:rsidRDefault="000F104D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  <w:r>
              <w:rPr>
                <w:rFonts w:hint="eastAsia"/>
                <w:b/>
                <w:lang w:eastAsia="zh-CN"/>
              </w:rPr>
              <w:t>议项：</w:t>
            </w:r>
            <w:r w:rsidR="002A15C8">
              <w:rPr>
                <w:b/>
                <w:bCs/>
                <w:color w:val="000000"/>
                <w:lang w:val="zh-CN"/>
              </w:rPr>
              <w:t>ADM 1</w:t>
            </w:r>
          </w:p>
        </w:tc>
        <w:tc>
          <w:tcPr>
            <w:tcW w:w="5245" w:type="dxa"/>
          </w:tcPr>
          <w:p w14:paraId="6779937E" w14:textId="0C28BCED" w:rsidR="00AD3606" w:rsidRPr="00C0458D" w:rsidRDefault="00791B9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文件</w:t>
            </w:r>
            <w:r>
              <w:rPr>
                <w:rFonts w:hint="eastAsia"/>
                <w:b/>
                <w:lang w:eastAsia="zh-CN"/>
              </w:rPr>
              <w:t xml:space="preserve"> </w:t>
            </w:r>
            <w:r w:rsidR="00AD3606" w:rsidRPr="00C0458D">
              <w:rPr>
                <w:b/>
              </w:rPr>
              <w:t>C2</w:t>
            </w:r>
            <w:r w:rsidR="00BF1FDE" w:rsidRPr="00C0458D">
              <w:rPr>
                <w:b/>
              </w:rPr>
              <w:t>5</w:t>
            </w:r>
            <w:r w:rsidR="00AD3606" w:rsidRPr="00C0458D">
              <w:rPr>
                <w:b/>
              </w:rPr>
              <w:t>/</w:t>
            </w:r>
            <w:r w:rsidR="002A15C8">
              <w:rPr>
                <w:b/>
              </w:rPr>
              <w:t>67</w:t>
            </w:r>
            <w:r w:rsidR="00AD3606" w:rsidRPr="00C0458D">
              <w:rPr>
                <w:b/>
              </w:rPr>
              <w:t>-</w:t>
            </w:r>
            <w:r>
              <w:rPr>
                <w:rFonts w:hint="eastAsia"/>
                <w:b/>
                <w:lang w:eastAsia="zh-CN"/>
              </w:rPr>
              <w:t>C</w:t>
            </w:r>
          </w:p>
        </w:tc>
      </w:tr>
      <w:tr w:rsidR="00AD3606" w:rsidRPr="00C0458D" w14:paraId="3E3F9DA5" w14:textId="77777777" w:rsidTr="00AD3606">
        <w:trPr>
          <w:cantSplit/>
        </w:trPr>
        <w:tc>
          <w:tcPr>
            <w:tcW w:w="3969" w:type="dxa"/>
            <w:vMerge/>
          </w:tcPr>
          <w:p w14:paraId="5920AA6E" w14:textId="77777777" w:rsidR="00AD3606" w:rsidRPr="00C0458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5371C25" w14:textId="11E47A23" w:rsidR="00AD3606" w:rsidRPr="00C0458D" w:rsidRDefault="00007948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2025</w:t>
            </w:r>
            <w:r w:rsidR="00791B97">
              <w:rPr>
                <w:rFonts w:hint="eastAsia"/>
                <w:b/>
                <w:lang w:eastAsia="zh-CN"/>
              </w:rPr>
              <w:t>年</w:t>
            </w:r>
            <w:r w:rsidR="003457FB">
              <w:rPr>
                <w:rFonts w:hint="eastAsia"/>
                <w:b/>
                <w:lang w:eastAsia="zh-CN"/>
              </w:rPr>
              <w:t>5</w:t>
            </w:r>
            <w:r w:rsidR="00791B97">
              <w:rPr>
                <w:rFonts w:hint="eastAsia"/>
                <w:b/>
                <w:lang w:eastAsia="zh-CN"/>
              </w:rPr>
              <w:t>月</w:t>
            </w:r>
            <w:r w:rsidR="000F104D">
              <w:rPr>
                <w:b/>
                <w:lang w:eastAsia="zh-CN"/>
              </w:rPr>
              <w:t>1</w:t>
            </w:r>
            <w:r w:rsidR="002A15C8">
              <w:rPr>
                <w:b/>
                <w:lang w:eastAsia="zh-CN"/>
              </w:rPr>
              <w:t>6</w:t>
            </w:r>
            <w:r w:rsidR="00791B97">
              <w:rPr>
                <w:rFonts w:hint="eastAsia"/>
                <w:b/>
                <w:lang w:eastAsia="zh-CN"/>
              </w:rPr>
              <w:t>日</w:t>
            </w:r>
          </w:p>
        </w:tc>
      </w:tr>
      <w:tr w:rsidR="00AD3606" w:rsidRPr="00C0458D" w14:paraId="75730376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298F937E" w14:textId="77777777" w:rsidR="00AD3606" w:rsidRPr="00C0458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41A065E" w14:textId="1773AF56" w:rsidR="00AD3606" w:rsidRPr="00C0458D" w:rsidRDefault="00791B97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原文：英文</w:t>
            </w:r>
          </w:p>
        </w:tc>
      </w:tr>
      <w:tr w:rsidR="00472BAD" w:rsidRPr="00C0458D" w14:paraId="14DA91C4" w14:textId="77777777" w:rsidTr="00AD3606">
        <w:trPr>
          <w:cantSplit/>
          <w:trHeight w:val="23"/>
        </w:trPr>
        <w:tc>
          <w:tcPr>
            <w:tcW w:w="3969" w:type="dxa"/>
          </w:tcPr>
          <w:p w14:paraId="5858B25D" w14:textId="29F7EE76" w:rsidR="00472BAD" w:rsidRPr="00C0458D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DBF7439" w14:textId="77777777" w:rsidR="00472BAD" w:rsidRPr="00C0458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2481FF59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016C4A0" w14:textId="2818C62C" w:rsidR="00AD3606" w:rsidRPr="000F7289" w:rsidRDefault="00791B97" w:rsidP="000F7289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>
              <w:rPr>
                <w:rFonts w:hint="eastAsia"/>
                <w:lang w:eastAsia="zh-CN"/>
              </w:rPr>
              <w:t>秘书长的报告</w:t>
            </w:r>
          </w:p>
        </w:tc>
      </w:tr>
      <w:tr w:rsidR="00AD3606" w:rsidRPr="00C0458D" w14:paraId="3A759762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A2DCF47" w14:textId="7E93F731" w:rsidR="00AD3606" w:rsidRPr="000F7289" w:rsidRDefault="002A15C8" w:rsidP="000F7289">
            <w:pPr>
              <w:pStyle w:val="Subtitle"/>
              <w:framePr w:hSpace="0" w:wrap="auto" w:xAlign="left" w:yAlign="inline"/>
              <w:rPr>
                <w:lang w:eastAsia="zh-CN"/>
              </w:rPr>
            </w:pPr>
            <w:bookmarkStart w:id="9" w:name="dtitle1" w:colFirst="0" w:colLast="0"/>
            <w:bookmarkEnd w:id="8"/>
            <w:r>
              <w:rPr>
                <w:color w:val="000000"/>
                <w:lang w:val="zh-CN" w:eastAsia="zh-CN"/>
              </w:rPr>
              <w:t>国际电</w:t>
            </w:r>
            <w:proofErr w:type="gramStart"/>
            <w:r>
              <w:rPr>
                <w:color w:val="000000"/>
                <w:lang w:val="zh-CN" w:eastAsia="zh-CN"/>
              </w:rPr>
              <w:t>联资源</w:t>
            </w:r>
            <w:proofErr w:type="gramEnd"/>
            <w:r>
              <w:rPr>
                <w:color w:val="000000"/>
                <w:lang w:val="zh-CN" w:eastAsia="zh-CN"/>
              </w:rPr>
              <w:t>筹措战略的实施</w:t>
            </w:r>
          </w:p>
        </w:tc>
      </w:tr>
      <w:tr w:rsidR="00AD3606" w:rsidRPr="00C0458D" w14:paraId="72B25568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C3D541B" w14:textId="65D39699" w:rsidR="00AD3606" w:rsidRPr="006E09ED" w:rsidRDefault="00791B97" w:rsidP="00F16BAB">
            <w:pPr>
              <w:spacing w:before="160"/>
              <w:rPr>
                <w:rFonts w:eastAsia="SimSun" w:cs="Calibri"/>
                <w:b/>
                <w:bCs/>
                <w:sz w:val="26"/>
                <w:szCs w:val="26"/>
                <w:lang w:eastAsia="zh-CN"/>
              </w:rPr>
            </w:pPr>
            <w:r w:rsidRPr="006E09ED">
              <w:rPr>
                <w:rFonts w:eastAsia="SimSun" w:cs="Calibri" w:hint="eastAsia"/>
                <w:b/>
                <w:bCs/>
                <w:sz w:val="26"/>
                <w:szCs w:val="26"/>
                <w:lang w:eastAsia="zh-CN"/>
              </w:rPr>
              <w:t>目的</w:t>
            </w:r>
          </w:p>
          <w:p w14:paraId="64799472" w14:textId="77777777" w:rsidR="002A15C8" w:rsidRPr="006E09ED" w:rsidRDefault="002A15C8" w:rsidP="006E09ED">
            <w:pPr>
              <w:shd w:val="clear" w:color="auto" w:fill="FFFFFF" w:themeFill="background1"/>
              <w:ind w:firstLineChars="200" w:firstLine="480"/>
              <w:rPr>
                <w:rFonts w:eastAsia="SimSun" w:cs="Calibri"/>
                <w:color w:val="000000" w:themeColor="text1"/>
                <w:lang w:eastAsia="zh-CN"/>
              </w:rPr>
            </w:pPr>
            <w:r w:rsidRPr="006E09ED">
              <w:rPr>
                <w:rFonts w:eastAsia="SimSun" w:cs="Calibri"/>
                <w:color w:val="000000"/>
                <w:lang w:val="zh-CN" w:eastAsia="zh-CN"/>
              </w:rPr>
              <w:t>全权代表大会（</w:t>
            </w:r>
            <w:r w:rsidRPr="006E09ED">
              <w:rPr>
                <w:rFonts w:eastAsia="SimSun" w:cs="Calibri"/>
                <w:color w:val="000000"/>
                <w:lang w:val="zh-CN" w:eastAsia="zh-CN"/>
              </w:rPr>
              <w:t>2022</w:t>
            </w:r>
            <w:r w:rsidRPr="006E09ED">
              <w:rPr>
                <w:rFonts w:eastAsia="SimSun" w:cs="Calibri"/>
                <w:color w:val="000000"/>
                <w:lang w:val="zh-CN" w:eastAsia="zh-CN"/>
              </w:rPr>
              <w:t>年，布加勒斯特）在第</w:t>
            </w:r>
            <w:r w:rsidRPr="006E09ED">
              <w:rPr>
                <w:rFonts w:eastAsia="SimSun" w:cs="Calibri"/>
                <w:color w:val="000000"/>
                <w:lang w:val="zh-CN" w:eastAsia="zh-CN"/>
              </w:rPr>
              <w:t>5</w:t>
            </w:r>
            <w:r w:rsidRPr="006E09ED">
              <w:rPr>
                <w:rFonts w:eastAsia="SimSun" w:cs="Calibri"/>
                <w:color w:val="000000"/>
                <w:lang w:val="zh-CN" w:eastAsia="zh-CN"/>
              </w:rPr>
              <w:t>号决定（</w:t>
            </w:r>
            <w:r w:rsidRPr="006E09ED">
              <w:rPr>
                <w:rFonts w:eastAsia="SimSun" w:cs="Calibri"/>
                <w:color w:val="000000"/>
                <w:lang w:val="zh-CN" w:eastAsia="zh-CN"/>
              </w:rPr>
              <w:t>2022</w:t>
            </w:r>
            <w:r w:rsidRPr="006E09ED">
              <w:rPr>
                <w:rFonts w:eastAsia="SimSun" w:cs="Calibri"/>
                <w:color w:val="000000"/>
                <w:lang w:val="zh-CN" w:eastAsia="zh-CN"/>
              </w:rPr>
              <w:t>年，布加勒斯特，修订版）中责成秘书长制定整个国际电联的资源筹措战略，并将其提交国际电联理事会。理事会</w:t>
            </w:r>
            <w:r w:rsidRPr="006E09ED">
              <w:rPr>
                <w:rFonts w:eastAsia="SimSun" w:cs="Calibri"/>
                <w:color w:val="000000"/>
                <w:lang w:val="zh-CN" w:eastAsia="zh-CN"/>
              </w:rPr>
              <w:t>2025</w:t>
            </w:r>
            <w:r w:rsidRPr="006E09ED">
              <w:rPr>
                <w:rFonts w:eastAsia="SimSun" w:cs="Calibri"/>
                <w:color w:val="000000"/>
                <w:lang w:val="zh-CN" w:eastAsia="zh-CN"/>
              </w:rPr>
              <w:t>年会议批准了该战略，因此目前正在实施。本文件侧重于确保成员国单位会费的落实，因为它们约占国际电</w:t>
            </w:r>
            <w:proofErr w:type="gramStart"/>
            <w:r w:rsidRPr="006E09ED">
              <w:rPr>
                <w:rFonts w:eastAsia="SimSun" w:cs="Calibri"/>
                <w:color w:val="000000"/>
                <w:lang w:val="zh-CN" w:eastAsia="zh-CN"/>
              </w:rPr>
              <w:t>联正常</w:t>
            </w:r>
            <w:proofErr w:type="gramEnd"/>
            <w:r w:rsidRPr="006E09ED">
              <w:rPr>
                <w:rFonts w:eastAsia="SimSun" w:cs="Calibri"/>
                <w:color w:val="000000"/>
                <w:lang w:val="zh-CN" w:eastAsia="zh-CN"/>
              </w:rPr>
              <w:t>预算的</w:t>
            </w:r>
            <w:r w:rsidRPr="006E09ED">
              <w:rPr>
                <w:rFonts w:eastAsia="SimSun" w:cs="Calibri"/>
                <w:color w:val="000000"/>
                <w:lang w:val="zh-CN" w:eastAsia="zh-CN"/>
              </w:rPr>
              <w:t>70%</w:t>
            </w:r>
            <w:r w:rsidRPr="006E09ED">
              <w:rPr>
                <w:rFonts w:eastAsia="SimSun" w:cs="Calibri"/>
                <w:color w:val="000000"/>
                <w:lang w:val="zh-CN" w:eastAsia="zh-CN"/>
              </w:rPr>
              <w:t>，因此是本战略的重中之重。</w:t>
            </w:r>
          </w:p>
          <w:p w14:paraId="67D070EA" w14:textId="696537B8" w:rsidR="00AD3606" w:rsidRPr="006E09ED" w:rsidRDefault="002A15C8" w:rsidP="002A15C8">
            <w:pPr>
              <w:ind w:firstLineChars="200" w:firstLine="480"/>
              <w:rPr>
                <w:rFonts w:eastAsia="SimSun" w:cs="Calibri"/>
                <w:lang w:eastAsia="zh-CN"/>
              </w:rPr>
            </w:pPr>
            <w:r w:rsidRPr="006E09ED">
              <w:rPr>
                <w:rFonts w:eastAsia="SimSun" w:cs="Calibri"/>
                <w:color w:val="000000"/>
                <w:lang w:val="zh-CN" w:eastAsia="zh-CN"/>
              </w:rPr>
              <w:t>根据资源筹措战略的建议，秘书处正在准备一份</w:t>
            </w:r>
            <w:r w:rsidR="00DA0B4D" w:rsidRPr="006E09ED">
              <w:rPr>
                <w:rFonts w:eastAsia="SimSun" w:cs="Calibri" w:hint="eastAsia"/>
                <w:color w:val="000000"/>
                <w:lang w:val="zh-CN" w:eastAsia="zh-CN"/>
              </w:rPr>
              <w:t>“</w:t>
            </w:r>
            <w:r w:rsidRPr="006E09ED">
              <w:rPr>
                <w:rFonts w:eastAsia="SimSun" w:cs="Calibri"/>
                <w:color w:val="000000"/>
                <w:lang w:val="zh-CN" w:eastAsia="zh-CN"/>
              </w:rPr>
              <w:t>国际电联投资案例</w:t>
            </w:r>
            <w:r w:rsidR="00DA0B4D" w:rsidRPr="006E09ED">
              <w:rPr>
                <w:rFonts w:eastAsia="SimSun" w:cs="Calibri" w:hint="eastAsia"/>
                <w:color w:val="000000"/>
                <w:lang w:val="zh-CN" w:eastAsia="zh-CN"/>
              </w:rPr>
              <w:t>”</w:t>
            </w:r>
            <w:r w:rsidRPr="006E09ED">
              <w:rPr>
                <w:rFonts w:eastAsia="SimSun" w:cs="Calibri"/>
                <w:color w:val="000000"/>
                <w:lang w:val="zh-CN" w:eastAsia="zh-CN"/>
              </w:rPr>
              <w:t>，代表们可在其国家主管部门内部使用，以</w:t>
            </w:r>
            <w:r w:rsidR="00DA0B4D" w:rsidRPr="006E09ED">
              <w:rPr>
                <w:rFonts w:eastAsia="SimSun" w:cs="Calibri" w:hint="eastAsia"/>
                <w:color w:val="000000"/>
                <w:lang w:val="zh-CN" w:eastAsia="zh-CN"/>
              </w:rPr>
              <w:t>协助维持</w:t>
            </w:r>
            <w:r w:rsidRPr="006E09ED">
              <w:rPr>
                <w:rFonts w:eastAsia="SimSun" w:cs="Calibri"/>
                <w:color w:val="000000"/>
                <w:lang w:val="zh-CN" w:eastAsia="zh-CN"/>
              </w:rPr>
              <w:t>或增加</w:t>
            </w:r>
            <w:r w:rsidR="00DA0B4D" w:rsidRPr="006E09ED">
              <w:rPr>
                <w:rFonts w:eastAsia="SimSun" w:cs="Calibri" w:hint="eastAsia"/>
                <w:color w:val="000000"/>
                <w:lang w:val="zh-CN" w:eastAsia="zh-CN"/>
              </w:rPr>
              <w:t>会费</w:t>
            </w:r>
            <w:r w:rsidRPr="006E09ED">
              <w:rPr>
                <w:rFonts w:eastAsia="SimSun" w:cs="Calibri"/>
                <w:color w:val="000000"/>
                <w:lang w:val="zh-CN" w:eastAsia="zh-CN"/>
              </w:rPr>
              <w:t>单位。此外，正在努力改进向成员国报告的</w:t>
            </w:r>
            <w:r w:rsidR="00DA0B4D" w:rsidRPr="006E09ED">
              <w:rPr>
                <w:rFonts w:eastAsia="SimSun" w:cs="Calibri" w:hint="eastAsia"/>
                <w:color w:val="000000"/>
                <w:lang w:val="zh-CN" w:eastAsia="zh-CN"/>
              </w:rPr>
              <w:t>工作</w:t>
            </w:r>
            <w:r w:rsidRPr="006E09ED">
              <w:rPr>
                <w:rFonts w:eastAsia="SimSun" w:cs="Calibri"/>
                <w:color w:val="000000"/>
                <w:lang w:val="zh-CN" w:eastAsia="zh-CN"/>
              </w:rPr>
              <w:t>，包括更好地协调战略、财务和运作规划</w:t>
            </w:r>
            <w:r w:rsidR="00DA0B4D" w:rsidRPr="006E09ED">
              <w:rPr>
                <w:rFonts w:eastAsia="SimSun" w:cs="Calibri" w:hint="eastAsia"/>
                <w:color w:val="000000"/>
                <w:lang w:val="zh-CN" w:eastAsia="zh-CN"/>
              </w:rPr>
              <w:t>并报告增效节支情况</w:t>
            </w:r>
            <w:r w:rsidRPr="006E09ED">
              <w:rPr>
                <w:rFonts w:eastAsia="SimSun" w:cs="Calibri"/>
                <w:color w:val="000000"/>
                <w:lang w:val="zh-CN" w:eastAsia="zh-CN"/>
              </w:rPr>
              <w:t>，以更清楚地</w:t>
            </w:r>
            <w:r w:rsidR="00DA0B4D" w:rsidRPr="006E09ED">
              <w:rPr>
                <w:rFonts w:eastAsia="SimSun" w:cs="Calibri" w:hint="eastAsia"/>
                <w:color w:val="000000"/>
                <w:lang w:val="zh-CN" w:eastAsia="zh-CN"/>
              </w:rPr>
              <w:t>向</w:t>
            </w:r>
            <w:r w:rsidRPr="006E09ED">
              <w:rPr>
                <w:rFonts w:eastAsia="SimSun" w:cs="Calibri"/>
                <w:color w:val="000000"/>
                <w:lang w:val="zh-CN" w:eastAsia="zh-CN"/>
              </w:rPr>
              <w:t>成员国</w:t>
            </w:r>
            <w:r w:rsidR="00DA0B4D" w:rsidRPr="006E09ED">
              <w:rPr>
                <w:rFonts w:eastAsia="SimSun" w:cs="Calibri" w:hint="eastAsia"/>
                <w:color w:val="000000"/>
                <w:lang w:val="zh-CN" w:eastAsia="zh-CN"/>
              </w:rPr>
              <w:t>展示</w:t>
            </w:r>
            <w:r w:rsidRPr="006E09ED">
              <w:rPr>
                <w:rFonts w:eastAsia="SimSun" w:cs="Calibri"/>
                <w:color w:val="000000"/>
                <w:lang w:val="zh-CN" w:eastAsia="zh-CN"/>
              </w:rPr>
              <w:t>投资回报。</w:t>
            </w:r>
          </w:p>
          <w:p w14:paraId="4288AA6F" w14:textId="0BCE77A9" w:rsidR="00AD3606" w:rsidRPr="006E09ED" w:rsidRDefault="00791B97" w:rsidP="00F16BAB">
            <w:pPr>
              <w:spacing w:before="160"/>
              <w:rPr>
                <w:rFonts w:eastAsia="SimSun" w:cs="Calibri"/>
                <w:b/>
                <w:bCs/>
                <w:sz w:val="26"/>
                <w:szCs w:val="26"/>
                <w:lang w:eastAsia="zh-CN"/>
              </w:rPr>
            </w:pPr>
            <w:r w:rsidRPr="006E09ED">
              <w:rPr>
                <w:rFonts w:eastAsia="SimSun" w:cs="Calibri" w:hint="eastAsia"/>
                <w:b/>
                <w:bCs/>
                <w:sz w:val="26"/>
                <w:szCs w:val="26"/>
                <w:lang w:eastAsia="zh-CN"/>
              </w:rPr>
              <w:t>理事会需采取的行动</w:t>
            </w:r>
          </w:p>
          <w:p w14:paraId="0FFF2D9B" w14:textId="00657841" w:rsidR="00722551" w:rsidRPr="006E09ED" w:rsidRDefault="002A15C8" w:rsidP="000F104D">
            <w:pPr>
              <w:ind w:firstLineChars="200" w:firstLine="480"/>
              <w:rPr>
                <w:rFonts w:eastAsia="SimSun" w:cs="Calibri"/>
                <w:lang w:val="en-US" w:eastAsia="zh-CN"/>
              </w:rPr>
            </w:pPr>
            <w:r w:rsidRPr="006E09ED">
              <w:rPr>
                <w:rFonts w:eastAsia="SimSun" w:cs="Calibri"/>
                <w:color w:val="000000"/>
                <w:lang w:val="zh-CN" w:eastAsia="zh-CN"/>
              </w:rPr>
              <w:t>请理事会将本报告</w:t>
            </w:r>
            <w:r w:rsidRPr="006E09ED">
              <w:rPr>
                <w:rFonts w:eastAsia="SimSun" w:cs="Calibri"/>
                <w:b/>
                <w:bCs/>
                <w:color w:val="000000"/>
                <w:lang w:val="zh-CN" w:eastAsia="zh-CN"/>
              </w:rPr>
              <w:t>记录在案</w:t>
            </w:r>
            <w:r w:rsidRPr="006E09ED">
              <w:rPr>
                <w:rFonts w:eastAsia="SimSun" w:cs="Calibri"/>
                <w:color w:val="000000"/>
                <w:lang w:val="zh-CN" w:eastAsia="zh-CN"/>
              </w:rPr>
              <w:t>。</w:t>
            </w:r>
          </w:p>
          <w:p w14:paraId="7BB41EC2" w14:textId="77777777" w:rsidR="000F104D" w:rsidRPr="006E09ED" w:rsidRDefault="000F104D" w:rsidP="000F104D">
            <w:pPr>
              <w:spacing w:before="160"/>
              <w:rPr>
                <w:rFonts w:eastAsia="SimSun" w:cs="Calibri"/>
                <w:b/>
                <w:bCs/>
                <w:sz w:val="26"/>
                <w:szCs w:val="26"/>
                <w:lang w:eastAsia="zh-CN"/>
              </w:rPr>
            </w:pPr>
            <w:r w:rsidRPr="006E09ED">
              <w:rPr>
                <w:rFonts w:eastAsia="SimSun" w:cs="Calibri" w:hint="eastAsia"/>
                <w:b/>
                <w:bCs/>
                <w:sz w:val="26"/>
                <w:szCs w:val="26"/>
                <w:lang w:eastAsia="zh-CN"/>
              </w:rPr>
              <w:t>与《战略规划》的关联</w:t>
            </w:r>
          </w:p>
          <w:p w14:paraId="480CE100" w14:textId="0DCA99B6" w:rsidR="000F104D" w:rsidRPr="006E09ED" w:rsidRDefault="002A15C8" w:rsidP="000F104D">
            <w:pPr>
              <w:ind w:firstLineChars="200" w:firstLine="480"/>
              <w:rPr>
                <w:rFonts w:eastAsia="SimSun" w:cs="Calibri"/>
                <w:lang w:eastAsia="zh-CN"/>
              </w:rPr>
            </w:pPr>
            <w:r w:rsidRPr="006E09ED">
              <w:rPr>
                <w:rFonts w:eastAsia="SimSun" w:cs="Calibri"/>
                <w:color w:val="000000"/>
                <w:lang w:val="zh-CN" w:eastAsia="zh-CN"/>
              </w:rPr>
              <w:t>资源</w:t>
            </w:r>
            <w:r w:rsidR="00DA0B4D" w:rsidRPr="006E09ED">
              <w:rPr>
                <w:rFonts w:eastAsia="SimSun" w:cs="Calibri" w:hint="eastAsia"/>
                <w:color w:val="000000"/>
                <w:lang w:val="zh-CN" w:eastAsia="zh-CN"/>
              </w:rPr>
              <w:t>筹措</w:t>
            </w:r>
            <w:r w:rsidRPr="006E09ED">
              <w:rPr>
                <w:rFonts w:eastAsia="SimSun" w:cs="Calibri"/>
                <w:color w:val="000000"/>
                <w:lang w:val="zh-CN" w:eastAsia="zh-CN"/>
              </w:rPr>
              <w:t>。</w:t>
            </w:r>
          </w:p>
          <w:p w14:paraId="3120A5D3" w14:textId="77777777" w:rsidR="000F104D" w:rsidRPr="006E09ED" w:rsidRDefault="000F104D" w:rsidP="000F104D">
            <w:pPr>
              <w:spacing w:before="160"/>
              <w:rPr>
                <w:rFonts w:eastAsia="SimSun" w:cs="Calibri"/>
                <w:b/>
                <w:bCs/>
                <w:sz w:val="26"/>
                <w:szCs w:val="26"/>
                <w:lang w:eastAsia="zh-CN"/>
              </w:rPr>
            </w:pPr>
            <w:r w:rsidRPr="006E09ED">
              <w:rPr>
                <w:rFonts w:eastAsia="SimSun" w:cs="Calibri" w:hint="eastAsia"/>
                <w:b/>
                <w:bCs/>
                <w:sz w:val="26"/>
                <w:szCs w:val="26"/>
                <w:lang w:eastAsia="zh-CN"/>
              </w:rPr>
              <w:t>财务影响</w:t>
            </w:r>
          </w:p>
          <w:p w14:paraId="4C866DE9" w14:textId="774F9BBF" w:rsidR="000F104D" w:rsidRPr="006E09ED" w:rsidRDefault="002A15C8" w:rsidP="000F104D">
            <w:pPr>
              <w:spacing w:before="160"/>
              <w:ind w:firstLineChars="200" w:firstLine="480"/>
              <w:rPr>
                <w:rFonts w:eastAsia="SimSun" w:cs="Calibri"/>
                <w:szCs w:val="24"/>
                <w:lang w:eastAsia="zh-CN"/>
              </w:rPr>
            </w:pPr>
            <w:r w:rsidRPr="006E09ED">
              <w:rPr>
                <w:rFonts w:eastAsia="SimSun" w:cs="Calibri"/>
                <w:color w:val="000000"/>
                <w:lang w:val="zh-CN" w:eastAsia="zh-CN"/>
              </w:rPr>
              <w:t>可能增加正常预算和预算外资金。</w:t>
            </w:r>
          </w:p>
          <w:p w14:paraId="08939791" w14:textId="77777777" w:rsidR="00C0458D" w:rsidRDefault="00C0458D">
            <w:pPr>
              <w:rPr>
                <w:lang w:eastAsia="zh-CN"/>
              </w:rPr>
            </w:pPr>
            <w:r>
              <w:rPr>
                <w:lang w:eastAsia="zh-CN"/>
              </w:rPr>
              <w:t>_______________</w:t>
            </w:r>
          </w:p>
          <w:p w14:paraId="212A584A" w14:textId="0026C8C6" w:rsidR="00AD3606" w:rsidRPr="00C0458D" w:rsidRDefault="00791B97" w:rsidP="00F16BAB">
            <w:pPr>
              <w:spacing w:before="160"/>
              <w:rPr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eastAsia="zh-CN"/>
              </w:rPr>
              <w:t>参考资料</w:t>
            </w:r>
          </w:p>
          <w:p w14:paraId="7089D4B7" w14:textId="0A04F349" w:rsidR="00AD3606" w:rsidRPr="00DA0B4D" w:rsidRDefault="002A15C8" w:rsidP="00A07996">
            <w:pPr>
              <w:spacing w:after="160"/>
              <w:rPr>
                <w:rFonts w:ascii="STKaiti" w:eastAsia="STKaiti" w:hAnsi="STKaiti"/>
                <w:sz w:val="22"/>
                <w:szCs w:val="22"/>
                <w:lang w:eastAsia="zh-CN"/>
              </w:rPr>
            </w:pPr>
            <w:r w:rsidRPr="00DA0B4D">
              <w:rPr>
                <w:rFonts w:ascii="STKaiti" w:eastAsia="STKaiti" w:hAnsi="STKaiti" w:hint="eastAsia"/>
                <w:lang w:eastAsia="zh-CN"/>
              </w:rPr>
              <w:t>全权代表大会</w:t>
            </w:r>
            <w:r>
              <w:fldChar w:fldCharType="begin"/>
            </w:r>
            <w:r>
              <w:rPr>
                <w:lang w:eastAsia="zh-CN"/>
              </w:rPr>
              <w:instrText>HYPERLINK "https://www.itu.int/en/council/Documents/basic-texts-2023/DEC-005-C.pdf"</w:instrText>
            </w:r>
            <w:r>
              <w:fldChar w:fldCharType="separate"/>
            </w:r>
            <w:r w:rsidRPr="00DA0B4D">
              <w:rPr>
                <w:rStyle w:val="Hyperlink"/>
                <w:rFonts w:ascii="STKaiti" w:eastAsia="STKaiti" w:hAnsi="STKaiti" w:hint="eastAsia"/>
                <w:lang w:eastAsia="zh-CN"/>
              </w:rPr>
              <w:t>第</w:t>
            </w:r>
            <w:r w:rsidRPr="006E09ED">
              <w:rPr>
                <w:rStyle w:val="Hyperlink"/>
                <w:rFonts w:asciiTheme="minorHAnsi" w:eastAsia="STKaiti" w:hAnsiTheme="minorHAnsi" w:cstheme="minorHAnsi" w:hint="eastAsia"/>
                <w:lang w:eastAsia="zh-CN"/>
              </w:rPr>
              <w:t>5</w:t>
            </w:r>
            <w:r w:rsidRPr="00DA0B4D">
              <w:rPr>
                <w:rStyle w:val="Hyperlink"/>
                <w:rFonts w:ascii="STKaiti" w:eastAsia="STKaiti" w:hAnsi="STKaiti" w:hint="eastAsia"/>
                <w:lang w:eastAsia="zh-CN"/>
              </w:rPr>
              <w:t>号决定</w:t>
            </w:r>
            <w:r>
              <w:fldChar w:fldCharType="end"/>
            </w:r>
            <w:r w:rsidRPr="00DA0B4D">
              <w:rPr>
                <w:rFonts w:ascii="STKaiti" w:eastAsia="STKaiti" w:hAnsi="STKaiti" w:hint="eastAsia"/>
                <w:lang w:eastAsia="zh-CN"/>
              </w:rPr>
              <w:t>（2022年，布加勒斯特，修订版）</w:t>
            </w:r>
            <w:r w:rsidR="00DA0B4D">
              <w:rPr>
                <w:rFonts w:ascii="STKaiti" w:eastAsia="STKaiti" w:hAnsi="STKaiti" w:hint="eastAsia"/>
                <w:lang w:eastAsia="zh-CN"/>
              </w:rPr>
              <w:t>；</w:t>
            </w:r>
            <w:r w:rsidRPr="00DA0B4D">
              <w:rPr>
                <w:rFonts w:ascii="STKaiti" w:eastAsia="STKaiti" w:hAnsi="STKaiti" w:hint="eastAsia"/>
                <w:lang w:eastAsia="zh-CN"/>
              </w:rPr>
              <w:t>理事会</w:t>
            </w:r>
            <w:r w:rsidR="00DA0B4D">
              <w:fldChar w:fldCharType="begin"/>
            </w:r>
            <w:r w:rsidR="00DA0B4D">
              <w:rPr>
                <w:lang w:eastAsia="zh-CN"/>
              </w:rPr>
              <w:instrText>HYPERLINK "https://www.itu.int/md/S17-CL-C-0067/en" \h</w:instrText>
            </w:r>
            <w:r w:rsidR="00DA0B4D">
              <w:fldChar w:fldCharType="separate"/>
            </w:r>
            <w:r w:rsidR="00DA0B4D" w:rsidRPr="00DA0B4D">
              <w:rPr>
                <w:rStyle w:val="Hyperlink"/>
                <w:rFonts w:eastAsia="Calibri" w:cs="Calibri"/>
                <w:sz w:val="22"/>
                <w:szCs w:val="22"/>
                <w:lang w:eastAsia="zh-CN"/>
              </w:rPr>
              <w:t>C17/67</w:t>
            </w:r>
            <w:r w:rsidR="00DA0B4D">
              <w:fldChar w:fldCharType="end"/>
            </w:r>
            <w:r w:rsidRPr="00DA0B4D">
              <w:rPr>
                <w:rFonts w:ascii="STKaiti" w:eastAsia="STKaiti" w:hAnsi="STKaiti" w:hint="eastAsia"/>
                <w:lang w:eastAsia="zh-CN"/>
              </w:rPr>
              <w:t>和</w:t>
            </w:r>
            <w:r w:rsidR="00DA0B4D">
              <w:fldChar w:fldCharType="begin"/>
            </w:r>
            <w:r w:rsidR="00DA0B4D">
              <w:rPr>
                <w:lang w:eastAsia="zh-CN"/>
              </w:rPr>
              <w:instrText>HYPERLINK "https://www.itu.int/md/S23-CL-INF-0012/en" \h</w:instrText>
            </w:r>
            <w:r w:rsidR="00DA0B4D">
              <w:fldChar w:fldCharType="separate"/>
            </w:r>
            <w:r w:rsidR="00DA0B4D" w:rsidRPr="00DA0B4D">
              <w:rPr>
                <w:rStyle w:val="Hyperlink"/>
                <w:rFonts w:eastAsia="Calibri" w:cs="Calibri"/>
                <w:sz w:val="22"/>
                <w:szCs w:val="22"/>
                <w:lang w:eastAsia="zh-CN"/>
              </w:rPr>
              <w:t>C23/INF/12</w:t>
            </w:r>
            <w:r w:rsidR="00DA0B4D">
              <w:fldChar w:fldCharType="end"/>
            </w:r>
            <w:r w:rsidRPr="00DA0B4D">
              <w:rPr>
                <w:rFonts w:ascii="STKaiti" w:eastAsia="STKaiti" w:hAnsi="STKaiti" w:hint="eastAsia"/>
                <w:lang w:eastAsia="zh-CN"/>
              </w:rPr>
              <w:t>号文件</w:t>
            </w:r>
            <w:r w:rsidR="00DA0B4D">
              <w:rPr>
                <w:rFonts w:ascii="STKaiti" w:eastAsia="STKaiti" w:hAnsi="STKaiti" w:hint="eastAsia"/>
                <w:lang w:eastAsia="zh-CN"/>
              </w:rPr>
              <w:t>；</w:t>
            </w:r>
            <w:r>
              <w:fldChar w:fldCharType="begin"/>
            </w:r>
            <w:r>
              <w:rPr>
                <w:lang w:eastAsia="zh-CN"/>
              </w:rPr>
              <w:instrText>HYPERLINK "https://www.itu.int/dms_pub/itu-d/opb/tdc/D-TDC-WTDC-2022-PDF-C.pdf"</w:instrText>
            </w:r>
            <w:r>
              <w:fldChar w:fldCharType="separate"/>
            </w:r>
            <w:r w:rsidRPr="00DA0B4D">
              <w:rPr>
                <w:rStyle w:val="Hyperlink"/>
                <w:rFonts w:ascii="STKaiti" w:eastAsia="STKaiti" w:hAnsi="STKaiti" w:hint="eastAsia"/>
                <w:lang w:eastAsia="zh-CN"/>
              </w:rPr>
              <w:t>《基加利行动计划》</w:t>
            </w:r>
            <w:r>
              <w:fldChar w:fldCharType="end"/>
            </w:r>
            <w:r w:rsidR="00DA0B4D">
              <w:rPr>
                <w:rFonts w:ascii="STKaiti" w:eastAsia="STKaiti" w:hAnsi="STKaiti" w:hint="eastAsia"/>
                <w:lang w:eastAsia="zh-CN"/>
              </w:rPr>
              <w:t>；</w:t>
            </w:r>
            <w:r w:rsidR="00DA0B4D">
              <w:fldChar w:fldCharType="begin"/>
            </w:r>
            <w:r w:rsidR="00DA0B4D">
              <w:rPr>
                <w:lang w:eastAsia="zh-CN"/>
              </w:rPr>
              <w:instrText>HYPERLINK "https://www.itu.int/md/S23-CL-C-0062/en" \h</w:instrText>
            </w:r>
            <w:r w:rsidR="00DA0B4D">
              <w:fldChar w:fldCharType="separate"/>
            </w:r>
            <w:r w:rsidR="00DA0B4D" w:rsidRPr="006E09ED">
              <w:rPr>
                <w:rStyle w:val="Hyperlink"/>
                <w:rFonts w:asciiTheme="minorHAnsi" w:eastAsia="STKaiti" w:hAnsiTheme="minorHAnsi" w:cstheme="minorHAnsi"/>
                <w:lang w:eastAsia="zh-CN"/>
              </w:rPr>
              <w:t>C23/62(Rev.1)</w:t>
            </w:r>
            <w:r w:rsidR="00DA0B4D">
              <w:fldChar w:fldCharType="end"/>
            </w:r>
            <w:r w:rsidRPr="00DA0B4D">
              <w:rPr>
                <w:rFonts w:ascii="STKaiti" w:eastAsia="STKaiti" w:hAnsi="STKaiti" w:hint="eastAsia"/>
                <w:lang w:eastAsia="zh-CN"/>
              </w:rPr>
              <w:t>、</w:t>
            </w:r>
            <w:r w:rsidR="00DA0B4D">
              <w:fldChar w:fldCharType="begin"/>
            </w:r>
            <w:r w:rsidR="00DA0B4D">
              <w:rPr>
                <w:lang w:eastAsia="zh-CN"/>
              </w:rPr>
              <w:instrText>HYPERLINK "https://www.itu.int/md/S23-CWGFHR16-C-0011/en" \h</w:instrText>
            </w:r>
            <w:r w:rsidR="00DA0B4D">
              <w:fldChar w:fldCharType="separate"/>
            </w:r>
            <w:r w:rsidR="00DA0B4D" w:rsidRPr="006E09ED">
              <w:rPr>
                <w:rStyle w:val="Hyperlink"/>
                <w:rFonts w:asciiTheme="minorHAnsi" w:eastAsia="STKaiti" w:hAnsiTheme="minorHAnsi" w:cstheme="minorHAnsi"/>
                <w:lang w:eastAsia="zh-CN"/>
              </w:rPr>
              <w:t>CWG-FHR 16/11</w:t>
            </w:r>
            <w:r w:rsidR="00DA0B4D">
              <w:fldChar w:fldCharType="end"/>
            </w:r>
            <w:r w:rsidRPr="00DA0B4D">
              <w:rPr>
                <w:rFonts w:ascii="STKaiti" w:eastAsia="STKaiti" w:hAnsi="STKaiti" w:hint="eastAsia"/>
                <w:lang w:eastAsia="zh-CN"/>
              </w:rPr>
              <w:t>、</w:t>
            </w:r>
            <w:r w:rsidR="00DA0B4D" w:rsidRPr="006E09ED">
              <w:rPr>
                <w:rStyle w:val="Hyperlink"/>
                <w:rFonts w:asciiTheme="minorHAnsi" w:eastAsia="STKaiti" w:hAnsiTheme="minorHAnsi" w:cstheme="minorHAnsi"/>
                <w:lang w:eastAsia="zh-CN"/>
              </w:rPr>
              <w:t>CWG-FHR 17/3</w:t>
            </w:r>
            <w:r w:rsidRPr="00DA0B4D">
              <w:rPr>
                <w:rFonts w:ascii="STKaiti" w:eastAsia="STKaiti" w:hAnsi="STKaiti" w:hint="eastAsia"/>
                <w:lang w:eastAsia="zh-CN"/>
              </w:rPr>
              <w:t>、</w:t>
            </w:r>
            <w:r w:rsidR="00DA0B4D" w:rsidRPr="006E09ED">
              <w:rPr>
                <w:rStyle w:val="Hyperlink"/>
                <w:rFonts w:asciiTheme="minorHAnsi" w:eastAsia="STKaiti" w:hAnsiTheme="minorHAnsi" w:cstheme="minorHAnsi"/>
                <w:lang w:eastAsia="zh-CN"/>
              </w:rPr>
              <w:t>CWG-FHR-17/INF/9</w:t>
            </w:r>
            <w:r w:rsidRPr="00DA0B4D">
              <w:rPr>
                <w:rFonts w:ascii="STKaiti" w:eastAsia="STKaiti" w:hAnsi="STKaiti" w:hint="eastAsia"/>
                <w:lang w:eastAsia="zh-CN"/>
              </w:rPr>
              <w:t>、</w:t>
            </w:r>
            <w:r>
              <w:fldChar w:fldCharType="begin"/>
            </w:r>
            <w:r>
              <w:rPr>
                <w:lang w:eastAsia="zh-CN"/>
              </w:rPr>
              <w:instrText>HYPERLINK "https://www.itu.int/md/S24-CL-C-0070/en"</w:instrText>
            </w:r>
            <w:r>
              <w:fldChar w:fldCharType="separate"/>
            </w:r>
            <w:r w:rsidRPr="006E09ED">
              <w:rPr>
                <w:rStyle w:val="Hyperlink"/>
                <w:rFonts w:asciiTheme="minorHAnsi" w:eastAsia="STKaiti" w:hAnsiTheme="minorHAnsi" w:cstheme="minorHAnsi"/>
                <w:lang w:eastAsia="zh-CN"/>
              </w:rPr>
              <w:t>C24/70</w:t>
            </w:r>
            <w:r w:rsidR="00DA0B4D" w:rsidRPr="00DA0B4D">
              <w:rPr>
                <w:rStyle w:val="Hyperlink"/>
                <w:rFonts w:ascii="STKaiti" w:eastAsia="STKaiti" w:hAnsi="STKaiti" w:hint="eastAsia"/>
                <w:lang w:eastAsia="zh-CN"/>
              </w:rPr>
              <w:t>号文件（资源筹措战略）</w:t>
            </w:r>
            <w:r>
              <w:fldChar w:fldCharType="end"/>
            </w:r>
            <w:r w:rsidRPr="00DA0B4D">
              <w:rPr>
                <w:rFonts w:ascii="STKaiti" w:eastAsia="STKaiti" w:hAnsi="STKaiti" w:hint="eastAsia"/>
                <w:lang w:eastAsia="zh-CN"/>
              </w:rPr>
              <w:t>。</w:t>
            </w:r>
          </w:p>
        </w:tc>
      </w:tr>
    </w:tbl>
    <w:p w14:paraId="3E836A65" w14:textId="77777777" w:rsidR="00E227F3" w:rsidRPr="00C0458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bookmarkStart w:id="10" w:name="_Hlk133421428"/>
      <w:bookmarkEnd w:id="2"/>
      <w:bookmarkEnd w:id="9"/>
    </w:p>
    <w:bookmarkEnd w:id="3"/>
    <w:bookmarkEnd w:id="4"/>
    <w:p w14:paraId="52958905" w14:textId="77777777" w:rsidR="0090147A" w:rsidRPr="00C0458D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eastAsia="zh-CN"/>
        </w:rPr>
      </w:pPr>
      <w:r w:rsidRPr="00C0458D">
        <w:rPr>
          <w:lang w:eastAsia="zh-CN"/>
        </w:rPr>
        <w:br w:type="page"/>
      </w:r>
    </w:p>
    <w:bookmarkEnd w:id="5"/>
    <w:bookmarkEnd w:id="10"/>
    <w:p w14:paraId="407E618F" w14:textId="1F26912F" w:rsidR="002A15C8" w:rsidRPr="00746DD8" w:rsidRDefault="002A15C8" w:rsidP="00746DD8">
      <w:pPr>
        <w:pStyle w:val="Headingb"/>
        <w:rPr>
          <w:lang w:eastAsia="zh-CN"/>
        </w:rPr>
      </w:pPr>
      <w:r w:rsidRPr="00746DD8">
        <w:rPr>
          <w:lang w:val="zh-CN" w:eastAsia="zh-CN"/>
        </w:rPr>
        <w:lastRenderedPageBreak/>
        <w:t>背景</w:t>
      </w:r>
      <w:r w:rsidR="00DA0B4D" w:rsidRPr="00746DD8">
        <w:rPr>
          <w:rFonts w:hint="eastAsia"/>
          <w:lang w:val="zh-CN" w:eastAsia="zh-CN"/>
        </w:rPr>
        <w:t>情况</w:t>
      </w:r>
    </w:p>
    <w:p w14:paraId="4B717AAC" w14:textId="2C4F934E" w:rsidR="002A15C8" w:rsidRPr="00746DD8" w:rsidRDefault="002A15C8" w:rsidP="00746DD8">
      <w:pPr>
        <w:shd w:val="clear" w:color="auto" w:fill="FFFFFF" w:themeFill="background1"/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firstLineChars="200" w:firstLine="480"/>
        <w:rPr>
          <w:rFonts w:eastAsia="SimSun" w:cs="Calibri"/>
          <w:color w:val="000000" w:themeColor="text1"/>
          <w:szCs w:val="24"/>
          <w:lang w:eastAsia="zh-CN"/>
        </w:rPr>
      </w:pPr>
      <w:r w:rsidRPr="00746DD8">
        <w:rPr>
          <w:rFonts w:eastAsia="SimSun" w:cs="Calibri"/>
          <w:lang w:val="zh-CN" w:eastAsia="zh-CN"/>
        </w:rPr>
        <w:t>全权代表大会（</w:t>
      </w:r>
      <w:r w:rsidRPr="00746DD8">
        <w:rPr>
          <w:rFonts w:eastAsia="SimSun" w:cs="Calibri"/>
          <w:lang w:val="zh-CN" w:eastAsia="zh-CN"/>
        </w:rPr>
        <w:t>2022</w:t>
      </w:r>
      <w:r w:rsidRPr="00746DD8">
        <w:rPr>
          <w:rFonts w:eastAsia="SimSun" w:cs="Calibri"/>
          <w:lang w:val="zh-CN" w:eastAsia="zh-CN"/>
        </w:rPr>
        <w:t>年，布加勒斯特）在第</w:t>
      </w:r>
      <w:r w:rsidRPr="00746DD8">
        <w:rPr>
          <w:rFonts w:eastAsia="SimSun" w:cs="Calibri"/>
          <w:lang w:val="zh-CN" w:eastAsia="zh-CN"/>
        </w:rPr>
        <w:t>5</w:t>
      </w:r>
      <w:r w:rsidRPr="00746DD8">
        <w:rPr>
          <w:rFonts w:eastAsia="SimSun" w:cs="Calibri"/>
          <w:lang w:val="zh-CN" w:eastAsia="zh-CN"/>
        </w:rPr>
        <w:t>号决定（</w:t>
      </w:r>
      <w:r w:rsidRPr="00746DD8">
        <w:rPr>
          <w:rFonts w:eastAsia="SimSun" w:cs="Calibri"/>
          <w:lang w:val="zh-CN" w:eastAsia="zh-CN"/>
        </w:rPr>
        <w:t>2022</w:t>
      </w:r>
      <w:r w:rsidRPr="00746DD8">
        <w:rPr>
          <w:rFonts w:eastAsia="SimSun" w:cs="Calibri"/>
          <w:lang w:val="zh-CN" w:eastAsia="zh-CN"/>
        </w:rPr>
        <w:t>年，布加勒斯特，修订版）中责成秘书长制定整个国际电联的资源筹措战略，并将其提交国际电联理事会</w:t>
      </w:r>
      <w:r w:rsidR="002D2A53" w:rsidRPr="00746DD8">
        <w:rPr>
          <w:rFonts w:eastAsia="SimSun" w:cs="Calibri" w:hint="eastAsia"/>
          <w:lang w:val="zh-CN" w:eastAsia="zh-CN"/>
        </w:rPr>
        <w:t>审议</w:t>
      </w:r>
      <w:r w:rsidRPr="00746DD8">
        <w:rPr>
          <w:rFonts w:eastAsia="SimSun" w:cs="Calibri"/>
          <w:lang w:val="zh-CN" w:eastAsia="zh-CN"/>
        </w:rPr>
        <w:t>并指导其实施。</w:t>
      </w:r>
    </w:p>
    <w:p w14:paraId="5B7BFC83" w14:textId="6C7E70FC" w:rsidR="002A15C8" w:rsidRPr="00746DD8" w:rsidRDefault="002A15C8" w:rsidP="00746DD8">
      <w:pPr>
        <w:shd w:val="clear" w:color="auto" w:fill="FFFFFF" w:themeFill="background1"/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firstLineChars="200" w:firstLine="480"/>
        <w:rPr>
          <w:rFonts w:eastAsia="SimSun" w:cs="Calibri"/>
          <w:color w:val="000000" w:themeColor="text1"/>
          <w:szCs w:val="24"/>
          <w:lang w:eastAsia="zh-CN"/>
        </w:rPr>
      </w:pPr>
      <w:r w:rsidRPr="00746DD8">
        <w:rPr>
          <w:rFonts w:eastAsia="SimSun" w:cs="Calibri"/>
          <w:lang w:val="zh-CN" w:eastAsia="zh-CN"/>
        </w:rPr>
        <w:t>理事会</w:t>
      </w:r>
      <w:r w:rsidR="002D2A53" w:rsidRPr="00746DD8">
        <w:rPr>
          <w:rFonts w:eastAsia="SimSun" w:cs="Calibri" w:hint="eastAsia"/>
          <w:lang w:val="zh-CN" w:eastAsia="zh-CN"/>
        </w:rPr>
        <w:t>2</w:t>
      </w:r>
      <w:r w:rsidR="002D2A53" w:rsidRPr="00746DD8">
        <w:rPr>
          <w:rFonts w:eastAsia="SimSun" w:cs="Calibri"/>
          <w:lang w:val="zh-CN" w:eastAsia="zh-CN"/>
        </w:rPr>
        <w:t>024</w:t>
      </w:r>
      <w:r w:rsidR="002D2A53" w:rsidRPr="00746DD8">
        <w:rPr>
          <w:rFonts w:eastAsia="SimSun" w:cs="Calibri" w:hint="eastAsia"/>
          <w:lang w:val="zh-CN" w:eastAsia="zh-CN"/>
        </w:rPr>
        <w:t>年</w:t>
      </w:r>
      <w:r w:rsidRPr="00746DD8">
        <w:rPr>
          <w:rFonts w:eastAsia="SimSun" w:cs="Calibri"/>
          <w:lang w:val="zh-CN" w:eastAsia="zh-CN"/>
        </w:rPr>
        <w:t>会议通过的资源筹措战略（见</w:t>
      </w:r>
      <w:r w:rsidR="002D2A53">
        <w:fldChar w:fldCharType="begin"/>
      </w:r>
      <w:r w:rsidR="002D2A53">
        <w:rPr>
          <w:lang w:eastAsia="zh-CN"/>
        </w:rPr>
        <w:instrText>HYPERLINK "https://www.itu.int/md/S24-CL-C-0070/en" \h</w:instrText>
      </w:r>
      <w:r w:rsidR="002D2A53">
        <w:fldChar w:fldCharType="separate"/>
      </w:r>
      <w:r w:rsidR="002D2A53" w:rsidRPr="00746DD8">
        <w:rPr>
          <w:rStyle w:val="Hyperlink"/>
          <w:rFonts w:eastAsia="SimSun" w:cs="Calibri"/>
          <w:lang w:eastAsia="zh-CN"/>
        </w:rPr>
        <w:t>C24/70</w:t>
      </w:r>
      <w:r w:rsidR="002D2A53">
        <w:fldChar w:fldCharType="end"/>
      </w:r>
      <w:r w:rsidRPr="00746DD8">
        <w:rPr>
          <w:rFonts w:eastAsia="SimSun" w:cs="Calibri"/>
          <w:lang w:val="zh-CN" w:eastAsia="zh-CN"/>
        </w:rPr>
        <w:t>号文件）建立在三个主要行动领域的基础上：</w:t>
      </w:r>
      <w:r w:rsidR="00812530" w:rsidRPr="00746DD8">
        <w:rPr>
          <w:rFonts w:eastAsia="SimSun" w:cs="Calibri" w:hint="eastAsia"/>
          <w:lang w:val="zh-CN" w:eastAsia="zh-CN"/>
        </w:rPr>
        <w:t>壮大</w:t>
      </w:r>
      <w:r w:rsidRPr="00746DD8">
        <w:rPr>
          <w:rFonts w:eastAsia="SimSun" w:cs="Calibri"/>
          <w:lang w:val="zh-CN" w:eastAsia="zh-CN"/>
        </w:rPr>
        <w:t>成员队伍</w:t>
      </w:r>
      <w:r w:rsidR="00812530" w:rsidRPr="00746DD8">
        <w:rPr>
          <w:rFonts w:eastAsia="SimSun" w:cs="Calibri" w:hint="eastAsia"/>
          <w:lang w:val="zh-CN" w:eastAsia="zh-CN"/>
        </w:rPr>
        <w:t>；</w:t>
      </w:r>
      <w:r w:rsidRPr="00746DD8">
        <w:rPr>
          <w:rFonts w:eastAsia="SimSun" w:cs="Calibri"/>
          <w:lang w:val="zh-CN" w:eastAsia="zh-CN"/>
        </w:rPr>
        <w:t>充分利用活动、产品和服务</w:t>
      </w:r>
      <w:r w:rsidR="00812530" w:rsidRPr="00746DD8">
        <w:rPr>
          <w:rFonts w:eastAsia="SimSun" w:cs="Calibri" w:hint="eastAsia"/>
          <w:lang w:val="zh-CN" w:eastAsia="zh-CN"/>
        </w:rPr>
        <w:t>；</w:t>
      </w:r>
      <w:r w:rsidRPr="00746DD8">
        <w:rPr>
          <w:rFonts w:eastAsia="SimSun" w:cs="Calibri"/>
          <w:lang w:val="zh-CN" w:eastAsia="zh-CN"/>
        </w:rPr>
        <w:t>并增加自愿捐款。成员国会费约占国际电</w:t>
      </w:r>
      <w:proofErr w:type="gramStart"/>
      <w:r w:rsidRPr="00746DD8">
        <w:rPr>
          <w:rFonts w:eastAsia="SimSun" w:cs="Calibri"/>
          <w:lang w:val="zh-CN" w:eastAsia="zh-CN"/>
        </w:rPr>
        <w:t>联正常</w:t>
      </w:r>
      <w:proofErr w:type="gramEnd"/>
      <w:r w:rsidRPr="00746DD8">
        <w:rPr>
          <w:rFonts w:eastAsia="SimSun" w:cs="Calibri"/>
          <w:lang w:val="zh-CN" w:eastAsia="zh-CN"/>
        </w:rPr>
        <w:t>预算收入的</w:t>
      </w:r>
      <w:r w:rsidRPr="00746DD8">
        <w:rPr>
          <w:rFonts w:eastAsia="SimSun" w:cs="Calibri"/>
          <w:lang w:val="zh-CN" w:eastAsia="zh-CN"/>
        </w:rPr>
        <w:t>70%</w:t>
      </w:r>
      <w:r w:rsidRPr="00746DD8">
        <w:rPr>
          <w:rFonts w:eastAsia="SimSun" w:cs="Calibri"/>
          <w:lang w:val="zh-CN" w:eastAsia="zh-CN"/>
        </w:rPr>
        <w:t>。确保这一收入来源的安全是资源筹措战略的重中之重，也是确保国际电联财务稳定的关键。</w:t>
      </w:r>
    </w:p>
    <w:p w14:paraId="3E931A3C" w14:textId="20D26D12" w:rsidR="002A15C8" w:rsidRPr="00746DD8" w:rsidRDefault="002A15C8" w:rsidP="00746DD8">
      <w:pPr>
        <w:shd w:val="clear" w:color="auto" w:fill="FFFFFF" w:themeFill="background1"/>
        <w:ind w:firstLineChars="200" w:firstLine="480"/>
        <w:rPr>
          <w:rFonts w:eastAsia="SimSun" w:cs="Calibri"/>
          <w:lang w:eastAsia="zh-CN"/>
        </w:rPr>
      </w:pPr>
      <w:r w:rsidRPr="00746DD8">
        <w:rPr>
          <w:rFonts w:eastAsia="SimSun" w:cs="Calibri"/>
          <w:lang w:val="zh-CN" w:eastAsia="zh-CN"/>
        </w:rPr>
        <w:t>根据第</w:t>
      </w:r>
      <w:r w:rsidRPr="00746DD8">
        <w:rPr>
          <w:rFonts w:eastAsia="SimSun" w:cs="Calibri"/>
          <w:lang w:val="zh-CN" w:eastAsia="zh-CN"/>
        </w:rPr>
        <w:t>5</w:t>
      </w:r>
      <w:r w:rsidRPr="00746DD8">
        <w:rPr>
          <w:rFonts w:eastAsia="SimSun" w:cs="Calibri"/>
          <w:lang w:val="zh-CN" w:eastAsia="zh-CN"/>
        </w:rPr>
        <w:t>号决定（</w:t>
      </w:r>
      <w:r w:rsidRPr="00746DD8">
        <w:rPr>
          <w:rFonts w:eastAsia="SimSun" w:cs="Calibri"/>
          <w:lang w:val="zh-CN" w:eastAsia="zh-CN"/>
        </w:rPr>
        <w:t>2022</w:t>
      </w:r>
      <w:r w:rsidRPr="00746DD8">
        <w:rPr>
          <w:rFonts w:eastAsia="SimSun" w:cs="Calibri"/>
          <w:lang w:val="zh-CN" w:eastAsia="zh-CN"/>
        </w:rPr>
        <w:t>年，布加勒斯特，修订版），理事会</w:t>
      </w:r>
      <w:r w:rsidRPr="00746DD8">
        <w:rPr>
          <w:rFonts w:eastAsia="SimSun" w:cs="Calibri"/>
          <w:lang w:val="zh-CN" w:eastAsia="zh-CN"/>
        </w:rPr>
        <w:t>2025</w:t>
      </w:r>
      <w:r w:rsidRPr="00746DD8">
        <w:rPr>
          <w:rFonts w:eastAsia="SimSun" w:cs="Calibri"/>
          <w:lang w:val="zh-CN" w:eastAsia="zh-CN"/>
        </w:rPr>
        <w:t>年会议将确定</w:t>
      </w:r>
      <w:r w:rsidRPr="00746DD8">
        <w:rPr>
          <w:rFonts w:eastAsia="SimSun" w:cs="Calibri"/>
          <w:lang w:val="zh-CN" w:eastAsia="zh-CN"/>
        </w:rPr>
        <w:t>2028-2031</w:t>
      </w:r>
      <w:r w:rsidRPr="00746DD8">
        <w:rPr>
          <w:rFonts w:eastAsia="SimSun" w:cs="Calibri"/>
          <w:lang w:val="zh-CN" w:eastAsia="zh-CN"/>
        </w:rPr>
        <w:t>年期间会费单位的初定金额。一旦初</w:t>
      </w:r>
      <w:r w:rsidR="00812530" w:rsidRPr="00746DD8">
        <w:rPr>
          <w:rFonts w:eastAsia="SimSun" w:cs="Calibri" w:hint="eastAsia"/>
          <w:lang w:val="zh-CN" w:eastAsia="zh-CN"/>
        </w:rPr>
        <w:t>定</w:t>
      </w:r>
      <w:r w:rsidRPr="00746DD8">
        <w:rPr>
          <w:rFonts w:eastAsia="SimSun" w:cs="Calibri"/>
          <w:lang w:val="zh-CN" w:eastAsia="zh-CN"/>
        </w:rPr>
        <w:t>金额确定，秘书处将发出一份通函，要求成员国在</w:t>
      </w:r>
      <w:r w:rsidRPr="00746DD8">
        <w:rPr>
          <w:rFonts w:eastAsia="SimSun" w:cs="Calibri"/>
          <w:lang w:val="zh-CN" w:eastAsia="zh-CN"/>
        </w:rPr>
        <w:t>2025</w:t>
      </w:r>
      <w:r w:rsidRPr="00746DD8">
        <w:rPr>
          <w:rFonts w:eastAsia="SimSun" w:cs="Calibri"/>
          <w:lang w:val="zh-CN" w:eastAsia="zh-CN"/>
        </w:rPr>
        <w:t>年底前宣布其在</w:t>
      </w:r>
      <w:r w:rsidRPr="00746DD8">
        <w:rPr>
          <w:rFonts w:eastAsia="SimSun" w:cs="Calibri"/>
          <w:lang w:val="zh-CN" w:eastAsia="zh-CN"/>
        </w:rPr>
        <w:t>2028-2031</w:t>
      </w:r>
      <w:r w:rsidRPr="00746DD8">
        <w:rPr>
          <w:rFonts w:eastAsia="SimSun" w:cs="Calibri"/>
          <w:lang w:val="zh-CN" w:eastAsia="zh-CN"/>
        </w:rPr>
        <w:t>年期间的暂定会费等级。</w:t>
      </w:r>
    </w:p>
    <w:p w14:paraId="2C62582C" w14:textId="5150787D" w:rsidR="002A15C8" w:rsidRPr="00746DD8" w:rsidRDefault="002A15C8" w:rsidP="00746DD8">
      <w:pPr>
        <w:shd w:val="clear" w:color="auto" w:fill="FFFFFF" w:themeFill="background1"/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firstLineChars="200" w:firstLine="480"/>
        <w:rPr>
          <w:rFonts w:eastAsia="SimSun" w:cs="Calibri"/>
          <w:color w:val="000000" w:themeColor="text1"/>
          <w:lang w:eastAsia="zh-CN"/>
        </w:rPr>
      </w:pPr>
      <w:r w:rsidRPr="00746DD8">
        <w:rPr>
          <w:rFonts w:eastAsia="SimSun" w:cs="Calibri"/>
          <w:lang w:val="zh-CN" w:eastAsia="zh-CN"/>
        </w:rPr>
        <w:t>目前正在努力落实该战略的各个方面，包括有计划地让成员国参与</w:t>
      </w:r>
      <w:r w:rsidR="00812530" w:rsidRPr="00746DD8">
        <w:rPr>
          <w:rFonts w:eastAsia="SimSun" w:cs="Calibri" w:hint="eastAsia"/>
          <w:lang w:val="zh-CN" w:eastAsia="zh-CN"/>
        </w:rPr>
        <w:t>会费</w:t>
      </w:r>
      <w:r w:rsidRPr="00746DD8">
        <w:rPr>
          <w:rFonts w:eastAsia="SimSun" w:cs="Calibri"/>
          <w:lang w:val="zh-CN" w:eastAsia="zh-CN"/>
        </w:rPr>
        <w:t>单位的工作，以及通过部门顾问组就加强部门成员的参与和收入进行磋商。作为转型路线图的一部分，秘书处还在实施新的信息技术系统和网络平台，以提供更好的活动体验和潜在的新收入模式，协调整个国际电联成员和合作伙伴的参与，简化采购和</w:t>
      </w:r>
      <w:r w:rsidR="00812530" w:rsidRPr="00746DD8">
        <w:rPr>
          <w:rFonts w:eastAsia="SimSun" w:cs="Calibri" w:hint="eastAsia"/>
          <w:lang w:val="zh-CN" w:eastAsia="zh-CN"/>
        </w:rPr>
        <w:t>招聘</w:t>
      </w:r>
      <w:r w:rsidRPr="00746DD8">
        <w:rPr>
          <w:rFonts w:eastAsia="SimSun" w:cs="Calibri"/>
          <w:lang w:val="zh-CN" w:eastAsia="zh-CN"/>
        </w:rPr>
        <w:t>流程以支持项目实施。</w:t>
      </w:r>
    </w:p>
    <w:p w14:paraId="53DD6ACC" w14:textId="2C834299" w:rsidR="002A15C8" w:rsidRPr="00746DD8" w:rsidRDefault="002A15C8" w:rsidP="00746DD8">
      <w:pPr>
        <w:pStyle w:val="Headingb"/>
        <w:rPr>
          <w:rFonts w:eastAsia="SimSun" w:cs="Calibri"/>
          <w:b w:val="0"/>
          <w:bCs/>
          <w:color w:val="000000" w:themeColor="text1"/>
          <w:szCs w:val="24"/>
          <w:lang w:eastAsia="zh-CN"/>
        </w:rPr>
      </w:pPr>
      <w:r w:rsidRPr="00746DD8">
        <w:rPr>
          <w:lang w:val="zh-CN" w:eastAsia="zh-CN"/>
        </w:rPr>
        <w:t>确保成员国</w:t>
      </w:r>
      <w:r w:rsidR="00812530" w:rsidRPr="00746DD8">
        <w:rPr>
          <w:rFonts w:hint="eastAsia"/>
          <w:lang w:val="zh-CN" w:eastAsia="zh-CN"/>
        </w:rPr>
        <w:t>的会费</w:t>
      </w:r>
      <w:r w:rsidRPr="00746DD8">
        <w:rPr>
          <w:lang w:val="zh-CN" w:eastAsia="zh-CN"/>
        </w:rPr>
        <w:t>单位收入</w:t>
      </w:r>
    </w:p>
    <w:p w14:paraId="7056F3A4" w14:textId="229EF385" w:rsidR="002A15C8" w:rsidRPr="00275B5B" w:rsidRDefault="002A15C8" w:rsidP="00275B5B">
      <w:pPr>
        <w:shd w:val="clear" w:color="auto" w:fill="FFFFFF" w:themeFill="background1"/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firstLineChars="200" w:firstLine="480"/>
        <w:rPr>
          <w:rFonts w:eastAsia="SimSun" w:cs="Calibri"/>
          <w:color w:val="000000" w:themeColor="text1"/>
          <w:spacing w:val="-2"/>
          <w:szCs w:val="24"/>
          <w:lang w:eastAsia="zh-CN"/>
        </w:rPr>
      </w:pPr>
      <w:r w:rsidRPr="00275B5B">
        <w:rPr>
          <w:rFonts w:eastAsia="SimSun" w:cs="Calibri"/>
          <w:lang w:val="zh-CN" w:eastAsia="zh-CN"/>
        </w:rPr>
        <w:t>在</w:t>
      </w:r>
      <w:r w:rsidRPr="00275B5B">
        <w:rPr>
          <w:rFonts w:eastAsia="SimSun" w:cs="Calibri"/>
          <w:lang w:val="zh-CN" w:eastAsia="zh-CN"/>
        </w:rPr>
        <w:t>2024</w:t>
      </w:r>
      <w:r w:rsidRPr="00275B5B">
        <w:rPr>
          <w:rFonts w:eastAsia="SimSun" w:cs="Calibri"/>
          <w:lang w:val="zh-CN" w:eastAsia="zh-CN"/>
        </w:rPr>
        <w:t>年</w:t>
      </w:r>
      <w:r w:rsidRPr="00275B5B">
        <w:rPr>
          <w:rFonts w:eastAsia="SimSun" w:cs="Calibri"/>
          <w:lang w:val="zh-CN" w:eastAsia="zh-CN"/>
        </w:rPr>
        <w:t>1</w:t>
      </w:r>
      <w:r w:rsidRPr="00275B5B">
        <w:rPr>
          <w:rFonts w:eastAsia="SimSun" w:cs="Calibri"/>
          <w:lang w:val="zh-CN" w:eastAsia="zh-CN"/>
        </w:rPr>
        <w:t>月举行的理事会财务和人力资源工作组（</w:t>
      </w:r>
      <w:r w:rsidRPr="00275B5B">
        <w:rPr>
          <w:rFonts w:eastAsia="SimSun" w:cs="Calibri"/>
          <w:lang w:val="zh-CN" w:eastAsia="zh-CN"/>
        </w:rPr>
        <w:t>CWG-FHR</w:t>
      </w:r>
      <w:r w:rsidRPr="00275B5B">
        <w:rPr>
          <w:rFonts w:eastAsia="SimSun" w:cs="Calibri"/>
          <w:lang w:val="zh-CN" w:eastAsia="zh-CN"/>
        </w:rPr>
        <w:t>）关于资源筹措战略的集思广益会议上，成员国表示有兴趣说明在其国家主管部门内</w:t>
      </w:r>
      <w:r w:rsidR="00C64A0E" w:rsidRPr="00275B5B">
        <w:rPr>
          <w:rFonts w:eastAsia="SimSun" w:cs="Calibri" w:hint="eastAsia"/>
          <w:lang w:val="zh-CN" w:eastAsia="zh-CN"/>
        </w:rPr>
        <w:t>维持</w:t>
      </w:r>
      <w:r w:rsidRPr="00275B5B">
        <w:rPr>
          <w:rFonts w:eastAsia="SimSun" w:cs="Calibri"/>
          <w:lang w:val="zh-CN" w:eastAsia="zh-CN"/>
        </w:rPr>
        <w:t>或增加国际电联会</w:t>
      </w:r>
      <w:proofErr w:type="gramStart"/>
      <w:r w:rsidRPr="00275B5B">
        <w:rPr>
          <w:rFonts w:eastAsia="SimSun" w:cs="Calibri"/>
          <w:lang w:val="zh-CN" w:eastAsia="zh-CN"/>
        </w:rPr>
        <w:t>费单位</w:t>
      </w:r>
      <w:proofErr w:type="gramEnd"/>
      <w:r w:rsidRPr="00275B5B">
        <w:rPr>
          <w:rFonts w:eastAsia="SimSun" w:cs="Calibri"/>
          <w:lang w:val="zh-CN" w:eastAsia="zh-CN"/>
        </w:rPr>
        <w:t>的理由，但寻求秘书处的支持。成员国指出，确保单位会费，尤其是会费增长是一项挑战，因为这其中涉及财政和外交部</w:t>
      </w:r>
      <w:r w:rsidR="00C64A0E" w:rsidRPr="00275B5B">
        <w:rPr>
          <w:rFonts w:eastAsia="SimSun" w:cs="Calibri" w:hint="eastAsia"/>
          <w:lang w:val="zh-CN" w:eastAsia="zh-CN"/>
        </w:rPr>
        <w:t>门</w:t>
      </w:r>
      <w:r w:rsidRPr="00275B5B">
        <w:rPr>
          <w:rFonts w:eastAsia="SimSun" w:cs="Calibri"/>
          <w:lang w:val="zh-CN" w:eastAsia="zh-CN"/>
        </w:rPr>
        <w:t>等。重要的是在</w:t>
      </w:r>
      <w:r w:rsidR="00187CC1" w:rsidRPr="00275B5B">
        <w:rPr>
          <w:rFonts w:eastAsia="SimSun" w:cs="Calibri"/>
          <w:lang w:val="zh-CN" w:eastAsia="zh-CN"/>
        </w:rPr>
        <w:t>各国</w:t>
      </w:r>
      <w:r w:rsidRPr="00275B5B">
        <w:rPr>
          <w:rFonts w:eastAsia="SimSun" w:cs="Calibri"/>
          <w:lang w:val="zh-CN" w:eastAsia="zh-CN"/>
        </w:rPr>
        <w:t>层面提高这些部委对国际电联及其影响的认识。</w:t>
      </w:r>
    </w:p>
    <w:p w14:paraId="52CDCB1F" w14:textId="2A9CEF97" w:rsidR="002A15C8" w:rsidRPr="00746DD8" w:rsidRDefault="002A15C8" w:rsidP="00275B5B">
      <w:pPr>
        <w:shd w:val="clear" w:color="auto" w:fill="FFFFFF" w:themeFill="background1"/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firstLineChars="200" w:firstLine="480"/>
        <w:rPr>
          <w:rFonts w:eastAsia="SimSun" w:cs="Calibri"/>
          <w:color w:val="000000" w:themeColor="text1"/>
          <w:szCs w:val="24"/>
          <w:lang w:eastAsia="zh-CN"/>
        </w:rPr>
      </w:pPr>
      <w:r w:rsidRPr="00275B5B">
        <w:rPr>
          <w:rFonts w:eastAsia="SimSun" w:cs="Calibri"/>
          <w:lang w:val="zh-CN" w:eastAsia="zh-CN"/>
        </w:rPr>
        <w:t>为了支持这</w:t>
      </w:r>
      <w:r w:rsidR="00C64A0E" w:rsidRPr="00275B5B">
        <w:rPr>
          <w:rFonts w:eastAsia="SimSun" w:cs="Calibri" w:hint="eastAsia"/>
          <w:lang w:val="zh-CN" w:eastAsia="zh-CN"/>
        </w:rPr>
        <w:t>项工作</w:t>
      </w:r>
      <w:r w:rsidRPr="00275B5B">
        <w:rPr>
          <w:rFonts w:eastAsia="SimSun" w:cs="Calibri"/>
          <w:lang w:val="zh-CN" w:eastAsia="zh-CN"/>
        </w:rPr>
        <w:t>，资源筹措战略包括一项建议，请秘书处以更有吸引力的方式介绍国际电联的预算和未满足的需求。这将包括一个方便用户的网络部分，将战略规划和主题与预算和预期</w:t>
      </w:r>
      <w:r w:rsidR="00C64A0E" w:rsidRPr="00275B5B">
        <w:rPr>
          <w:rFonts w:eastAsia="SimSun" w:cs="Calibri" w:hint="eastAsia"/>
          <w:lang w:val="zh-CN" w:eastAsia="zh-CN"/>
        </w:rPr>
        <w:t>输出</w:t>
      </w:r>
      <w:r w:rsidRPr="00275B5B">
        <w:rPr>
          <w:rFonts w:eastAsia="SimSun" w:cs="Calibri"/>
          <w:lang w:val="zh-CN" w:eastAsia="zh-CN"/>
        </w:rPr>
        <w:t>成果</w:t>
      </w:r>
      <w:r w:rsidRPr="00275B5B">
        <w:rPr>
          <w:rFonts w:eastAsia="SimSun" w:cs="Calibri"/>
          <w:lang w:val="zh-CN" w:eastAsia="zh-CN"/>
        </w:rPr>
        <w:t>/</w:t>
      </w:r>
      <w:r w:rsidRPr="00275B5B">
        <w:rPr>
          <w:rFonts w:eastAsia="SimSun" w:cs="Calibri"/>
          <w:lang w:val="zh-CN" w:eastAsia="zh-CN"/>
        </w:rPr>
        <w:t>影响以及高管级别的简报和宣传材料联系起来，代表们可以在其国家主管部门内部</w:t>
      </w:r>
      <w:r w:rsidR="00C64A0E" w:rsidRPr="00275B5B">
        <w:rPr>
          <w:rFonts w:eastAsia="SimSun" w:cs="Calibri" w:hint="eastAsia"/>
          <w:lang w:val="zh-CN" w:eastAsia="zh-CN"/>
        </w:rPr>
        <w:t>支持</w:t>
      </w:r>
      <w:r w:rsidRPr="00275B5B">
        <w:rPr>
          <w:rFonts w:eastAsia="SimSun" w:cs="Calibri"/>
          <w:lang w:val="zh-CN" w:eastAsia="zh-CN"/>
        </w:rPr>
        <w:t>国际电联</w:t>
      </w:r>
      <w:r w:rsidR="00C64A0E" w:rsidRPr="00275B5B">
        <w:rPr>
          <w:rFonts w:eastAsia="SimSun" w:cs="Calibri" w:hint="eastAsia"/>
          <w:lang w:val="zh-CN" w:eastAsia="zh-CN"/>
        </w:rPr>
        <w:t>工作</w:t>
      </w:r>
      <w:r w:rsidRPr="00275B5B">
        <w:rPr>
          <w:rFonts w:eastAsia="SimSun" w:cs="Calibri"/>
          <w:lang w:val="zh-CN" w:eastAsia="zh-CN"/>
        </w:rPr>
        <w:t>时使用。</w:t>
      </w:r>
    </w:p>
    <w:p w14:paraId="3BF63782" w14:textId="77777777" w:rsidR="002A15C8" w:rsidRPr="00746DD8" w:rsidRDefault="002A15C8" w:rsidP="00746DD8">
      <w:pPr>
        <w:pStyle w:val="Headingb"/>
        <w:rPr>
          <w:rFonts w:eastAsia="SimSun" w:cs="Calibri"/>
          <w:b w:val="0"/>
          <w:color w:val="000000" w:themeColor="text1"/>
          <w:lang w:eastAsia="zh-CN"/>
        </w:rPr>
      </w:pPr>
      <w:r w:rsidRPr="00746DD8">
        <w:rPr>
          <w:lang w:val="zh-CN" w:eastAsia="zh-CN"/>
        </w:rPr>
        <w:t>国际电联的投资案例</w:t>
      </w:r>
    </w:p>
    <w:p w14:paraId="6FBC487F" w14:textId="77777777" w:rsidR="002A15C8" w:rsidRPr="00746DD8" w:rsidRDefault="002A15C8" w:rsidP="00275B5B">
      <w:pPr>
        <w:shd w:val="clear" w:color="auto" w:fill="FFFFFF" w:themeFill="background1"/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firstLineChars="200" w:firstLine="480"/>
        <w:rPr>
          <w:rFonts w:eastAsia="SimSun" w:cs="Calibri"/>
          <w:color w:val="000000" w:themeColor="text1"/>
          <w:lang w:eastAsia="zh-CN"/>
        </w:rPr>
      </w:pPr>
      <w:r w:rsidRPr="00746DD8">
        <w:rPr>
          <w:rFonts w:eastAsia="SimSun" w:cs="Calibri"/>
          <w:lang w:val="zh-CN" w:eastAsia="zh-CN"/>
        </w:rPr>
        <w:t>秘书处正在准备</w:t>
      </w:r>
      <w:proofErr w:type="gramStart"/>
      <w:r w:rsidRPr="00746DD8">
        <w:rPr>
          <w:rFonts w:eastAsia="SimSun" w:cs="Calibri"/>
          <w:lang w:val="zh-CN" w:eastAsia="zh-CN"/>
        </w:rPr>
        <w:t>一</w:t>
      </w:r>
      <w:proofErr w:type="gramEnd"/>
      <w:r w:rsidRPr="00746DD8">
        <w:rPr>
          <w:rFonts w:eastAsia="SimSun" w:cs="Calibri"/>
          <w:lang w:val="zh-CN" w:eastAsia="zh-CN"/>
        </w:rPr>
        <w:t>本名为</w:t>
      </w:r>
      <w:r w:rsidRPr="00746DD8">
        <w:rPr>
          <w:rFonts w:ascii="STKaiti" w:eastAsia="STKaiti" w:hAnsi="STKaiti" w:cs="Calibri"/>
          <w:lang w:val="zh-CN" w:eastAsia="zh-CN"/>
        </w:rPr>
        <w:t>《为什么国际电联很重要：2027-2031年投资案例》</w:t>
      </w:r>
      <w:r w:rsidRPr="00746DD8">
        <w:rPr>
          <w:rFonts w:eastAsia="SimSun" w:cs="Calibri"/>
          <w:lang w:val="zh-CN" w:eastAsia="zh-CN"/>
        </w:rPr>
        <w:t>的电子手册。各代表团将能够根据需要使用和调整这些材料。</w:t>
      </w:r>
    </w:p>
    <w:p w14:paraId="25361AE9" w14:textId="2578C597" w:rsidR="002A15C8" w:rsidRPr="00746DD8" w:rsidRDefault="002A15C8" w:rsidP="00275B5B">
      <w:pPr>
        <w:shd w:val="clear" w:color="auto" w:fill="FFFFFF" w:themeFill="background1"/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firstLineChars="200" w:firstLine="480"/>
        <w:rPr>
          <w:rFonts w:eastAsia="SimSun" w:cs="Calibri"/>
          <w:color w:val="000000" w:themeColor="text1"/>
          <w:lang w:eastAsia="zh-CN"/>
        </w:rPr>
      </w:pPr>
      <w:r w:rsidRPr="00746DD8">
        <w:rPr>
          <w:rFonts w:eastAsia="SimSun" w:cs="Calibri"/>
          <w:lang w:val="zh-CN" w:eastAsia="zh-CN"/>
        </w:rPr>
        <w:t>此外，理事会战略规划和财务规划工作组（</w:t>
      </w:r>
      <w:r w:rsidRPr="00746DD8">
        <w:rPr>
          <w:rFonts w:eastAsia="SimSun" w:cs="Calibri"/>
          <w:lang w:val="zh-CN" w:eastAsia="zh-CN"/>
        </w:rPr>
        <w:t>CWG-SFP</w:t>
      </w:r>
      <w:r w:rsidRPr="00746DD8">
        <w:rPr>
          <w:rFonts w:eastAsia="SimSun" w:cs="Calibri"/>
          <w:lang w:val="zh-CN" w:eastAsia="zh-CN"/>
        </w:rPr>
        <w:t>）正在努力进一步统一战略和财务规划，秘书处正</w:t>
      </w:r>
      <w:r w:rsidR="009A0F0B" w:rsidRPr="00746DD8">
        <w:rPr>
          <w:rFonts w:eastAsia="SimSun" w:cs="Calibri"/>
          <w:lang w:val="zh-CN" w:eastAsia="zh-CN"/>
        </w:rPr>
        <w:t>立足于基于结果的管理</w:t>
      </w:r>
      <w:r w:rsidR="009A0F0B" w:rsidRPr="00746DD8">
        <w:rPr>
          <w:rFonts w:eastAsia="SimSun" w:cs="Calibri" w:hint="eastAsia"/>
          <w:lang w:val="zh-CN" w:eastAsia="zh-CN"/>
        </w:rPr>
        <w:t>，</w:t>
      </w:r>
      <w:r w:rsidRPr="00746DD8">
        <w:rPr>
          <w:rFonts w:eastAsia="SimSun" w:cs="Calibri"/>
          <w:lang w:val="zh-CN" w:eastAsia="zh-CN"/>
        </w:rPr>
        <w:t>更新运作规划方式，并将这些不同工具联系起来，以建立更加一致的进程并向成员报告。</w:t>
      </w:r>
    </w:p>
    <w:p w14:paraId="27B33057" w14:textId="702ABD24" w:rsidR="002A15C8" w:rsidRPr="00746DD8" w:rsidRDefault="002A15C8" w:rsidP="00275B5B">
      <w:pPr>
        <w:shd w:val="clear" w:color="auto" w:fill="FFFFFF" w:themeFill="background1"/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firstLineChars="200" w:firstLine="480"/>
        <w:rPr>
          <w:rFonts w:eastAsia="SimSun" w:cs="Calibri"/>
          <w:color w:val="000000" w:themeColor="text1"/>
          <w:szCs w:val="24"/>
          <w:lang w:eastAsia="zh-CN"/>
        </w:rPr>
      </w:pPr>
      <w:r w:rsidRPr="00746DD8">
        <w:rPr>
          <w:rFonts w:eastAsia="SimSun" w:cs="Calibri"/>
          <w:lang w:val="zh-CN" w:eastAsia="zh-CN"/>
        </w:rPr>
        <w:t>秘书处还在准备</w:t>
      </w:r>
      <w:r w:rsidR="00A9214D" w:rsidRPr="00746DD8">
        <w:rPr>
          <w:rFonts w:eastAsia="SimSun" w:cs="Calibri"/>
          <w:lang w:val="zh-CN" w:eastAsia="zh-CN"/>
        </w:rPr>
        <w:t>更好</w:t>
      </w:r>
      <w:r w:rsidR="00A9214D" w:rsidRPr="00746DD8">
        <w:rPr>
          <w:rFonts w:eastAsia="SimSun" w:cs="Calibri" w:hint="eastAsia"/>
          <w:lang w:val="zh-CN" w:eastAsia="zh-CN"/>
        </w:rPr>
        <w:t>地</w:t>
      </w:r>
      <w:r w:rsidR="00A9214D" w:rsidRPr="00746DD8">
        <w:rPr>
          <w:rFonts w:eastAsia="SimSun" w:cs="Calibri"/>
          <w:lang w:val="zh-CN" w:eastAsia="zh-CN"/>
        </w:rPr>
        <w:t>报告</w:t>
      </w:r>
      <w:r w:rsidRPr="00746DD8">
        <w:rPr>
          <w:rFonts w:eastAsia="SimSun" w:cs="Calibri"/>
          <w:lang w:val="zh-CN" w:eastAsia="zh-CN"/>
        </w:rPr>
        <w:t>为降低成本和提高效率</w:t>
      </w:r>
      <w:r w:rsidR="00A9214D" w:rsidRPr="00746DD8">
        <w:rPr>
          <w:rFonts w:eastAsia="SimSun" w:cs="Calibri" w:hint="eastAsia"/>
          <w:lang w:val="zh-CN" w:eastAsia="zh-CN"/>
        </w:rPr>
        <w:t>而</w:t>
      </w:r>
      <w:r w:rsidRPr="00746DD8">
        <w:rPr>
          <w:rFonts w:eastAsia="SimSun" w:cs="Calibri"/>
          <w:lang w:val="zh-CN" w:eastAsia="zh-CN"/>
        </w:rPr>
        <w:t>采取</w:t>
      </w:r>
      <w:r w:rsidR="00A9214D" w:rsidRPr="00746DD8">
        <w:rPr>
          <w:rFonts w:eastAsia="SimSun" w:cs="Calibri" w:hint="eastAsia"/>
          <w:lang w:val="zh-CN" w:eastAsia="zh-CN"/>
        </w:rPr>
        <w:t>的</w:t>
      </w:r>
      <w:r w:rsidRPr="00746DD8">
        <w:rPr>
          <w:rFonts w:eastAsia="SimSun" w:cs="Calibri"/>
          <w:lang w:val="zh-CN" w:eastAsia="zh-CN"/>
        </w:rPr>
        <w:t>行动。</w:t>
      </w:r>
    </w:p>
    <w:p w14:paraId="20524F53" w14:textId="73F00B3B" w:rsidR="002A15C8" w:rsidRPr="00746DD8" w:rsidRDefault="002A15C8" w:rsidP="00275B5B">
      <w:pPr>
        <w:shd w:val="clear" w:color="auto" w:fill="FFFFFF" w:themeFill="background1"/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firstLineChars="200" w:firstLine="480"/>
        <w:rPr>
          <w:rFonts w:eastAsia="SimSun" w:cs="Calibri"/>
          <w:color w:val="000000" w:themeColor="text1"/>
          <w:szCs w:val="24"/>
          <w:lang w:eastAsia="zh-CN"/>
        </w:rPr>
      </w:pPr>
      <w:r w:rsidRPr="00746DD8">
        <w:rPr>
          <w:rFonts w:eastAsia="SimSun" w:cs="Calibri"/>
          <w:lang w:val="zh-CN" w:eastAsia="zh-CN"/>
        </w:rPr>
        <w:t>总之，这些努力旨在通过更清楚地阐明国际电联的需求、</w:t>
      </w:r>
      <w:r w:rsidR="00A9214D" w:rsidRPr="00746DD8">
        <w:rPr>
          <w:rFonts w:eastAsia="SimSun" w:cs="Calibri" w:hint="eastAsia"/>
          <w:lang w:val="zh-CN" w:eastAsia="zh-CN"/>
        </w:rPr>
        <w:t>工作重点</w:t>
      </w:r>
      <w:r w:rsidRPr="00746DD8">
        <w:rPr>
          <w:rFonts w:eastAsia="SimSun" w:cs="Calibri"/>
          <w:lang w:val="zh-CN" w:eastAsia="zh-CN"/>
        </w:rPr>
        <w:t>和影响来解决成员国提出的问题，并由此提高成员国资金使用方式的透明度，进而提高可以向</w:t>
      </w:r>
      <w:r w:rsidR="00187CC1" w:rsidRPr="00746DD8">
        <w:rPr>
          <w:rFonts w:eastAsia="SimSun" w:cs="Calibri"/>
          <w:lang w:val="zh-CN" w:eastAsia="zh-CN"/>
        </w:rPr>
        <w:t>各国</w:t>
      </w:r>
      <w:r w:rsidRPr="00746DD8">
        <w:rPr>
          <w:rFonts w:eastAsia="SimSun" w:cs="Calibri"/>
          <w:lang w:val="zh-CN" w:eastAsia="zh-CN"/>
        </w:rPr>
        <w:t>主管部门通报的投资回报的透明度。</w:t>
      </w:r>
    </w:p>
    <w:p w14:paraId="35C6D0A5" w14:textId="77777777" w:rsidR="007A3FCD" w:rsidRPr="00C0458D" w:rsidRDefault="007A3FCD" w:rsidP="00D618CB">
      <w:pPr>
        <w:spacing w:before="720"/>
        <w:jc w:val="center"/>
        <w:rPr>
          <w:lang w:eastAsia="zh-CN"/>
        </w:rPr>
      </w:pPr>
      <w:r>
        <w:rPr>
          <w:lang w:eastAsia="zh-CN"/>
        </w:rPr>
        <w:t>______________</w:t>
      </w:r>
    </w:p>
    <w:sectPr w:rsidR="007A3FCD" w:rsidRPr="00C0458D" w:rsidSect="00AD3606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98297" w14:textId="77777777" w:rsidR="006F34A8" w:rsidRDefault="006F34A8">
      <w:r>
        <w:separator/>
      </w:r>
    </w:p>
  </w:endnote>
  <w:endnote w:type="continuationSeparator" w:id="0">
    <w:p w14:paraId="4C5243B4" w14:textId="77777777" w:rsidR="006F34A8" w:rsidRDefault="006F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7F9D2920" w14:textId="77777777" w:rsidTr="0042469C">
      <w:trPr>
        <w:jc w:val="center"/>
      </w:trPr>
      <w:tc>
        <w:tcPr>
          <w:tcW w:w="1803" w:type="dxa"/>
          <w:vAlign w:val="center"/>
        </w:tcPr>
        <w:p w14:paraId="5B3DDD9A" w14:textId="35460033" w:rsidR="00EE49E8" w:rsidRDefault="00275B5B" w:rsidP="00EE49E8">
          <w:pPr>
            <w:pStyle w:val="Header"/>
            <w:jc w:val="left"/>
            <w:rPr>
              <w:noProof/>
            </w:rPr>
          </w:pPr>
          <w:r w:rsidRPr="00275B5B">
            <w:rPr>
              <w:noProof/>
            </w:rPr>
            <w:t>2501239</w:t>
          </w:r>
        </w:p>
      </w:tc>
      <w:tc>
        <w:tcPr>
          <w:tcW w:w="8261" w:type="dxa"/>
        </w:tcPr>
        <w:p w14:paraId="6F6B3A01" w14:textId="307D0B9E" w:rsidR="00EE49E8" w:rsidRPr="00E06FD5" w:rsidRDefault="00EE49E8" w:rsidP="00A07996">
          <w:pPr>
            <w:pStyle w:val="Header"/>
            <w:tabs>
              <w:tab w:val="left" w:pos="673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C6520B">
            <w:rPr>
              <w:bCs/>
            </w:rPr>
            <w:t>5</w:t>
          </w:r>
          <w:r w:rsidRPr="00623AE3">
            <w:rPr>
              <w:bCs/>
            </w:rPr>
            <w:t>/</w:t>
          </w:r>
          <w:r w:rsidR="00260333">
            <w:rPr>
              <w:bCs/>
            </w:rPr>
            <w:t>67</w:t>
          </w:r>
          <w:r w:rsidRPr="00623AE3">
            <w:rPr>
              <w:bCs/>
            </w:rPr>
            <w:t>-</w:t>
          </w:r>
          <w:r w:rsidR="00356410">
            <w:rPr>
              <w:rFonts w:hint="eastAsia"/>
              <w:bCs/>
              <w:lang w:eastAsia="zh-CN"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B3FBF10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10B15790" w14:textId="77777777" w:rsidTr="006B77F1">
      <w:trPr>
        <w:jc w:val="center"/>
      </w:trPr>
      <w:tc>
        <w:tcPr>
          <w:tcW w:w="1803" w:type="dxa"/>
          <w:vAlign w:val="center"/>
        </w:tcPr>
        <w:p w14:paraId="1D4130C1" w14:textId="77777777" w:rsidR="00EE49E8" w:rsidRPr="006B77F1" w:rsidRDefault="00BF1FD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6B77F1">
              <w:rPr>
                <w:rStyle w:val="Hyperlink"/>
                <w:u w:val="none"/>
              </w:rPr>
              <w:t>council.itu.int/2025</w:t>
            </w:r>
          </w:hyperlink>
        </w:p>
      </w:tc>
      <w:tc>
        <w:tcPr>
          <w:tcW w:w="8261" w:type="dxa"/>
        </w:tcPr>
        <w:p w14:paraId="68F817AE" w14:textId="1023D2C6" w:rsidR="00EE49E8" w:rsidRPr="00E06FD5" w:rsidRDefault="00EE49E8" w:rsidP="00A07996">
          <w:pPr>
            <w:pStyle w:val="Header"/>
            <w:tabs>
              <w:tab w:val="left" w:pos="673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F1FDE">
            <w:rPr>
              <w:bCs/>
            </w:rPr>
            <w:t>5</w:t>
          </w:r>
          <w:r w:rsidRPr="00623AE3">
            <w:rPr>
              <w:bCs/>
            </w:rPr>
            <w:t>/</w:t>
          </w:r>
          <w:r w:rsidR="000F104D">
            <w:rPr>
              <w:bCs/>
            </w:rPr>
            <w:t>3</w:t>
          </w:r>
          <w:r w:rsidRPr="00623AE3">
            <w:rPr>
              <w:bCs/>
            </w:rPr>
            <w:t>-</w:t>
          </w:r>
          <w:r w:rsidR="005A47FF">
            <w:rPr>
              <w:bCs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E78F19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97E7" w14:textId="77777777" w:rsidR="006F34A8" w:rsidRDefault="006F34A8">
      <w:r>
        <w:t>____________________</w:t>
      </w:r>
    </w:p>
  </w:footnote>
  <w:footnote w:type="continuationSeparator" w:id="0">
    <w:p w14:paraId="0A515F77" w14:textId="77777777" w:rsidR="006F34A8" w:rsidRDefault="006F3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2"/>
      <w:gridCol w:w="5068"/>
    </w:tblGrid>
    <w:tr w:rsidR="005A47FF" w:rsidRPr="00784011" w14:paraId="064E4940" w14:textId="77777777" w:rsidTr="009F4F03">
      <w:trPr>
        <w:trHeight w:val="1104"/>
        <w:jc w:val="center"/>
      </w:trPr>
      <w:tc>
        <w:tcPr>
          <w:tcW w:w="4390" w:type="dxa"/>
          <w:vAlign w:val="center"/>
        </w:tcPr>
        <w:p w14:paraId="6D1271EB" w14:textId="77777777" w:rsidR="005A47FF" w:rsidRPr="009621F8" w:rsidRDefault="005A47FF" w:rsidP="005A47FF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1" w:name="_Hlk133422111"/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7799E43D" wp14:editId="65D5F7E9">
                <wp:extent cx="3007478" cy="575945"/>
                <wp:effectExtent l="0" t="0" r="0" b="0"/>
                <wp:docPr id="1695723161" name="Picture 1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723161" name="Picture 1" descr="A black background with blue letters and numbers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8084"/>
                        <a:stretch/>
                      </pic:blipFill>
                      <pic:spPr bwMode="auto">
                        <a:xfrm>
                          <a:off x="0" y="0"/>
                          <a:ext cx="300776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77A934AF" w14:textId="77777777" w:rsidR="005A47FF" w:rsidRDefault="005A47FF" w:rsidP="005A47FF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1572891" w14:textId="77777777" w:rsidR="005A47FF" w:rsidRDefault="005A47FF" w:rsidP="005A47FF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7BC1A6A" w14:textId="77777777" w:rsidR="005A47FF" w:rsidRPr="00784011" w:rsidRDefault="005A47FF" w:rsidP="005A47FF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3C724958" w14:textId="3A13E37B" w:rsidR="00AD3606" w:rsidRPr="005A47FF" w:rsidRDefault="005A47FF" w:rsidP="005A47FF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949A4E" wp14:editId="4BF09B6B">
              <wp:simplePos x="0" y="0"/>
              <wp:positionH relativeFrom="page">
                <wp:posOffset>22225</wp:posOffset>
              </wp:positionH>
              <wp:positionV relativeFrom="topMargin">
                <wp:posOffset>617694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83F93D" id="Rectangle 5" o:spid="_x0000_s1026" style="position:absolute;margin-left:1.75pt;margin-top:48.6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665E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C2F0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2DF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468A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D0A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4C4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FE5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581A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34D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B65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9"/>
  </w:num>
  <w:num w:numId="2" w16cid:durableId="526060877">
    <w:abstractNumId w:val="7"/>
  </w:num>
  <w:num w:numId="3" w16cid:durableId="1517227191">
    <w:abstractNumId w:val="6"/>
  </w:num>
  <w:num w:numId="4" w16cid:durableId="2083940608">
    <w:abstractNumId w:val="5"/>
  </w:num>
  <w:num w:numId="5" w16cid:durableId="1440831355">
    <w:abstractNumId w:val="4"/>
  </w:num>
  <w:num w:numId="6" w16cid:durableId="1469274345">
    <w:abstractNumId w:val="8"/>
  </w:num>
  <w:num w:numId="7" w16cid:durableId="1595625436">
    <w:abstractNumId w:val="3"/>
  </w:num>
  <w:num w:numId="8" w16cid:durableId="1047339128">
    <w:abstractNumId w:val="2"/>
  </w:num>
  <w:num w:numId="9" w16cid:durableId="637880343">
    <w:abstractNumId w:val="1"/>
  </w:num>
  <w:num w:numId="10" w16cid:durableId="1781563013">
    <w:abstractNumId w:val="0"/>
  </w:num>
  <w:num w:numId="11" w16cid:durableId="1859080470">
    <w:abstractNumId w:val="8"/>
  </w:num>
  <w:num w:numId="12" w16cid:durableId="155414043">
    <w:abstractNumId w:val="3"/>
  </w:num>
  <w:num w:numId="13" w16cid:durableId="2041319012">
    <w:abstractNumId w:val="2"/>
  </w:num>
  <w:num w:numId="14" w16cid:durableId="954947632">
    <w:abstractNumId w:val="1"/>
  </w:num>
  <w:num w:numId="15" w16cid:durableId="1399134059">
    <w:abstractNumId w:val="0"/>
  </w:num>
  <w:num w:numId="16" w16cid:durableId="738600626">
    <w:abstractNumId w:val="8"/>
  </w:num>
  <w:num w:numId="17" w16cid:durableId="224611617">
    <w:abstractNumId w:val="3"/>
  </w:num>
  <w:num w:numId="18" w16cid:durableId="525951670">
    <w:abstractNumId w:val="2"/>
  </w:num>
  <w:num w:numId="19" w16cid:durableId="74590421">
    <w:abstractNumId w:val="1"/>
  </w:num>
  <w:num w:numId="20" w16cid:durableId="1917863451">
    <w:abstractNumId w:val="0"/>
  </w:num>
  <w:num w:numId="21" w16cid:durableId="1168716127">
    <w:abstractNumId w:val="8"/>
  </w:num>
  <w:num w:numId="22" w16cid:durableId="85929431">
    <w:abstractNumId w:val="3"/>
  </w:num>
  <w:num w:numId="23" w16cid:durableId="676469403">
    <w:abstractNumId w:val="2"/>
  </w:num>
  <w:num w:numId="24" w16cid:durableId="945383661">
    <w:abstractNumId w:val="1"/>
  </w:num>
  <w:num w:numId="25" w16cid:durableId="113410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F8"/>
    <w:rsid w:val="00007948"/>
    <w:rsid w:val="000210D4"/>
    <w:rsid w:val="0006007D"/>
    <w:rsid w:val="00063016"/>
    <w:rsid w:val="00066795"/>
    <w:rsid w:val="000745AB"/>
    <w:rsid w:val="00076AF6"/>
    <w:rsid w:val="00085CF2"/>
    <w:rsid w:val="000A5F1E"/>
    <w:rsid w:val="000B1705"/>
    <w:rsid w:val="000C4E61"/>
    <w:rsid w:val="000D75B2"/>
    <w:rsid w:val="000F104D"/>
    <w:rsid w:val="000F5DDB"/>
    <w:rsid w:val="000F6A9D"/>
    <w:rsid w:val="000F7289"/>
    <w:rsid w:val="001121F5"/>
    <w:rsid w:val="0011568F"/>
    <w:rsid w:val="001400DC"/>
    <w:rsid w:val="00140CE1"/>
    <w:rsid w:val="00172FB7"/>
    <w:rsid w:val="0017539C"/>
    <w:rsid w:val="00175AC2"/>
    <w:rsid w:val="0017609F"/>
    <w:rsid w:val="00187CC1"/>
    <w:rsid w:val="0019018D"/>
    <w:rsid w:val="001A3154"/>
    <w:rsid w:val="001A7D1D"/>
    <w:rsid w:val="001B51DD"/>
    <w:rsid w:val="001C628E"/>
    <w:rsid w:val="001E0F7B"/>
    <w:rsid w:val="001F5569"/>
    <w:rsid w:val="002119FD"/>
    <w:rsid w:val="002130E0"/>
    <w:rsid w:val="00220D4C"/>
    <w:rsid w:val="00221F46"/>
    <w:rsid w:val="00235FC4"/>
    <w:rsid w:val="00240B32"/>
    <w:rsid w:val="00260333"/>
    <w:rsid w:val="00264425"/>
    <w:rsid w:val="00265875"/>
    <w:rsid w:val="0027303B"/>
    <w:rsid w:val="00275B5B"/>
    <w:rsid w:val="00280689"/>
    <w:rsid w:val="0028109B"/>
    <w:rsid w:val="002A15C8"/>
    <w:rsid w:val="002A2188"/>
    <w:rsid w:val="002B1F58"/>
    <w:rsid w:val="002B5C7F"/>
    <w:rsid w:val="002C1C7A"/>
    <w:rsid w:val="002C54E2"/>
    <w:rsid w:val="002D2A53"/>
    <w:rsid w:val="0030160F"/>
    <w:rsid w:val="00320223"/>
    <w:rsid w:val="00322D0D"/>
    <w:rsid w:val="003457FB"/>
    <w:rsid w:val="00346896"/>
    <w:rsid w:val="00356410"/>
    <w:rsid w:val="003600B8"/>
    <w:rsid w:val="00361465"/>
    <w:rsid w:val="003877F5"/>
    <w:rsid w:val="003936D3"/>
    <w:rsid w:val="003942D4"/>
    <w:rsid w:val="003958A8"/>
    <w:rsid w:val="003B29C2"/>
    <w:rsid w:val="003C2533"/>
    <w:rsid w:val="003D5A7F"/>
    <w:rsid w:val="0040435A"/>
    <w:rsid w:val="0040719A"/>
    <w:rsid w:val="00416A24"/>
    <w:rsid w:val="00427BFF"/>
    <w:rsid w:val="00431D9E"/>
    <w:rsid w:val="00433CE8"/>
    <w:rsid w:val="00434A5C"/>
    <w:rsid w:val="00453079"/>
    <w:rsid w:val="004544D9"/>
    <w:rsid w:val="00472BAD"/>
    <w:rsid w:val="004811F8"/>
    <w:rsid w:val="00482C0A"/>
    <w:rsid w:val="00484009"/>
    <w:rsid w:val="00490E72"/>
    <w:rsid w:val="00491157"/>
    <w:rsid w:val="00491BA9"/>
    <w:rsid w:val="004921C8"/>
    <w:rsid w:val="00495B0B"/>
    <w:rsid w:val="004A1B8B"/>
    <w:rsid w:val="004B25A1"/>
    <w:rsid w:val="004D1851"/>
    <w:rsid w:val="004D599D"/>
    <w:rsid w:val="004E2EA5"/>
    <w:rsid w:val="004E3AEB"/>
    <w:rsid w:val="0050223C"/>
    <w:rsid w:val="005243FF"/>
    <w:rsid w:val="005448DF"/>
    <w:rsid w:val="00564FBC"/>
    <w:rsid w:val="00565382"/>
    <w:rsid w:val="005800BC"/>
    <w:rsid w:val="00582442"/>
    <w:rsid w:val="005A47FF"/>
    <w:rsid w:val="005C6A42"/>
    <w:rsid w:val="005F3269"/>
    <w:rsid w:val="00623AE3"/>
    <w:rsid w:val="00630C4D"/>
    <w:rsid w:val="00644EC6"/>
    <w:rsid w:val="0064737F"/>
    <w:rsid w:val="006535F1"/>
    <w:rsid w:val="0065557D"/>
    <w:rsid w:val="00657101"/>
    <w:rsid w:val="00660D50"/>
    <w:rsid w:val="00662984"/>
    <w:rsid w:val="006716BB"/>
    <w:rsid w:val="006B1859"/>
    <w:rsid w:val="006B6680"/>
    <w:rsid w:val="006B6DCC"/>
    <w:rsid w:val="006B77F1"/>
    <w:rsid w:val="006C5ECF"/>
    <w:rsid w:val="006E09ED"/>
    <w:rsid w:val="006F34A8"/>
    <w:rsid w:val="00702DEF"/>
    <w:rsid w:val="00706861"/>
    <w:rsid w:val="00722551"/>
    <w:rsid w:val="00733898"/>
    <w:rsid w:val="00734D0B"/>
    <w:rsid w:val="00746DD8"/>
    <w:rsid w:val="0075051B"/>
    <w:rsid w:val="0077110E"/>
    <w:rsid w:val="00783697"/>
    <w:rsid w:val="00791B97"/>
    <w:rsid w:val="00793188"/>
    <w:rsid w:val="00794D34"/>
    <w:rsid w:val="007A3FCD"/>
    <w:rsid w:val="007B19CF"/>
    <w:rsid w:val="007D01AF"/>
    <w:rsid w:val="00810DC9"/>
    <w:rsid w:val="00812530"/>
    <w:rsid w:val="00813E5E"/>
    <w:rsid w:val="0083581B"/>
    <w:rsid w:val="00845BBD"/>
    <w:rsid w:val="00863874"/>
    <w:rsid w:val="00864AFF"/>
    <w:rsid w:val="00865925"/>
    <w:rsid w:val="00876F88"/>
    <w:rsid w:val="00890DC4"/>
    <w:rsid w:val="008B4A6A"/>
    <w:rsid w:val="008C7E27"/>
    <w:rsid w:val="008F7448"/>
    <w:rsid w:val="0090147A"/>
    <w:rsid w:val="009173EF"/>
    <w:rsid w:val="00932906"/>
    <w:rsid w:val="00961B0B"/>
    <w:rsid w:val="00962D33"/>
    <w:rsid w:val="0096453C"/>
    <w:rsid w:val="009836D5"/>
    <w:rsid w:val="009A0F0B"/>
    <w:rsid w:val="009B38C3"/>
    <w:rsid w:val="009E17BD"/>
    <w:rsid w:val="009E485A"/>
    <w:rsid w:val="00A04CEC"/>
    <w:rsid w:val="00A07996"/>
    <w:rsid w:val="00A272DB"/>
    <w:rsid w:val="00A27F92"/>
    <w:rsid w:val="00A32257"/>
    <w:rsid w:val="00A36D20"/>
    <w:rsid w:val="00A514A4"/>
    <w:rsid w:val="00A537B9"/>
    <w:rsid w:val="00A55622"/>
    <w:rsid w:val="00A73930"/>
    <w:rsid w:val="00A83502"/>
    <w:rsid w:val="00A875ED"/>
    <w:rsid w:val="00A9214D"/>
    <w:rsid w:val="00A94BAB"/>
    <w:rsid w:val="00AD15B3"/>
    <w:rsid w:val="00AD3606"/>
    <w:rsid w:val="00AD4A3D"/>
    <w:rsid w:val="00AD677D"/>
    <w:rsid w:val="00AF6E49"/>
    <w:rsid w:val="00B04A67"/>
    <w:rsid w:val="00B0583C"/>
    <w:rsid w:val="00B14939"/>
    <w:rsid w:val="00B40A81"/>
    <w:rsid w:val="00B44910"/>
    <w:rsid w:val="00B44AE8"/>
    <w:rsid w:val="00B72267"/>
    <w:rsid w:val="00B76EB6"/>
    <w:rsid w:val="00B7737B"/>
    <w:rsid w:val="00B824C8"/>
    <w:rsid w:val="00B84B9D"/>
    <w:rsid w:val="00B9131F"/>
    <w:rsid w:val="00BB0646"/>
    <w:rsid w:val="00BC251A"/>
    <w:rsid w:val="00BD032B"/>
    <w:rsid w:val="00BD6C19"/>
    <w:rsid w:val="00BE01C6"/>
    <w:rsid w:val="00BE0B5F"/>
    <w:rsid w:val="00BE2640"/>
    <w:rsid w:val="00BE6A41"/>
    <w:rsid w:val="00BF1FDE"/>
    <w:rsid w:val="00C01189"/>
    <w:rsid w:val="00C0458D"/>
    <w:rsid w:val="00C374DE"/>
    <w:rsid w:val="00C47AD4"/>
    <w:rsid w:val="00C52D81"/>
    <w:rsid w:val="00C55198"/>
    <w:rsid w:val="00C5621D"/>
    <w:rsid w:val="00C64A0E"/>
    <w:rsid w:val="00C6520B"/>
    <w:rsid w:val="00C75800"/>
    <w:rsid w:val="00CA30CC"/>
    <w:rsid w:val="00CA6393"/>
    <w:rsid w:val="00CA7995"/>
    <w:rsid w:val="00CB18FF"/>
    <w:rsid w:val="00CB56B7"/>
    <w:rsid w:val="00CD0C08"/>
    <w:rsid w:val="00CD0C73"/>
    <w:rsid w:val="00CE03FB"/>
    <w:rsid w:val="00CE433C"/>
    <w:rsid w:val="00CF0161"/>
    <w:rsid w:val="00CF33F3"/>
    <w:rsid w:val="00CF4A2B"/>
    <w:rsid w:val="00D024CA"/>
    <w:rsid w:val="00D06183"/>
    <w:rsid w:val="00D22C42"/>
    <w:rsid w:val="00D618CB"/>
    <w:rsid w:val="00D65041"/>
    <w:rsid w:val="00D702E5"/>
    <w:rsid w:val="00DA0B4D"/>
    <w:rsid w:val="00DB1936"/>
    <w:rsid w:val="00DB384B"/>
    <w:rsid w:val="00DD11ED"/>
    <w:rsid w:val="00DF0189"/>
    <w:rsid w:val="00DF26C9"/>
    <w:rsid w:val="00E06FD5"/>
    <w:rsid w:val="00E10E80"/>
    <w:rsid w:val="00E124F0"/>
    <w:rsid w:val="00E214A6"/>
    <w:rsid w:val="00E227F3"/>
    <w:rsid w:val="00E40872"/>
    <w:rsid w:val="00E545C6"/>
    <w:rsid w:val="00E60754"/>
    <w:rsid w:val="00E60F04"/>
    <w:rsid w:val="00E65B24"/>
    <w:rsid w:val="00E854E4"/>
    <w:rsid w:val="00E86DBF"/>
    <w:rsid w:val="00E969AF"/>
    <w:rsid w:val="00EB0D6F"/>
    <w:rsid w:val="00EB2232"/>
    <w:rsid w:val="00EB4DCD"/>
    <w:rsid w:val="00EC5337"/>
    <w:rsid w:val="00EE49E8"/>
    <w:rsid w:val="00F00CBC"/>
    <w:rsid w:val="00F16BAB"/>
    <w:rsid w:val="00F2150A"/>
    <w:rsid w:val="00F231D8"/>
    <w:rsid w:val="00F41209"/>
    <w:rsid w:val="00F44C00"/>
    <w:rsid w:val="00F45D2C"/>
    <w:rsid w:val="00F46C5F"/>
    <w:rsid w:val="00F53ADA"/>
    <w:rsid w:val="00F632C0"/>
    <w:rsid w:val="00F641E1"/>
    <w:rsid w:val="00F94A63"/>
    <w:rsid w:val="00FA1C28"/>
    <w:rsid w:val="00FA5BA6"/>
    <w:rsid w:val="00FB1279"/>
    <w:rsid w:val="00FB6B76"/>
    <w:rsid w:val="00FB7596"/>
    <w:rsid w:val="00FE4077"/>
    <w:rsid w:val="00FE500D"/>
    <w:rsid w:val="00FE77D2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3A048E5"/>
  <w15:docId w15:val="{095992CB-951E-46F8-828A-E2188A25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0F7289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customStyle="1" w:styleId="DecNo">
    <w:name w:val="Dec_No"/>
    <w:basedOn w:val="ResNo"/>
    <w:rsid w:val="00EB4DCD"/>
  </w:style>
  <w:style w:type="paragraph" w:customStyle="1" w:styleId="Dectitle">
    <w:name w:val="Dec_title"/>
    <w:basedOn w:val="Restitle"/>
    <w:rsid w:val="00EB4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2CC4DF5F10149B2E37F08EDC3AC3A" ma:contentTypeVersion="4" ma:contentTypeDescription="Create a new document." ma:contentTypeScope="" ma:versionID="307ecc74a8eb51dfea6b750f0799606c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80c3ec948e348096898dbd7aed4bed44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8146E-03A7-4413-9B17-C6B8E595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2F2AC-2255-4DBF-9278-6619577B4509}">
  <ds:schemaRefs>
    <ds:schemaRef ds:uri="http://schemas.microsoft.com/office/2006/documentManagement/types"/>
    <ds:schemaRef ds:uri="http://purl.org/dc/terms/"/>
    <ds:schemaRef ds:uri="a1cf676c-2816-4389-ad5d-0f2e7c7e67c4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CB52BA-7AEF-42D4-AF59-959012BFA9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1471</Words>
  <Characters>756</Characters>
  <Application>Microsoft Office Word</Application>
  <DocSecurity>0</DocSecurity>
  <Lines>32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of ITU's resource mobilization strategy</vt:lpstr>
    </vt:vector>
  </TitlesOfParts>
  <Manager>General Secretariat</Manager>
  <Company>International Telecommunication Union (ITU)</Company>
  <LinksUpToDate>false</LinksUpToDate>
  <CharactersWithSpaces>2185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of ITU's resource mobilization strategy</dc:title>
  <dc:subject>ITU Council 2025</dc:subject>
  <cp:keywords>C25; C2025; Council 2025; ITU160</cp:keywords>
  <dc:description/>
  <cp:lastPrinted>2000-07-18T13:30:00Z</cp:lastPrinted>
  <dcterms:created xsi:type="dcterms:W3CDTF">2025-06-04T13:20:00Z</dcterms:created>
  <dcterms:modified xsi:type="dcterms:W3CDTF">2025-06-04T13:20:00Z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0x01010096B2CC4DF5F10149B2E37F08EDC3AC3A</vt:lpwstr>
  </property>
</Properties>
</file>