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2"/>
        <w:gridCol w:w="2969"/>
      </w:tblGrid>
      <w:tr w:rsidR="007B0AA0" w14:paraId="0F8277DE" w14:textId="77777777" w:rsidTr="00F363FE">
        <w:tc>
          <w:tcPr>
            <w:tcW w:w="6512" w:type="dxa"/>
          </w:tcPr>
          <w:p w14:paraId="105BD7E7" w14:textId="37395FDC" w:rsidR="007B0AA0" w:rsidRPr="007B0AA0" w:rsidRDefault="00CE45F7" w:rsidP="00CE45F7">
            <w:pPr>
              <w:spacing w:before="60" w:after="60" w:line="260" w:lineRule="exact"/>
              <w:rPr>
                <w:b/>
                <w:bCs/>
                <w:rtl/>
                <w:lang w:bidi="ar-EG"/>
              </w:rPr>
            </w:pPr>
            <w:r w:rsidRPr="00CE45F7">
              <w:rPr>
                <w:b/>
                <w:bCs/>
                <w:lang w:val="en-GB" w:bidi="ar-EG"/>
              </w:rPr>
              <w:t>ADM 1</w:t>
            </w:r>
          </w:p>
        </w:tc>
        <w:tc>
          <w:tcPr>
            <w:tcW w:w="3117" w:type="dxa"/>
          </w:tcPr>
          <w:p w14:paraId="2E76680D" w14:textId="7ACDE5FD"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w:t>
            </w:r>
            <w:r w:rsidR="006F363C">
              <w:rPr>
                <w:b/>
                <w:bCs/>
                <w:lang w:bidi="ar-EG"/>
              </w:rPr>
              <w:t>5</w:t>
            </w:r>
            <w:r w:rsidRPr="007B0AA0">
              <w:rPr>
                <w:b/>
                <w:bCs/>
                <w:lang w:bidi="ar-EG"/>
              </w:rPr>
              <w:t>/</w:t>
            </w:r>
            <w:r w:rsidR="004A58C0">
              <w:rPr>
                <w:b/>
                <w:bCs/>
                <w:lang w:bidi="ar-EG"/>
              </w:rPr>
              <w:t>67</w:t>
            </w:r>
            <w:r w:rsidRPr="007B0AA0">
              <w:rPr>
                <w:b/>
                <w:bCs/>
                <w:lang w:bidi="ar-EG"/>
              </w:rPr>
              <w:t>-A</w:t>
            </w:r>
          </w:p>
        </w:tc>
      </w:tr>
      <w:tr w:rsidR="007B0AA0" w14:paraId="6B4EA4C0" w14:textId="77777777" w:rsidTr="00F363FE">
        <w:tc>
          <w:tcPr>
            <w:tcW w:w="6512" w:type="dxa"/>
          </w:tcPr>
          <w:p w14:paraId="1B3D3B85" w14:textId="77777777" w:rsidR="007B0AA0" w:rsidRPr="007B0AA0" w:rsidRDefault="007B0AA0" w:rsidP="00F363FE">
            <w:pPr>
              <w:spacing w:before="60" w:after="60" w:line="260" w:lineRule="exact"/>
              <w:rPr>
                <w:b/>
                <w:bCs/>
                <w:rtl/>
                <w:lang w:bidi="ar-EG"/>
              </w:rPr>
            </w:pPr>
          </w:p>
        </w:tc>
        <w:tc>
          <w:tcPr>
            <w:tcW w:w="3117" w:type="dxa"/>
          </w:tcPr>
          <w:p w14:paraId="172115D1" w14:textId="6CDE883E" w:rsidR="007B0AA0" w:rsidRPr="007B0AA0" w:rsidRDefault="00CE45F7" w:rsidP="00F363FE">
            <w:pPr>
              <w:spacing w:before="60" w:after="60" w:line="260" w:lineRule="exact"/>
              <w:rPr>
                <w:b/>
                <w:bCs/>
                <w:rtl/>
                <w:lang w:bidi="ar-EG"/>
              </w:rPr>
            </w:pPr>
            <w:r w:rsidRPr="00CE45F7">
              <w:rPr>
                <w:b/>
                <w:bCs/>
                <w:rtl/>
                <w:lang w:bidi="ar-EG"/>
              </w:rPr>
              <w:t>16 مايو 2025</w:t>
            </w:r>
          </w:p>
        </w:tc>
      </w:tr>
      <w:tr w:rsidR="007B0AA0" w14:paraId="130D0F27" w14:textId="77777777" w:rsidTr="00F363FE">
        <w:tc>
          <w:tcPr>
            <w:tcW w:w="6512" w:type="dxa"/>
          </w:tcPr>
          <w:p w14:paraId="431351EF" w14:textId="77777777" w:rsidR="007B0AA0" w:rsidRPr="007B0AA0" w:rsidRDefault="007B0AA0" w:rsidP="00F363FE">
            <w:pPr>
              <w:spacing w:before="60" w:after="60" w:line="260" w:lineRule="exact"/>
              <w:rPr>
                <w:b/>
                <w:bCs/>
                <w:rtl/>
                <w:lang w:bidi="ar-EG"/>
              </w:rPr>
            </w:pPr>
          </w:p>
        </w:tc>
        <w:tc>
          <w:tcPr>
            <w:tcW w:w="3117" w:type="dxa"/>
          </w:tcPr>
          <w:p w14:paraId="573B2526" w14:textId="27305E9C" w:rsidR="007B0AA0" w:rsidRPr="007B0AA0" w:rsidRDefault="0081129B" w:rsidP="00F363FE">
            <w:pPr>
              <w:spacing w:before="60" w:after="60" w:line="260" w:lineRule="exact"/>
              <w:rPr>
                <w:b/>
                <w:bCs/>
                <w:rtl/>
                <w:lang w:bidi="ar-EG"/>
              </w:rPr>
            </w:pPr>
            <w:r w:rsidRPr="0081129B">
              <w:rPr>
                <w:rFonts w:hint="cs"/>
                <w:b/>
                <w:bCs/>
                <w:rtl/>
                <w:lang w:bidi="ar-EG"/>
              </w:rPr>
              <w:t>الأصل: ب</w:t>
            </w:r>
            <w:r w:rsidR="001D64C7" w:rsidRPr="0081129B">
              <w:rPr>
                <w:rFonts w:hint="cs"/>
                <w:b/>
                <w:bCs/>
                <w:rtl/>
                <w:lang w:bidi="ar-EG"/>
              </w:rPr>
              <w:t>الإنكليزية</w:t>
            </w:r>
          </w:p>
        </w:tc>
      </w:tr>
      <w:tr w:rsidR="007B0AA0" w14:paraId="016F74E9" w14:textId="77777777" w:rsidTr="00F363FE">
        <w:tc>
          <w:tcPr>
            <w:tcW w:w="6512" w:type="dxa"/>
          </w:tcPr>
          <w:p w14:paraId="770B17AB" w14:textId="77777777" w:rsidR="007B0AA0" w:rsidRDefault="007B0AA0" w:rsidP="00F363FE">
            <w:pPr>
              <w:spacing w:before="60" w:after="60" w:line="260" w:lineRule="exact"/>
              <w:rPr>
                <w:lang w:bidi="ar-EG"/>
              </w:rPr>
            </w:pPr>
          </w:p>
        </w:tc>
        <w:tc>
          <w:tcPr>
            <w:tcW w:w="3117" w:type="dxa"/>
          </w:tcPr>
          <w:p w14:paraId="7F97E66A" w14:textId="77777777" w:rsidR="007B0AA0" w:rsidRDefault="007B0AA0" w:rsidP="00F363FE">
            <w:pPr>
              <w:spacing w:before="60" w:after="60" w:line="260" w:lineRule="exact"/>
              <w:rPr>
                <w:rtl/>
                <w:lang w:bidi="ar-EG"/>
              </w:rPr>
            </w:pPr>
          </w:p>
        </w:tc>
      </w:tr>
      <w:tr w:rsidR="007B0AA0" w14:paraId="01BE7386" w14:textId="77777777" w:rsidTr="00EE7446">
        <w:tc>
          <w:tcPr>
            <w:tcW w:w="9629" w:type="dxa"/>
            <w:gridSpan w:val="2"/>
          </w:tcPr>
          <w:p w14:paraId="2BE4C0A0" w14:textId="77777777" w:rsidR="007B0AA0" w:rsidRDefault="001D64C7" w:rsidP="007B0AA0">
            <w:pPr>
              <w:pStyle w:val="Source"/>
              <w:jc w:val="left"/>
              <w:rPr>
                <w:lang w:bidi="ar-EG"/>
              </w:rPr>
            </w:pPr>
            <w:r>
              <w:rPr>
                <w:rFonts w:hint="cs"/>
                <w:rtl/>
                <w:lang w:bidi="ar-EG"/>
              </w:rPr>
              <w:t>تقرير من الأمينة العامة</w:t>
            </w:r>
          </w:p>
        </w:tc>
      </w:tr>
      <w:tr w:rsidR="007B0AA0" w14:paraId="1C9D364E" w14:textId="77777777" w:rsidTr="007B0AA0">
        <w:tc>
          <w:tcPr>
            <w:tcW w:w="9629" w:type="dxa"/>
            <w:gridSpan w:val="2"/>
            <w:tcBorders>
              <w:bottom w:val="single" w:sz="4" w:space="0" w:color="auto"/>
            </w:tcBorders>
          </w:tcPr>
          <w:p w14:paraId="02629FE8" w14:textId="3C01EB79" w:rsidR="007B0AA0" w:rsidRPr="005546CF" w:rsidRDefault="009030E4" w:rsidP="009030E4">
            <w:pPr>
              <w:pStyle w:val="Subtitle0"/>
              <w:rPr>
                <w:sz w:val="32"/>
                <w:szCs w:val="32"/>
              </w:rPr>
            </w:pPr>
            <w:r w:rsidRPr="009030E4">
              <w:rPr>
                <w:sz w:val="32"/>
                <w:szCs w:val="32"/>
                <w:rtl/>
                <w:lang w:bidi="ar-SA"/>
              </w:rPr>
              <w:t>تنفيذ استراتيجية الاتحاد لتعبئة الموارد</w:t>
            </w:r>
          </w:p>
        </w:tc>
      </w:tr>
      <w:tr w:rsidR="007B0AA0" w14:paraId="5D0DA2F7" w14:textId="77777777" w:rsidTr="007B0AA0">
        <w:tc>
          <w:tcPr>
            <w:tcW w:w="9629" w:type="dxa"/>
            <w:gridSpan w:val="2"/>
            <w:tcBorders>
              <w:top w:val="single" w:sz="4" w:space="0" w:color="auto"/>
              <w:bottom w:val="single" w:sz="4" w:space="0" w:color="auto"/>
            </w:tcBorders>
          </w:tcPr>
          <w:p w14:paraId="563904D7" w14:textId="77777777" w:rsidR="007B0AA0" w:rsidRPr="007B0AA0" w:rsidRDefault="007B0AA0" w:rsidP="007B0AA0">
            <w:pPr>
              <w:rPr>
                <w:b/>
                <w:bCs/>
                <w:rtl/>
              </w:rPr>
            </w:pPr>
            <w:r w:rsidRPr="00494119">
              <w:rPr>
                <w:rFonts w:hint="cs"/>
                <w:b/>
                <w:bCs/>
                <w:rtl/>
              </w:rPr>
              <w:t>الغرض</w:t>
            </w:r>
          </w:p>
          <w:p w14:paraId="77B35BA3" w14:textId="55BB1418" w:rsidR="009030E4" w:rsidRPr="009030E4" w:rsidRDefault="009030E4" w:rsidP="009030E4">
            <w:r w:rsidRPr="009030E4">
              <w:rPr>
                <w:rtl/>
              </w:rPr>
              <w:t xml:space="preserve">كلف مؤتمر المندوبين المفوضين (بوخارست، </w:t>
            </w:r>
            <w:r w:rsidRPr="009030E4">
              <w:t>2022</w:t>
            </w:r>
            <w:r w:rsidRPr="009030E4">
              <w:rPr>
                <w:rtl/>
              </w:rPr>
              <w:t>) الأمين العام في المقر</w:t>
            </w:r>
            <w:r>
              <w:rPr>
                <w:rFonts w:hint="cs"/>
                <w:rtl/>
              </w:rPr>
              <w:t>َّ</w:t>
            </w:r>
            <w:r w:rsidRPr="009030E4">
              <w:rPr>
                <w:rtl/>
              </w:rPr>
              <w:t xml:space="preserve">ر 5 (المراجَع في بوخارست، </w:t>
            </w:r>
            <w:r w:rsidRPr="009030E4">
              <w:t>2022</w:t>
            </w:r>
            <w:r w:rsidRPr="009030E4">
              <w:rPr>
                <w:rtl/>
              </w:rPr>
              <w:t xml:space="preserve">) بإعداد استراتيجية لتعبئة الموارد على مستوى الاتحاد وعرضها على مجلس الاتحاد. ووافق المجلس في دورته الخامسة والعشرين على الاستراتيجية، ومن ثم يجري تنفيذها الآن. وتركز هذه الوثيقة على تحصيل مساهمات وحدات الدول الأعضاء لأنها تمثل حوالي </w:t>
            </w:r>
            <w:r w:rsidR="00F23AD9">
              <w:t>%70</w:t>
            </w:r>
            <w:r w:rsidRPr="009030E4">
              <w:rPr>
                <w:rtl/>
              </w:rPr>
              <w:t xml:space="preserve"> من الميزانية العادية للاتحاد، وبالتالي فهي على رأس أولويات الاستراتيجية.</w:t>
            </w:r>
          </w:p>
          <w:p w14:paraId="647B96FD" w14:textId="36CF65B7" w:rsidR="007B0AA0" w:rsidRDefault="009030E4" w:rsidP="009030E4">
            <w:pPr>
              <w:rPr>
                <w:rtl/>
              </w:rPr>
            </w:pPr>
            <w:r w:rsidRPr="009030E4">
              <w:rPr>
                <w:rtl/>
              </w:rPr>
              <w:t xml:space="preserve">وعلى النحو </w:t>
            </w:r>
            <w:proofErr w:type="spellStart"/>
            <w:r w:rsidRPr="009030E4">
              <w:rPr>
                <w:rtl/>
              </w:rPr>
              <w:t>الموصى</w:t>
            </w:r>
            <w:proofErr w:type="spellEnd"/>
            <w:r w:rsidRPr="009030E4">
              <w:rPr>
                <w:rtl/>
              </w:rPr>
              <w:t xml:space="preserve"> به في استراتيجية تعبئة الموارد، تقوم الأمانة بإعداد "جدوى الاستثمار في الاتحاد" التي يمكن أن يستخدمها المندوبون في إداراتهم الوطنية للمساعدة في تحصيل الوحدات أو زيادتها. وثمة جهود جارية أيضاً لتحسين تقديم التقارير إلى الدول الأعضاء، بما في ذلك تحسين المواءمة بين الخطط الاستراتيجية والمالية والتشغيلية والإبلاغ عن الكفاءة والوفورات لتبيان عائد الاستثمار للدول الأعضاء بشكل أوضح.</w:t>
            </w:r>
          </w:p>
          <w:p w14:paraId="745C5933" w14:textId="77777777" w:rsidR="007B0AA0" w:rsidRPr="007B0AA0" w:rsidRDefault="007B0AA0" w:rsidP="007B0AA0">
            <w:pPr>
              <w:rPr>
                <w:b/>
                <w:bCs/>
                <w:rtl/>
              </w:rPr>
            </w:pPr>
            <w:r w:rsidRPr="007B0AA0">
              <w:rPr>
                <w:rFonts w:hint="cs"/>
                <w:b/>
                <w:bCs/>
                <w:rtl/>
              </w:rPr>
              <w:t>الإجراء المطلوب من المجلس</w:t>
            </w:r>
          </w:p>
          <w:p w14:paraId="15D6EBF2" w14:textId="2C834DF9" w:rsidR="007B0AA0" w:rsidRDefault="00CE45F7" w:rsidP="00CE45F7">
            <w:pPr>
              <w:rPr>
                <w:rtl/>
              </w:rPr>
            </w:pPr>
            <w:r w:rsidRPr="00CE45F7">
              <w:rPr>
                <w:rtl/>
              </w:rPr>
              <w:t xml:space="preserve">يُدعى المجلس إلى </w:t>
            </w:r>
            <w:r w:rsidRPr="00CE45F7">
              <w:rPr>
                <w:b/>
                <w:bCs/>
                <w:rtl/>
              </w:rPr>
              <w:t>الإحاطة علماً</w:t>
            </w:r>
            <w:r w:rsidRPr="00CE45F7">
              <w:rPr>
                <w:rtl/>
              </w:rPr>
              <w:t xml:space="preserve"> بهذا التقرير.</w:t>
            </w:r>
          </w:p>
          <w:p w14:paraId="71266479" w14:textId="77777777" w:rsidR="007B0AA0" w:rsidRPr="007B0AA0" w:rsidRDefault="00494119" w:rsidP="007B0AA0">
            <w:pPr>
              <w:rPr>
                <w:b/>
                <w:bCs/>
                <w:rtl/>
              </w:rPr>
            </w:pPr>
            <w:r>
              <w:rPr>
                <w:rFonts w:hint="cs"/>
                <w:b/>
                <w:bCs/>
                <w:rtl/>
                <w:lang w:bidi="ar-EG"/>
              </w:rPr>
              <w:t>الصلة</w:t>
            </w:r>
            <w:r w:rsidR="007B0AA0" w:rsidRPr="007B0AA0">
              <w:rPr>
                <w:b/>
                <w:bCs/>
                <w:rtl/>
              </w:rPr>
              <w:t xml:space="preserve"> بالخطة ال</w:t>
            </w:r>
            <w:r w:rsidR="007B0AA0" w:rsidRPr="007B0AA0">
              <w:rPr>
                <w:rFonts w:hint="cs"/>
                <w:b/>
                <w:bCs/>
                <w:rtl/>
              </w:rPr>
              <w:t>ا</w:t>
            </w:r>
            <w:r w:rsidR="007B0AA0" w:rsidRPr="007B0AA0">
              <w:rPr>
                <w:b/>
                <w:bCs/>
                <w:rtl/>
              </w:rPr>
              <w:t>ستراتيجية</w:t>
            </w:r>
          </w:p>
          <w:p w14:paraId="68E973AF" w14:textId="42FED91D" w:rsidR="007B0AA0" w:rsidRDefault="00CE45F7" w:rsidP="00CE45F7">
            <w:pPr>
              <w:rPr>
                <w:rtl/>
              </w:rPr>
            </w:pPr>
            <w:r w:rsidRPr="00CE45F7">
              <w:rPr>
                <w:rtl/>
              </w:rPr>
              <w:t>تعبئة الموارد.</w:t>
            </w:r>
          </w:p>
          <w:p w14:paraId="5F07F8FB" w14:textId="77777777" w:rsidR="007B0AA0" w:rsidRDefault="007B0AA0" w:rsidP="00B97F32">
            <w:pPr>
              <w:rPr>
                <w:b/>
                <w:bCs/>
              </w:rPr>
            </w:pPr>
            <w:r w:rsidRPr="007B0AA0">
              <w:rPr>
                <w:rFonts w:hint="cs"/>
                <w:b/>
                <w:bCs/>
                <w:rtl/>
              </w:rPr>
              <w:t>الآثار المالية</w:t>
            </w:r>
          </w:p>
          <w:p w14:paraId="4FE7B16A" w14:textId="0074229E" w:rsidR="006F363C" w:rsidRPr="005546CF" w:rsidRDefault="00CE45F7" w:rsidP="00CE45F7">
            <w:pPr>
              <w:rPr>
                <w:rtl/>
              </w:rPr>
            </w:pPr>
            <w:r w:rsidRPr="00CE45F7">
              <w:rPr>
                <w:rtl/>
              </w:rPr>
              <w:t>إمكانية زيادة الميزانية العادية والتمويل من خارج الميزانية.</w:t>
            </w:r>
          </w:p>
          <w:p w14:paraId="068E0F7F"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12F52267" w14:textId="77777777" w:rsidR="007B0AA0" w:rsidRPr="007B0AA0" w:rsidRDefault="007B0AA0" w:rsidP="007B0AA0">
            <w:pPr>
              <w:rPr>
                <w:b/>
                <w:bCs/>
                <w:rtl/>
              </w:rPr>
            </w:pPr>
            <w:r w:rsidRPr="007B0AA0">
              <w:rPr>
                <w:rFonts w:hint="cs"/>
                <w:b/>
                <w:bCs/>
                <w:rtl/>
              </w:rPr>
              <w:t>المراجع</w:t>
            </w:r>
          </w:p>
          <w:p w14:paraId="613583C9" w14:textId="05AA4564" w:rsidR="007B0AA0" w:rsidRPr="005546CF" w:rsidRDefault="00CE45F7" w:rsidP="00911451">
            <w:pPr>
              <w:jc w:val="left"/>
              <w:rPr>
                <w:i/>
                <w:iCs/>
                <w:rtl/>
              </w:rPr>
            </w:pPr>
            <w:hyperlink r:id="rId8" w:history="1">
              <w:r w:rsidRPr="00CE45F7">
                <w:rPr>
                  <w:rStyle w:val="Hyperlink"/>
                  <w:rFonts w:ascii="Dubai" w:eastAsiaTheme="minorEastAsia" w:hAnsi="Dubai" w:cs="Dubai"/>
                  <w:i/>
                  <w:iCs/>
                  <w:noProof w:val="0"/>
                  <w:sz w:val="22"/>
                  <w:rtl/>
                  <w:lang w:val="en-US" w:eastAsia="zh-CN"/>
                </w:rPr>
                <w:t>المقر</w:t>
              </w:r>
              <w:r w:rsidR="00DA5D68">
                <w:rPr>
                  <w:rStyle w:val="Hyperlink"/>
                  <w:rFonts w:ascii="Dubai" w:eastAsiaTheme="minorEastAsia" w:hAnsi="Dubai" w:cs="Dubai" w:hint="cs"/>
                  <w:i/>
                  <w:iCs/>
                  <w:noProof w:val="0"/>
                  <w:sz w:val="22"/>
                  <w:rtl/>
                  <w:lang w:val="en-US" w:eastAsia="zh-CN"/>
                </w:rPr>
                <w:t>ّ</w:t>
              </w:r>
              <w:r w:rsidR="00DA5D68">
                <w:rPr>
                  <w:rStyle w:val="Hyperlink"/>
                  <w:rFonts w:ascii="Dubai" w:hAnsi="Dubai" w:cs="Dubai" w:hint="cs"/>
                  <w:i/>
                  <w:iCs/>
                  <w:rtl/>
                </w:rPr>
                <w:t>َ</w:t>
              </w:r>
              <w:r w:rsidRPr="00CE45F7">
                <w:rPr>
                  <w:rStyle w:val="Hyperlink"/>
                  <w:rFonts w:ascii="Dubai" w:eastAsiaTheme="minorEastAsia" w:hAnsi="Dubai" w:cs="Dubai"/>
                  <w:i/>
                  <w:iCs/>
                  <w:noProof w:val="0"/>
                  <w:sz w:val="22"/>
                  <w:rtl/>
                  <w:lang w:val="en-US" w:eastAsia="zh-CN"/>
                </w:rPr>
                <w:t>ر 5</w:t>
              </w:r>
            </w:hyperlink>
            <w:r w:rsidRPr="00CE45F7">
              <w:rPr>
                <w:i/>
                <w:iCs/>
                <w:rtl/>
              </w:rPr>
              <w:t xml:space="preserve"> (</w:t>
            </w:r>
            <w:r w:rsidR="00593339">
              <w:rPr>
                <w:rFonts w:hint="cs"/>
                <w:i/>
                <w:iCs/>
                <w:rtl/>
              </w:rPr>
              <w:t xml:space="preserve">المراجَع </w:t>
            </w:r>
            <w:r w:rsidRPr="00CE45F7">
              <w:rPr>
                <w:i/>
                <w:iCs/>
                <w:rtl/>
              </w:rPr>
              <w:t xml:space="preserve">في بوخارست، 2022) الصادر عن مؤتمر المندوبين المفوضين؛ وثيقتا المجلس </w:t>
            </w:r>
            <w:hyperlink r:id="rId9">
              <w:r w:rsidR="00536465" w:rsidRPr="00536465">
                <w:rPr>
                  <w:rStyle w:val="Hyperlink"/>
                  <w:rFonts w:ascii="Dubai" w:eastAsiaTheme="minorEastAsia" w:hAnsi="Dubai" w:cs="Dubai"/>
                  <w:i/>
                  <w:iCs/>
                  <w:noProof w:val="0"/>
                  <w:sz w:val="22"/>
                  <w:lang w:eastAsia="zh-CN"/>
                </w:rPr>
                <w:t>C17/67</w:t>
              </w:r>
            </w:hyperlink>
            <w:r w:rsidRPr="00CE45F7">
              <w:rPr>
                <w:i/>
                <w:iCs/>
                <w:rtl/>
              </w:rPr>
              <w:t>، و</w:t>
            </w:r>
            <w:hyperlink r:id="rId10">
              <w:r w:rsidR="00536465" w:rsidRPr="00536465">
                <w:rPr>
                  <w:rStyle w:val="Hyperlink"/>
                  <w:rFonts w:ascii="Dubai" w:eastAsiaTheme="minorEastAsia" w:hAnsi="Dubai" w:cs="Dubai"/>
                  <w:i/>
                  <w:iCs/>
                  <w:noProof w:val="0"/>
                  <w:sz w:val="22"/>
                  <w:lang w:eastAsia="zh-CN"/>
                </w:rPr>
                <w:t>C23/INF/12</w:t>
              </w:r>
            </w:hyperlink>
            <w:r w:rsidRPr="00CE45F7">
              <w:rPr>
                <w:i/>
                <w:iCs/>
                <w:rtl/>
              </w:rPr>
              <w:t xml:space="preserve">؛ </w:t>
            </w:r>
            <w:hyperlink r:id="rId11" w:history="1">
              <w:r w:rsidRPr="00CE45F7">
                <w:rPr>
                  <w:rStyle w:val="Hyperlink"/>
                  <w:rFonts w:ascii="Dubai" w:eastAsiaTheme="minorEastAsia" w:hAnsi="Dubai" w:cs="Dubai"/>
                  <w:i/>
                  <w:iCs/>
                  <w:noProof w:val="0"/>
                  <w:sz w:val="22"/>
                  <w:rtl/>
                  <w:lang w:val="en-US" w:eastAsia="zh-CN"/>
                </w:rPr>
                <w:t>خطة عمل كيغالي</w:t>
              </w:r>
            </w:hyperlink>
            <w:r w:rsidRPr="00CE45F7">
              <w:rPr>
                <w:i/>
                <w:iCs/>
                <w:rtl/>
              </w:rPr>
              <w:t xml:space="preserve">، </w:t>
            </w:r>
            <w:hyperlink r:id="rId12">
              <w:r w:rsidR="00536465" w:rsidRPr="00536465">
                <w:rPr>
                  <w:rStyle w:val="Hyperlink"/>
                  <w:rFonts w:ascii="Dubai" w:eastAsiaTheme="minorEastAsia" w:hAnsi="Dubai" w:cs="Dubai"/>
                  <w:i/>
                  <w:iCs/>
                  <w:noProof w:val="0"/>
                  <w:sz w:val="22"/>
                  <w:lang w:eastAsia="zh-CN"/>
                </w:rPr>
                <w:t>C23/62(Rev.1)</w:t>
              </w:r>
            </w:hyperlink>
            <w:r w:rsidRPr="00CE45F7">
              <w:rPr>
                <w:i/>
                <w:iCs/>
                <w:rtl/>
              </w:rPr>
              <w:t xml:space="preserve">، </w:t>
            </w:r>
            <w:hyperlink r:id="rId13">
              <w:r w:rsidR="00536465" w:rsidRPr="00536465">
                <w:rPr>
                  <w:rStyle w:val="Hyperlink"/>
                  <w:rFonts w:ascii="Dubai" w:eastAsiaTheme="minorEastAsia" w:hAnsi="Dubai" w:cs="Dubai"/>
                  <w:i/>
                  <w:iCs/>
                  <w:noProof w:val="0"/>
                  <w:sz w:val="22"/>
                  <w:lang w:eastAsia="zh-CN"/>
                </w:rPr>
                <w:t>CWG-FHR 16/11</w:t>
              </w:r>
            </w:hyperlink>
            <w:r w:rsidRPr="00CE45F7">
              <w:rPr>
                <w:i/>
                <w:iCs/>
                <w:rtl/>
              </w:rPr>
              <w:t>،</w:t>
            </w:r>
            <w:r w:rsidR="00536465">
              <w:rPr>
                <w:rFonts w:hint="cs"/>
                <w:i/>
                <w:iCs/>
                <w:rtl/>
                <w:lang w:bidi="ar-EG"/>
              </w:rPr>
              <w:t xml:space="preserve"> </w:t>
            </w:r>
            <w:hyperlink r:id="rId14">
              <w:r w:rsidR="00536465" w:rsidRPr="00536465">
                <w:rPr>
                  <w:rStyle w:val="Hyperlink"/>
                  <w:rFonts w:ascii="Dubai" w:eastAsiaTheme="minorEastAsia" w:hAnsi="Dubai" w:cs="Dubai"/>
                  <w:i/>
                  <w:iCs/>
                  <w:noProof w:val="0"/>
                  <w:sz w:val="22"/>
                  <w:lang w:eastAsia="zh-CN"/>
                </w:rPr>
                <w:t>CWG-FHR 17/3,</w:t>
              </w:r>
            </w:hyperlink>
            <w:r w:rsidRPr="00CE45F7">
              <w:rPr>
                <w:i/>
                <w:iCs/>
                <w:rtl/>
              </w:rPr>
              <w:t>،</w:t>
            </w:r>
            <w:r w:rsidR="00C1032D">
              <w:rPr>
                <w:rFonts w:hint="cs"/>
                <w:i/>
                <w:iCs/>
                <w:rtl/>
              </w:rPr>
              <w:t xml:space="preserve"> </w:t>
            </w:r>
            <w:hyperlink r:id="rId15" w:history="1">
              <w:r w:rsidRPr="00CE45F7">
                <w:rPr>
                  <w:rStyle w:val="Hyperlink"/>
                  <w:rFonts w:ascii="Dubai" w:eastAsiaTheme="minorEastAsia" w:hAnsi="Dubai" w:cs="Dubai"/>
                  <w:i/>
                  <w:iCs/>
                  <w:noProof w:val="0"/>
                  <w:sz w:val="22"/>
                  <w:lang w:val="en-US" w:eastAsia="zh-CN"/>
                </w:rPr>
                <w:t>CWG</w:t>
              </w:r>
              <w:r w:rsidR="00C1032D">
                <w:rPr>
                  <w:rStyle w:val="Hyperlink"/>
                  <w:rFonts w:ascii="Dubai" w:eastAsiaTheme="minorEastAsia" w:hAnsi="Dubai" w:cs="Dubai"/>
                  <w:i/>
                  <w:iCs/>
                  <w:noProof w:val="0"/>
                  <w:sz w:val="22"/>
                  <w:lang w:val="en-US" w:eastAsia="zh-CN"/>
                </w:rPr>
                <w:noBreakHyphen/>
              </w:r>
              <w:r w:rsidRPr="00CE45F7">
                <w:rPr>
                  <w:rStyle w:val="Hyperlink"/>
                  <w:rFonts w:ascii="Dubai" w:eastAsiaTheme="minorEastAsia" w:hAnsi="Dubai" w:cs="Dubai"/>
                  <w:i/>
                  <w:iCs/>
                  <w:noProof w:val="0"/>
                  <w:sz w:val="22"/>
                  <w:lang w:val="en-US" w:eastAsia="zh-CN"/>
                </w:rPr>
                <w:t>FHR</w:t>
              </w:r>
              <w:r w:rsidR="00C1032D">
                <w:rPr>
                  <w:rStyle w:val="Hyperlink"/>
                  <w:rFonts w:ascii="Dubai" w:eastAsiaTheme="minorEastAsia" w:hAnsi="Dubai" w:cs="Dubai"/>
                  <w:i/>
                  <w:iCs/>
                  <w:noProof w:val="0"/>
                  <w:sz w:val="22"/>
                  <w:lang w:val="en-US" w:eastAsia="zh-CN"/>
                </w:rPr>
                <w:noBreakHyphen/>
              </w:r>
              <w:r w:rsidRPr="00CE45F7">
                <w:rPr>
                  <w:rStyle w:val="Hyperlink"/>
                  <w:rFonts w:ascii="Dubai" w:eastAsiaTheme="minorEastAsia" w:hAnsi="Dubai" w:cs="Dubai"/>
                  <w:i/>
                  <w:iCs/>
                  <w:noProof w:val="0"/>
                  <w:sz w:val="22"/>
                  <w:lang w:val="en-US" w:eastAsia="zh-CN"/>
                </w:rPr>
                <w:t>17/INF/9</w:t>
              </w:r>
            </w:hyperlink>
            <w:r w:rsidRPr="00CE45F7">
              <w:rPr>
                <w:i/>
                <w:iCs/>
                <w:rtl/>
              </w:rPr>
              <w:t xml:space="preserve">، </w:t>
            </w:r>
            <w:hyperlink r:id="rId16" w:history="1">
              <w:r w:rsidRPr="00536465">
                <w:rPr>
                  <w:rStyle w:val="Hyperlink"/>
                  <w:rFonts w:ascii="Dubai" w:eastAsiaTheme="minorEastAsia" w:hAnsi="Dubai" w:cs="Dubai"/>
                  <w:i/>
                  <w:iCs/>
                  <w:noProof w:val="0"/>
                  <w:sz w:val="22"/>
                  <w:lang w:val="en-US" w:eastAsia="zh-CN"/>
                </w:rPr>
                <w:t>C24/70</w:t>
              </w:r>
              <w:r w:rsidRPr="00536465">
                <w:rPr>
                  <w:rStyle w:val="Hyperlink"/>
                  <w:rFonts w:ascii="Dubai" w:eastAsiaTheme="minorEastAsia" w:hAnsi="Dubai" w:cs="Dubai"/>
                  <w:i/>
                  <w:iCs/>
                  <w:noProof w:val="0"/>
                  <w:sz w:val="22"/>
                  <w:rtl/>
                  <w:lang w:val="en-US" w:eastAsia="zh-CN"/>
                </w:rPr>
                <w:t xml:space="preserve"> (استراتيجية تعبئة الموارد).</w:t>
              </w:r>
            </w:hyperlink>
          </w:p>
        </w:tc>
      </w:tr>
    </w:tbl>
    <w:p w14:paraId="61F766BA" w14:textId="77777777" w:rsidR="00F50E3F" w:rsidRDefault="00F50E3F" w:rsidP="0043260A">
      <w:pPr>
        <w:rPr>
          <w:rtl/>
          <w:lang w:bidi="ar-EG"/>
        </w:rPr>
      </w:pPr>
      <w:r>
        <w:rPr>
          <w:rtl/>
          <w:lang w:bidi="ar-EG"/>
        </w:rPr>
        <w:br w:type="page"/>
      </w:r>
    </w:p>
    <w:p w14:paraId="32AE0E8E" w14:textId="77777777" w:rsidR="009030E4" w:rsidRPr="009030E4" w:rsidRDefault="009030E4" w:rsidP="00F23AD9">
      <w:pPr>
        <w:pStyle w:val="Headingb"/>
        <w:rPr>
          <w:lang w:val="ar-SA" w:bidi="ar-EG"/>
        </w:rPr>
      </w:pPr>
      <w:r w:rsidRPr="009030E4">
        <w:rPr>
          <w:rtl/>
        </w:rPr>
        <w:lastRenderedPageBreak/>
        <w:t>معلومات أساسية</w:t>
      </w:r>
    </w:p>
    <w:p w14:paraId="5A7133D4" w14:textId="7034C213" w:rsidR="009030E4" w:rsidRPr="009030E4" w:rsidRDefault="009030E4" w:rsidP="009030E4">
      <w:pPr>
        <w:rPr>
          <w:spacing w:val="-2"/>
          <w:lang w:bidi="ar-EG"/>
        </w:rPr>
      </w:pPr>
      <w:r w:rsidRPr="009030E4">
        <w:rPr>
          <w:spacing w:val="-2"/>
          <w:rtl/>
        </w:rPr>
        <w:t xml:space="preserve">كلف مؤتمر المندوبين المفوضين (بوخارست، </w:t>
      </w:r>
      <w:r w:rsidRPr="009030E4">
        <w:rPr>
          <w:spacing w:val="-2"/>
        </w:rPr>
        <w:t>2022</w:t>
      </w:r>
      <w:r w:rsidRPr="009030E4">
        <w:rPr>
          <w:spacing w:val="-2"/>
          <w:rtl/>
        </w:rPr>
        <w:t>) الأمين العام في المقر</w:t>
      </w:r>
      <w:r w:rsidRPr="00F23AD9">
        <w:rPr>
          <w:rFonts w:hint="cs"/>
          <w:spacing w:val="-2"/>
          <w:rtl/>
        </w:rPr>
        <w:t>َّ</w:t>
      </w:r>
      <w:r w:rsidRPr="009030E4">
        <w:rPr>
          <w:spacing w:val="-2"/>
          <w:rtl/>
        </w:rPr>
        <w:t xml:space="preserve">ر 5 (المراجَع في بوخارست، </w:t>
      </w:r>
      <w:r w:rsidRPr="009030E4">
        <w:rPr>
          <w:spacing w:val="-2"/>
        </w:rPr>
        <w:t>2022</w:t>
      </w:r>
      <w:r w:rsidRPr="009030E4">
        <w:rPr>
          <w:spacing w:val="-2"/>
          <w:rtl/>
        </w:rPr>
        <w:t>) بإعداد استراتيجية لتعبئة الموارد على مستوى الاتحاد وعرضها على مجلس الاتحاد لكي يستعرضها ويقدم توجيهاته بشأن تنفيذها.</w:t>
      </w:r>
    </w:p>
    <w:p w14:paraId="43DE287A" w14:textId="74DA1457" w:rsidR="009030E4" w:rsidRPr="009030E4" w:rsidRDefault="009030E4" w:rsidP="00F23AD9">
      <w:pPr>
        <w:rPr>
          <w:lang w:val="ar-SA" w:bidi="ar-EG"/>
        </w:rPr>
      </w:pPr>
      <w:r w:rsidRPr="009030E4">
        <w:rPr>
          <w:rtl/>
        </w:rPr>
        <w:t xml:space="preserve">وتستند استراتيجية تعبئة الموارد التي اعتمدها المجلس في دورته لعام </w:t>
      </w:r>
      <w:r w:rsidR="00126C43">
        <w:t>2024</w:t>
      </w:r>
      <w:r w:rsidRPr="009030E4">
        <w:rPr>
          <w:rtl/>
        </w:rPr>
        <w:t xml:space="preserve"> (انظر الوثيقة </w:t>
      </w:r>
      <w:hyperlink r:id="rId17">
        <w:r w:rsidRPr="009030E4">
          <w:rPr>
            <w:rStyle w:val="Hyperlink"/>
            <w:rFonts w:ascii="Dubai" w:eastAsiaTheme="minorEastAsia" w:hAnsi="Dubai" w:cs="Dubai"/>
            <w:noProof w:val="0"/>
            <w:sz w:val="22"/>
            <w:lang w:val="en-US" w:eastAsia="zh-CN" w:bidi="ar-EG"/>
          </w:rPr>
          <w:t>C24/70</w:t>
        </w:r>
      </w:hyperlink>
      <w:r w:rsidRPr="009030E4">
        <w:rPr>
          <w:rtl/>
        </w:rPr>
        <w:t xml:space="preserve">) إلى ثلاثة مجالات عمل رئيسية هي: تعزيز العضوية؛ الاستفادة من الأحداث والمنتجات والخدمات؛ ‎‏زيادة المساهمات الطوعية. وتمثل مساهمات الدول الأعضاء نحو </w:t>
      </w:r>
      <w:r w:rsidR="00F23AD9" w:rsidRPr="00F23AD9">
        <w:t>%70</w:t>
      </w:r>
      <w:r w:rsidRPr="009030E4">
        <w:rPr>
          <w:rtl/>
        </w:rPr>
        <w:t xml:space="preserve"> من إيرادات الميزانية العادية للاتحاد. ويمثل تحصيل هذا المصدر من مصادر الإيرادات الأولوية العليا لاستراتيجية تعبئة الموارد وهو أمر أساسي لضمان الاستقرار المالي للاتحاد.</w:t>
      </w:r>
    </w:p>
    <w:p w14:paraId="3CC3AFB4" w14:textId="33064E4F" w:rsidR="009030E4" w:rsidRPr="009030E4" w:rsidRDefault="009030E4" w:rsidP="00F23AD9">
      <w:pPr>
        <w:rPr>
          <w:lang w:val="ar-SA" w:bidi="ar-EG"/>
        </w:rPr>
      </w:pPr>
      <w:r w:rsidRPr="009030E4">
        <w:rPr>
          <w:rtl/>
        </w:rPr>
        <w:t>وتماشياً مع المقر</w:t>
      </w:r>
      <w:r>
        <w:rPr>
          <w:rFonts w:hint="cs"/>
          <w:rtl/>
        </w:rPr>
        <w:t>َّ</w:t>
      </w:r>
      <w:r w:rsidRPr="009030E4">
        <w:rPr>
          <w:rtl/>
        </w:rPr>
        <w:t xml:space="preserve">ر </w:t>
      </w:r>
      <w:r w:rsidRPr="009030E4">
        <w:t>5</w:t>
      </w:r>
      <w:r w:rsidRPr="009030E4">
        <w:rPr>
          <w:rtl/>
        </w:rPr>
        <w:t xml:space="preserve"> (المراج</w:t>
      </w:r>
      <w:r>
        <w:rPr>
          <w:rFonts w:hint="cs"/>
          <w:rtl/>
        </w:rPr>
        <w:t>َ</w:t>
      </w:r>
      <w:r w:rsidRPr="009030E4">
        <w:rPr>
          <w:rtl/>
        </w:rPr>
        <w:t xml:space="preserve">ع في بوخارست، </w:t>
      </w:r>
      <w:r w:rsidRPr="009030E4">
        <w:t>2022</w:t>
      </w:r>
      <w:r w:rsidRPr="009030E4">
        <w:rPr>
          <w:rtl/>
        </w:rPr>
        <w:t xml:space="preserve">)، سيحدد المجلس في دورته الخامسة والعشرين المبلغ الأولي لوحدة المساهمة للفترة </w:t>
      </w:r>
      <w:r w:rsidR="00F23AD9">
        <w:t>2031-2028</w:t>
      </w:r>
      <w:r w:rsidRPr="009030E4">
        <w:rPr>
          <w:rtl/>
        </w:rPr>
        <w:t xml:space="preserve">. وبمجرد تحديد المبلغ الأولي، ستصدر الأمانة رسالة معممة تطلب فيها إلى الدول الأعضاء أن تعلن عن فئة مساهمتها المؤقتة للفترة </w:t>
      </w:r>
      <w:r w:rsidR="00F23AD9" w:rsidRPr="00F23AD9">
        <w:t>2031-2028</w:t>
      </w:r>
      <w:r w:rsidRPr="009030E4">
        <w:rPr>
          <w:rtl/>
        </w:rPr>
        <w:t xml:space="preserve"> قبل نهاية السنة التقويمية </w:t>
      </w:r>
      <w:r w:rsidRPr="009030E4">
        <w:t>2025</w:t>
      </w:r>
      <w:r w:rsidRPr="009030E4">
        <w:rPr>
          <w:rtl/>
        </w:rPr>
        <w:t>.</w:t>
      </w:r>
    </w:p>
    <w:p w14:paraId="3A386EFF" w14:textId="7769F7C3" w:rsidR="009030E4" w:rsidRPr="009030E4" w:rsidRDefault="009030E4" w:rsidP="009030E4">
      <w:pPr>
        <w:rPr>
          <w:lang w:val="ar-SA" w:bidi="ar-EG"/>
        </w:rPr>
      </w:pPr>
      <w:r w:rsidRPr="009030E4">
        <w:rPr>
          <w:rtl/>
        </w:rPr>
        <w:t>وثمة جهود جارية حالياً لتنفيذ مختلف جوانب الاستراتيجية، بما في ذلك المشاركة المقر</w:t>
      </w:r>
      <w:r>
        <w:rPr>
          <w:rFonts w:hint="cs"/>
          <w:rtl/>
        </w:rPr>
        <w:t>َّ</w:t>
      </w:r>
      <w:r w:rsidRPr="009030E4">
        <w:rPr>
          <w:rtl/>
        </w:rPr>
        <w:t>رة للدول الأعضاء فيما يتعلق بالوحدات والمشاورات من خلال الأفرقة الاستشارية للقطاعات بشأن زيادة مشاركة أعضاء القطاع وإيراداتهم. وفي إطار خارطة الطريق التحويلية، تعكف الأمانة أيضاً على تنفيذ أنظمة جديدة لتكنولوجيا المعلومات ومنصات على شبكة الإنترنت لتحسين تجربة الأحداث والنماذج الجديدة المحتملة للإيرادات، فضلاً عن تنسيق مشاركة الأعضاء والشركاء على مستوى الاتحاد، وتبسيط عمليات الشراء والتوظيف لدعم تنفيذ المشاريع.</w:t>
      </w:r>
    </w:p>
    <w:p w14:paraId="220707FA" w14:textId="77777777" w:rsidR="009030E4" w:rsidRPr="009030E4" w:rsidRDefault="009030E4" w:rsidP="00F23AD9">
      <w:pPr>
        <w:pStyle w:val="Headingb"/>
        <w:rPr>
          <w:lang w:val="ar-SA" w:bidi="ar-EG"/>
        </w:rPr>
      </w:pPr>
      <w:r w:rsidRPr="009030E4">
        <w:rPr>
          <w:rtl/>
        </w:rPr>
        <w:t>تحصيل إيرادات وحدات الدول الأعضاء</w:t>
      </w:r>
    </w:p>
    <w:p w14:paraId="02C9C569" w14:textId="173F61EF" w:rsidR="009030E4" w:rsidRPr="009030E4" w:rsidRDefault="009030E4" w:rsidP="009030E4">
      <w:pPr>
        <w:rPr>
          <w:spacing w:val="-2"/>
          <w:lang w:val="ar-SA" w:bidi="ar-EG"/>
        </w:rPr>
      </w:pPr>
      <w:r w:rsidRPr="009030E4">
        <w:rPr>
          <w:rtl/>
        </w:rPr>
        <w:t xml:space="preserve">خلال جلسة تبادل الأفكار لفريق العمل التابع للمجلس والمعني بالموارد المالية والبشرية </w:t>
      </w:r>
      <w:r w:rsidRPr="009030E4">
        <w:t>(</w:t>
      </w:r>
      <w:r w:rsidRPr="009030E4">
        <w:rPr>
          <w:lang w:bidi="ar-EG"/>
        </w:rPr>
        <w:t>CWG-FHR</w:t>
      </w:r>
      <w:r w:rsidRPr="009030E4">
        <w:t>)</w:t>
      </w:r>
      <w:r w:rsidRPr="009030E4">
        <w:rPr>
          <w:rtl/>
        </w:rPr>
        <w:t xml:space="preserve"> التي ع</w:t>
      </w:r>
      <w:r w:rsidR="00F935D5">
        <w:rPr>
          <w:rFonts w:hint="cs"/>
          <w:rtl/>
        </w:rPr>
        <w:t>ُ</w:t>
      </w:r>
      <w:r w:rsidRPr="009030E4">
        <w:rPr>
          <w:rtl/>
        </w:rPr>
        <w:t>قدت في يناير</w:t>
      </w:r>
      <w:r w:rsidR="00F935D5">
        <w:rPr>
          <w:rFonts w:hint="cs"/>
          <w:rtl/>
        </w:rPr>
        <w:t> </w:t>
      </w:r>
      <w:r w:rsidRPr="009030E4">
        <w:t>2024</w:t>
      </w:r>
      <w:r w:rsidRPr="009030E4">
        <w:rPr>
          <w:rtl/>
        </w:rPr>
        <w:t xml:space="preserve"> بشأن استراتيجية تعبئة الموارد، أعربت الدول الأعضاء عن اهتمامها بأن تدرس في إداراتها الوطنية جدوى سداد أو زيادة وحدات مساهمة الاتحاد، ولكنها التمست دعم الأمانة في القيام بذلك. وأشارت الدول الأعضاء أيضاً إلى أن </w:t>
      </w:r>
      <w:r w:rsidRPr="009030E4">
        <w:rPr>
          <w:spacing w:val="-2"/>
          <w:rtl/>
        </w:rPr>
        <w:t>سداد وحدات المساهمة، ولا سيما الزيادات، يمثل تحدياً لأن ذلك أمراً تشترك فيه أيضاً جهات منها على سبيل المثال لا الحصر وزارات المالية والشؤون الخارجية. ومن المهم إذكاء وعي هذه الوزارات على الصعيد الوطني بشأن الاتحاد وتأثيره.</w:t>
      </w:r>
    </w:p>
    <w:p w14:paraId="11A6FA7B" w14:textId="77777777" w:rsidR="009030E4" w:rsidRPr="009030E4" w:rsidRDefault="009030E4" w:rsidP="009030E4">
      <w:pPr>
        <w:rPr>
          <w:lang w:val="ar-SA" w:bidi="ar-EG"/>
        </w:rPr>
      </w:pPr>
      <w:r w:rsidRPr="009030E4">
        <w:rPr>
          <w:rtl/>
        </w:rPr>
        <w:t>ولدعم هذا الجهد، تضمنت استراتيجية تعبئة الموارد توصية للأمانة بإعداد عرض أكثر جاذبية لميزانية الاتحاد والاحتياجات غير المجابة. وسيشمل ذلك قسماً على الإنترنت يسهل استعماله يربط الخطة الاستراتيجية والمواضيع بالميزانية والنتائج/الآثار المتوقعة، وإحاطة على المستوى التنفيذي ومواد ترويجية يمكن للمندوبين استخدامها لتقديم الحجة للحصول على دعم الاتحاد داخل إداراتهم الوطنية.</w:t>
      </w:r>
    </w:p>
    <w:p w14:paraId="4DE3F00A" w14:textId="77777777" w:rsidR="009030E4" w:rsidRPr="009030E4" w:rsidRDefault="009030E4" w:rsidP="00F23AD9">
      <w:pPr>
        <w:pStyle w:val="Headingb"/>
        <w:rPr>
          <w:lang w:val="ar-SA" w:bidi="ar-EG"/>
        </w:rPr>
      </w:pPr>
      <w:r w:rsidRPr="009030E4">
        <w:rPr>
          <w:rtl/>
        </w:rPr>
        <w:t>جدوى الاستثمار في الاتحاد</w:t>
      </w:r>
    </w:p>
    <w:p w14:paraId="3C7C98AF" w14:textId="13F70CD6" w:rsidR="009030E4" w:rsidRPr="009030E4" w:rsidRDefault="009030E4" w:rsidP="009030E4">
      <w:pPr>
        <w:rPr>
          <w:lang w:val="ar-SA" w:bidi="ar-EG"/>
        </w:rPr>
      </w:pPr>
      <w:r w:rsidRPr="009030E4">
        <w:rPr>
          <w:rtl/>
        </w:rPr>
        <w:t xml:space="preserve">تعد الأمانة كتيباً على الإنترنت بعنوان </w:t>
      </w:r>
      <w:r w:rsidRPr="00F935D5">
        <w:rPr>
          <w:i/>
          <w:iCs/>
          <w:rtl/>
        </w:rPr>
        <w:t xml:space="preserve">"أهمية الاتحاد: جدوى الاستثمار </w:t>
      </w:r>
      <w:r w:rsidR="006F061A">
        <w:rPr>
          <w:rFonts w:hint="cs"/>
          <w:i/>
          <w:iCs/>
          <w:rtl/>
        </w:rPr>
        <w:t>2027-31</w:t>
      </w:r>
      <w:r w:rsidR="00911451">
        <w:rPr>
          <w:i/>
          <w:iCs/>
        </w:rPr>
        <w:t>20</w:t>
      </w:r>
      <w:r w:rsidRPr="00F935D5">
        <w:rPr>
          <w:i/>
          <w:iCs/>
          <w:rtl/>
        </w:rPr>
        <w:t>"</w:t>
      </w:r>
      <w:r w:rsidRPr="009030E4">
        <w:rPr>
          <w:rtl/>
        </w:rPr>
        <w:t>. وستتمكن الوفود من استخدام هذه المواد وتكييفها حسب الحاجة.</w:t>
      </w:r>
    </w:p>
    <w:p w14:paraId="12FA3E61" w14:textId="1E56181A" w:rsidR="009030E4" w:rsidRPr="009030E4" w:rsidRDefault="009030E4" w:rsidP="009030E4">
      <w:pPr>
        <w:rPr>
          <w:lang w:val="ar-SA" w:bidi="ar-EG"/>
        </w:rPr>
      </w:pPr>
      <w:r w:rsidRPr="009030E4">
        <w:rPr>
          <w:rtl/>
        </w:rPr>
        <w:t xml:space="preserve">كما يعمل فريق العمل التابع للمجلس والمعني بالخطتين الاستراتيجية والمالية </w:t>
      </w:r>
      <w:r w:rsidRPr="009030E4">
        <w:t>(</w:t>
      </w:r>
      <w:r w:rsidRPr="009030E4">
        <w:rPr>
          <w:lang w:bidi="ar-EG"/>
        </w:rPr>
        <w:t>CWG-SFP</w:t>
      </w:r>
      <w:r w:rsidRPr="009030E4">
        <w:t>)</w:t>
      </w:r>
      <w:r w:rsidRPr="009030E4">
        <w:rPr>
          <w:rtl/>
        </w:rPr>
        <w:t xml:space="preserve"> على زيادة مواءمة الخطتين الاستراتيجية والمالية، وتقوم الأمانة بتحديث نهجها في التخطيط التشغيلي وربط هذه الأدوات المختلفة من أجل عملية أكثر اتساقاً وتقديم التقارير إلى الأعضاء، مرتكزةً في ذلك على الإدارة القائمة على النتائج.</w:t>
      </w:r>
    </w:p>
    <w:p w14:paraId="2537C9AF" w14:textId="759CCE39" w:rsidR="009030E4" w:rsidRPr="009030E4" w:rsidRDefault="009030E4" w:rsidP="009030E4">
      <w:pPr>
        <w:rPr>
          <w:lang w:val="ar-SA" w:bidi="ar-EG"/>
        </w:rPr>
      </w:pPr>
      <w:r w:rsidRPr="009030E4">
        <w:rPr>
          <w:rtl/>
        </w:rPr>
        <w:t>وتقوم الأمانة أيضاً بإعداد تقارير محسنة عن الإجراءات التي يجري اتخاذها لخفض التكاليف وتحسين الكفاءة.</w:t>
      </w:r>
    </w:p>
    <w:p w14:paraId="30FECC67" w14:textId="68410C1F" w:rsidR="00F50E3F" w:rsidRDefault="009030E4" w:rsidP="009030E4">
      <w:pPr>
        <w:rPr>
          <w:rtl/>
          <w:lang w:bidi="ar-EG"/>
        </w:rPr>
      </w:pPr>
      <w:r w:rsidRPr="009030E4">
        <w:rPr>
          <w:rtl/>
        </w:rPr>
        <w:t>وتهدف هذه الجهود مجتمعةً إلى معالجة النقاط التي أثارتها الدول الأعضاء من خلال توضيح احتياجات الاتحاد وأولوياته وتأثيره، مما يؤدي إلى تحقيق مزيد من الشفافية بشأن كيفية استخدام تمويل الدول الأعضاء، وبالتالي عائد الاستثمار لتبليغ الإدارات الوطنية به.</w:t>
      </w:r>
    </w:p>
    <w:p w14:paraId="6E05FBDB"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F363C">
      <w:footerReference w:type="default" r:id="rId18"/>
      <w:headerReference w:type="first" r:id="rId19"/>
      <w:footerReference w:type="first" r:id="rId20"/>
      <w:type w:val="oddPage"/>
      <w:pgSz w:w="11907" w:h="16840"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E6B62" w14:textId="77777777" w:rsidR="00430C1C" w:rsidRDefault="00430C1C" w:rsidP="006C3242">
      <w:pPr>
        <w:spacing w:before="0" w:line="240" w:lineRule="auto"/>
      </w:pPr>
      <w:r>
        <w:separator/>
      </w:r>
    </w:p>
  </w:endnote>
  <w:endnote w:type="continuationSeparator" w:id="0">
    <w:p w14:paraId="024FD54A" w14:textId="77777777" w:rsidR="00430C1C" w:rsidRDefault="00430C1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panose1 w:val="02020603050405020304"/>
    <w:charset w:val="00"/>
    <w:family w:val="roman"/>
    <w:pitch w:val="variable"/>
    <w:sig w:usb0="00002003" w:usb1="80000000" w:usb2="00000008" w:usb3="00000000" w:csb0="00000041"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7"/>
      <w:gridCol w:w="7874"/>
      <w:gridCol w:w="443"/>
    </w:tblGrid>
    <w:tr w:rsidR="00F50E3F" w:rsidRPr="007B0AA0" w14:paraId="375DB77E" w14:textId="77777777" w:rsidTr="00A67F05">
      <w:trPr>
        <w:jc w:val="center"/>
      </w:trPr>
      <w:tc>
        <w:tcPr>
          <w:tcW w:w="868" w:type="pct"/>
          <w:vAlign w:val="center"/>
        </w:tcPr>
        <w:p w14:paraId="59A3A4B1" w14:textId="26643A9E" w:rsidR="00F50E3F" w:rsidRPr="007B0AA0" w:rsidRDefault="004A58C0" w:rsidP="0052206F">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sz w:val="18"/>
            </w:rPr>
          </w:pPr>
          <w:r w:rsidRPr="004A58C0">
            <w:rPr>
              <w:rFonts w:ascii="Calibri" w:hAnsi="Calibri" w:cs="Arial"/>
              <w:sz w:val="18"/>
              <w:szCs w:val="14"/>
            </w:rPr>
            <w:t>2501239</w:t>
          </w:r>
        </w:p>
      </w:tc>
      <w:tc>
        <w:tcPr>
          <w:tcW w:w="3912" w:type="pct"/>
        </w:tcPr>
        <w:p w14:paraId="75F202F9" w14:textId="34D672BF" w:rsidR="00F50E3F" w:rsidRPr="007B0AA0" w:rsidRDefault="00F50E3F" w:rsidP="0052206F">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4A58C0">
            <w:rPr>
              <w:rFonts w:ascii="Calibri" w:hAnsi="Calibri" w:cs="Arial"/>
              <w:bCs/>
              <w:color w:val="7F7F7F"/>
              <w:sz w:val="18"/>
            </w:rPr>
            <w:t>67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0690124" w14:textId="77777777" w:rsidR="00F50E3F" w:rsidRPr="007B0AA0" w:rsidRDefault="00F50E3F" w:rsidP="0052206F">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21552874" w14:textId="77777777" w:rsidR="006C3242" w:rsidRPr="0026373E" w:rsidRDefault="006C3242" w:rsidP="00BA04B2">
    <w:pPr>
      <w:pStyle w:val="Footer"/>
      <w:tabs>
        <w:tab w:val="clear" w:pos="4153"/>
        <w:tab w:val="clear" w:pos="8306"/>
        <w:tab w:val="center" w:pos="5103"/>
        <w:tab w:val="right" w:pos="9639"/>
      </w:tabs>
      <w:rPr>
        <w:sz w:val="16"/>
        <w:szCs w:val="16"/>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bidiVisual/>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39"/>
      <w:gridCol w:w="7584"/>
      <w:gridCol w:w="441"/>
    </w:tblGrid>
    <w:tr w:rsidR="007B0AA0" w:rsidRPr="007B0AA0" w14:paraId="47424499" w14:textId="77777777" w:rsidTr="00A67F05">
      <w:trPr>
        <w:jc w:val="center"/>
      </w:trPr>
      <w:tc>
        <w:tcPr>
          <w:tcW w:w="1013" w:type="pct"/>
          <w:vAlign w:val="center"/>
        </w:tcPr>
        <w:p w14:paraId="15400F23" w14:textId="77777777" w:rsidR="007B0AA0" w:rsidRPr="00660DEA" w:rsidRDefault="00660DEA" w:rsidP="0052206F">
          <w:pPr>
            <w:tabs>
              <w:tab w:val="clear" w:pos="794"/>
            </w:tabs>
            <w:overflowPunct w:val="0"/>
            <w:autoSpaceDE w:val="0"/>
            <w:autoSpaceDN w:val="0"/>
            <w:bidi w:val="0"/>
            <w:adjustRightInd w:val="0"/>
            <w:spacing w:before="0" w:after="0" w:line="240" w:lineRule="auto"/>
            <w:jc w:val="right"/>
            <w:textAlignment w:val="baseline"/>
            <w:rPr>
              <w:rFonts w:ascii="Calibri" w:hAnsi="Calibri" w:cs="Arial"/>
              <w:noProof/>
              <w:color w:val="7F7F7F"/>
              <w:sz w:val="18"/>
            </w:rPr>
          </w:pPr>
          <w:hyperlink r:id="rId1" w:history="1">
            <w:r w:rsidRPr="00660DEA">
              <w:rPr>
                <w:rStyle w:val="Hyperlink"/>
              </w:rPr>
              <w:t>council.itu.int/2025</w:t>
            </w:r>
          </w:hyperlink>
        </w:p>
      </w:tc>
      <w:tc>
        <w:tcPr>
          <w:tcW w:w="3768" w:type="pct"/>
        </w:tcPr>
        <w:p w14:paraId="55916B2F" w14:textId="39C3392A" w:rsidR="007B0AA0" w:rsidRPr="007B0AA0" w:rsidRDefault="007B0AA0" w:rsidP="0052206F">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w:t>
          </w:r>
          <w:r w:rsidR="006F363C">
            <w:rPr>
              <w:rFonts w:ascii="Calibri" w:hAnsi="Calibri" w:cs="Arial"/>
              <w:bCs/>
              <w:color w:val="7F7F7F"/>
              <w:sz w:val="18"/>
            </w:rPr>
            <w:t>5</w:t>
          </w:r>
          <w:r w:rsidRPr="007B0AA0">
            <w:rPr>
              <w:rFonts w:ascii="Calibri" w:hAnsi="Calibri" w:cs="Arial"/>
              <w:bCs/>
              <w:color w:val="7F7F7F"/>
              <w:sz w:val="18"/>
            </w:rPr>
            <w:t>/</w:t>
          </w:r>
          <w:r w:rsidR="004A58C0">
            <w:rPr>
              <w:rFonts w:ascii="Calibri" w:hAnsi="Calibri" w:cs="Arial"/>
              <w:bCs/>
              <w:color w:val="7F7F7F"/>
              <w:sz w:val="18"/>
            </w:rPr>
            <w:t>67</w:t>
          </w:r>
          <w:r w:rsidRPr="007B0AA0">
            <w:rPr>
              <w:rFonts w:ascii="Calibri" w:hAnsi="Calibri" w:cs="Arial"/>
              <w:bCs/>
              <w:color w:val="7F7F7F"/>
              <w:sz w:val="18"/>
            </w:rPr>
            <w:t>-</w:t>
          </w:r>
          <w:r>
            <w:rPr>
              <w:rFonts w:ascii="Calibri" w:hAnsi="Calibri" w:cs="Arial"/>
              <w:bCs/>
              <w:color w:val="7F7F7F"/>
              <w:sz w:val="18"/>
            </w:rPr>
            <w:t>A</w:t>
          </w:r>
        </w:p>
      </w:tc>
      <w:tc>
        <w:tcPr>
          <w:tcW w:w="220" w:type="pct"/>
        </w:tcPr>
        <w:p w14:paraId="46C9D020" w14:textId="77777777" w:rsidR="007B0AA0" w:rsidRPr="007B0AA0" w:rsidRDefault="00F50E3F" w:rsidP="0052206F">
          <w:pPr>
            <w:tabs>
              <w:tab w:val="clear" w:pos="794"/>
              <w:tab w:val="left" w:pos="862"/>
              <w:tab w:val="right" w:pos="8505"/>
              <w:tab w:val="right" w:pos="9639"/>
            </w:tabs>
            <w:overflowPunct w:val="0"/>
            <w:autoSpaceDE w:val="0"/>
            <w:autoSpaceDN w:val="0"/>
            <w:adjustRightInd w:val="0"/>
            <w:spacing w:before="0" w:after="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544E8DC7" w14:textId="77777777" w:rsidR="0006468A" w:rsidRPr="007B0AA0" w:rsidRDefault="0006468A" w:rsidP="00BA04B2">
    <w:pPr>
      <w:pStyle w:val="Footer"/>
      <w:tabs>
        <w:tab w:val="clear" w:pos="4153"/>
        <w:tab w:val="clear" w:pos="8306"/>
        <w:tab w:val="center" w:pos="5103"/>
        <w:tab w:val="right" w:pos="9639"/>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BE2BFE" w14:textId="77777777" w:rsidR="00430C1C" w:rsidRDefault="00430C1C" w:rsidP="006C3242">
      <w:pPr>
        <w:spacing w:before="0" w:line="240" w:lineRule="auto"/>
      </w:pPr>
      <w:r>
        <w:separator/>
      </w:r>
    </w:p>
  </w:footnote>
  <w:footnote w:type="continuationSeparator" w:id="0">
    <w:p w14:paraId="35ED889D" w14:textId="77777777" w:rsidR="00430C1C" w:rsidRDefault="00430C1C"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529CF" w14:textId="77777777" w:rsidR="007B0AA0" w:rsidRDefault="007648A6" w:rsidP="00935AAC">
    <w:pPr>
      <w:pStyle w:val="Header"/>
      <w:spacing w:before="120" w:after="600"/>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3E2EC663" wp14:editId="237DA347">
              <wp:simplePos x="0" y="0"/>
              <wp:positionH relativeFrom="page">
                <wp:posOffset>7453630</wp:posOffset>
              </wp:positionH>
              <wp:positionV relativeFrom="topMargin">
                <wp:posOffset>641294</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CA4C0" id="Rectangle 5" o:spid="_x0000_s1026" style="position:absolute;margin-left:586.9pt;margin-top:50.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" fillcolor="#009cd5" stroked="f">
              <w10:wrap anchorx="page" anchory="margin"/>
            </v:rect>
          </w:pict>
        </mc:Fallback>
      </mc:AlternateContent>
    </w:r>
    <w:r w:rsidR="00420F8A">
      <w:rPr>
        <w:rFonts w:ascii="Avenir Nxt2 W1G Medium" w:eastAsia="Avenir Nxt2 W1G Medium" w:hAnsi="Avenir Nxt2 W1G Medium" w:cs="Avenir Nxt2 W1G Medium"/>
        <w:noProof/>
      </w:rPr>
      <w:drawing>
        <wp:inline distT="0" distB="0" distL="0" distR="0" wp14:anchorId="25ED9012" wp14:editId="25BCBBA3">
          <wp:extent cx="2999433" cy="612775"/>
          <wp:effectExtent l="0" t="0" r="0" b="0"/>
          <wp:docPr id="1631567398"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567398" name="Picture 1" descr="A black background with blue text&#10;&#10;AI-generated content may be incorrect."/>
                  <pic:cNvPicPr/>
                </pic:nvPicPr>
                <pic:blipFill rotWithShape="1">
                  <a:blip r:embed="rId1">
                    <a:extLst>
                      <a:ext uri="{28A0092B-C50C-407E-A947-70E740481C1C}">
                        <a14:useLocalDpi xmlns:a14="http://schemas.microsoft.com/office/drawing/2010/main" val="0"/>
                      </a:ext>
                    </a:extLst>
                  </a:blip>
                  <a:srcRect r="18302"/>
                  <a:stretch/>
                </pic:blipFill>
                <pic:spPr bwMode="auto">
                  <a:xfrm>
                    <a:off x="0" y="0"/>
                    <a:ext cx="2999932" cy="612877"/>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26675448">
    <w:abstractNumId w:val="9"/>
  </w:num>
  <w:num w:numId="2" w16cid:durableId="1516262373">
    <w:abstractNumId w:val="7"/>
  </w:num>
  <w:num w:numId="3" w16cid:durableId="433719346">
    <w:abstractNumId w:val="6"/>
  </w:num>
  <w:num w:numId="4" w16cid:durableId="1038167315">
    <w:abstractNumId w:val="5"/>
  </w:num>
  <w:num w:numId="5" w16cid:durableId="322658416">
    <w:abstractNumId w:val="4"/>
  </w:num>
  <w:num w:numId="6" w16cid:durableId="1796294113">
    <w:abstractNumId w:val="8"/>
  </w:num>
  <w:num w:numId="7" w16cid:durableId="829710152">
    <w:abstractNumId w:val="3"/>
  </w:num>
  <w:num w:numId="8" w16cid:durableId="1375426432">
    <w:abstractNumId w:val="2"/>
  </w:num>
  <w:num w:numId="9" w16cid:durableId="1354262348">
    <w:abstractNumId w:val="1"/>
  </w:num>
  <w:num w:numId="10" w16cid:durableId="1529833953">
    <w:abstractNumId w:val="0"/>
  </w:num>
  <w:num w:numId="11" w16cid:durableId="9401143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05F"/>
    <w:rsid w:val="00053CB4"/>
    <w:rsid w:val="0006468A"/>
    <w:rsid w:val="00090574"/>
    <w:rsid w:val="000C1C0E"/>
    <w:rsid w:val="000C548A"/>
    <w:rsid w:val="000F5E32"/>
    <w:rsid w:val="00126C43"/>
    <w:rsid w:val="00181B39"/>
    <w:rsid w:val="00191059"/>
    <w:rsid w:val="001B1E75"/>
    <w:rsid w:val="001B5148"/>
    <w:rsid w:val="001B6E2B"/>
    <w:rsid w:val="001C0169"/>
    <w:rsid w:val="001C0C21"/>
    <w:rsid w:val="001D1D50"/>
    <w:rsid w:val="001D64C7"/>
    <w:rsid w:val="001D6745"/>
    <w:rsid w:val="001E446E"/>
    <w:rsid w:val="002154EE"/>
    <w:rsid w:val="00220538"/>
    <w:rsid w:val="002276D2"/>
    <w:rsid w:val="00230C0F"/>
    <w:rsid w:val="0023283D"/>
    <w:rsid w:val="00240B32"/>
    <w:rsid w:val="00254393"/>
    <w:rsid w:val="0026373E"/>
    <w:rsid w:val="00270A98"/>
    <w:rsid w:val="00271C43"/>
    <w:rsid w:val="00290728"/>
    <w:rsid w:val="002978F4"/>
    <w:rsid w:val="002B028D"/>
    <w:rsid w:val="002C3F32"/>
    <w:rsid w:val="002E6541"/>
    <w:rsid w:val="00334924"/>
    <w:rsid w:val="003409BC"/>
    <w:rsid w:val="00357185"/>
    <w:rsid w:val="00383829"/>
    <w:rsid w:val="003F4B29"/>
    <w:rsid w:val="00420F8A"/>
    <w:rsid w:val="0042686F"/>
    <w:rsid w:val="00430C1C"/>
    <w:rsid w:val="004317D8"/>
    <w:rsid w:val="00432064"/>
    <w:rsid w:val="0043260A"/>
    <w:rsid w:val="00434183"/>
    <w:rsid w:val="00443869"/>
    <w:rsid w:val="00447F32"/>
    <w:rsid w:val="00450D44"/>
    <w:rsid w:val="00455250"/>
    <w:rsid w:val="0046005F"/>
    <w:rsid w:val="00491BA9"/>
    <w:rsid w:val="00494119"/>
    <w:rsid w:val="004A4701"/>
    <w:rsid w:val="004A58C0"/>
    <w:rsid w:val="004B7334"/>
    <w:rsid w:val="004E11DC"/>
    <w:rsid w:val="004F0940"/>
    <w:rsid w:val="005130DE"/>
    <w:rsid w:val="00513157"/>
    <w:rsid w:val="0052206F"/>
    <w:rsid w:val="00525DDD"/>
    <w:rsid w:val="00536465"/>
    <w:rsid w:val="005409AC"/>
    <w:rsid w:val="005434E0"/>
    <w:rsid w:val="005546CF"/>
    <w:rsid w:val="0055516A"/>
    <w:rsid w:val="0058491B"/>
    <w:rsid w:val="00592EA5"/>
    <w:rsid w:val="00593339"/>
    <w:rsid w:val="005972C4"/>
    <w:rsid w:val="005A3170"/>
    <w:rsid w:val="005D4E4A"/>
    <w:rsid w:val="005E7E69"/>
    <w:rsid w:val="00632CAF"/>
    <w:rsid w:val="00657019"/>
    <w:rsid w:val="00660DEA"/>
    <w:rsid w:val="00677396"/>
    <w:rsid w:val="0069200F"/>
    <w:rsid w:val="006A65CB"/>
    <w:rsid w:val="006B12E5"/>
    <w:rsid w:val="006C3242"/>
    <w:rsid w:val="006C7CC0"/>
    <w:rsid w:val="006F061A"/>
    <w:rsid w:val="006F363C"/>
    <w:rsid w:val="006F63F7"/>
    <w:rsid w:val="007025C7"/>
    <w:rsid w:val="00706D7A"/>
    <w:rsid w:val="00722F0D"/>
    <w:rsid w:val="00735081"/>
    <w:rsid w:val="0074420E"/>
    <w:rsid w:val="007648A6"/>
    <w:rsid w:val="0077110E"/>
    <w:rsid w:val="00783E26"/>
    <w:rsid w:val="0078700A"/>
    <w:rsid w:val="007A6684"/>
    <w:rsid w:val="007B0AA0"/>
    <w:rsid w:val="007C3BC7"/>
    <w:rsid w:val="007C3BCD"/>
    <w:rsid w:val="007D4ACF"/>
    <w:rsid w:val="007F0787"/>
    <w:rsid w:val="00810B7B"/>
    <w:rsid w:val="0081129B"/>
    <w:rsid w:val="0082358A"/>
    <w:rsid w:val="008235CD"/>
    <w:rsid w:val="008247DE"/>
    <w:rsid w:val="008339C0"/>
    <w:rsid w:val="00840B10"/>
    <w:rsid w:val="008513CB"/>
    <w:rsid w:val="00866DF2"/>
    <w:rsid w:val="00874E9F"/>
    <w:rsid w:val="008A0494"/>
    <w:rsid w:val="008A7F84"/>
    <w:rsid w:val="008B351F"/>
    <w:rsid w:val="009030E4"/>
    <w:rsid w:val="00911451"/>
    <w:rsid w:val="0091702E"/>
    <w:rsid w:val="00923B0C"/>
    <w:rsid w:val="00924F46"/>
    <w:rsid w:val="00935AAC"/>
    <w:rsid w:val="0094021C"/>
    <w:rsid w:val="00952F86"/>
    <w:rsid w:val="00982B28"/>
    <w:rsid w:val="009D313F"/>
    <w:rsid w:val="00A47A5A"/>
    <w:rsid w:val="00A63AE6"/>
    <w:rsid w:val="00A6683B"/>
    <w:rsid w:val="00A67F05"/>
    <w:rsid w:val="00A97F94"/>
    <w:rsid w:val="00AA7EA2"/>
    <w:rsid w:val="00AB5A56"/>
    <w:rsid w:val="00B03099"/>
    <w:rsid w:val="00B05BC8"/>
    <w:rsid w:val="00B30F5E"/>
    <w:rsid w:val="00B47602"/>
    <w:rsid w:val="00B64B47"/>
    <w:rsid w:val="00B826F8"/>
    <w:rsid w:val="00B95654"/>
    <w:rsid w:val="00B97F32"/>
    <w:rsid w:val="00BA04B2"/>
    <w:rsid w:val="00C002DE"/>
    <w:rsid w:val="00C0602B"/>
    <w:rsid w:val="00C1032D"/>
    <w:rsid w:val="00C224DA"/>
    <w:rsid w:val="00C53BF8"/>
    <w:rsid w:val="00C66157"/>
    <w:rsid w:val="00C674FE"/>
    <w:rsid w:val="00C67501"/>
    <w:rsid w:val="00C75633"/>
    <w:rsid w:val="00CE2EE1"/>
    <w:rsid w:val="00CE3349"/>
    <w:rsid w:val="00CE36E5"/>
    <w:rsid w:val="00CE4360"/>
    <w:rsid w:val="00CE45F7"/>
    <w:rsid w:val="00CF27F5"/>
    <w:rsid w:val="00CF3FFD"/>
    <w:rsid w:val="00D10CCF"/>
    <w:rsid w:val="00D13941"/>
    <w:rsid w:val="00D23F5F"/>
    <w:rsid w:val="00D43F7D"/>
    <w:rsid w:val="00D63735"/>
    <w:rsid w:val="00D77D0F"/>
    <w:rsid w:val="00D81C3C"/>
    <w:rsid w:val="00DA1CF0"/>
    <w:rsid w:val="00DA5D68"/>
    <w:rsid w:val="00DC06CC"/>
    <w:rsid w:val="00DC1E02"/>
    <w:rsid w:val="00DC24B4"/>
    <w:rsid w:val="00DC5FB0"/>
    <w:rsid w:val="00DF16DC"/>
    <w:rsid w:val="00E45211"/>
    <w:rsid w:val="00E473C5"/>
    <w:rsid w:val="00E61BE8"/>
    <w:rsid w:val="00E83FF1"/>
    <w:rsid w:val="00E92863"/>
    <w:rsid w:val="00E979B2"/>
    <w:rsid w:val="00EB796D"/>
    <w:rsid w:val="00F058DC"/>
    <w:rsid w:val="00F23AD9"/>
    <w:rsid w:val="00F24FC4"/>
    <w:rsid w:val="00F2676C"/>
    <w:rsid w:val="00F363FE"/>
    <w:rsid w:val="00F41E64"/>
    <w:rsid w:val="00F50E3F"/>
    <w:rsid w:val="00F84366"/>
    <w:rsid w:val="00F85089"/>
    <w:rsid w:val="00F935D5"/>
    <w:rsid w:val="00F974C5"/>
    <w:rsid w:val="00FA3763"/>
    <w:rsid w:val="00FA6F46"/>
    <w:rsid w:val="00FC0E94"/>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D6FD0"/>
  <w15:chartTrackingRefBased/>
  <w15:docId w15:val="{C2112890-3FE8-4EEF-94DF-01CB27F6E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81"/>
    <w:pPr>
      <w:tabs>
        <w:tab w:val="left" w:pos="794"/>
      </w:tabs>
      <w:bidi/>
      <w:spacing w:before="120" w:after="12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_i"/>
    <w:basedOn w:val="Normal"/>
    <w:qFormat/>
    <w:rsid w:val="00F974C5"/>
    <w:pPr>
      <w:keepNext/>
      <w:keepLines/>
      <w:spacing w:before="160"/>
    </w:pPr>
    <w:rPr>
      <w:i/>
      <w:iCs/>
    </w:rPr>
  </w:style>
  <w:style w:type="paragraph" w:customStyle="1" w:styleId="AgendaItem">
    <w:name w:val="Agenda Item"/>
    <w:basedOn w:val="Normal"/>
    <w:qFormat/>
    <w:rsid w:val="00F974C5"/>
    <w:pPr>
      <w:spacing w:before="360"/>
      <w:jc w:val="center"/>
    </w:pPr>
    <w:rPr>
      <w:sz w:val="26"/>
      <w:szCs w:val="26"/>
      <w:lang w:bidi="ar-SY"/>
    </w:rPr>
  </w:style>
  <w:style w:type="paragraph" w:customStyle="1" w:styleId="AnnexNo">
    <w:name w:val="Annex_No"/>
    <w:basedOn w:val="AgendaItem"/>
    <w:qFormat/>
    <w:rsid w:val="00F974C5"/>
  </w:style>
  <w:style w:type="paragraph" w:customStyle="1" w:styleId="Annextitle">
    <w:name w:val="Annex_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_No"/>
    <w:basedOn w:val="Normal"/>
    <w:qFormat/>
    <w:rsid w:val="00F974C5"/>
    <w:pPr>
      <w:keepNext/>
      <w:keepLines/>
      <w:spacing w:before="360"/>
      <w:jc w:val="center"/>
    </w:pPr>
    <w:rPr>
      <w:sz w:val="26"/>
      <w:szCs w:val="26"/>
      <w:lang w:bidi="ar-SY"/>
    </w:rPr>
  </w:style>
  <w:style w:type="paragraph" w:customStyle="1" w:styleId="Appendixtitle">
    <w:name w:val="Appendix_title"/>
    <w:basedOn w:val="Normal"/>
    <w:qFormat/>
    <w:rsid w:val="00F974C5"/>
    <w:pPr>
      <w:keepNext/>
      <w:keepLines/>
      <w:spacing w:after="360"/>
      <w:jc w:val="center"/>
    </w:pPr>
    <w:rPr>
      <w:b/>
      <w:bCs/>
      <w:sz w:val="28"/>
      <w:szCs w:val="28"/>
    </w:rPr>
  </w:style>
  <w:style w:type="paragraph" w:customStyle="1" w:styleId="ArticleNo">
    <w:name w:val="Article_No"/>
    <w:basedOn w:val="Normal"/>
    <w:qFormat/>
    <w:rsid w:val="00F974C5"/>
    <w:pPr>
      <w:keepNext/>
      <w:keepLines/>
      <w:spacing w:after="360"/>
      <w:jc w:val="center"/>
    </w:pPr>
    <w:rPr>
      <w:sz w:val="26"/>
      <w:szCs w:val="26"/>
      <w:lang w:bidi="ar-SY"/>
    </w:rPr>
  </w:style>
  <w:style w:type="paragraph" w:customStyle="1" w:styleId="Articletitle">
    <w:name w:val="Article_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_No"/>
    <w:basedOn w:val="Normal"/>
    <w:qFormat/>
    <w:rsid w:val="00F974C5"/>
    <w:pPr>
      <w:keepNext/>
      <w:keepLines/>
      <w:spacing w:before="600"/>
      <w:jc w:val="center"/>
    </w:pPr>
    <w:rPr>
      <w:sz w:val="28"/>
      <w:szCs w:val="28"/>
      <w:lang w:bidi="ar-SY"/>
    </w:rPr>
  </w:style>
  <w:style w:type="paragraph" w:customStyle="1" w:styleId="Chaptertitle">
    <w:name w:val="Chapter_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1"/>
    <w:basedOn w:val="Normal"/>
    <w:qFormat/>
    <w:rsid w:val="00F974C5"/>
    <w:pPr>
      <w:spacing w:before="80"/>
      <w:ind w:left="794" w:hanging="794"/>
      <w:outlineLvl w:val="0"/>
    </w:pPr>
    <w:rPr>
      <w:lang w:bidi="ar-SY"/>
    </w:rPr>
  </w:style>
  <w:style w:type="paragraph" w:customStyle="1" w:styleId="enumlev2">
    <w:name w:val="enumlev2"/>
    <w:basedOn w:val="Normal"/>
    <w:next w:val="enumlev1"/>
    <w:qFormat/>
    <w:rsid w:val="00F974C5"/>
    <w:pPr>
      <w:spacing w:before="80"/>
      <w:ind w:left="1588" w:hanging="794"/>
      <w:outlineLvl w:val="1"/>
    </w:pPr>
  </w:style>
  <w:style w:type="paragraph" w:customStyle="1" w:styleId="enumlev3">
    <w:name w:val="enumlev3"/>
    <w:basedOn w:val="Normal"/>
    <w:qFormat/>
    <w:rsid w:val="008A7F84"/>
    <w:pPr>
      <w:spacing w:before="80"/>
      <w:ind w:left="2382" w:hanging="794"/>
      <w:outlineLvl w:val="2"/>
    </w:pPr>
    <w:rPr>
      <w:lang w:bidi="ar-SY"/>
    </w:rPr>
  </w:style>
  <w:style w:type="paragraph" w:customStyle="1" w:styleId="Figurelegend">
    <w:name w:val="Figure_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aliases w:val="Footnote_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_No"/>
    <w:basedOn w:val="Normal"/>
    <w:qFormat/>
    <w:rsid w:val="00F974C5"/>
    <w:pPr>
      <w:keepNext/>
      <w:keepLines/>
      <w:spacing w:before="360"/>
      <w:jc w:val="center"/>
    </w:pPr>
    <w:rPr>
      <w:sz w:val="26"/>
      <w:szCs w:val="26"/>
    </w:rPr>
  </w:style>
  <w:style w:type="paragraph" w:customStyle="1" w:styleId="Parttitle">
    <w:name w:val="Part_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_1"/>
    <w:basedOn w:val="Normal"/>
    <w:qFormat/>
    <w:rsid w:val="00F974C5"/>
    <w:pPr>
      <w:keepNext/>
      <w:spacing w:before="360" w:after="240"/>
      <w:jc w:val="center"/>
    </w:pPr>
    <w:rPr>
      <w:b/>
      <w:bCs/>
      <w:sz w:val="26"/>
      <w:szCs w:val="26"/>
      <w:lang w:bidi="ar-SY"/>
    </w:rPr>
  </w:style>
  <w:style w:type="paragraph" w:customStyle="1" w:styleId="Section2">
    <w:name w:val="Section_2"/>
    <w:basedOn w:val="Section1"/>
    <w:qFormat/>
    <w:rsid w:val="00F974C5"/>
    <w:pPr>
      <w:spacing w:before="240"/>
    </w:pPr>
    <w:rPr>
      <w:b w:val="0"/>
      <w:bCs w:val="0"/>
    </w:rPr>
  </w:style>
  <w:style w:type="paragraph" w:customStyle="1" w:styleId="SectionNo">
    <w:name w:val="Section_No"/>
    <w:basedOn w:val="Normal"/>
    <w:qFormat/>
    <w:rsid w:val="00F974C5"/>
    <w:pPr>
      <w:keepNext/>
      <w:keepLines/>
      <w:spacing w:before="36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jc w:val="center"/>
    </w:pPr>
    <w:rPr>
      <w:b/>
      <w:bCs/>
      <w:sz w:val="32"/>
      <w:szCs w:val="32"/>
    </w:rPr>
  </w:style>
  <w:style w:type="paragraph" w:customStyle="1" w:styleId="FigureNo">
    <w:name w:val="Figure_No"/>
    <w:basedOn w:val="Normal"/>
    <w:qFormat/>
    <w:rsid w:val="00F974C5"/>
    <w:pPr>
      <w:keepNext/>
      <w:spacing w:before="240"/>
      <w:jc w:val="center"/>
    </w:pPr>
    <w:rPr>
      <w:lang w:bidi="ar-SY"/>
    </w:rPr>
  </w:style>
  <w:style w:type="paragraph" w:customStyle="1" w:styleId="Figuretitle">
    <w:name w:val="Figure_title"/>
    <w:basedOn w:val="Normal"/>
    <w:qFormat/>
    <w:rsid w:val="00F974C5"/>
    <w:pPr>
      <w:keepNext/>
      <w:spacing w:after="240"/>
      <w:jc w:val="center"/>
    </w:pPr>
    <w:rPr>
      <w:b/>
      <w:bCs/>
    </w:rPr>
  </w:style>
  <w:style w:type="paragraph" w:customStyle="1" w:styleId="TableNo">
    <w:name w:val="Table_No"/>
    <w:basedOn w:val="Normal"/>
    <w:qFormat/>
    <w:rsid w:val="00F974C5"/>
    <w:pPr>
      <w:keepNext/>
      <w:spacing w:before="240"/>
      <w:jc w:val="center"/>
    </w:pPr>
    <w:rPr>
      <w:lang w:bidi="ar-SY"/>
    </w:rPr>
  </w:style>
  <w:style w:type="paragraph" w:customStyle="1" w:styleId="Tabletitle">
    <w:name w:val="Table_title"/>
    <w:basedOn w:val="TableNo"/>
    <w:qFormat/>
    <w:rsid w:val="00F974C5"/>
    <w:pPr>
      <w:spacing w:before="120" w:after="240"/>
    </w:pPr>
    <w:rPr>
      <w:b/>
      <w:bCs/>
    </w:rPr>
  </w:style>
  <w:style w:type="paragraph" w:customStyle="1" w:styleId="Tablehead">
    <w:name w:val="Table_head"/>
    <w:basedOn w:val="Normal"/>
    <w:qFormat/>
    <w:rsid w:val="00F974C5"/>
    <w:pPr>
      <w:keepNext/>
      <w:spacing w:before="60" w:after="60" w:line="260" w:lineRule="exact"/>
      <w:jc w:val="center"/>
    </w:pPr>
    <w:rPr>
      <w:b/>
      <w:bCs/>
      <w:sz w:val="20"/>
      <w:szCs w:val="20"/>
    </w:rPr>
  </w:style>
  <w:style w:type="paragraph" w:customStyle="1" w:styleId="Tabletexte">
    <w:name w:val="Table_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_No"/>
    <w:basedOn w:val="Normal"/>
    <w:qFormat/>
    <w:rsid w:val="00F974C5"/>
    <w:pPr>
      <w:keepNext/>
      <w:spacing w:before="360"/>
      <w:jc w:val="center"/>
    </w:pPr>
    <w:rPr>
      <w:sz w:val="26"/>
      <w:szCs w:val="26"/>
      <w:lang w:bidi="ar-SY"/>
    </w:rPr>
  </w:style>
  <w:style w:type="paragraph" w:customStyle="1" w:styleId="Volumetitle">
    <w:name w:val="Volume_title"/>
    <w:basedOn w:val="VolumeNo"/>
    <w:qFormat/>
    <w:rsid w:val="00F974C5"/>
    <w:pPr>
      <w:spacing w:before="120" w:after="360"/>
    </w:pPr>
    <w:rPr>
      <w:b/>
      <w:bCs/>
      <w:sz w:val="28"/>
      <w:szCs w:val="28"/>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_No"/>
    <w:basedOn w:val="Normal"/>
    <w:qFormat/>
    <w:rsid w:val="00F974C5"/>
    <w:pPr>
      <w:keepNext/>
      <w:keepLines/>
      <w:spacing w:before="360"/>
      <w:jc w:val="center"/>
    </w:pPr>
    <w:rPr>
      <w:sz w:val="26"/>
      <w:szCs w:val="26"/>
    </w:rPr>
  </w:style>
  <w:style w:type="paragraph" w:customStyle="1" w:styleId="Opiniontitle">
    <w:name w:val="Opinion_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126C43"/>
    <w:rPr>
      <w:rFonts w:ascii="Calibri" w:eastAsia="Calibri" w:hAnsi="Calibri" w:cs="Arial"/>
      <w:noProof/>
      <w:color w:val="5B9BD5" w:themeColor="accent1"/>
      <w:sz w:val="18"/>
      <w:u w:val="single"/>
      <w:lang w:val="en-GB" w:eastAsia="en-US"/>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_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_legend"/>
    <w:basedOn w:val="Normal"/>
    <w:qFormat/>
    <w:rsid w:val="00F974C5"/>
    <w:pPr>
      <w:spacing w:before="80"/>
    </w:pPr>
    <w:rPr>
      <w:lang w:bidi="ar-SY"/>
    </w:rPr>
  </w:style>
  <w:style w:type="paragraph" w:customStyle="1" w:styleId="Headingb">
    <w:name w:val="Heading_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60DEA"/>
    <w:rPr>
      <w:color w:val="605E5C"/>
      <w:shd w:val="clear" w:color="auto" w:fill="E1DFDD"/>
    </w:rPr>
  </w:style>
  <w:style w:type="character" w:styleId="FollowedHyperlink">
    <w:name w:val="FollowedHyperlink"/>
    <w:basedOn w:val="DefaultParagraphFont"/>
    <w:uiPriority w:val="99"/>
    <w:semiHidden/>
    <w:unhideWhenUsed/>
    <w:rsid w:val="00F41E64"/>
    <w:rPr>
      <w:color w:val="954F72" w:themeColor="followedHyperlink"/>
      <w:u w:val="single"/>
    </w:rPr>
  </w:style>
  <w:style w:type="paragraph" w:styleId="Revision">
    <w:name w:val="Revision"/>
    <w:hidden/>
    <w:uiPriority w:val="99"/>
    <w:semiHidden/>
    <w:rsid w:val="00593339"/>
    <w:pPr>
      <w:spacing w:after="0" w:line="240" w:lineRule="auto"/>
    </w:pPr>
    <w:rPr>
      <w:rFonts w:ascii="Dubai" w:hAnsi="Dubai" w:cs="Duba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DEC-005-A.pdf" TargetMode="External"/><Relationship Id="rId13" Type="http://schemas.openxmlformats.org/officeDocument/2006/relationships/hyperlink" Target="https://www.itu.int/md/S23-CWGFHR16-C-0011/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md/S23-CL-C-0062/en" TargetMode="External"/><Relationship Id="rId17" Type="http://schemas.openxmlformats.org/officeDocument/2006/relationships/hyperlink" Target="https://www.itu.int/md/S24-CL-C-0070/en" TargetMode="External"/><Relationship Id="rId2" Type="http://schemas.openxmlformats.org/officeDocument/2006/relationships/numbering" Target="numbering.xml"/><Relationship Id="rId16" Type="http://schemas.openxmlformats.org/officeDocument/2006/relationships/hyperlink" Target="https://www.itu.int/md/S24-CL-C-0070/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dms_pub/itu-d/opb/tdc/D-TDC-WTDC-2022-PDF-A.pdf" TargetMode="External"/><Relationship Id="rId5" Type="http://schemas.openxmlformats.org/officeDocument/2006/relationships/webSettings" Target="webSettings.xml"/><Relationship Id="rId15" Type="http://schemas.openxmlformats.org/officeDocument/2006/relationships/hyperlink" Target="https://www.itu.int/md/S24-CWGFHR17-INF-0009/en" TargetMode="External"/><Relationship Id="rId10" Type="http://schemas.openxmlformats.org/officeDocument/2006/relationships/hyperlink" Target="https://www.itu.int/md/S23-CL-INF-0012/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S17-CL-C-0067/en" TargetMode="External"/><Relationship Id="rId14" Type="http://schemas.openxmlformats.org/officeDocument/2006/relationships/hyperlink" Target="https://www.itu.int/md/S24-CWGFHR17-C-0003/en"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ITU\03%20Third%20Contract%20Work%20(05-05-2025%20---%2027-06-2025\05%20May\26\2501239A\Typing\PA_Council%2020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PA_Council 2025.dotx</Template>
  <TotalTime>1</TotalTime>
  <Pages>2</Pages>
  <Words>675</Words>
  <Characters>4001</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Implementation of ITU's resource mobilization strategy</vt:lpstr>
    </vt:vector>
  </TitlesOfParts>
  <Company>International Telecommunication Union</Company>
  <LinksUpToDate>false</LinksUpToDate>
  <CharactersWithSpaces>4644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of ITU's resource mobilization strategy</dc:title>
  <dc:subject>ITU Council 2025</dc:subject>
  <cp:keywords>C2025, C25, Council-25</cp:keywords>
  <dc:description/>
  <dcterms:created xsi:type="dcterms:W3CDTF">2025-06-04T13:18:00Z</dcterms:created>
  <dcterms:modified xsi:type="dcterms:W3CDTF">2025-06-04T13:18:00Z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4764bc0ed8aab6cc3f228418da0bf4d692034987165b3c327d8e9737cd820415</vt:lpwstr>
  </property>
</Properties>
</file>