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74B4F63B" w14:textId="77777777" w:rsidTr="71342DC1">
        <w:trPr>
          <w:cantSplit/>
          <w:trHeight w:val="23"/>
        </w:trPr>
        <w:tc>
          <w:tcPr>
            <w:tcW w:w="3969" w:type="dxa"/>
            <w:vMerge w:val="restart"/>
            <w:tcMar>
              <w:left w:w="0" w:type="dxa"/>
            </w:tcMar>
          </w:tcPr>
          <w:p w14:paraId="670ABEB3" w14:textId="3E31B72B"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400B10">
              <w:rPr>
                <w:b/>
              </w:rPr>
              <w:t>ADM 3</w:t>
            </w:r>
          </w:p>
        </w:tc>
        <w:tc>
          <w:tcPr>
            <w:tcW w:w="5245" w:type="dxa"/>
          </w:tcPr>
          <w:p w14:paraId="2242B8B7" w14:textId="6CCA055D"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400B10">
              <w:rPr>
                <w:b/>
              </w:rPr>
              <w:t>66</w:t>
            </w:r>
            <w:r w:rsidRPr="00C0458D">
              <w:rPr>
                <w:b/>
              </w:rPr>
              <w:t>-E</w:t>
            </w:r>
          </w:p>
        </w:tc>
      </w:tr>
      <w:tr w:rsidR="00AD3606" w:rsidRPr="00C0458D" w14:paraId="0E842698" w14:textId="77777777" w:rsidTr="71342DC1">
        <w:trPr>
          <w:cantSplit/>
        </w:trPr>
        <w:tc>
          <w:tcPr>
            <w:tcW w:w="3969" w:type="dxa"/>
            <w:vMerge/>
          </w:tcPr>
          <w:p w14:paraId="5D5726A6"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737299D3" w14:textId="5B7AE986" w:rsidR="00AD3606" w:rsidRPr="00C0458D" w:rsidRDefault="00D2670C" w:rsidP="00AD3606">
            <w:pPr>
              <w:tabs>
                <w:tab w:val="left" w:pos="851"/>
              </w:tabs>
              <w:spacing w:before="0"/>
              <w:jc w:val="right"/>
              <w:rPr>
                <w:b/>
              </w:rPr>
            </w:pPr>
            <w:r>
              <w:rPr>
                <w:b/>
              </w:rPr>
              <w:t>1</w:t>
            </w:r>
            <w:r w:rsidR="008259C8">
              <w:rPr>
                <w:b/>
              </w:rPr>
              <w:t>9</w:t>
            </w:r>
            <w:r>
              <w:rPr>
                <w:b/>
              </w:rPr>
              <w:t xml:space="preserve"> May 2025</w:t>
            </w:r>
          </w:p>
        </w:tc>
      </w:tr>
      <w:tr w:rsidR="00AD3606" w:rsidRPr="00C0458D" w14:paraId="7D8FB6EA" w14:textId="77777777" w:rsidTr="71342DC1">
        <w:trPr>
          <w:cantSplit/>
          <w:trHeight w:val="23"/>
        </w:trPr>
        <w:tc>
          <w:tcPr>
            <w:tcW w:w="3969" w:type="dxa"/>
            <w:vMerge/>
          </w:tcPr>
          <w:p w14:paraId="7EC96144"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EA57BEC"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73B71340" w14:textId="77777777" w:rsidTr="71342DC1">
        <w:trPr>
          <w:cantSplit/>
          <w:trHeight w:val="23"/>
        </w:trPr>
        <w:tc>
          <w:tcPr>
            <w:tcW w:w="3969" w:type="dxa"/>
          </w:tcPr>
          <w:p w14:paraId="0D693954" w14:textId="77777777" w:rsidR="00472BAD" w:rsidRPr="00C0458D" w:rsidRDefault="00472BAD" w:rsidP="00D2670C">
            <w:pPr>
              <w:tabs>
                <w:tab w:val="left" w:pos="851"/>
              </w:tabs>
              <w:spacing w:before="0" w:line="240" w:lineRule="atLeast"/>
              <w:rPr>
                <w:b/>
              </w:rPr>
            </w:pPr>
          </w:p>
        </w:tc>
        <w:tc>
          <w:tcPr>
            <w:tcW w:w="5245" w:type="dxa"/>
          </w:tcPr>
          <w:p w14:paraId="18C90AFC" w14:textId="77777777" w:rsidR="00472BAD" w:rsidRPr="00C0458D" w:rsidRDefault="00472BAD" w:rsidP="00D2670C">
            <w:pPr>
              <w:tabs>
                <w:tab w:val="left" w:pos="851"/>
              </w:tabs>
              <w:spacing w:before="0" w:line="240" w:lineRule="atLeast"/>
              <w:jc w:val="right"/>
              <w:rPr>
                <w:b/>
              </w:rPr>
            </w:pPr>
          </w:p>
        </w:tc>
      </w:tr>
      <w:tr w:rsidR="00AD3606" w:rsidRPr="00C0458D" w14:paraId="7C5CC713" w14:textId="77777777" w:rsidTr="71342DC1">
        <w:trPr>
          <w:cantSplit/>
        </w:trPr>
        <w:tc>
          <w:tcPr>
            <w:tcW w:w="9214" w:type="dxa"/>
            <w:gridSpan w:val="2"/>
            <w:tcMar>
              <w:left w:w="0" w:type="dxa"/>
            </w:tcMar>
          </w:tcPr>
          <w:p w14:paraId="516A76CF" w14:textId="77777777" w:rsidR="00AD3606" w:rsidRPr="00C0458D" w:rsidRDefault="00AD3606" w:rsidP="00AD3606">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6786C912" w14:textId="77777777" w:rsidTr="71342DC1">
        <w:trPr>
          <w:cantSplit/>
        </w:trPr>
        <w:tc>
          <w:tcPr>
            <w:tcW w:w="9214" w:type="dxa"/>
            <w:gridSpan w:val="2"/>
            <w:tcMar>
              <w:left w:w="0" w:type="dxa"/>
            </w:tcMar>
          </w:tcPr>
          <w:p w14:paraId="0E4E28FA" w14:textId="0C1E5201" w:rsidR="00AD3606" w:rsidRPr="00176F47" w:rsidRDefault="00400B10" w:rsidP="00176F47">
            <w:pPr>
              <w:pStyle w:val="Subtitle"/>
              <w:framePr w:hSpace="0" w:wrap="auto" w:hAnchor="text" w:xAlign="left" w:yAlign="inline"/>
            </w:pPr>
            <w:bookmarkStart w:id="9" w:name="_Hlk160613238"/>
            <w:bookmarkStart w:id="10" w:name="dtitle1" w:colFirst="0" w:colLast="0"/>
            <w:bookmarkEnd w:id="8"/>
            <w:r w:rsidRPr="00B844FA">
              <w:t xml:space="preserve">PROGRESS REPORT ON THE IMPLEMENTATION OF THE HUMAN RESOURCES </w:t>
            </w:r>
            <w:r>
              <w:t>TRANSFORMATION</w:t>
            </w:r>
            <w:r w:rsidRPr="00B844FA">
              <w:t xml:space="preserve"> PLAN</w:t>
            </w:r>
            <w:bookmarkEnd w:id="9"/>
            <w:r>
              <w:rPr>
                <w:rFonts w:hint="eastAsia"/>
                <w:lang w:eastAsia="zh-CN"/>
              </w:rPr>
              <w:t xml:space="preserve"> AND </w:t>
            </w:r>
            <w:r w:rsidR="00D2670C">
              <w:rPr>
                <w:lang w:eastAsia="zh-CN"/>
              </w:rPr>
              <w:br/>
            </w:r>
            <w:r>
              <w:rPr>
                <w:rFonts w:hint="eastAsia"/>
                <w:lang w:eastAsia="zh-CN"/>
              </w:rPr>
              <w:t>OF RESOLUTION 48</w:t>
            </w:r>
            <w:r w:rsidRPr="00D36516">
              <w:rPr>
                <w:lang w:eastAsia="zh-CN"/>
              </w:rPr>
              <w:t xml:space="preserve"> (REV. BUCHAREST, 2022)</w:t>
            </w:r>
          </w:p>
        </w:tc>
      </w:tr>
      <w:tr w:rsidR="00AD3606" w:rsidRPr="00C0458D" w14:paraId="5A3D4FC3" w14:textId="77777777" w:rsidTr="71342DC1">
        <w:trPr>
          <w:cantSplit/>
        </w:trPr>
        <w:tc>
          <w:tcPr>
            <w:tcW w:w="9214" w:type="dxa"/>
            <w:gridSpan w:val="2"/>
            <w:tcBorders>
              <w:top w:val="single" w:sz="4" w:space="0" w:color="auto"/>
              <w:bottom w:val="single" w:sz="4" w:space="0" w:color="auto"/>
            </w:tcBorders>
            <w:tcMar>
              <w:left w:w="0" w:type="dxa"/>
            </w:tcMar>
          </w:tcPr>
          <w:p w14:paraId="38DCB7F8" w14:textId="77777777" w:rsidR="00AD3606" w:rsidRPr="00C0458D" w:rsidRDefault="00F16BAB" w:rsidP="00F16BAB">
            <w:pPr>
              <w:spacing w:before="160"/>
              <w:rPr>
                <w:b/>
                <w:bCs/>
                <w:sz w:val="26"/>
                <w:szCs w:val="26"/>
              </w:rPr>
            </w:pPr>
            <w:r w:rsidRPr="00C0458D">
              <w:rPr>
                <w:b/>
                <w:bCs/>
                <w:sz w:val="26"/>
                <w:szCs w:val="26"/>
              </w:rPr>
              <w:t>Purpose</w:t>
            </w:r>
          </w:p>
          <w:p w14:paraId="65441240" w14:textId="77777777" w:rsidR="00D2670C" w:rsidRPr="00D2670C" w:rsidRDefault="00D2670C" w:rsidP="00D2670C">
            <w:pPr>
              <w:spacing w:before="100"/>
              <w:jc w:val="both"/>
              <w:rPr>
                <w:lang w:eastAsia="zh-CN"/>
              </w:rPr>
            </w:pPr>
            <w:r>
              <w:rPr>
                <w:lang w:eastAsia="zh-CN"/>
              </w:rPr>
              <w:t xml:space="preserve">The </w:t>
            </w:r>
            <w:r w:rsidRPr="00D2670C">
              <w:rPr>
                <w:lang w:eastAsia="zh-CN"/>
              </w:rPr>
              <w:t>Human Resources Transformation Plan (</w:t>
            </w:r>
            <w:proofErr w:type="spellStart"/>
            <w:r w:rsidRPr="00D2670C">
              <w:rPr>
                <w:lang w:eastAsia="zh-CN"/>
              </w:rPr>
              <w:t>HRTP</w:t>
            </w:r>
            <w:proofErr w:type="spellEnd"/>
            <w:r w:rsidRPr="00D2670C">
              <w:rPr>
                <w:lang w:eastAsia="zh-CN"/>
              </w:rPr>
              <w:t xml:space="preserve">) aims to drive organizational excellence by advancing </w:t>
            </w:r>
            <w:r w:rsidRPr="00D2670C">
              <w:rPr>
                <w:rFonts w:asciiTheme="minorHAnsi" w:eastAsia="Calibri" w:hAnsiTheme="minorHAnsi" w:cstheme="minorHAnsi"/>
                <w:szCs w:val="24"/>
                <w:lang w:eastAsia="en-GB"/>
              </w:rPr>
              <w:t>three distinct</w:t>
            </w:r>
            <w:r w:rsidRPr="00D2670C">
              <w:rPr>
                <w:rFonts w:asciiTheme="minorHAnsi" w:hAnsiTheme="minorHAnsi" w:cstheme="minorHAnsi" w:hint="eastAsia"/>
                <w:szCs w:val="24"/>
                <w:lang w:eastAsia="zh-CN"/>
              </w:rPr>
              <w:t xml:space="preserve"> </w:t>
            </w:r>
            <w:r w:rsidRPr="00D2670C">
              <w:rPr>
                <w:rFonts w:asciiTheme="minorHAnsi" w:eastAsia="Calibri" w:hAnsiTheme="minorHAnsi" w:cstheme="minorHAnsi"/>
                <w:szCs w:val="24"/>
                <w:lang w:eastAsia="en-GB"/>
              </w:rPr>
              <w:t>areas</w:t>
            </w:r>
            <w:r w:rsidRPr="00D2670C">
              <w:rPr>
                <w:rFonts w:hint="eastAsia"/>
                <w:lang w:eastAsia="zh-CN"/>
              </w:rPr>
              <w:t xml:space="preserve">: </w:t>
            </w:r>
            <w:r w:rsidRPr="00D2670C">
              <w:rPr>
                <w:lang w:eastAsia="zh-CN"/>
              </w:rPr>
              <w:t>people, culture, and services. This strategic initiative is designed to build an agile</w:t>
            </w:r>
            <w:r w:rsidRPr="00D2670C">
              <w:rPr>
                <w:rFonts w:hint="eastAsia"/>
                <w:lang w:eastAsia="zh-CN"/>
              </w:rPr>
              <w:t xml:space="preserve">, capable, and empowered </w:t>
            </w:r>
            <w:r w:rsidRPr="00D2670C">
              <w:rPr>
                <w:lang w:eastAsia="zh-CN"/>
              </w:rPr>
              <w:t xml:space="preserve">workforce, foster </w:t>
            </w:r>
            <w:r w:rsidRPr="00D2670C">
              <w:t>a</w:t>
            </w:r>
            <w:r w:rsidRPr="00D2670C">
              <w:rPr>
                <w:rFonts w:hint="eastAsia"/>
                <w:lang w:eastAsia="zh-CN"/>
              </w:rPr>
              <w:t xml:space="preserve"> </w:t>
            </w:r>
            <w:r w:rsidRPr="00D2670C">
              <w:t>cultur</w:t>
            </w:r>
            <w:r w:rsidRPr="00D2670C">
              <w:rPr>
                <w:rFonts w:hint="eastAsia"/>
                <w:lang w:eastAsia="zh-CN"/>
              </w:rPr>
              <w:t>e where people feel safe</w:t>
            </w:r>
            <w:r w:rsidRPr="00D2670C">
              <w:rPr>
                <w:lang w:eastAsia="zh-CN"/>
              </w:rPr>
              <w:t>,</w:t>
            </w:r>
            <w:r w:rsidRPr="00D2670C">
              <w:rPr>
                <w:rFonts w:hint="eastAsia"/>
                <w:lang w:eastAsia="zh-CN"/>
              </w:rPr>
              <w:t xml:space="preserve"> valued, and able to deliver to their best,</w:t>
            </w:r>
            <w:r w:rsidRPr="00D2670C">
              <w:rPr>
                <w:lang w:eastAsia="zh-CN"/>
              </w:rPr>
              <w:t xml:space="preserve"> and enhance HR</w:t>
            </w:r>
            <w:r w:rsidRPr="00D2670C">
              <w:rPr>
                <w:rFonts w:hint="eastAsia"/>
                <w:lang w:eastAsia="zh-CN"/>
              </w:rPr>
              <w:t xml:space="preserve"> service delivery to better support our people</w:t>
            </w:r>
            <w:r w:rsidRPr="00D2670C">
              <w:rPr>
                <w:lang w:eastAsia="zh-CN"/>
              </w:rPr>
              <w:t>.</w:t>
            </w:r>
            <w:r w:rsidRPr="00D2670C">
              <w:rPr>
                <w:rFonts w:hint="eastAsia"/>
                <w:lang w:eastAsia="zh-CN"/>
              </w:rPr>
              <w:t xml:space="preserve"> </w:t>
            </w:r>
            <w:r w:rsidRPr="00D2670C">
              <w:t>Success markers include enabling a supportive work environment, effective talent management, a shared organizational vision, modernized HR policies, clearly defined roles, and enhanced operational</w:t>
            </w:r>
            <w:r w:rsidRPr="00D2670C">
              <w:rPr>
                <w:rFonts w:hint="eastAsia"/>
                <w:lang w:eastAsia="zh-CN"/>
              </w:rPr>
              <w:t xml:space="preserve"> </w:t>
            </w:r>
            <w:r w:rsidRPr="00D2670C">
              <w:rPr>
                <w:lang w:eastAsia="zh-CN"/>
              </w:rPr>
              <w:t>agility.</w:t>
            </w:r>
            <w:r w:rsidRPr="00D2670C">
              <w:rPr>
                <w:rFonts w:hint="eastAsia"/>
                <w:lang w:eastAsia="zh-CN"/>
              </w:rPr>
              <w:t xml:space="preserve"> </w:t>
            </w:r>
          </w:p>
          <w:p w14:paraId="068A6550" w14:textId="14FDAF89" w:rsidR="00AD3606" w:rsidRPr="00C0458D" w:rsidRDefault="00D2670C" w:rsidP="00D2670C">
            <w:pPr>
              <w:spacing w:before="100"/>
              <w:jc w:val="both"/>
              <w:rPr>
                <w:lang w:eastAsia="zh-CN"/>
              </w:rPr>
            </w:pPr>
            <w:r w:rsidRPr="00D2670C">
              <w:t>The</w:t>
            </w:r>
            <w:r w:rsidRPr="00D2670C">
              <w:rPr>
                <w:rFonts w:hint="eastAsia"/>
                <w:lang w:eastAsia="zh-CN"/>
              </w:rPr>
              <w:t xml:space="preserve"> </w:t>
            </w:r>
            <w:proofErr w:type="spellStart"/>
            <w:r w:rsidRPr="00D2670C">
              <w:rPr>
                <w:lang w:eastAsia="zh-CN"/>
              </w:rPr>
              <w:t>HRTP</w:t>
            </w:r>
            <w:proofErr w:type="spellEnd"/>
            <w:r w:rsidRPr="00D2670C">
              <w:rPr>
                <w:lang w:eastAsia="zh-CN"/>
              </w:rPr>
              <w:t xml:space="preserve"> responds</w:t>
            </w:r>
            <w:r w:rsidRPr="00D2670C">
              <w:rPr>
                <w:rFonts w:hint="eastAsia"/>
                <w:lang w:eastAsia="zh-CN"/>
              </w:rPr>
              <w:t xml:space="preserve"> to Resolution 48 </w:t>
            </w:r>
            <w:r w:rsidRPr="00D2670C">
              <w:rPr>
                <w:lang w:eastAsia="zh-CN"/>
              </w:rPr>
              <w:t>(</w:t>
            </w:r>
            <w:r w:rsidRPr="004D1FBE">
              <w:rPr>
                <w:lang w:eastAsia="zh-CN"/>
              </w:rPr>
              <w:t>Rev. Bucharest, 2022)</w:t>
            </w:r>
            <w:r>
              <w:rPr>
                <w:rFonts w:hint="eastAsia"/>
                <w:lang w:eastAsia="zh-CN"/>
              </w:rPr>
              <w:t xml:space="preserve"> and </w:t>
            </w:r>
            <w:r w:rsidRPr="00F548F5">
              <w:rPr>
                <w:lang w:eastAsia="zh-CN"/>
              </w:rPr>
              <w:t>serves as a pivotal driver of the ITU Transformation Roadmap. This progress report highlights the key results achieved in each area in 2024</w:t>
            </w:r>
            <w:r>
              <w:rPr>
                <w:rFonts w:hint="eastAsia"/>
                <w:lang w:eastAsia="zh-CN"/>
              </w:rPr>
              <w:t xml:space="preserve"> and early 2025, </w:t>
            </w:r>
            <w:r w:rsidRPr="004D1FBE">
              <w:rPr>
                <w:lang w:eastAsia="zh-CN"/>
              </w:rPr>
              <w:t>contributing to the implementation of both the Transformation Roadmap</w:t>
            </w:r>
            <w:r>
              <w:rPr>
                <w:rFonts w:hint="eastAsia"/>
                <w:lang w:eastAsia="zh-CN"/>
              </w:rPr>
              <w:t xml:space="preserve"> </w:t>
            </w:r>
            <w:r w:rsidRPr="008A036D">
              <w:rPr>
                <w:lang w:eastAsia="zh-CN"/>
              </w:rPr>
              <w:t>and Resolution 48</w:t>
            </w:r>
            <w:r>
              <w:rPr>
                <w:rFonts w:hint="eastAsia"/>
                <w:lang w:eastAsia="zh-CN"/>
              </w:rPr>
              <w:t xml:space="preserve"> </w:t>
            </w:r>
            <w:r w:rsidRPr="004D1FBE">
              <w:rPr>
                <w:lang w:eastAsia="zh-CN"/>
              </w:rPr>
              <w:t>(Rev. Bucharest, 2022)</w:t>
            </w:r>
            <w:r w:rsidRPr="00F548F5">
              <w:rPr>
                <w:lang w:eastAsia="zh-CN"/>
              </w:rPr>
              <w:t>.</w:t>
            </w:r>
          </w:p>
          <w:p w14:paraId="065D54BB"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458832EB" w14:textId="79DB68AE" w:rsidR="00722551" w:rsidRDefault="00D2670C" w:rsidP="005F6E2D">
            <w:pPr>
              <w:spacing w:before="100"/>
              <w:jc w:val="both"/>
            </w:pPr>
            <w:r w:rsidRPr="00B844FA">
              <w:t xml:space="preserve">The Council is invited to </w:t>
            </w:r>
            <w:r w:rsidRPr="00B844FA">
              <w:rPr>
                <w:b/>
                <w:bCs/>
              </w:rPr>
              <w:t>take note</w:t>
            </w:r>
            <w:r w:rsidRPr="00B844FA">
              <w:t xml:space="preserve"> of the progress report on the implementation of the </w:t>
            </w:r>
            <w:r>
              <w:t>Human Resources Transformation Plan</w:t>
            </w:r>
            <w:r>
              <w:rPr>
                <w:rFonts w:hint="eastAsia"/>
                <w:lang w:eastAsia="zh-CN"/>
              </w:rPr>
              <w:t xml:space="preserve"> and of Resolution 48 (Rev. Bucharest, 2022)</w:t>
            </w:r>
            <w:r w:rsidRPr="00B844FA">
              <w:t>.</w:t>
            </w:r>
          </w:p>
          <w:p w14:paraId="151648ED" w14:textId="77777777" w:rsidR="00722551" w:rsidRDefault="00722551" w:rsidP="00722551">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12F860A0" w14:textId="70B9F394" w:rsidR="00722551" w:rsidRPr="00F16BAB" w:rsidRDefault="00D2670C" w:rsidP="00D2670C">
            <w:pPr>
              <w:spacing w:before="100"/>
            </w:pPr>
            <w:r w:rsidRPr="00B844FA">
              <w:t>Excellence in human resources and organizational innovation.</w:t>
            </w:r>
          </w:p>
          <w:p w14:paraId="5D9F9A43" w14:textId="77777777" w:rsidR="00722551" w:rsidRDefault="00722551" w:rsidP="00722551">
            <w:pPr>
              <w:spacing w:before="160"/>
              <w:rPr>
                <w:b/>
                <w:bCs/>
                <w:sz w:val="26"/>
                <w:szCs w:val="26"/>
              </w:rPr>
            </w:pPr>
            <w:r>
              <w:rPr>
                <w:b/>
                <w:bCs/>
                <w:sz w:val="26"/>
                <w:szCs w:val="26"/>
              </w:rPr>
              <w:t>Financial implications</w:t>
            </w:r>
          </w:p>
          <w:p w14:paraId="4EEDE8C3" w14:textId="411E5EB2" w:rsidR="00453079" w:rsidRPr="00453079" w:rsidRDefault="00D2670C" w:rsidP="00F16BAB">
            <w:pPr>
              <w:spacing w:before="160"/>
              <w:rPr>
                <w:szCs w:val="24"/>
              </w:rPr>
            </w:pPr>
            <w:r w:rsidRPr="00D2670C">
              <w:rPr>
                <w:szCs w:val="24"/>
              </w:rPr>
              <w:t>Within the allocated budget</w:t>
            </w:r>
            <w:r w:rsidR="005F6E2D">
              <w:rPr>
                <w:szCs w:val="24"/>
              </w:rPr>
              <w:t xml:space="preserve"> 2024-2025</w:t>
            </w:r>
            <w:r w:rsidRPr="00D2670C">
              <w:rPr>
                <w:szCs w:val="24"/>
              </w:rPr>
              <w:t>.</w:t>
            </w:r>
          </w:p>
          <w:p w14:paraId="18075450" w14:textId="77777777" w:rsidR="00C0458D" w:rsidRDefault="00C0458D">
            <w:r>
              <w:t>_______________</w:t>
            </w:r>
          </w:p>
          <w:p w14:paraId="6C3A41E0" w14:textId="77777777" w:rsidR="00AD3606" w:rsidRPr="00C0458D" w:rsidRDefault="00AD3606" w:rsidP="00F16BAB">
            <w:pPr>
              <w:spacing w:before="160"/>
              <w:rPr>
                <w:b/>
                <w:bCs/>
                <w:sz w:val="26"/>
                <w:szCs w:val="26"/>
              </w:rPr>
            </w:pPr>
            <w:r w:rsidRPr="00C0458D">
              <w:rPr>
                <w:b/>
                <w:bCs/>
                <w:sz w:val="26"/>
                <w:szCs w:val="26"/>
              </w:rPr>
              <w:t>References</w:t>
            </w:r>
          </w:p>
          <w:p w14:paraId="11FE0CCA" w14:textId="17C0A050" w:rsidR="00AD3606" w:rsidRPr="00D2670C" w:rsidRDefault="00D2670C" w:rsidP="71342DC1">
            <w:pPr>
              <w:spacing w:after="160"/>
              <w:rPr>
                <w:i/>
                <w:iCs/>
                <w:sz w:val="22"/>
                <w:szCs w:val="22"/>
              </w:rPr>
            </w:pPr>
            <w:r w:rsidRPr="71342DC1">
              <w:rPr>
                <w:i/>
                <w:iCs/>
                <w:sz w:val="22"/>
                <w:szCs w:val="22"/>
              </w:rPr>
              <w:t xml:space="preserve">Council Documents </w:t>
            </w:r>
            <w:hyperlink r:id="rId11" w:history="1">
              <w:r w:rsidRPr="71342DC1">
                <w:rPr>
                  <w:rStyle w:val="Hyperlink"/>
                  <w:i/>
                  <w:iCs/>
                  <w:sz w:val="22"/>
                  <w:szCs w:val="22"/>
                </w:rPr>
                <w:t>C23/INF/13</w:t>
              </w:r>
            </w:hyperlink>
            <w:r w:rsidR="622F493C" w:rsidRPr="71342DC1">
              <w:rPr>
                <w:rStyle w:val="Hyperlink"/>
                <w:i/>
                <w:iCs/>
                <w:color w:val="auto"/>
                <w:sz w:val="22"/>
                <w:szCs w:val="22"/>
                <w:u w:val="none"/>
              </w:rPr>
              <w:t xml:space="preserve">, </w:t>
            </w:r>
            <w:hyperlink r:id="rId12" w:history="1">
              <w:hyperlink r:id="rId13" w:history="1">
                <w:r w:rsidR="622F493C" w:rsidRPr="71342DC1">
                  <w:rPr>
                    <w:rStyle w:val="Hyperlink"/>
                    <w:i/>
                    <w:iCs/>
                    <w:sz w:val="22"/>
                    <w:szCs w:val="22"/>
                  </w:rPr>
                  <w:t>C24/29</w:t>
                </w:r>
              </w:hyperlink>
            </w:hyperlink>
            <w:r w:rsidR="7D2492E9" w:rsidRPr="71342DC1">
              <w:rPr>
                <w:rStyle w:val="Hyperlink"/>
                <w:i/>
                <w:iCs/>
                <w:color w:val="auto"/>
                <w:sz w:val="22"/>
                <w:szCs w:val="22"/>
                <w:u w:val="none"/>
              </w:rPr>
              <w:t xml:space="preserve">, </w:t>
            </w:r>
            <w:hyperlink r:id="rId14" w:history="1">
              <w:proofErr w:type="spellStart"/>
              <w:r w:rsidR="7D2492E9" w:rsidRPr="71342DC1">
                <w:rPr>
                  <w:rStyle w:val="Hyperlink"/>
                  <w:i/>
                  <w:iCs/>
                  <w:sz w:val="22"/>
                  <w:szCs w:val="22"/>
                </w:rPr>
                <w:t>C19</w:t>
              </w:r>
              <w:proofErr w:type="spellEnd"/>
              <w:r w:rsidR="7D2492E9" w:rsidRPr="71342DC1">
                <w:rPr>
                  <w:rStyle w:val="Hyperlink"/>
                  <w:i/>
                  <w:iCs/>
                  <w:sz w:val="22"/>
                  <w:szCs w:val="22"/>
                </w:rPr>
                <w:t>/57</w:t>
              </w:r>
            </w:hyperlink>
            <w:r w:rsidRPr="71342DC1">
              <w:rPr>
                <w:rStyle w:val="Hyperlink"/>
                <w:i/>
                <w:iCs/>
                <w:color w:val="auto"/>
                <w:sz w:val="22"/>
                <w:szCs w:val="22"/>
                <w:u w:val="none"/>
              </w:rPr>
              <w:t>;</w:t>
            </w:r>
            <w:r w:rsidRPr="71342DC1">
              <w:rPr>
                <w:i/>
                <w:iCs/>
                <w:sz w:val="22"/>
                <w:szCs w:val="22"/>
              </w:rPr>
              <w:t xml:space="preserve"> </w:t>
            </w:r>
            <w:hyperlink r:id="rId15">
              <w:r w:rsidRPr="71342DC1">
                <w:rPr>
                  <w:rStyle w:val="Hyperlink"/>
                  <w:i/>
                  <w:iCs/>
                  <w:sz w:val="22"/>
                  <w:szCs w:val="22"/>
                </w:rPr>
                <w:t>Resolution 48 (Rev. Bucharest, 2022)</w:t>
              </w:r>
            </w:hyperlink>
            <w:r w:rsidRPr="71342DC1">
              <w:rPr>
                <w:i/>
                <w:iCs/>
                <w:sz w:val="22"/>
                <w:szCs w:val="22"/>
              </w:rPr>
              <w:t xml:space="preserve"> of the Plenipotentiary Conference</w:t>
            </w:r>
          </w:p>
        </w:tc>
      </w:tr>
    </w:tbl>
    <w:p w14:paraId="7D29D662"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4912790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p w14:paraId="106762A9" w14:textId="77777777" w:rsidR="00D2670C" w:rsidRPr="002D031A" w:rsidRDefault="00D2670C" w:rsidP="00D2670C">
      <w:pPr>
        <w:pStyle w:val="Headingb"/>
      </w:pPr>
      <w:bookmarkStart w:id="12" w:name="_Hlk195627763"/>
      <w:bookmarkEnd w:id="5"/>
      <w:bookmarkEnd w:id="11"/>
      <w:r w:rsidRPr="002D031A">
        <w:lastRenderedPageBreak/>
        <w:t>People: Achieving an agile, capable, and empowered workforce</w:t>
      </w:r>
    </w:p>
    <w:bookmarkEnd w:id="12"/>
    <w:p w14:paraId="6940A8A9" w14:textId="0CDE9F9F" w:rsidR="00D2670C" w:rsidRPr="000C0D54" w:rsidRDefault="005037B7" w:rsidP="00D2670C">
      <w:pPr>
        <w:jc w:val="both"/>
      </w:pPr>
      <w:r>
        <w:rPr>
          <w:lang w:eastAsia="zh-CN"/>
        </w:rPr>
        <w:t>People, the first pillar of t</w:t>
      </w:r>
      <w:r w:rsidR="002A56A4">
        <w:rPr>
          <w:lang w:eastAsia="zh-CN"/>
        </w:rPr>
        <w:t xml:space="preserve">he </w:t>
      </w:r>
      <w:r w:rsidR="002A56A4" w:rsidRPr="00D2670C">
        <w:rPr>
          <w:lang w:eastAsia="zh-CN"/>
        </w:rPr>
        <w:t>Human Resources Transformation Plan (</w:t>
      </w:r>
      <w:proofErr w:type="spellStart"/>
      <w:r w:rsidR="002A56A4" w:rsidRPr="00D2670C">
        <w:rPr>
          <w:lang w:eastAsia="zh-CN"/>
        </w:rPr>
        <w:t>HRTP</w:t>
      </w:r>
      <w:proofErr w:type="spellEnd"/>
      <w:r w:rsidR="002A56A4" w:rsidRPr="00C766A9">
        <w:rPr>
          <w:lang w:eastAsia="zh-CN"/>
        </w:rPr>
        <w:t xml:space="preserve">) </w:t>
      </w:r>
      <w:r w:rsidR="00D2670C" w:rsidRPr="00C766A9">
        <w:t>emphasizes</w:t>
      </w:r>
      <w:r w:rsidR="00D2670C" w:rsidRPr="000C0D54">
        <w:t xml:space="preserve"> </w:t>
      </w:r>
      <w:r w:rsidR="00D2670C" w:rsidRPr="002515AC">
        <w:rPr>
          <w:rFonts w:hint="eastAsia"/>
        </w:rPr>
        <w:t xml:space="preserve">building </w:t>
      </w:r>
      <w:r w:rsidR="00D2670C" w:rsidRPr="002515AC">
        <w:t>an agile, talented, and change-ready workforce</w:t>
      </w:r>
      <w:r w:rsidR="00D2670C" w:rsidRPr="002515AC">
        <w:rPr>
          <w:rFonts w:hint="eastAsia"/>
        </w:rPr>
        <w:t xml:space="preserve"> - one</w:t>
      </w:r>
      <w:r w:rsidR="00D2670C" w:rsidRPr="002515AC">
        <w:t xml:space="preserve"> that takes ownership for results</w:t>
      </w:r>
      <w:r w:rsidR="00D2670C" w:rsidRPr="000C0D54">
        <w:t xml:space="preserve">. This </w:t>
      </w:r>
      <w:r w:rsidR="00D2670C" w:rsidRPr="002515AC">
        <w:t>involves</w:t>
      </w:r>
      <w:r w:rsidR="00D2670C" w:rsidRPr="000C0D54">
        <w:t xml:space="preserve"> </w:t>
      </w:r>
      <w:r w:rsidR="00D2670C" w:rsidRPr="002515AC">
        <w:rPr>
          <w:rFonts w:hint="eastAsia"/>
        </w:rPr>
        <w:t>a</w:t>
      </w:r>
      <w:r w:rsidR="00D2670C" w:rsidRPr="002515AC">
        <w:t xml:space="preserve">ttracting, onboarding, and retaining talented people who </w:t>
      </w:r>
      <w:r w:rsidR="00D2670C" w:rsidRPr="000C0D54">
        <w:t>uphold the highest standards of efficiency, competence, and integrity.</w:t>
      </w:r>
    </w:p>
    <w:p w14:paraId="70934F3B" w14:textId="495309B3" w:rsidR="00D2670C" w:rsidRPr="00CB7826" w:rsidRDefault="00D2670C" w:rsidP="00D2670C">
      <w:pPr>
        <w:jc w:val="both"/>
      </w:pPr>
      <w:r w:rsidRPr="002515AC">
        <w:t>Additionally</w:t>
      </w:r>
      <w:r w:rsidRPr="00CB7826">
        <w:t>,</w:t>
      </w:r>
      <w:r w:rsidRPr="00CB7826">
        <w:rPr>
          <w:rFonts w:hint="eastAsia"/>
          <w:lang w:eastAsia="zh-CN"/>
        </w:rPr>
        <w:t xml:space="preserve"> </w:t>
      </w:r>
      <w:r w:rsidR="00083DFE">
        <w:t>the plan provides for</w:t>
      </w:r>
      <w:r w:rsidRPr="00CB7826">
        <w:rPr>
          <w:rFonts w:hint="eastAsia"/>
          <w:lang w:eastAsia="zh-CN"/>
        </w:rPr>
        <w:t xml:space="preserve"> </w:t>
      </w:r>
      <w:r w:rsidRPr="00CB7826">
        <w:t>strengthen</w:t>
      </w:r>
      <w:r w:rsidRPr="00CB7826">
        <w:rPr>
          <w:rFonts w:hint="eastAsia"/>
        </w:rPr>
        <w:t>ing</w:t>
      </w:r>
      <w:r w:rsidRPr="00CB7826">
        <w:t xml:space="preserve"> the recruitment of younger staff members to </w:t>
      </w:r>
      <w:r w:rsidRPr="00CB7826">
        <w:rPr>
          <w:rFonts w:hint="eastAsia"/>
          <w:lang w:eastAsia="zh-CN"/>
        </w:rPr>
        <w:t>i</w:t>
      </w:r>
      <w:r w:rsidRPr="00CB7826">
        <w:t>ntroduce fresh talent, new skills, and inspiration, while maintaining a balance with the expertise and commitment of existing staff.</w:t>
      </w:r>
    </w:p>
    <w:p w14:paraId="5E538397" w14:textId="11A7F59E" w:rsidR="00D2670C" w:rsidRDefault="00083DFE" w:rsidP="00D2670C">
      <w:pPr>
        <w:jc w:val="both"/>
      </w:pPr>
      <w:r>
        <w:t xml:space="preserve">Through implementation of the </w:t>
      </w:r>
      <w:proofErr w:type="spellStart"/>
      <w:r>
        <w:t>HRTP</w:t>
      </w:r>
      <w:proofErr w:type="spellEnd"/>
      <w:r>
        <w:t>, ITU</w:t>
      </w:r>
      <w:r w:rsidRPr="00CB7826">
        <w:t xml:space="preserve"> </w:t>
      </w:r>
      <w:r w:rsidR="00D2670C" w:rsidRPr="00CB7826">
        <w:t xml:space="preserve">aims </w:t>
      </w:r>
      <w:r w:rsidR="00D2670C" w:rsidRPr="00CB7826">
        <w:rPr>
          <w:rFonts w:hint="eastAsia"/>
        </w:rPr>
        <w:t xml:space="preserve">not only </w:t>
      </w:r>
      <w:r w:rsidR="00D2670C" w:rsidRPr="00CB7826">
        <w:t>to</w:t>
      </w:r>
      <w:r w:rsidR="00D2670C" w:rsidRPr="000C0D54">
        <w:t xml:space="preserve"> create a stimulating and rewarding work environment</w:t>
      </w:r>
      <w:r w:rsidR="00D2670C">
        <w:rPr>
          <w:rFonts w:hint="eastAsia"/>
          <w:lang w:eastAsia="zh-CN"/>
        </w:rPr>
        <w:t xml:space="preserve">, </w:t>
      </w:r>
      <w:r w:rsidR="00D2670C" w:rsidRPr="002515AC">
        <w:rPr>
          <w:rFonts w:hint="eastAsia"/>
        </w:rPr>
        <w:t xml:space="preserve">but also to </w:t>
      </w:r>
      <w:r w:rsidR="00D2670C">
        <w:rPr>
          <w:rFonts w:hint="eastAsia"/>
          <w:lang w:eastAsia="zh-CN"/>
        </w:rPr>
        <w:t>enhance</w:t>
      </w:r>
      <w:r w:rsidR="00D2670C" w:rsidRPr="002515AC">
        <w:t xml:space="preserve"> organizational performance and empower staff to continuously</w:t>
      </w:r>
      <w:r w:rsidR="00D2670C">
        <w:rPr>
          <w:rFonts w:hint="eastAsia"/>
          <w:lang w:eastAsia="zh-CN"/>
        </w:rPr>
        <w:t xml:space="preserve"> </w:t>
      </w:r>
      <w:r w:rsidR="00D2670C" w:rsidRPr="002515AC">
        <w:t xml:space="preserve">develop their knowledge and skills, in </w:t>
      </w:r>
      <w:r w:rsidR="00D2670C">
        <w:rPr>
          <w:rFonts w:hint="eastAsia"/>
          <w:lang w:eastAsia="zh-CN"/>
        </w:rPr>
        <w:t>alignment</w:t>
      </w:r>
      <w:r w:rsidR="00D2670C" w:rsidRPr="002515AC">
        <w:t xml:space="preserve"> with ITU’s strategic objectives</w:t>
      </w:r>
      <w:r w:rsidR="00D2670C" w:rsidRPr="000C0D54">
        <w:t>.</w:t>
      </w:r>
    </w:p>
    <w:p w14:paraId="44EC2D1E" w14:textId="77777777" w:rsidR="00D2670C" w:rsidRPr="00B844FA" w:rsidRDefault="00D2670C" w:rsidP="00D2670C">
      <w:pPr>
        <w:jc w:val="both"/>
      </w:pPr>
      <w:r w:rsidRPr="00B844FA">
        <w:t>Key highlights:</w:t>
      </w:r>
    </w:p>
    <w:p w14:paraId="338BBC01" w14:textId="0FA2B1AF" w:rsidR="00D2670C" w:rsidRPr="00932E2E" w:rsidRDefault="00D2670C" w:rsidP="00D2670C">
      <w:pPr>
        <w:pStyle w:val="enumlev1"/>
        <w:jc w:val="both"/>
      </w:pPr>
      <w:r w:rsidRPr="00C232D2">
        <w:t>1</w:t>
      </w:r>
      <w:r w:rsidRPr="00C232D2">
        <w:tab/>
      </w:r>
      <w:r w:rsidRPr="00932E2E">
        <w:rPr>
          <w:lang w:val="en-US" w:eastAsia="zh-CN"/>
        </w:rPr>
        <w:t>A</w:t>
      </w:r>
      <w:r w:rsidRPr="00932E2E">
        <w:rPr>
          <w:rFonts w:hint="eastAsia"/>
          <w:lang w:val="en-US" w:eastAsia="zh-CN"/>
        </w:rPr>
        <w:t xml:space="preserve"> qualitative and cost-effective 2025 Learning Plan has </w:t>
      </w:r>
      <w:r w:rsidRPr="00932E2E">
        <w:rPr>
          <w:lang w:val="en-US" w:eastAsia="zh-CN"/>
        </w:rPr>
        <w:t>bee</w:t>
      </w:r>
      <w:r w:rsidRPr="00932E2E">
        <w:rPr>
          <w:rFonts w:hint="eastAsia"/>
          <w:lang w:val="en-US" w:eastAsia="zh-CN"/>
        </w:rPr>
        <w:t xml:space="preserve">n designed and key learning activities to be provided through external platforms such as LinkedIn and Coursera. A </w:t>
      </w:r>
      <w:r w:rsidRPr="00932E2E">
        <w:rPr>
          <w:lang w:val="en-US" w:eastAsia="zh-CN"/>
        </w:rPr>
        <w:t xml:space="preserve">hybrid training model </w:t>
      </w:r>
      <w:r w:rsidRPr="00932E2E">
        <w:rPr>
          <w:rFonts w:hint="eastAsia"/>
          <w:lang w:val="en-US" w:eastAsia="zh-CN"/>
        </w:rPr>
        <w:t xml:space="preserve">has been adopted </w:t>
      </w:r>
      <w:r w:rsidRPr="00932E2E">
        <w:rPr>
          <w:lang w:val="en-US" w:eastAsia="zh-CN"/>
        </w:rPr>
        <w:t>to enhance accessibility, control costs, and maintain a stable budget since 2021</w:t>
      </w:r>
      <w:r w:rsidRPr="00932E2E">
        <w:rPr>
          <w:rFonts w:hint="eastAsia"/>
          <w:lang w:val="en-US" w:eastAsia="zh-CN"/>
        </w:rPr>
        <w:t>.</w:t>
      </w:r>
      <w:r w:rsidRPr="00932E2E">
        <w:rPr>
          <w:lang w:val="en-US" w:eastAsia="zh-CN"/>
        </w:rPr>
        <w:t xml:space="preserve"> </w:t>
      </w:r>
      <w:r w:rsidRPr="00932E2E">
        <w:rPr>
          <w:rFonts w:hint="eastAsia"/>
          <w:lang w:val="en-US" w:eastAsia="zh-CN"/>
        </w:rPr>
        <w:t>I</w:t>
      </w:r>
      <w:r w:rsidRPr="00932E2E">
        <w:rPr>
          <w:lang w:val="en-US" w:eastAsia="zh-CN"/>
        </w:rPr>
        <w:t xml:space="preserve">nternal resources </w:t>
      </w:r>
      <w:r w:rsidRPr="00932E2E">
        <w:rPr>
          <w:rFonts w:hint="eastAsia"/>
          <w:lang w:val="en-US" w:eastAsia="zh-CN"/>
        </w:rPr>
        <w:t>have be</w:t>
      </w:r>
      <w:r w:rsidRPr="00932E2E">
        <w:rPr>
          <w:lang w:val="en-US" w:eastAsia="zh-CN"/>
        </w:rPr>
        <w:t>e</w:t>
      </w:r>
      <w:r w:rsidRPr="00932E2E">
        <w:rPr>
          <w:rFonts w:hint="eastAsia"/>
          <w:lang w:val="en-US" w:eastAsia="zh-CN"/>
        </w:rPr>
        <w:t xml:space="preserve">n maximized </w:t>
      </w:r>
      <w:r w:rsidRPr="00932E2E">
        <w:rPr>
          <w:lang w:val="en-US" w:eastAsia="zh-CN"/>
        </w:rPr>
        <w:t>to sustain high-quality training while minimizing</w:t>
      </w:r>
      <w:r w:rsidRPr="00932E2E">
        <w:rPr>
          <w:rFonts w:hint="eastAsia"/>
          <w:lang w:val="en-US" w:eastAsia="zh-CN"/>
        </w:rPr>
        <w:t xml:space="preserve"> </w:t>
      </w:r>
      <w:r w:rsidRPr="00932E2E">
        <w:rPr>
          <w:lang w:val="en-US" w:eastAsia="zh-CN"/>
        </w:rPr>
        <w:t>costs</w:t>
      </w:r>
      <w:r w:rsidRPr="00932E2E">
        <w:rPr>
          <w:rFonts w:hint="eastAsia"/>
          <w:lang w:val="en-US" w:eastAsia="zh-CN"/>
        </w:rPr>
        <w:t>.</w:t>
      </w:r>
    </w:p>
    <w:p w14:paraId="12B83F9E" w14:textId="0CC33BE6" w:rsidR="00D2670C" w:rsidRPr="00932E2E" w:rsidRDefault="00D2670C" w:rsidP="00D2670C">
      <w:pPr>
        <w:pStyle w:val="enumlev1"/>
        <w:jc w:val="both"/>
      </w:pPr>
      <w:r w:rsidRPr="00340153">
        <w:t>2</w:t>
      </w:r>
      <w:r w:rsidRPr="00340153">
        <w:tab/>
      </w:r>
      <w:r w:rsidR="00340042">
        <w:t>W</w:t>
      </w:r>
      <w:r w:rsidRPr="00932E2E">
        <w:t>ell-established language programmes at UNOG</w:t>
      </w:r>
      <w:r w:rsidR="00340042">
        <w:t xml:space="preserve"> have been capitalized on</w:t>
      </w:r>
      <w:r w:rsidRPr="00932E2E">
        <w:t>, gaining efficiencies by partnering with other UN organizations</w:t>
      </w:r>
      <w:r w:rsidRPr="00932E2E">
        <w:rPr>
          <w:rFonts w:hint="eastAsia"/>
          <w:lang w:eastAsia="zh-CN"/>
        </w:rPr>
        <w:t xml:space="preserve"> </w:t>
      </w:r>
      <w:r w:rsidRPr="00932E2E">
        <w:rPr>
          <w:lang w:eastAsia="zh-CN"/>
        </w:rPr>
        <w:t>to enhance coherence and reduce costs, lowering the annual cost by over 13%</w:t>
      </w:r>
      <w:r w:rsidRPr="00932E2E">
        <w:rPr>
          <w:rFonts w:hint="eastAsia"/>
          <w:lang w:eastAsia="zh-CN"/>
        </w:rPr>
        <w:t>.</w:t>
      </w:r>
    </w:p>
    <w:p w14:paraId="416D4E4A" w14:textId="73865CDA" w:rsidR="00D2670C" w:rsidRPr="00932E2E" w:rsidRDefault="00D2670C" w:rsidP="00D2670C">
      <w:pPr>
        <w:pStyle w:val="enumlev1"/>
        <w:jc w:val="both"/>
      </w:pPr>
      <w:r>
        <w:t>3</w:t>
      </w:r>
      <w:r>
        <w:tab/>
      </w:r>
      <w:r w:rsidRPr="00932E2E">
        <w:rPr>
          <w:lang w:val="en-US"/>
        </w:rPr>
        <w:t>Customized technical training for Bureaux-specific needs was delivered throughout the year to strengthen technical expertise</w:t>
      </w:r>
      <w:r w:rsidR="135E2A55" w:rsidRPr="382CACE0">
        <w:rPr>
          <w:lang w:val="en-US"/>
        </w:rPr>
        <w:t>, in addition to regular staff sessions on ICT topics in the form of "Learning Labs”</w:t>
      </w:r>
      <w:r w:rsidR="67D602D0" w:rsidRPr="382CACE0">
        <w:rPr>
          <w:lang w:val="en-US"/>
        </w:rPr>
        <w:t>.</w:t>
      </w:r>
    </w:p>
    <w:p w14:paraId="19614813" w14:textId="1437D84F" w:rsidR="00D2670C" w:rsidRPr="00932E2E" w:rsidRDefault="00D2670C" w:rsidP="00D2670C">
      <w:pPr>
        <w:pStyle w:val="enumlev1"/>
        <w:jc w:val="both"/>
      </w:pPr>
      <w:r w:rsidRPr="008E22C8">
        <w:t>4</w:t>
      </w:r>
      <w:r w:rsidRPr="008E22C8">
        <w:tab/>
      </w:r>
      <w:r w:rsidRPr="00932E2E">
        <w:rPr>
          <w:rFonts w:hint="eastAsia"/>
        </w:rPr>
        <w:t>A</w:t>
      </w:r>
      <w:r w:rsidRPr="00932E2E">
        <w:t xml:space="preserve"> “Game Shifter” programme </w:t>
      </w:r>
      <w:r w:rsidRPr="00932E2E">
        <w:rPr>
          <w:rFonts w:hint="eastAsia"/>
          <w:lang w:eastAsia="zh-CN"/>
        </w:rPr>
        <w:t xml:space="preserve">was launched </w:t>
      </w:r>
      <w:r w:rsidRPr="00932E2E">
        <w:t>to support General Service colleagues in acquiring critical skills to advance their careers</w:t>
      </w:r>
      <w:r w:rsidRPr="00932E2E">
        <w:rPr>
          <w:rFonts w:hint="eastAsia"/>
          <w:lang w:eastAsia="zh-CN"/>
        </w:rPr>
        <w:t xml:space="preserve"> and promote</w:t>
      </w:r>
      <w:r w:rsidRPr="00932E2E">
        <w:t xml:space="preserve"> professional growth.</w:t>
      </w:r>
    </w:p>
    <w:p w14:paraId="4416B68D" w14:textId="3D71FF67" w:rsidR="00D2670C" w:rsidRPr="00932E2E" w:rsidRDefault="00D2670C" w:rsidP="00D2670C">
      <w:pPr>
        <w:pStyle w:val="enumlev1"/>
        <w:jc w:val="both"/>
        <w:rPr>
          <w:lang w:val="en-US" w:eastAsia="zh-CN"/>
        </w:rPr>
      </w:pPr>
      <w:r w:rsidRPr="00C232D2">
        <w:rPr>
          <w:lang w:val="en-US" w:eastAsia="zh-CN"/>
        </w:rPr>
        <w:t>5</w:t>
      </w:r>
      <w:r w:rsidRPr="00C232D2">
        <w:rPr>
          <w:lang w:val="en-US" w:eastAsia="zh-CN"/>
        </w:rPr>
        <w:tab/>
      </w:r>
      <w:r w:rsidRPr="00932E2E">
        <w:rPr>
          <w:rFonts w:hint="eastAsia"/>
          <w:lang w:eastAsia="zh-CN"/>
        </w:rPr>
        <w:t xml:space="preserve">The </w:t>
      </w:r>
      <w:r w:rsidRPr="00932E2E">
        <w:t xml:space="preserve">performance management system </w:t>
      </w:r>
      <w:r w:rsidRPr="00932E2E">
        <w:rPr>
          <w:rFonts w:hint="eastAsia"/>
          <w:lang w:eastAsia="zh-CN"/>
        </w:rPr>
        <w:t xml:space="preserve">has been enhanced </w:t>
      </w:r>
      <w:r w:rsidRPr="00932E2E">
        <w:t>through process streamlining and the introduction of the simplified ePMDS tool,</w:t>
      </w:r>
      <w:r w:rsidRPr="00932E2E">
        <w:rPr>
          <w:rFonts w:hint="eastAsia"/>
          <w:lang w:eastAsia="zh-CN"/>
        </w:rPr>
        <w:t xml:space="preserve"> </w:t>
      </w:r>
      <w:r w:rsidRPr="00932E2E">
        <w:t>allowing for more efficient performance discussions and feedback</w:t>
      </w:r>
      <w:r w:rsidRPr="008514D7">
        <w:t xml:space="preserve"> </w:t>
      </w:r>
      <w:r w:rsidRPr="00932E2E">
        <w:rPr>
          <w:lang w:eastAsia="zh-CN"/>
        </w:rPr>
        <w:t>while reducing the time supervisors spend on performance evaluations by at least 50%</w:t>
      </w:r>
      <w:r w:rsidRPr="00932E2E">
        <w:t xml:space="preserve">. </w:t>
      </w:r>
    </w:p>
    <w:p w14:paraId="36661B29" w14:textId="595FEECE" w:rsidR="00D2670C" w:rsidRPr="00932E2E" w:rsidRDefault="00D2670C" w:rsidP="00D2670C">
      <w:pPr>
        <w:pStyle w:val="enumlev1"/>
        <w:jc w:val="both"/>
      </w:pPr>
      <w:r>
        <w:t>6</w:t>
      </w:r>
      <w:r>
        <w:tab/>
      </w:r>
      <w:r w:rsidRPr="00932E2E">
        <w:rPr>
          <w:lang w:eastAsia="zh-CN"/>
        </w:rPr>
        <w:t>Target</w:t>
      </w:r>
      <w:r w:rsidRPr="00932E2E">
        <w:rPr>
          <w:rFonts w:hint="eastAsia"/>
          <w:lang w:eastAsia="zh-CN"/>
        </w:rPr>
        <w:t>ed</w:t>
      </w:r>
      <w:r w:rsidRPr="00932E2E">
        <w:rPr>
          <w:lang w:eastAsia="zh-CN"/>
        </w:rPr>
        <w:t xml:space="preserve"> </w:t>
      </w:r>
      <w:r w:rsidRPr="00932E2E">
        <w:rPr>
          <w:rFonts w:hint="eastAsia"/>
          <w:lang w:eastAsia="zh-CN"/>
        </w:rPr>
        <w:t>p</w:t>
      </w:r>
      <w:r w:rsidRPr="00932E2E">
        <w:t>erformance management training was</w:t>
      </w:r>
      <w:r w:rsidRPr="00932E2E">
        <w:rPr>
          <w:rFonts w:hint="eastAsia"/>
          <w:lang w:eastAsia="zh-CN"/>
        </w:rPr>
        <w:t xml:space="preserve"> </w:t>
      </w:r>
      <w:r w:rsidRPr="00932E2E">
        <w:t>provided to both staff and supervisors</w:t>
      </w:r>
      <w:r w:rsidRPr="00932E2E">
        <w:rPr>
          <w:rFonts w:hint="eastAsia"/>
          <w:lang w:eastAsia="zh-CN"/>
        </w:rPr>
        <w:t>,</w:t>
      </w:r>
      <w:r w:rsidRPr="00932E2E">
        <w:t xml:space="preserve"> equip</w:t>
      </w:r>
      <w:r w:rsidRPr="00932E2E">
        <w:rPr>
          <w:rFonts w:hint="eastAsia"/>
          <w:lang w:eastAsia="zh-CN"/>
        </w:rPr>
        <w:t>ping</w:t>
      </w:r>
      <w:r w:rsidRPr="00932E2E">
        <w:t xml:space="preserve"> them with the knowledge and skills necessary for </w:t>
      </w:r>
      <w:r w:rsidRPr="00932E2E">
        <w:rPr>
          <w:rFonts w:hint="eastAsia"/>
          <w:lang w:eastAsia="zh-CN"/>
        </w:rPr>
        <w:t>effective</w:t>
      </w:r>
      <w:r w:rsidRPr="00932E2E">
        <w:t xml:space="preserve"> workplan setting and evaluation</w:t>
      </w:r>
      <w:r w:rsidRPr="00932E2E">
        <w:rPr>
          <w:rFonts w:hint="eastAsia"/>
          <w:lang w:eastAsia="zh-CN"/>
        </w:rPr>
        <w:t>, promoting accountability, career progression and productivity.</w:t>
      </w:r>
    </w:p>
    <w:p w14:paraId="062CC8DE" w14:textId="411B092B" w:rsidR="00D2670C" w:rsidRPr="00932E2E" w:rsidRDefault="00D2670C" w:rsidP="00FA71A0">
      <w:pPr>
        <w:pStyle w:val="enumlev1"/>
        <w:spacing w:line="259" w:lineRule="auto"/>
        <w:jc w:val="both"/>
        <w:rPr>
          <w:lang w:eastAsia="zh-CN"/>
        </w:rPr>
      </w:pPr>
      <w:r>
        <w:t>7</w:t>
      </w:r>
      <w:r>
        <w:tab/>
      </w:r>
      <w:r w:rsidRPr="42D85F0C">
        <w:rPr>
          <w:lang w:eastAsia="zh-CN"/>
        </w:rPr>
        <w:t xml:space="preserve">A comprehensive recruitment review kicked off in Q1 2025 including drafting a policy, review of processes including UN system benchmarking to ensure an efficient, fair and transparent selection process. Recruitment processes for SSAs were streamlined to </w:t>
      </w:r>
      <w:r>
        <w:t xml:space="preserve">expedite the hiring of </w:t>
      </w:r>
      <w:r w:rsidR="53BB58E9">
        <w:t xml:space="preserve">individual </w:t>
      </w:r>
      <w:r w:rsidR="7882FA83">
        <w:t>experts</w:t>
      </w:r>
      <w:r w:rsidRPr="42D85F0C">
        <w:rPr>
          <w:lang w:eastAsia="zh-CN"/>
        </w:rPr>
        <w:t>.</w:t>
      </w:r>
    </w:p>
    <w:p w14:paraId="7F229F5F" w14:textId="4A4C0F26" w:rsidR="00D2670C" w:rsidRPr="00932E2E" w:rsidRDefault="00D2670C" w:rsidP="00D2670C">
      <w:pPr>
        <w:pStyle w:val="enumlev1"/>
        <w:jc w:val="both"/>
      </w:pPr>
      <w:r>
        <w:t>8</w:t>
      </w:r>
      <w:r>
        <w:tab/>
      </w:r>
      <w:r w:rsidRPr="00932E2E">
        <w:rPr>
          <w:lang w:eastAsia="zh-CN"/>
        </w:rPr>
        <w:t>ITU signed an agreement with UN Volunteers</w:t>
      </w:r>
      <w:r w:rsidRPr="00932E2E">
        <w:rPr>
          <w:rFonts w:hint="eastAsia"/>
          <w:lang w:eastAsia="zh-CN"/>
        </w:rPr>
        <w:t xml:space="preserve"> (UNV)</w:t>
      </w:r>
      <w:r w:rsidRPr="00932E2E">
        <w:rPr>
          <w:lang w:eastAsia="zh-CN"/>
        </w:rPr>
        <w:t>,</w:t>
      </w:r>
      <w:r w:rsidRPr="00932E2E">
        <w:rPr>
          <w:rFonts w:hint="eastAsia"/>
          <w:lang w:eastAsia="zh-CN"/>
        </w:rPr>
        <w:t xml:space="preserve"> </w:t>
      </w:r>
      <w:r w:rsidRPr="00932E2E">
        <w:rPr>
          <w:lang w:eastAsia="zh-CN"/>
        </w:rPr>
        <w:t xml:space="preserve">unlocking </w:t>
      </w:r>
      <w:r w:rsidR="6D76A5E7" w:rsidRPr="382CACE0">
        <w:rPr>
          <w:lang w:eastAsia="zh-CN"/>
        </w:rPr>
        <w:t xml:space="preserve">piloting of </w:t>
      </w:r>
      <w:r w:rsidRPr="00932E2E">
        <w:rPr>
          <w:lang w:eastAsia="zh-CN"/>
        </w:rPr>
        <w:t xml:space="preserve">flexible </w:t>
      </w:r>
      <w:r w:rsidRPr="00932E2E">
        <w:rPr>
          <w:rFonts w:hint="eastAsia"/>
          <w:lang w:eastAsia="zh-CN"/>
        </w:rPr>
        <w:t xml:space="preserve">and </w:t>
      </w:r>
      <w:r w:rsidRPr="00932E2E">
        <w:rPr>
          <w:lang w:eastAsia="zh-CN"/>
        </w:rPr>
        <w:t>cost-effective</w:t>
      </w:r>
      <w:r w:rsidRPr="00932E2E">
        <w:rPr>
          <w:rFonts w:hint="eastAsia"/>
          <w:lang w:eastAsia="zh-CN"/>
        </w:rPr>
        <w:t xml:space="preserve"> </w:t>
      </w:r>
      <w:r w:rsidRPr="00932E2E">
        <w:rPr>
          <w:lang w:eastAsia="zh-CN"/>
        </w:rPr>
        <w:t>staffing solutions through UNV’s global talent pool ranging from young professionals to experienced specialists and experts. Th</w:t>
      </w:r>
      <w:r w:rsidRPr="00932E2E">
        <w:rPr>
          <w:rFonts w:hint="eastAsia"/>
          <w:lang w:eastAsia="zh-CN"/>
        </w:rPr>
        <w:t>e</w:t>
      </w:r>
      <w:r w:rsidRPr="00932E2E">
        <w:rPr>
          <w:lang w:eastAsia="zh-CN"/>
        </w:rPr>
        <w:t xml:space="preserve"> partnership </w:t>
      </w:r>
      <w:r w:rsidR="78209C1B" w:rsidRPr="382CACE0">
        <w:rPr>
          <w:lang w:eastAsia="zh-CN"/>
        </w:rPr>
        <w:t xml:space="preserve">has a potential to </w:t>
      </w:r>
      <w:r w:rsidRPr="00932E2E">
        <w:rPr>
          <w:lang w:eastAsia="zh-CN"/>
        </w:rPr>
        <w:t>enable fast-track recruitment</w:t>
      </w:r>
      <w:r w:rsidRPr="00932E2E">
        <w:rPr>
          <w:rFonts w:hint="eastAsia"/>
          <w:lang w:eastAsia="zh-CN"/>
        </w:rPr>
        <w:t>s</w:t>
      </w:r>
      <w:r w:rsidRPr="00932E2E">
        <w:rPr>
          <w:lang w:eastAsia="zh-CN"/>
        </w:rPr>
        <w:t xml:space="preserve"> and enhances</w:t>
      </w:r>
      <w:r w:rsidRPr="00932E2E">
        <w:rPr>
          <w:rFonts w:hint="eastAsia"/>
          <w:lang w:eastAsia="zh-CN"/>
        </w:rPr>
        <w:t xml:space="preserve"> </w:t>
      </w:r>
      <w:r w:rsidRPr="00932E2E">
        <w:rPr>
          <w:lang w:eastAsia="zh-CN"/>
        </w:rPr>
        <w:t>workforce agility globally.</w:t>
      </w:r>
      <w:r w:rsidRPr="00932E2E">
        <w:rPr>
          <w:rFonts w:hint="eastAsia"/>
          <w:lang w:eastAsia="zh-CN"/>
        </w:rPr>
        <w:t xml:space="preserve"> </w:t>
      </w:r>
    </w:p>
    <w:p w14:paraId="6E48FE96" w14:textId="73CBE434" w:rsidR="00D2670C" w:rsidRPr="00932E2E" w:rsidRDefault="00D2670C" w:rsidP="00D2670C">
      <w:pPr>
        <w:pStyle w:val="enumlev1"/>
        <w:jc w:val="both"/>
      </w:pPr>
      <w:r w:rsidRPr="005D41C3">
        <w:t>9</w:t>
      </w:r>
      <w:r w:rsidRPr="005D41C3">
        <w:tab/>
      </w:r>
      <w:r w:rsidRPr="00932E2E">
        <w:rPr>
          <w:lang w:eastAsia="zh-CN"/>
        </w:rPr>
        <w:t>A</w:t>
      </w:r>
      <w:r w:rsidRPr="00932E2E">
        <w:rPr>
          <w:rFonts w:hint="eastAsia"/>
          <w:lang w:eastAsia="zh-CN"/>
        </w:rPr>
        <w:t>s of May 2025, t</w:t>
      </w:r>
      <w:r w:rsidRPr="00932E2E">
        <w:rPr>
          <w:lang w:eastAsia="zh-CN"/>
        </w:rPr>
        <w:t>he number of Junior Professional Officers (</w:t>
      </w:r>
      <w:proofErr w:type="spellStart"/>
      <w:r w:rsidRPr="00932E2E">
        <w:rPr>
          <w:lang w:eastAsia="zh-CN"/>
        </w:rPr>
        <w:t>JPOs</w:t>
      </w:r>
      <w:proofErr w:type="spellEnd"/>
      <w:r w:rsidRPr="00932E2E">
        <w:rPr>
          <w:lang w:eastAsia="zh-CN"/>
        </w:rPr>
        <w:t>) is 7</w:t>
      </w:r>
      <w:r w:rsidRPr="00932E2E">
        <w:rPr>
          <w:rFonts w:hint="eastAsia"/>
          <w:lang w:eastAsia="zh-CN"/>
        </w:rPr>
        <w:t>, with</w:t>
      </w:r>
      <w:r w:rsidRPr="00932E2E">
        <w:rPr>
          <w:lang w:eastAsia="zh-CN"/>
        </w:rPr>
        <w:t xml:space="preserve"> a minimum of 4 </w:t>
      </w:r>
      <w:r w:rsidRPr="00932E2E">
        <w:rPr>
          <w:rFonts w:hint="eastAsia"/>
          <w:lang w:eastAsia="zh-CN"/>
        </w:rPr>
        <w:t>more</w:t>
      </w:r>
      <w:r w:rsidRPr="00932E2E">
        <w:rPr>
          <w:lang w:eastAsia="zh-CN"/>
        </w:rPr>
        <w:t xml:space="preserve"> expected to join later in the year</w:t>
      </w:r>
      <w:r w:rsidRPr="00932E2E">
        <w:rPr>
          <w:rFonts w:hint="eastAsia"/>
          <w:lang w:eastAsia="zh-CN"/>
        </w:rPr>
        <w:t xml:space="preserve">, </w:t>
      </w:r>
      <w:r w:rsidRPr="00932E2E">
        <w:t>thereby strengthening</w:t>
      </w:r>
      <w:r w:rsidRPr="00932E2E">
        <w:rPr>
          <w:rFonts w:hint="eastAsia"/>
          <w:lang w:eastAsia="zh-CN"/>
        </w:rPr>
        <w:t xml:space="preserve"> </w:t>
      </w:r>
      <w:r w:rsidRPr="00932E2E">
        <w:t>ITU</w:t>
      </w:r>
      <w:r w:rsidRPr="00932E2E">
        <w:rPr>
          <w:lang w:eastAsia="zh-CN"/>
        </w:rPr>
        <w:t>’</w:t>
      </w:r>
      <w:r w:rsidRPr="00932E2E">
        <w:rPr>
          <w:rFonts w:hint="eastAsia"/>
          <w:lang w:eastAsia="zh-CN"/>
        </w:rPr>
        <w:t>s</w:t>
      </w:r>
      <w:r w:rsidRPr="00932E2E">
        <w:t xml:space="preserve"> talent pipeline and contributing to institutional efficiency</w:t>
      </w:r>
      <w:r w:rsidRPr="00932E2E">
        <w:rPr>
          <w:rFonts w:hint="eastAsia"/>
          <w:lang w:eastAsia="zh-CN"/>
        </w:rPr>
        <w:t>.</w:t>
      </w:r>
    </w:p>
    <w:p w14:paraId="543AA8A4" w14:textId="609962BD" w:rsidR="00D2670C" w:rsidRDefault="00D2670C" w:rsidP="00D2670C">
      <w:pPr>
        <w:pStyle w:val="enumlev1"/>
        <w:jc w:val="both"/>
        <w:rPr>
          <w:lang w:eastAsia="zh-CN"/>
        </w:rPr>
      </w:pPr>
      <w:bookmarkStart w:id="13" w:name="_Hlk195106213"/>
      <w:r w:rsidRPr="0065605B">
        <w:rPr>
          <w:lang w:eastAsia="zh-CN"/>
        </w:rPr>
        <w:lastRenderedPageBreak/>
        <w:t>10</w:t>
      </w:r>
      <w:r>
        <w:tab/>
      </w:r>
      <w:r w:rsidRPr="00932E2E">
        <w:t>The Young Professionals Programme (</w:t>
      </w:r>
      <w:proofErr w:type="spellStart"/>
      <w:r w:rsidRPr="00932E2E">
        <w:t>YPP</w:t>
      </w:r>
      <w:proofErr w:type="spellEnd"/>
      <w:r w:rsidRPr="00932E2E">
        <w:t>) was launched in 2024</w:t>
      </w:r>
      <w:r w:rsidRPr="00932E2E">
        <w:rPr>
          <w:rFonts w:hint="eastAsia"/>
          <w:lang w:eastAsia="zh-CN"/>
        </w:rPr>
        <w:t xml:space="preserve"> </w:t>
      </w:r>
      <w:r w:rsidRPr="00932E2E">
        <w:t>to enhance youth engagement bringing fresh perspectives and skills to ITU.</w:t>
      </w:r>
      <w:r w:rsidRPr="00932E2E">
        <w:rPr>
          <w:rFonts w:hint="eastAsia"/>
          <w:lang w:eastAsia="zh-CN"/>
        </w:rPr>
        <w:t xml:space="preserve"> </w:t>
      </w:r>
      <w:proofErr w:type="spellStart"/>
      <w:r w:rsidRPr="00932E2E">
        <w:t>YPPs</w:t>
      </w:r>
      <w:proofErr w:type="spellEnd"/>
      <w:r w:rsidRPr="00932E2E">
        <w:t xml:space="preserve"> were recruited from least-developed countries thereby contributing to ITU’s geographic diversity</w:t>
      </w:r>
      <w:r w:rsidRPr="00932E2E">
        <w:rPr>
          <w:rFonts w:hint="eastAsia"/>
          <w:lang w:eastAsia="zh-CN"/>
        </w:rPr>
        <w:t xml:space="preserve">. </w:t>
      </w:r>
      <w:r w:rsidRPr="00932E2E">
        <w:rPr>
          <w:lang w:eastAsia="zh-CN"/>
        </w:rPr>
        <w:t xml:space="preserve">Six young professionals </w:t>
      </w:r>
      <w:r w:rsidRPr="00932E2E">
        <w:rPr>
          <w:rFonts w:hint="eastAsia"/>
          <w:lang w:eastAsia="zh-CN"/>
        </w:rPr>
        <w:t>are in the process of</w:t>
      </w:r>
      <w:r w:rsidRPr="00932E2E">
        <w:rPr>
          <w:lang w:eastAsia="zh-CN"/>
        </w:rPr>
        <w:t xml:space="preserve"> </w:t>
      </w:r>
      <w:r w:rsidRPr="00932E2E">
        <w:rPr>
          <w:rFonts w:hint="eastAsia"/>
          <w:lang w:eastAsia="zh-CN"/>
        </w:rPr>
        <w:t xml:space="preserve">being </w:t>
      </w:r>
      <w:r w:rsidRPr="00932E2E">
        <w:rPr>
          <w:lang w:eastAsia="zh-CN"/>
        </w:rPr>
        <w:t>onboard</w:t>
      </w:r>
      <w:r w:rsidRPr="00932E2E">
        <w:rPr>
          <w:rFonts w:hint="eastAsia"/>
          <w:lang w:eastAsia="zh-CN"/>
        </w:rPr>
        <w:t xml:space="preserve">ed, </w:t>
      </w:r>
      <w:r w:rsidRPr="00932E2E">
        <w:rPr>
          <w:lang w:eastAsia="zh-CN"/>
        </w:rPr>
        <w:t>with completion expected by June</w:t>
      </w:r>
      <w:r w:rsidR="439BF88A" w:rsidRPr="354279BC">
        <w:rPr>
          <w:lang w:eastAsia="zh-CN"/>
        </w:rPr>
        <w:t>.</w:t>
      </w:r>
      <w:r w:rsidRPr="00932E2E">
        <w:rPr>
          <w:rFonts w:hint="eastAsia"/>
          <w:lang w:eastAsia="zh-CN"/>
        </w:rPr>
        <w:t xml:space="preserve"> </w:t>
      </w:r>
    </w:p>
    <w:bookmarkEnd w:id="13"/>
    <w:p w14:paraId="38583A46" w14:textId="597FC0D2" w:rsidR="00D2670C" w:rsidRPr="00E11FFC" w:rsidRDefault="00D2670C" w:rsidP="00D2670C">
      <w:pPr>
        <w:pStyle w:val="enumlev1"/>
        <w:jc w:val="both"/>
        <w:rPr>
          <w:lang w:eastAsia="zh-CN"/>
        </w:rPr>
      </w:pPr>
      <w:r w:rsidRPr="00E11FFC">
        <w:rPr>
          <w:lang w:eastAsia="zh-CN"/>
        </w:rPr>
        <w:t>11</w:t>
      </w:r>
      <w:r>
        <w:tab/>
      </w:r>
      <w:r>
        <w:rPr>
          <w:lang w:eastAsia="zh-CN"/>
        </w:rPr>
        <w:t>ITU</w:t>
      </w:r>
      <w:r>
        <w:rPr>
          <w:rFonts w:hint="eastAsia"/>
          <w:lang w:eastAsia="zh-CN"/>
        </w:rPr>
        <w:t xml:space="preserve"> continued</w:t>
      </w:r>
      <w:r>
        <w:rPr>
          <w:lang w:eastAsia="zh-CN"/>
        </w:rPr>
        <w:t xml:space="preserve"> its efforts to promote gender parity and geographic diversity across its workforce. </w:t>
      </w:r>
      <w:r>
        <w:rPr>
          <w:rFonts w:hint="eastAsia"/>
          <w:lang w:eastAsia="zh-CN"/>
        </w:rPr>
        <w:t>P</w:t>
      </w:r>
      <w:r w:rsidRPr="00F454BE">
        <w:rPr>
          <w:lang w:eastAsia="zh-CN"/>
        </w:rPr>
        <w:t xml:space="preserve">rogress has been made at the senior leadership level, with women occupying 60% of </w:t>
      </w:r>
      <w:proofErr w:type="spellStart"/>
      <w:r w:rsidRPr="00F454BE">
        <w:rPr>
          <w:lang w:eastAsia="zh-CN"/>
        </w:rPr>
        <w:t>D2</w:t>
      </w:r>
      <w:proofErr w:type="spellEnd"/>
      <w:r w:rsidRPr="00F454BE">
        <w:rPr>
          <w:lang w:eastAsia="zh-CN"/>
        </w:rPr>
        <w:t xml:space="preserve"> posts</w:t>
      </w:r>
      <w:r>
        <w:rPr>
          <w:lang w:eastAsia="zh-CN"/>
        </w:rPr>
        <w:t xml:space="preserve"> </w:t>
      </w:r>
      <w:r>
        <w:rPr>
          <w:rFonts w:hint="eastAsia"/>
          <w:lang w:eastAsia="zh-CN"/>
        </w:rPr>
        <w:t>as of</w:t>
      </w:r>
      <w:r>
        <w:rPr>
          <w:lang w:eastAsia="zh-CN"/>
        </w:rPr>
        <w:t xml:space="preserve"> </w:t>
      </w:r>
      <w:r>
        <w:rPr>
          <w:rFonts w:hint="eastAsia"/>
          <w:lang w:eastAsia="zh-CN"/>
        </w:rPr>
        <w:t xml:space="preserve">May 2025 - </w:t>
      </w:r>
      <w:r w:rsidRPr="00F454BE">
        <w:rPr>
          <w:lang w:eastAsia="zh-CN"/>
        </w:rPr>
        <w:t xml:space="preserve">an increase of 10 percentage points compared to 2023. Women </w:t>
      </w:r>
      <w:r>
        <w:rPr>
          <w:rFonts w:hint="eastAsia"/>
          <w:lang w:eastAsia="zh-CN"/>
        </w:rPr>
        <w:t>are</w:t>
      </w:r>
      <w:r w:rsidRPr="00F454BE">
        <w:rPr>
          <w:lang w:eastAsia="zh-CN"/>
        </w:rPr>
        <w:t xml:space="preserve"> </w:t>
      </w:r>
      <w:r>
        <w:rPr>
          <w:rFonts w:hint="eastAsia"/>
          <w:lang w:eastAsia="zh-CN"/>
        </w:rPr>
        <w:t xml:space="preserve">also </w:t>
      </w:r>
      <w:r w:rsidRPr="00F454BE">
        <w:rPr>
          <w:lang w:eastAsia="zh-CN"/>
        </w:rPr>
        <w:t>well-represented in</w:t>
      </w:r>
      <w:r>
        <w:rPr>
          <w:rFonts w:hint="eastAsia"/>
          <w:lang w:eastAsia="zh-CN"/>
        </w:rPr>
        <w:t xml:space="preserve"> </w:t>
      </w:r>
      <w:r w:rsidRPr="00F454BE">
        <w:rPr>
          <w:lang w:eastAsia="zh-CN"/>
        </w:rPr>
        <w:t>the junior professional level</w:t>
      </w:r>
      <w:r>
        <w:rPr>
          <w:lang w:eastAsia="zh-CN"/>
        </w:rPr>
        <w:t xml:space="preserve"> </w:t>
      </w:r>
      <w:r w:rsidRPr="000D0940">
        <w:rPr>
          <w:lang w:eastAsia="zh-CN"/>
        </w:rPr>
        <w:t>(</w:t>
      </w:r>
      <w:proofErr w:type="spellStart"/>
      <w:r w:rsidRPr="000D0940">
        <w:rPr>
          <w:rFonts w:hint="eastAsia"/>
          <w:lang w:eastAsia="zh-CN"/>
        </w:rPr>
        <w:t>P1-P2</w:t>
      </w:r>
      <w:proofErr w:type="spellEnd"/>
      <w:r w:rsidRPr="000D0940">
        <w:rPr>
          <w:lang w:eastAsia="zh-CN"/>
        </w:rPr>
        <w:t>).</w:t>
      </w:r>
      <w:r w:rsidRPr="00F454BE">
        <w:rPr>
          <w:lang w:eastAsia="zh-CN"/>
        </w:rPr>
        <w:t xml:space="preserve"> </w:t>
      </w:r>
      <w:r>
        <w:rPr>
          <w:lang w:eastAsia="zh-CN"/>
        </w:rPr>
        <w:t>W</w:t>
      </w:r>
      <w:r w:rsidRPr="005575AC">
        <w:rPr>
          <w:lang w:eastAsia="zh-CN"/>
        </w:rPr>
        <w:t xml:space="preserve">omen remain less represented at mid-to-senior professional </w:t>
      </w:r>
      <w:r w:rsidRPr="00D7518C">
        <w:rPr>
          <w:lang w:eastAsia="zh-CN"/>
        </w:rPr>
        <w:t>levels (</w:t>
      </w:r>
      <w:proofErr w:type="spellStart"/>
      <w:r w:rsidRPr="00D7518C">
        <w:rPr>
          <w:lang w:eastAsia="zh-CN"/>
        </w:rPr>
        <w:t>P3-</w:t>
      </w:r>
      <w:r w:rsidR="0A9D7E8E" w:rsidRPr="382CACE0">
        <w:rPr>
          <w:lang w:eastAsia="zh-CN"/>
        </w:rPr>
        <w:t>P</w:t>
      </w:r>
      <w:r w:rsidR="4D38D920" w:rsidRPr="382CACE0">
        <w:rPr>
          <w:lang w:eastAsia="zh-CN"/>
        </w:rPr>
        <w:t>5</w:t>
      </w:r>
      <w:proofErr w:type="spellEnd"/>
      <w:r w:rsidRPr="00D7518C">
        <w:rPr>
          <w:lang w:eastAsia="zh-CN"/>
        </w:rPr>
        <w:t>).</w:t>
      </w:r>
      <w:r w:rsidRPr="005575AC">
        <w:rPr>
          <w:lang w:eastAsia="zh-CN"/>
        </w:rPr>
        <w:t xml:space="preserve"> </w:t>
      </w:r>
      <w:r w:rsidRPr="00C276B7">
        <w:rPr>
          <w:lang w:eastAsia="zh-CN"/>
        </w:rPr>
        <w:t>Relevant activities are outlined in paragraph 4 below</w:t>
      </w:r>
      <w:r w:rsidRPr="007517DF">
        <w:rPr>
          <w:lang w:eastAsia="zh-CN"/>
        </w:rPr>
        <w:t>.</w:t>
      </w:r>
      <w:r w:rsidRPr="00932E2E">
        <w:rPr>
          <w:rFonts w:hint="eastAsia"/>
          <w:color w:val="FF0000"/>
          <w:lang w:eastAsia="zh-CN"/>
        </w:rPr>
        <w:t xml:space="preserve"> </w:t>
      </w:r>
      <w:r>
        <w:rPr>
          <w:lang w:eastAsia="zh-CN"/>
        </w:rPr>
        <w:t xml:space="preserve">ITU actively </w:t>
      </w:r>
      <w:r w:rsidRPr="003B65DF">
        <w:rPr>
          <w:lang w:eastAsia="zh-CN"/>
        </w:rPr>
        <w:t xml:space="preserve">engages in </w:t>
      </w:r>
      <w:r>
        <w:rPr>
          <w:rFonts w:hint="eastAsia"/>
          <w:lang w:eastAsia="zh-CN"/>
        </w:rPr>
        <w:t xml:space="preserve">several </w:t>
      </w:r>
      <w:r w:rsidRPr="003B65DF">
        <w:rPr>
          <w:lang w:eastAsia="zh-CN"/>
        </w:rPr>
        <w:t xml:space="preserve">activities and </w:t>
      </w:r>
      <w:r>
        <w:rPr>
          <w:rFonts w:hint="eastAsia"/>
          <w:lang w:eastAsia="zh-CN"/>
        </w:rPr>
        <w:t xml:space="preserve">joint </w:t>
      </w:r>
      <w:r w:rsidRPr="003B65DF">
        <w:rPr>
          <w:lang w:eastAsia="zh-CN"/>
        </w:rPr>
        <w:t xml:space="preserve">UN events to </w:t>
      </w:r>
      <w:r>
        <w:rPr>
          <w:rFonts w:hint="eastAsia"/>
          <w:lang w:eastAsia="zh-CN"/>
        </w:rPr>
        <w:t>attract</w:t>
      </w:r>
      <w:r w:rsidRPr="003B65DF">
        <w:rPr>
          <w:lang w:eastAsia="zh-CN"/>
        </w:rPr>
        <w:t xml:space="preserve"> women </w:t>
      </w:r>
      <w:r w:rsidR="0DA439FC" w:rsidRPr="382CACE0">
        <w:rPr>
          <w:lang w:eastAsia="zh-CN"/>
        </w:rPr>
        <w:t xml:space="preserve">to </w:t>
      </w:r>
      <w:r w:rsidRPr="003B65DF">
        <w:rPr>
          <w:lang w:eastAsia="zh-CN"/>
        </w:rPr>
        <w:t>the UN System, while participating in career fairs on a regular basis</w:t>
      </w:r>
      <w:r>
        <w:rPr>
          <w:lang w:eastAsia="zh-CN"/>
        </w:rPr>
        <w:t>. Vacancy</w:t>
      </w:r>
      <w:r>
        <w:rPr>
          <w:rFonts w:hint="eastAsia"/>
          <w:lang w:eastAsia="zh-CN"/>
        </w:rPr>
        <w:t xml:space="preserve"> notices include information</w:t>
      </w:r>
      <w:r>
        <w:rPr>
          <w:lang w:eastAsia="zh-CN"/>
        </w:rPr>
        <w:t xml:space="preserve"> </w:t>
      </w:r>
      <w:r>
        <w:rPr>
          <w:rFonts w:hint="eastAsia"/>
          <w:lang w:eastAsia="zh-CN"/>
        </w:rPr>
        <w:t xml:space="preserve">that </w:t>
      </w:r>
      <w:r>
        <w:rPr>
          <w:lang w:eastAsia="zh-CN"/>
        </w:rPr>
        <w:t>encourag</w:t>
      </w:r>
      <w:r>
        <w:rPr>
          <w:rFonts w:hint="eastAsia"/>
          <w:lang w:eastAsia="zh-CN"/>
        </w:rPr>
        <w:t>es</w:t>
      </w:r>
      <w:r>
        <w:rPr>
          <w:lang w:eastAsia="zh-CN"/>
        </w:rPr>
        <w:t xml:space="preserve"> applications from women candidates. Gender and geographic</w:t>
      </w:r>
      <w:r>
        <w:rPr>
          <w:rFonts w:hint="eastAsia"/>
          <w:lang w:eastAsia="zh-CN"/>
        </w:rPr>
        <w:t xml:space="preserve"> </w:t>
      </w:r>
      <w:r w:rsidRPr="003B65DF">
        <w:rPr>
          <w:lang w:eastAsia="zh-CN"/>
        </w:rPr>
        <w:t>distribution statistics</w:t>
      </w:r>
      <w:r>
        <w:rPr>
          <w:rFonts w:hint="eastAsia"/>
          <w:lang w:eastAsia="zh-CN"/>
        </w:rPr>
        <w:t xml:space="preserve"> </w:t>
      </w:r>
      <w:r>
        <w:rPr>
          <w:lang w:eastAsia="zh-CN"/>
        </w:rPr>
        <w:t>are tracked throughout the recruitment process.</w:t>
      </w:r>
      <w:r>
        <w:rPr>
          <w:rFonts w:hint="eastAsia"/>
          <w:lang w:eastAsia="zh-CN"/>
        </w:rPr>
        <w:t xml:space="preserve"> </w:t>
      </w:r>
      <w:r w:rsidRPr="003B65DF">
        <w:rPr>
          <w:lang w:eastAsia="zh-CN"/>
        </w:rPr>
        <w:t xml:space="preserve">ITU </w:t>
      </w:r>
      <w:r>
        <w:rPr>
          <w:rFonts w:hint="eastAsia"/>
          <w:lang w:eastAsia="zh-CN"/>
        </w:rPr>
        <w:t xml:space="preserve">also </w:t>
      </w:r>
      <w:r w:rsidRPr="003B65DF">
        <w:rPr>
          <w:lang w:eastAsia="zh-CN"/>
        </w:rPr>
        <w:t xml:space="preserve">continues to </w:t>
      </w:r>
      <w:r>
        <w:rPr>
          <w:rFonts w:hint="eastAsia"/>
          <w:lang w:eastAsia="zh-CN"/>
        </w:rPr>
        <w:t xml:space="preserve">strengthen </w:t>
      </w:r>
      <w:r w:rsidRPr="003B65DF">
        <w:rPr>
          <w:lang w:eastAsia="zh-CN"/>
        </w:rPr>
        <w:t>its outreach and talent pipeline through partnerships</w:t>
      </w:r>
      <w:r>
        <w:rPr>
          <w:rFonts w:hint="eastAsia"/>
          <w:lang w:eastAsia="zh-CN"/>
        </w:rPr>
        <w:t xml:space="preserve"> programme, as mentioned above.</w:t>
      </w:r>
    </w:p>
    <w:p w14:paraId="2BC05F02" w14:textId="15151787" w:rsidR="00D2670C" w:rsidRPr="00932E2E" w:rsidRDefault="00D2670C" w:rsidP="00D2670C">
      <w:pPr>
        <w:pStyle w:val="enumlev1"/>
        <w:jc w:val="both"/>
        <w:rPr>
          <w:lang w:eastAsia="zh-CN"/>
        </w:rPr>
      </w:pPr>
      <w:r>
        <w:t>12</w:t>
      </w:r>
      <w:r>
        <w:tab/>
      </w:r>
      <w:r w:rsidRPr="00932E2E">
        <w:t xml:space="preserve">Following approval by </w:t>
      </w:r>
      <w:r>
        <w:t>Council 2024</w:t>
      </w:r>
      <w:r w:rsidRPr="00932E2E">
        <w:t>,</w:t>
      </w:r>
      <w:r w:rsidRPr="00932E2E">
        <w:rPr>
          <w:rFonts w:hint="eastAsia"/>
          <w:lang w:eastAsia="zh-CN"/>
        </w:rPr>
        <w:t xml:space="preserve"> </w:t>
      </w:r>
      <w:r w:rsidRPr="00932E2E">
        <w:t>a second tranche of the Voluntary Separation Programme</w:t>
      </w:r>
      <w:r w:rsidRPr="00932E2E">
        <w:rPr>
          <w:rFonts w:hint="eastAsia"/>
          <w:lang w:eastAsia="zh-CN"/>
        </w:rPr>
        <w:t xml:space="preserve"> </w:t>
      </w:r>
      <w:r w:rsidRPr="00932E2E">
        <w:t>was launched in November 2024</w:t>
      </w:r>
      <w:r w:rsidRPr="00932E2E">
        <w:rPr>
          <w:rFonts w:hint="eastAsia"/>
          <w:lang w:eastAsia="zh-CN"/>
        </w:rPr>
        <w:t>,</w:t>
      </w:r>
      <w:r w:rsidRPr="00932E2E">
        <w:t xml:space="preserve"> in accordance with </w:t>
      </w:r>
      <w:r>
        <w:t>Decision 5</w:t>
      </w:r>
      <w:r w:rsidRPr="00932E2E">
        <w:t xml:space="preserve"> (Rev. Bucharest, 2022) of the Plenipotentiary Conference. The main objectives of the Programme are to provide flexibility for ITU to equip itself with additional skills and competencies, realign its structures</w:t>
      </w:r>
      <w:r w:rsidRPr="00932E2E">
        <w:rPr>
          <w:rFonts w:hint="eastAsia"/>
          <w:lang w:eastAsia="zh-CN"/>
        </w:rPr>
        <w:t>,</w:t>
      </w:r>
      <w:r w:rsidRPr="00932E2E">
        <w:t xml:space="preserve"> and optimiz</w:t>
      </w:r>
      <w:r w:rsidRPr="00932E2E">
        <w:rPr>
          <w:rFonts w:hint="eastAsia"/>
          <w:lang w:eastAsia="zh-CN"/>
        </w:rPr>
        <w:t>e</w:t>
      </w:r>
      <w:r w:rsidRPr="00932E2E">
        <w:t xml:space="preserve"> resource allocation to better fulfil its mandate</w:t>
      </w:r>
      <w:r w:rsidRPr="00932E2E">
        <w:rPr>
          <w:rFonts w:hint="eastAsia"/>
          <w:lang w:eastAsia="zh-CN"/>
        </w:rPr>
        <w:t>.</w:t>
      </w:r>
      <w:r>
        <w:rPr>
          <w:rFonts w:hint="eastAsia"/>
          <w:lang w:eastAsia="zh-CN"/>
        </w:rPr>
        <w:t xml:space="preserve"> </w:t>
      </w:r>
      <w:r w:rsidRPr="00932E2E">
        <w:rPr>
          <w:lang w:eastAsia="zh-CN"/>
        </w:rPr>
        <w:t xml:space="preserve">A total of 47 staff members submitted applications, of which 42 were endorsed by the respective </w:t>
      </w:r>
      <w:r w:rsidR="007D49F4">
        <w:rPr>
          <w:lang w:eastAsia="zh-CN"/>
        </w:rPr>
        <w:t>d</w:t>
      </w:r>
      <w:r w:rsidRPr="00932E2E">
        <w:rPr>
          <w:lang w:eastAsia="zh-CN"/>
        </w:rPr>
        <w:t xml:space="preserve">irectors and </w:t>
      </w:r>
      <w:r w:rsidR="007D49F4">
        <w:rPr>
          <w:lang w:eastAsia="zh-CN"/>
        </w:rPr>
        <w:t>c</w:t>
      </w:r>
      <w:r w:rsidRPr="00932E2E">
        <w:rPr>
          <w:lang w:eastAsia="zh-CN"/>
        </w:rPr>
        <w:t xml:space="preserve">hiefs. </w:t>
      </w:r>
      <w:r w:rsidRPr="354279BC">
        <w:rPr>
          <w:lang w:eastAsia="zh-CN"/>
        </w:rPr>
        <w:t>Following review,</w:t>
      </w:r>
      <w:r w:rsidR="00A50802" w:rsidRPr="354279BC">
        <w:rPr>
          <w:lang w:eastAsia="zh-CN"/>
        </w:rPr>
        <w:t xml:space="preserve"> the Coordination Committee (</w:t>
      </w:r>
      <w:proofErr w:type="spellStart"/>
      <w:r w:rsidR="00A50802" w:rsidRPr="354279BC">
        <w:rPr>
          <w:lang w:eastAsia="zh-CN"/>
        </w:rPr>
        <w:t>CoCo</w:t>
      </w:r>
      <w:proofErr w:type="spellEnd"/>
      <w:r w:rsidR="00A50802" w:rsidRPr="354279BC">
        <w:rPr>
          <w:lang w:eastAsia="zh-CN"/>
        </w:rPr>
        <w:t xml:space="preserve">) </w:t>
      </w:r>
      <w:r w:rsidR="002F2FA5" w:rsidRPr="354279BC">
        <w:rPr>
          <w:lang w:eastAsia="zh-CN"/>
        </w:rPr>
        <w:t xml:space="preserve">unanimously </w:t>
      </w:r>
      <w:r w:rsidR="00A50802" w:rsidRPr="354279BC">
        <w:rPr>
          <w:lang w:eastAsia="zh-CN"/>
        </w:rPr>
        <w:t>recommended to</w:t>
      </w:r>
      <w:r w:rsidRPr="00932E2E">
        <w:rPr>
          <w:lang w:eastAsia="zh-CN"/>
        </w:rPr>
        <w:t xml:space="preserve"> the Secretary-General </w:t>
      </w:r>
      <w:r w:rsidR="002F2FA5" w:rsidRPr="354279BC">
        <w:rPr>
          <w:lang w:eastAsia="zh-CN"/>
        </w:rPr>
        <w:t>the approval of</w:t>
      </w:r>
      <w:r w:rsidRPr="00932E2E">
        <w:rPr>
          <w:lang w:eastAsia="zh-CN"/>
        </w:rPr>
        <w:t xml:space="preserve"> 15 staff members for separation under the Programme. The departure of the approved staff is scheduled for 30 June 2025.</w:t>
      </w:r>
      <w:r w:rsidR="0B289CAF" w:rsidRPr="354279BC">
        <w:rPr>
          <w:lang w:eastAsia="zh-CN"/>
        </w:rPr>
        <w:t xml:space="preserve"> </w:t>
      </w:r>
    </w:p>
    <w:p w14:paraId="0E098AEC" w14:textId="2E97A897" w:rsidR="00D2670C" w:rsidRPr="00932E2E" w:rsidRDefault="00D2670C" w:rsidP="3B711DD3">
      <w:pPr>
        <w:pStyle w:val="enumlev1"/>
        <w:jc w:val="both"/>
        <w:rPr>
          <w:lang w:eastAsia="zh-CN"/>
        </w:rPr>
      </w:pPr>
      <w:r>
        <w:t>13</w:t>
      </w:r>
      <w:r>
        <w:tab/>
        <w:t xml:space="preserve">HRMD has guided and supported </w:t>
      </w:r>
      <w:r w:rsidR="1FC23E18">
        <w:t>d</w:t>
      </w:r>
      <w:r>
        <w:t xml:space="preserve">irectors and </w:t>
      </w:r>
      <w:r w:rsidR="1FC23E18">
        <w:t>m</w:t>
      </w:r>
      <w:r>
        <w:t xml:space="preserve">anagers throughout the reorganization processes over the past year. Following the presentation of the TSB reorganization to </w:t>
      </w:r>
      <w:r w:rsidR="1FC23E18">
        <w:t xml:space="preserve">the </w:t>
      </w:r>
      <w:r>
        <w:t>Council last year, the reorganization</w:t>
      </w:r>
      <w:r w:rsidRPr="493C883F">
        <w:rPr>
          <w:lang w:eastAsia="zh-CN"/>
        </w:rPr>
        <w:t>s</w:t>
      </w:r>
      <w:r>
        <w:t xml:space="preserve"> of BDT</w:t>
      </w:r>
      <w:r w:rsidRPr="493C883F">
        <w:rPr>
          <w:lang w:eastAsia="zh-CN"/>
        </w:rPr>
        <w:t xml:space="preserve"> and</w:t>
      </w:r>
      <w:r>
        <w:t xml:space="preserve"> </w:t>
      </w:r>
      <w:r w:rsidRPr="493C883F">
        <w:rPr>
          <w:lang w:val="en-US"/>
        </w:rPr>
        <w:t>one BR department</w:t>
      </w:r>
      <w:r w:rsidRPr="493C883F">
        <w:rPr>
          <w:lang w:val="en-US" w:eastAsia="zh-CN"/>
        </w:rPr>
        <w:t xml:space="preserve"> </w:t>
      </w:r>
      <w:r w:rsidRPr="493C883F">
        <w:rPr>
          <w:lang w:eastAsia="zh-CN"/>
        </w:rPr>
        <w:t>were</w:t>
      </w:r>
      <w:r>
        <w:t xml:space="preserve"> completed later in the year without requiring reporting to the Council. In Quarter 2, HRMD initiated the reorganization of the General Secretariat,</w:t>
      </w:r>
      <w:r w:rsidR="47B8CF8A">
        <w:t xml:space="preserve"> </w:t>
      </w:r>
      <w:r w:rsidR="79B002CD">
        <w:t>endorsed</w:t>
      </w:r>
      <w:r w:rsidR="64D269E9">
        <w:t xml:space="preserve"> </w:t>
      </w:r>
      <w:r w:rsidR="79B002CD">
        <w:t>by the Coordination Committee (</w:t>
      </w:r>
      <w:proofErr w:type="spellStart"/>
      <w:r w:rsidR="79B002CD">
        <w:t>CoCo</w:t>
      </w:r>
      <w:proofErr w:type="spellEnd"/>
      <w:r w:rsidR="79B002CD">
        <w:t xml:space="preserve">), </w:t>
      </w:r>
      <w:r>
        <w:t xml:space="preserve">based on </w:t>
      </w:r>
      <w:r w:rsidR="3C1D446D">
        <w:t xml:space="preserve">the recommendations of </w:t>
      </w:r>
      <w:r>
        <w:t xml:space="preserve">a </w:t>
      </w:r>
      <w:r w:rsidR="56FD8C10">
        <w:t>review</w:t>
      </w:r>
      <w:r w:rsidR="00306237">
        <w:t xml:space="preserve"> </w:t>
      </w:r>
      <w:r w:rsidR="38C406E3">
        <w:t>conducted</w:t>
      </w:r>
      <w:r>
        <w:t xml:space="preserve"> by Dalberg</w:t>
      </w:r>
      <w:r w:rsidR="00306237">
        <w:t>.</w:t>
      </w:r>
      <w:r>
        <w:t xml:space="preserve"> Implementation is underway within existing budgetary resources, with an emphasis on achieving efficiencies and optimizing staff costs. In parallel, ITU is developing a plan to enhance its regional office presence </w:t>
      </w:r>
      <w:r w:rsidR="27256C2D">
        <w:t>(through mobility and rotation</w:t>
      </w:r>
      <w:r w:rsidR="003FC33B">
        <w:t>)</w:t>
      </w:r>
      <w:r w:rsidR="00306237">
        <w:t xml:space="preserve"> </w:t>
      </w:r>
      <w:r>
        <w:t>to better serve its beneficiaries</w:t>
      </w:r>
      <w:r w:rsidRPr="493C883F">
        <w:rPr>
          <w:lang w:eastAsia="zh-CN"/>
        </w:rPr>
        <w:t>.</w:t>
      </w:r>
    </w:p>
    <w:p w14:paraId="274A8F71" w14:textId="77777777" w:rsidR="00D2670C" w:rsidRPr="002D031A" w:rsidRDefault="00D2670C" w:rsidP="008259C8">
      <w:pPr>
        <w:pStyle w:val="Headingb"/>
        <w:spacing w:before="240"/>
      </w:pPr>
      <w:r w:rsidRPr="002D031A">
        <w:t>Culture: Establishing a culture where people feel safe, valued, and able to deliver to their best</w:t>
      </w:r>
    </w:p>
    <w:p w14:paraId="726DB07F" w14:textId="1E33847F" w:rsidR="00D2670C" w:rsidRPr="00C60B93" w:rsidRDefault="005037B7" w:rsidP="00D2670C">
      <w:pPr>
        <w:jc w:val="both"/>
        <w:rPr>
          <w:lang w:eastAsia="zh-CN"/>
        </w:rPr>
      </w:pPr>
      <w:r>
        <w:rPr>
          <w:lang w:eastAsia="zh-CN"/>
        </w:rPr>
        <w:t xml:space="preserve">Culture, the second pillar of the </w:t>
      </w:r>
      <w:proofErr w:type="spellStart"/>
      <w:r>
        <w:rPr>
          <w:lang w:eastAsia="zh-CN"/>
        </w:rPr>
        <w:t>HRTP</w:t>
      </w:r>
      <w:proofErr w:type="spellEnd"/>
      <w:r>
        <w:rPr>
          <w:lang w:eastAsia="zh-CN"/>
        </w:rPr>
        <w:t xml:space="preserve"> recognises ITU’s commitment </w:t>
      </w:r>
      <w:r w:rsidR="00D2670C" w:rsidRPr="00C60B93">
        <w:rPr>
          <w:lang w:eastAsia="zh-CN"/>
        </w:rPr>
        <w:t xml:space="preserve">to fostering </w:t>
      </w:r>
      <w:r w:rsidR="00D2670C" w:rsidRPr="00136D7B">
        <w:rPr>
          <w:lang w:eastAsia="zh-CN"/>
        </w:rPr>
        <w:t>an inclusive culture, shaped by strong facilitative leadership, in a respectful, ethical, and fair workplace where people feel safe, trusted, valued, and able to perform at their best</w:t>
      </w:r>
      <w:r w:rsidR="00D2670C" w:rsidRPr="00C60B93">
        <w:rPr>
          <w:lang w:eastAsia="zh-CN"/>
        </w:rPr>
        <w:t>.</w:t>
      </w:r>
      <w:r w:rsidR="00D2670C" w:rsidRPr="000D6A22">
        <w:rPr>
          <w:rFonts w:hint="eastAsia"/>
          <w:lang w:eastAsia="zh-CN"/>
        </w:rPr>
        <w:t xml:space="preserve"> </w:t>
      </w:r>
      <w:r w:rsidR="00D2670C" w:rsidRPr="00C60B93">
        <w:rPr>
          <w:lang w:eastAsia="zh-CN"/>
        </w:rPr>
        <w:t xml:space="preserve">Creating such an </w:t>
      </w:r>
      <w:r w:rsidR="00D2670C" w:rsidRPr="008259C8">
        <w:rPr>
          <w:spacing w:val="-2"/>
          <w:lang w:eastAsia="zh-CN"/>
        </w:rPr>
        <w:t>environment inspires creativity, psychological safety, high performance, and staff engagement.</w:t>
      </w:r>
    </w:p>
    <w:p w14:paraId="7518FF28" w14:textId="0783EE7C" w:rsidR="00D2670C" w:rsidRPr="00C60B93" w:rsidRDefault="00CB7826" w:rsidP="00D2670C">
      <w:pPr>
        <w:jc w:val="both"/>
        <w:rPr>
          <w:lang w:eastAsia="zh-CN"/>
        </w:rPr>
      </w:pPr>
      <w:r w:rsidRPr="006C519C">
        <w:rPr>
          <w:lang w:eastAsia="zh-CN"/>
        </w:rPr>
        <w:t xml:space="preserve">The </w:t>
      </w:r>
      <w:proofErr w:type="spellStart"/>
      <w:r w:rsidRPr="006C519C">
        <w:rPr>
          <w:lang w:eastAsia="zh-CN"/>
        </w:rPr>
        <w:t>HRTP</w:t>
      </w:r>
      <w:proofErr w:type="spellEnd"/>
      <w:r w:rsidR="00D2670C" w:rsidRPr="00CB7826">
        <w:rPr>
          <w:lang w:eastAsia="zh-CN"/>
        </w:rPr>
        <w:t xml:space="preserve"> prioritize</w:t>
      </w:r>
      <w:r w:rsidR="00D2670C" w:rsidRPr="00CB7826">
        <w:rPr>
          <w:rFonts w:hint="eastAsia"/>
          <w:lang w:eastAsia="zh-CN"/>
        </w:rPr>
        <w:t>s</w:t>
      </w:r>
      <w:r w:rsidR="00D2670C" w:rsidRPr="00C60B93">
        <w:rPr>
          <w:lang w:eastAsia="zh-CN"/>
        </w:rPr>
        <w:t xml:space="preserve"> conditions of service, well-being, and work-life balance through occupational and mental health support measures and family-friendly policies.</w:t>
      </w:r>
    </w:p>
    <w:p w14:paraId="5B0187A8" w14:textId="30A08B55" w:rsidR="00D2670C" w:rsidRDefault="00D2670C" w:rsidP="00D2670C">
      <w:pPr>
        <w:jc w:val="both"/>
        <w:rPr>
          <w:lang w:eastAsia="zh-CN"/>
        </w:rPr>
      </w:pPr>
      <w:r w:rsidRPr="000D6A22">
        <w:rPr>
          <w:lang w:eastAsia="zh-CN"/>
        </w:rPr>
        <w:t>Additionally, ITU strives to be an accessible and attractive employer for all</w:t>
      </w:r>
      <w:r w:rsidRPr="00C60B93">
        <w:rPr>
          <w:lang w:eastAsia="zh-CN"/>
        </w:rPr>
        <w:t>.</w:t>
      </w:r>
    </w:p>
    <w:p w14:paraId="64BE280C" w14:textId="77777777" w:rsidR="00D2670C" w:rsidRPr="00B844FA" w:rsidRDefault="00D2670C" w:rsidP="00D2670C">
      <w:pPr>
        <w:jc w:val="both"/>
        <w:rPr>
          <w:lang w:eastAsia="zh-CN"/>
        </w:rPr>
      </w:pPr>
      <w:r w:rsidRPr="00B844FA">
        <w:lastRenderedPageBreak/>
        <w:t>Key highlights:</w:t>
      </w:r>
    </w:p>
    <w:p w14:paraId="6E134367" w14:textId="1A0E1A97" w:rsidR="00D2670C" w:rsidRPr="00932E2E" w:rsidRDefault="00D2670C" w:rsidP="00D2670C">
      <w:pPr>
        <w:pStyle w:val="enumlev1"/>
        <w:jc w:val="both"/>
      </w:pPr>
      <w:r w:rsidRPr="0065605B">
        <w:t>1</w:t>
      </w:r>
      <w:r w:rsidRPr="0065605B">
        <w:tab/>
      </w:r>
      <w:r w:rsidRPr="00932E2E">
        <w:t>In November 2024, a Memorandum of Understanding (MoU) was signed between ITU, WIPO, and the United Nations Office of the Mediation Services (</w:t>
      </w:r>
      <w:proofErr w:type="spellStart"/>
      <w:r w:rsidRPr="00932E2E">
        <w:t>UNOMS</w:t>
      </w:r>
      <w:proofErr w:type="spellEnd"/>
      <w:r w:rsidRPr="00932E2E">
        <w:t xml:space="preserve">) to formalize the outsourcing of the Ombudsman function. Through this collaborative arrangement with WIPO, ITU </w:t>
      </w:r>
      <w:r w:rsidR="5B47D24E">
        <w:t>will leverage</w:t>
      </w:r>
      <w:r w:rsidRPr="00932E2E">
        <w:t xml:space="preserve"> shared UN resources to ensure cost-effective access to high-quality, independent ombudsman and mediation services. A formal Service Order establishing the Ombudsman Function within ITU is scheduled for issuance in 2025.</w:t>
      </w:r>
    </w:p>
    <w:p w14:paraId="740DA799" w14:textId="6B60D0E1" w:rsidR="00D2670C" w:rsidRPr="00932E2E" w:rsidRDefault="00D2670C" w:rsidP="00D2670C">
      <w:pPr>
        <w:pStyle w:val="enumlev1"/>
        <w:jc w:val="both"/>
        <w:rPr>
          <w:lang w:eastAsia="zh-CN"/>
        </w:rPr>
      </w:pPr>
      <w:r w:rsidRPr="0079478E">
        <w:rPr>
          <w:lang w:eastAsia="zh-CN"/>
        </w:rPr>
        <w:t>2</w:t>
      </w:r>
      <w:r w:rsidRPr="0079478E">
        <w:rPr>
          <w:lang w:eastAsia="zh-CN"/>
        </w:rPr>
        <w:tab/>
      </w:r>
      <w:r w:rsidRPr="00932E2E">
        <w:rPr>
          <w:lang w:eastAsia="zh-CN"/>
        </w:rPr>
        <w:t>ITU launched its first</w:t>
      </w:r>
      <w:r w:rsidRPr="00932E2E">
        <w:rPr>
          <w:rFonts w:hint="eastAsia"/>
          <w:lang w:eastAsia="zh-CN"/>
        </w:rPr>
        <w:t>-</w:t>
      </w:r>
      <w:r w:rsidRPr="00932E2E">
        <w:rPr>
          <w:lang w:eastAsia="zh-CN"/>
        </w:rPr>
        <w:t xml:space="preserve">ever Employee Engagement Survey (EES) in </w:t>
      </w:r>
      <w:r w:rsidRPr="00932E2E">
        <w:rPr>
          <w:rFonts w:hint="eastAsia"/>
          <w:lang w:eastAsia="zh-CN"/>
        </w:rPr>
        <w:t xml:space="preserve">January 2025. </w:t>
      </w:r>
      <w:r w:rsidRPr="00932E2E">
        <w:rPr>
          <w:lang w:eastAsia="zh-CN"/>
        </w:rPr>
        <w:t xml:space="preserve">The </w:t>
      </w:r>
      <w:r w:rsidRPr="00932E2E">
        <w:rPr>
          <w:rFonts w:hint="eastAsia"/>
          <w:lang w:eastAsia="zh-CN"/>
        </w:rPr>
        <w:t>survey aim</w:t>
      </w:r>
      <w:r w:rsidRPr="00932E2E">
        <w:rPr>
          <w:lang w:eastAsia="zh-CN"/>
        </w:rPr>
        <w:t>s to understand</w:t>
      </w:r>
      <w:r w:rsidRPr="00932E2E">
        <w:rPr>
          <w:rFonts w:hint="eastAsia"/>
          <w:lang w:eastAsia="zh-CN"/>
        </w:rPr>
        <w:t xml:space="preserve"> </w:t>
      </w:r>
      <w:r w:rsidRPr="00932E2E">
        <w:rPr>
          <w:lang w:eastAsia="zh-CN"/>
        </w:rPr>
        <w:t>employees</w:t>
      </w:r>
      <w:r w:rsidR="007D49F4">
        <w:rPr>
          <w:lang w:eastAsia="zh-CN"/>
        </w:rPr>
        <w:t>’</w:t>
      </w:r>
      <w:r w:rsidRPr="00932E2E">
        <w:rPr>
          <w:lang w:eastAsia="zh-CN"/>
        </w:rPr>
        <w:t xml:space="preserve"> level of commitment, motivation</w:t>
      </w:r>
      <w:r w:rsidR="007D49F4">
        <w:rPr>
          <w:lang w:eastAsia="zh-CN"/>
        </w:rPr>
        <w:t>,</w:t>
      </w:r>
      <w:r w:rsidRPr="00932E2E">
        <w:rPr>
          <w:lang w:eastAsia="zh-CN"/>
        </w:rPr>
        <w:t xml:space="preserve"> and</w:t>
      </w:r>
      <w:r w:rsidRPr="00932E2E">
        <w:rPr>
          <w:rFonts w:hint="eastAsia"/>
          <w:lang w:eastAsia="zh-CN"/>
        </w:rPr>
        <w:t xml:space="preserve"> </w:t>
      </w:r>
      <w:r w:rsidRPr="00932E2E">
        <w:rPr>
          <w:lang w:eastAsia="zh-CN"/>
        </w:rPr>
        <w:t>connection with work and the organization</w:t>
      </w:r>
      <w:r w:rsidRPr="00932E2E">
        <w:rPr>
          <w:rFonts w:hint="eastAsia"/>
          <w:lang w:eastAsia="zh-CN"/>
        </w:rPr>
        <w:t>, d</w:t>
      </w:r>
      <w:r w:rsidRPr="00932E2E">
        <w:rPr>
          <w:lang w:eastAsia="zh-CN"/>
        </w:rPr>
        <w:t>rive efficiency and effectiveness within ITU</w:t>
      </w:r>
      <w:r w:rsidRPr="00932E2E">
        <w:rPr>
          <w:rFonts w:hint="eastAsia"/>
          <w:lang w:eastAsia="zh-CN"/>
        </w:rPr>
        <w:t>, and p</w:t>
      </w:r>
      <w:r w:rsidRPr="00932E2E">
        <w:rPr>
          <w:lang w:eastAsia="zh-CN"/>
        </w:rPr>
        <w:t xml:space="preserve">inpoint areas </w:t>
      </w:r>
      <w:r w:rsidRPr="00932E2E">
        <w:rPr>
          <w:rFonts w:hint="eastAsia"/>
          <w:lang w:eastAsia="zh-CN"/>
        </w:rPr>
        <w:t>of strength</w:t>
      </w:r>
      <w:r w:rsidRPr="00932E2E">
        <w:rPr>
          <w:lang w:eastAsia="zh-CN"/>
        </w:rPr>
        <w:t xml:space="preserve"> and areas </w:t>
      </w:r>
      <w:r w:rsidRPr="00932E2E">
        <w:rPr>
          <w:rFonts w:hint="eastAsia"/>
          <w:lang w:eastAsia="zh-CN"/>
        </w:rPr>
        <w:t>for improvement</w:t>
      </w:r>
      <w:r w:rsidRPr="00932E2E">
        <w:rPr>
          <w:lang w:eastAsia="zh-CN"/>
        </w:rPr>
        <w:t xml:space="preserve"> in workplace culture, management practices and operational efficiency.</w:t>
      </w:r>
      <w:r w:rsidRPr="00932E2E">
        <w:rPr>
          <w:rFonts w:hint="eastAsia"/>
          <w:lang w:eastAsia="zh-CN"/>
        </w:rPr>
        <w:t xml:space="preserve"> </w:t>
      </w:r>
      <w:r w:rsidRPr="00932E2E">
        <w:rPr>
          <w:lang w:eastAsia="zh-CN"/>
        </w:rPr>
        <w:t>The survey achieved a response rate of 72 per cent</w:t>
      </w:r>
      <w:r w:rsidRPr="00932E2E">
        <w:rPr>
          <w:rFonts w:hint="eastAsia"/>
          <w:lang w:eastAsia="zh-CN"/>
        </w:rPr>
        <w:t xml:space="preserve">. </w:t>
      </w:r>
      <w:r w:rsidRPr="00932E2E">
        <w:rPr>
          <w:lang w:eastAsia="zh-CN"/>
        </w:rPr>
        <w:t xml:space="preserve">The data </w:t>
      </w:r>
      <w:r w:rsidRPr="00932E2E">
        <w:rPr>
          <w:rFonts w:hint="eastAsia"/>
          <w:lang w:eastAsia="zh-CN"/>
        </w:rPr>
        <w:t>has helped</w:t>
      </w:r>
      <w:r w:rsidRPr="00932E2E">
        <w:rPr>
          <w:lang w:eastAsia="zh-CN"/>
        </w:rPr>
        <w:t xml:space="preserve"> identify immediate priorit</w:t>
      </w:r>
      <w:r w:rsidRPr="00932E2E">
        <w:rPr>
          <w:rFonts w:hint="eastAsia"/>
          <w:lang w:eastAsia="zh-CN"/>
        </w:rPr>
        <w:t>ies for action</w:t>
      </w:r>
      <w:r w:rsidRPr="00932E2E">
        <w:rPr>
          <w:lang w:eastAsia="zh-CN"/>
        </w:rPr>
        <w:t>. ITU-wide and Bureau-level teams are mobilized to drive the action planning at a grassroot level, with ongoing tracking of progress.</w:t>
      </w:r>
    </w:p>
    <w:p w14:paraId="4AE3890D" w14:textId="2A1EDD1C" w:rsidR="00D2670C" w:rsidRPr="00932E2E" w:rsidRDefault="00D2670C" w:rsidP="00D2670C">
      <w:pPr>
        <w:pStyle w:val="enumlev1"/>
        <w:jc w:val="both"/>
      </w:pPr>
      <w:r w:rsidRPr="00A94CDC">
        <w:t>3</w:t>
      </w:r>
      <w:r w:rsidRPr="00A94CDC">
        <w:tab/>
      </w:r>
      <w:r w:rsidRPr="00932E2E">
        <w:t>The Leadership</w:t>
      </w:r>
      <w:r w:rsidRPr="00932E2E">
        <w:rPr>
          <w:rFonts w:hint="eastAsia"/>
          <w:lang w:eastAsia="zh-CN"/>
        </w:rPr>
        <w:t xml:space="preserve"> </w:t>
      </w:r>
      <w:r w:rsidRPr="00932E2E">
        <w:rPr>
          <w:lang w:eastAsia="zh-CN"/>
        </w:rPr>
        <w:t>development</w:t>
      </w:r>
      <w:r w:rsidRPr="00932E2E">
        <w:rPr>
          <w:rFonts w:hint="eastAsia"/>
          <w:lang w:eastAsia="zh-CN"/>
        </w:rPr>
        <w:t xml:space="preserve"> </w:t>
      </w:r>
      <w:r w:rsidRPr="00932E2E">
        <w:t>program</w:t>
      </w:r>
      <w:r w:rsidRPr="00932E2E">
        <w:rPr>
          <w:rFonts w:hint="eastAsia"/>
          <w:lang w:eastAsia="zh-CN"/>
        </w:rPr>
        <w:t>me</w:t>
      </w:r>
      <w:r w:rsidRPr="00932E2E">
        <w:t xml:space="preserve"> was </w:t>
      </w:r>
      <w:r w:rsidRPr="00932E2E">
        <w:rPr>
          <w:lang w:eastAsia="zh-CN"/>
        </w:rPr>
        <w:t>launched</w:t>
      </w:r>
      <w:r w:rsidRPr="00932E2E">
        <w:rPr>
          <w:rFonts w:hint="eastAsia"/>
          <w:lang w:eastAsia="zh-CN"/>
        </w:rPr>
        <w:t xml:space="preserve"> </w:t>
      </w:r>
      <w:r w:rsidRPr="00932E2E">
        <w:rPr>
          <w:lang w:eastAsia="zh-CN"/>
        </w:rPr>
        <w:t>in</w:t>
      </w:r>
      <w:r w:rsidRPr="00932E2E">
        <w:rPr>
          <w:rFonts w:hint="eastAsia"/>
          <w:lang w:eastAsia="zh-CN"/>
        </w:rPr>
        <w:t xml:space="preserve"> November</w:t>
      </w:r>
      <w:r w:rsidRPr="00932E2E">
        <w:rPr>
          <w:lang w:eastAsia="zh-CN"/>
        </w:rPr>
        <w:t xml:space="preserve"> 202</w:t>
      </w:r>
      <w:r w:rsidRPr="00932E2E">
        <w:rPr>
          <w:rFonts w:hint="eastAsia"/>
          <w:lang w:eastAsia="zh-CN"/>
        </w:rPr>
        <w:t xml:space="preserve">4. </w:t>
      </w:r>
      <w:r w:rsidRPr="00932E2E">
        <w:t xml:space="preserve">It was designed to </w:t>
      </w:r>
      <w:r w:rsidRPr="00932E2E">
        <w:rPr>
          <w:rFonts w:hint="eastAsia"/>
          <w:lang w:eastAsia="zh-CN"/>
        </w:rPr>
        <w:t>b</w:t>
      </w:r>
      <w:r w:rsidRPr="00932E2E">
        <w:t xml:space="preserve">uild managers’ knowledge and skills to </w:t>
      </w:r>
      <w:r w:rsidRPr="00932E2E">
        <w:rPr>
          <w:rFonts w:hint="eastAsia"/>
          <w:lang w:eastAsia="zh-CN"/>
        </w:rPr>
        <w:t>enhance</w:t>
      </w:r>
      <w:r w:rsidRPr="00932E2E">
        <w:t xml:space="preserve"> inclusiveness, collaboration, respect, and well-being across the Union.</w:t>
      </w:r>
      <w:r w:rsidRPr="00760968">
        <w:t xml:space="preserve"> </w:t>
      </w:r>
      <w:r w:rsidRPr="00932E2E">
        <w:t>The programme includes</w:t>
      </w:r>
      <w:r w:rsidRPr="00932E2E">
        <w:rPr>
          <w:rFonts w:hint="eastAsia"/>
          <w:lang w:eastAsia="zh-CN"/>
        </w:rPr>
        <w:t xml:space="preserve"> </w:t>
      </w:r>
      <w:r w:rsidRPr="00932E2E">
        <w:rPr>
          <w:lang w:eastAsia="zh-CN"/>
        </w:rPr>
        <w:t xml:space="preserve">Inclusive Leadership </w:t>
      </w:r>
      <w:r w:rsidRPr="00932E2E">
        <w:rPr>
          <w:rFonts w:hint="eastAsia"/>
          <w:lang w:eastAsia="zh-CN"/>
        </w:rPr>
        <w:t xml:space="preserve">course </w:t>
      </w:r>
      <w:r w:rsidRPr="00932E2E">
        <w:rPr>
          <w:lang w:eastAsia="zh-CN"/>
        </w:rPr>
        <w:t xml:space="preserve">for </w:t>
      </w:r>
      <w:proofErr w:type="spellStart"/>
      <w:r w:rsidRPr="354279BC">
        <w:rPr>
          <w:lang w:eastAsia="zh-CN"/>
        </w:rPr>
        <w:t>P</w:t>
      </w:r>
      <w:r w:rsidR="49B6BD8D" w:rsidRPr="354279BC">
        <w:rPr>
          <w:lang w:eastAsia="zh-CN"/>
        </w:rPr>
        <w:t>4</w:t>
      </w:r>
      <w:proofErr w:type="spellEnd"/>
      <w:r w:rsidRPr="00932E2E">
        <w:rPr>
          <w:lang w:eastAsia="zh-CN"/>
        </w:rPr>
        <w:t xml:space="preserve"> and above, Senior Leadership for the Senior Management Team, Adaptive Leadership for mid- and senior-level teams, and the Future ITU Leaders initiative targeting </w:t>
      </w:r>
      <w:proofErr w:type="spellStart"/>
      <w:r w:rsidRPr="00932E2E">
        <w:rPr>
          <w:lang w:eastAsia="zh-CN"/>
        </w:rPr>
        <w:t>ChangeMakers</w:t>
      </w:r>
      <w:proofErr w:type="spellEnd"/>
      <w:r w:rsidRPr="00932E2E">
        <w:rPr>
          <w:lang w:eastAsia="zh-CN"/>
        </w:rPr>
        <w:t xml:space="preserve"> and Young Professionals</w:t>
      </w:r>
      <w:r w:rsidRPr="00932E2E">
        <w:rPr>
          <w:rFonts w:hint="eastAsia"/>
          <w:lang w:eastAsia="zh-CN"/>
        </w:rPr>
        <w:t xml:space="preserve">. </w:t>
      </w:r>
      <w:r w:rsidRPr="00932E2E">
        <w:t xml:space="preserve">The </w:t>
      </w:r>
      <w:r w:rsidRPr="00932E2E">
        <w:rPr>
          <w:rFonts w:hint="eastAsia"/>
          <w:lang w:eastAsia="zh-CN"/>
        </w:rPr>
        <w:t>programme</w:t>
      </w:r>
      <w:r w:rsidRPr="00932E2E">
        <w:t xml:space="preserve"> builds on</w:t>
      </w:r>
      <w:r w:rsidRPr="00932E2E">
        <w:rPr>
          <w:rFonts w:hint="eastAsia"/>
          <w:lang w:eastAsia="zh-CN"/>
        </w:rPr>
        <w:t xml:space="preserve"> </w:t>
      </w:r>
      <w:r w:rsidRPr="00932E2E">
        <w:t xml:space="preserve">the Senior Management Retreat </w:t>
      </w:r>
      <w:r w:rsidRPr="00932E2E">
        <w:rPr>
          <w:rFonts w:hint="eastAsia"/>
          <w:lang w:eastAsia="zh-CN"/>
        </w:rPr>
        <w:t xml:space="preserve">and </w:t>
      </w:r>
      <w:r w:rsidRPr="00932E2E">
        <w:t>responds to the outcomes of the Employee Engagement Survey.</w:t>
      </w:r>
    </w:p>
    <w:p w14:paraId="160D83ED" w14:textId="5944F601" w:rsidR="00D2670C" w:rsidRPr="00932E2E" w:rsidRDefault="00D2670C" w:rsidP="00D2670C">
      <w:pPr>
        <w:pStyle w:val="enumlev1"/>
        <w:jc w:val="both"/>
      </w:pPr>
      <w:r w:rsidRPr="000730BC">
        <w:t>4</w:t>
      </w:r>
      <w:r w:rsidRPr="000730BC">
        <w:tab/>
      </w:r>
      <w:r w:rsidRPr="00932E2E">
        <w:rPr>
          <w:rFonts w:hint="eastAsia"/>
          <w:lang w:eastAsia="zh-CN"/>
        </w:rPr>
        <w:t>A</w:t>
      </w:r>
      <w:r w:rsidRPr="00932E2E">
        <w:t xml:space="preserve"> new</w:t>
      </w:r>
      <w:r w:rsidRPr="00932E2E">
        <w:rPr>
          <w:rFonts w:hint="eastAsia"/>
          <w:lang w:eastAsia="zh-CN"/>
        </w:rPr>
        <w:t xml:space="preserve"> </w:t>
      </w:r>
      <w:r w:rsidRPr="00932E2E">
        <w:t xml:space="preserve">Mandatory Learning Policy was introduced </w:t>
      </w:r>
      <w:r w:rsidRPr="00932E2E">
        <w:rPr>
          <w:rFonts w:hint="eastAsia"/>
          <w:lang w:eastAsia="zh-CN"/>
        </w:rPr>
        <w:t>in August 2024</w:t>
      </w:r>
      <w:r w:rsidRPr="00932E2E">
        <w:rPr>
          <w:rFonts w:hint="eastAsia"/>
          <w:lang w:val="en-US" w:eastAsia="zh-CN"/>
        </w:rPr>
        <w:t xml:space="preserve"> </w:t>
      </w:r>
      <w:r w:rsidRPr="00932E2E">
        <w:rPr>
          <w:lang w:val="en-US"/>
        </w:rPr>
        <w:t xml:space="preserve">to reinforce ITU’s organizational culture and promote a shared understanding of expected standards of conduct. By aligning everyone with ITU and UN core values </w:t>
      </w:r>
      <w:r w:rsidRPr="00932E2E">
        <w:rPr>
          <w:rFonts w:hint="eastAsia"/>
          <w:lang w:val="en-US" w:eastAsia="zh-CN"/>
        </w:rPr>
        <w:t xml:space="preserve">and </w:t>
      </w:r>
      <w:r w:rsidRPr="00932E2E">
        <w:rPr>
          <w:lang w:val="en-US"/>
        </w:rPr>
        <w:t>operational principles, we create a more cohesive, informed, and accountable workforce.</w:t>
      </w:r>
      <w:r w:rsidRPr="00932E2E">
        <w:rPr>
          <w:rFonts w:hint="eastAsia"/>
          <w:lang w:val="en-US" w:eastAsia="zh-CN"/>
        </w:rPr>
        <w:t xml:space="preserve"> </w:t>
      </w:r>
      <w:r w:rsidRPr="00932E2E">
        <w:t xml:space="preserve">The mandatory trainings cover the essential topics </w:t>
      </w:r>
      <w:r w:rsidRPr="00932E2E">
        <w:rPr>
          <w:rFonts w:hint="eastAsia"/>
          <w:lang w:eastAsia="zh-CN"/>
        </w:rPr>
        <w:t xml:space="preserve">including </w:t>
      </w:r>
      <w:r w:rsidRPr="00932E2E">
        <w:t>ethical conduct, information security, environmental sustainability, gender, prevention of sexual exploitation and abuse, prevention of sexual harassment, and mission safety travel.</w:t>
      </w:r>
      <w:r w:rsidRPr="00932E2E">
        <w:rPr>
          <w:rFonts w:hint="eastAsia"/>
          <w:lang w:eastAsia="zh-CN"/>
        </w:rPr>
        <w:t xml:space="preserve"> </w:t>
      </w:r>
      <w:r w:rsidRPr="00932E2E">
        <w:rPr>
          <w:lang w:eastAsia="zh-CN"/>
        </w:rPr>
        <w:t>Integrated into performance</w:t>
      </w:r>
      <w:r w:rsidRPr="00932E2E">
        <w:rPr>
          <w:rFonts w:hint="eastAsia"/>
          <w:lang w:eastAsia="zh-CN"/>
        </w:rPr>
        <w:t xml:space="preserve"> </w:t>
      </w:r>
      <w:r w:rsidRPr="00932E2E">
        <w:rPr>
          <w:lang w:eastAsia="zh-CN"/>
        </w:rPr>
        <w:t xml:space="preserve">evaluations and tracked through a dedicated dashboard, these trainings </w:t>
      </w:r>
      <w:r w:rsidRPr="00932E2E">
        <w:rPr>
          <w:rFonts w:hint="eastAsia"/>
          <w:lang w:eastAsia="zh-CN"/>
        </w:rPr>
        <w:t xml:space="preserve">support </w:t>
      </w:r>
      <w:r w:rsidRPr="00932E2E">
        <w:rPr>
          <w:lang w:eastAsia="zh-CN"/>
        </w:rPr>
        <w:t>continuous learning and alignment with ITU’s strategic objectives.</w:t>
      </w:r>
    </w:p>
    <w:p w14:paraId="1F8AEA86" w14:textId="58015D54" w:rsidR="00D2670C" w:rsidRPr="00932E2E" w:rsidRDefault="00D2670C" w:rsidP="00FA71A0">
      <w:pPr>
        <w:pStyle w:val="enumlev1"/>
        <w:spacing w:line="259" w:lineRule="auto"/>
        <w:jc w:val="both"/>
      </w:pPr>
      <w:r w:rsidRPr="00E16A5B">
        <w:t>5</w:t>
      </w:r>
      <w:r w:rsidRPr="00E16A5B">
        <w:tab/>
      </w:r>
      <w:r w:rsidRPr="00932E2E">
        <w:t xml:space="preserve">ITU developed </w:t>
      </w:r>
      <w:r w:rsidRPr="00932E2E">
        <w:rPr>
          <w:rFonts w:hint="eastAsia"/>
          <w:lang w:eastAsia="zh-CN"/>
        </w:rPr>
        <w:t>a</w:t>
      </w:r>
      <w:r w:rsidRPr="00932E2E">
        <w:t xml:space="preserve"> Gender Parity Implementation Plan 2025-2027, reinforcing its vision for inclusivity and equal opportunity. </w:t>
      </w:r>
      <w:r w:rsidR="0A9D7E8E">
        <w:t>The plan</w:t>
      </w:r>
      <w:r w:rsidR="72EF9B0D">
        <w:t xml:space="preserve"> is rooted in ITU’s</w:t>
      </w:r>
      <w:r w:rsidR="4DDF8944">
        <w:t xml:space="preserve"> Gender </w:t>
      </w:r>
      <w:r w:rsidR="44E0E42C">
        <w:t>Parity Strategy</w:t>
      </w:r>
      <w:r w:rsidR="0DEDB454">
        <w:t xml:space="preserve"> e</w:t>
      </w:r>
      <w:r w:rsidR="4DDF8944">
        <w:t xml:space="preserve">ndorsed by the Council in 2018, supports the objectives of the United Nations </w:t>
      </w:r>
      <w:r w:rsidR="34523F9E">
        <w:t>S</w:t>
      </w:r>
      <w:r w:rsidR="4DDF8944">
        <w:t>ystem</w:t>
      </w:r>
      <w:r w:rsidR="4901DCB3">
        <w:t>-</w:t>
      </w:r>
      <w:r w:rsidR="4DDF8944">
        <w:t>wide Gender Parity Strategy</w:t>
      </w:r>
      <w:r w:rsidR="11907DBD">
        <w:t>,</w:t>
      </w:r>
      <w:r w:rsidR="6A35B3AA">
        <w:t xml:space="preserve"> aligns with the 2024 Council document</w:t>
      </w:r>
      <w:r w:rsidR="72DAE4D1">
        <w:t>s</w:t>
      </w:r>
      <w:r w:rsidR="6A35B3AA">
        <w:t>,</w:t>
      </w:r>
      <w:r w:rsidR="0A9D7E8E">
        <w:t xml:space="preserve"> </w:t>
      </w:r>
      <w:r w:rsidR="2C162CAD">
        <w:t xml:space="preserve">and </w:t>
      </w:r>
      <w:r w:rsidR="0A9D7E8E">
        <w:t>identif</w:t>
      </w:r>
      <w:r w:rsidR="730630B0">
        <w:t xml:space="preserve">ies </w:t>
      </w:r>
      <w:r w:rsidR="0A9D7E8E">
        <w:t xml:space="preserve">impactful actions </w:t>
      </w:r>
      <w:r w:rsidR="055F9417">
        <w:t xml:space="preserve">to advance </w:t>
      </w:r>
      <w:r w:rsidR="0A9D7E8E">
        <w:t>and mainstream gender</w:t>
      </w:r>
      <w:r w:rsidR="7F3E7F56">
        <w:t xml:space="preserve"> equality</w:t>
      </w:r>
      <w:r w:rsidR="0A9D7E8E">
        <w:t xml:space="preserve">. </w:t>
      </w:r>
    </w:p>
    <w:p w14:paraId="2F53DED6" w14:textId="21BCE0A8" w:rsidR="00D2670C" w:rsidRPr="00932E2E" w:rsidRDefault="00D2670C" w:rsidP="00D2670C">
      <w:pPr>
        <w:pStyle w:val="enumlev1"/>
        <w:jc w:val="both"/>
      </w:pPr>
      <w:r w:rsidRPr="002E1F97">
        <w:t>6</w:t>
      </w:r>
      <w:r w:rsidRPr="002E1F97">
        <w:tab/>
      </w:r>
      <w:r w:rsidRPr="00D30209">
        <w:rPr>
          <w:lang w:eastAsia="zh-CN"/>
        </w:rPr>
        <w:t>In 2024, ITU continued its participation in the Emerging Women Leaders (EMERGE) and the Leadership, Women and the UN (</w:t>
      </w:r>
      <w:proofErr w:type="spellStart"/>
      <w:r w:rsidRPr="00D30209">
        <w:rPr>
          <w:lang w:eastAsia="zh-CN"/>
        </w:rPr>
        <w:t>LWUN</w:t>
      </w:r>
      <w:proofErr w:type="spellEnd"/>
      <w:r w:rsidRPr="00D30209">
        <w:rPr>
          <w:lang w:eastAsia="zh-CN"/>
        </w:rPr>
        <w:t>)</w:t>
      </w:r>
      <w:r>
        <w:rPr>
          <w:rFonts w:hint="eastAsia"/>
          <w:lang w:eastAsia="zh-CN"/>
        </w:rPr>
        <w:t xml:space="preserve"> </w:t>
      </w:r>
      <w:r w:rsidRPr="00D30209">
        <w:rPr>
          <w:lang w:eastAsia="zh-CN"/>
        </w:rPr>
        <w:t>programmes to strengthen women’s leadership and career development. Five staff joined the 2023 EMERGE cohort (Sep</w:t>
      </w:r>
      <w:r w:rsidR="00923B2D">
        <w:rPr>
          <w:lang w:eastAsia="zh-CN"/>
        </w:rPr>
        <w:t>t.</w:t>
      </w:r>
      <w:r w:rsidRPr="00D30209">
        <w:rPr>
          <w:lang w:eastAsia="zh-CN"/>
        </w:rPr>
        <w:t xml:space="preserve"> 2023</w:t>
      </w:r>
      <w:r>
        <w:rPr>
          <w:rFonts w:hint="eastAsia"/>
          <w:lang w:eastAsia="zh-CN"/>
        </w:rPr>
        <w:t xml:space="preserve"> - </w:t>
      </w:r>
      <w:r w:rsidRPr="00D30209">
        <w:rPr>
          <w:lang w:eastAsia="zh-CN"/>
        </w:rPr>
        <w:t>Jun</w:t>
      </w:r>
      <w:r w:rsidR="00923B2D">
        <w:rPr>
          <w:lang w:eastAsia="zh-CN"/>
        </w:rPr>
        <w:t>e</w:t>
      </w:r>
      <w:r w:rsidRPr="00D30209">
        <w:rPr>
          <w:lang w:eastAsia="zh-CN"/>
        </w:rPr>
        <w:t xml:space="preserve"> 2024), with four more enrolled in the 2024 cohort (Oct</w:t>
      </w:r>
      <w:r w:rsidR="00923B2D">
        <w:rPr>
          <w:lang w:eastAsia="zh-CN"/>
        </w:rPr>
        <w:t>.</w:t>
      </w:r>
      <w:r w:rsidRPr="00D30209">
        <w:rPr>
          <w:lang w:eastAsia="zh-CN"/>
        </w:rPr>
        <w:t xml:space="preserve"> 2024</w:t>
      </w:r>
      <w:r>
        <w:rPr>
          <w:rFonts w:hint="eastAsia"/>
          <w:lang w:eastAsia="zh-CN"/>
        </w:rPr>
        <w:t xml:space="preserve"> - </w:t>
      </w:r>
      <w:r w:rsidRPr="00D30209">
        <w:rPr>
          <w:lang w:eastAsia="zh-CN"/>
        </w:rPr>
        <w:t>Jul</w:t>
      </w:r>
      <w:r w:rsidR="00923B2D">
        <w:rPr>
          <w:lang w:eastAsia="zh-CN"/>
        </w:rPr>
        <w:t>y</w:t>
      </w:r>
      <w:r w:rsidRPr="00D30209">
        <w:rPr>
          <w:lang w:eastAsia="zh-CN"/>
        </w:rPr>
        <w:t xml:space="preserve"> 2025). Two female staff</w:t>
      </w:r>
      <w:r>
        <w:rPr>
          <w:rFonts w:hint="eastAsia"/>
          <w:lang w:eastAsia="zh-CN"/>
        </w:rPr>
        <w:t xml:space="preserve"> </w:t>
      </w:r>
      <w:r w:rsidRPr="00D30209">
        <w:rPr>
          <w:lang w:eastAsia="zh-CN"/>
        </w:rPr>
        <w:t xml:space="preserve">took part in the </w:t>
      </w:r>
      <w:proofErr w:type="spellStart"/>
      <w:r w:rsidRPr="00D30209">
        <w:rPr>
          <w:lang w:eastAsia="zh-CN"/>
        </w:rPr>
        <w:t>LWUN</w:t>
      </w:r>
      <w:proofErr w:type="spellEnd"/>
      <w:r w:rsidRPr="00D30209">
        <w:rPr>
          <w:lang w:eastAsia="zh-CN"/>
        </w:rPr>
        <w:t xml:space="preserve"> training with United Nations System Staff College</w:t>
      </w:r>
      <w:r>
        <w:rPr>
          <w:rFonts w:hint="eastAsia"/>
          <w:lang w:eastAsia="zh-CN"/>
        </w:rPr>
        <w:t xml:space="preserve"> (</w:t>
      </w:r>
      <w:proofErr w:type="spellStart"/>
      <w:r w:rsidRPr="00D30209">
        <w:rPr>
          <w:lang w:eastAsia="zh-CN"/>
        </w:rPr>
        <w:t>UNSSC</w:t>
      </w:r>
      <w:proofErr w:type="spellEnd"/>
      <w:r>
        <w:rPr>
          <w:rFonts w:hint="eastAsia"/>
          <w:lang w:eastAsia="zh-CN"/>
        </w:rPr>
        <w:t>)</w:t>
      </w:r>
      <w:r w:rsidRPr="00D30209">
        <w:rPr>
          <w:lang w:eastAsia="zh-CN"/>
        </w:rPr>
        <w:t>.</w:t>
      </w:r>
    </w:p>
    <w:p w14:paraId="3F988E82" w14:textId="507CB6BF" w:rsidR="00D2670C" w:rsidRPr="00932E2E" w:rsidRDefault="00D2670C" w:rsidP="008259C8">
      <w:pPr>
        <w:pStyle w:val="enumlev1"/>
        <w:keepNext/>
        <w:keepLines/>
        <w:jc w:val="both"/>
      </w:pPr>
      <w:r>
        <w:lastRenderedPageBreak/>
        <w:t>7</w:t>
      </w:r>
      <w:r>
        <w:tab/>
      </w:r>
      <w:r w:rsidRPr="00932E2E">
        <w:rPr>
          <w:rFonts w:hint="eastAsia"/>
          <w:lang w:eastAsia="zh-CN"/>
        </w:rPr>
        <w:t xml:space="preserve">The first-ever Mental Health and Wellbeing Action Plan was </w:t>
      </w:r>
      <w:r w:rsidRPr="00932E2E">
        <w:rPr>
          <w:lang w:eastAsia="zh-CN"/>
        </w:rPr>
        <w:t>developed</w:t>
      </w:r>
      <w:r w:rsidRPr="00932E2E">
        <w:rPr>
          <w:rFonts w:hint="eastAsia"/>
          <w:lang w:eastAsia="zh-CN"/>
        </w:rPr>
        <w:t xml:space="preserve"> based on the outcomes of the 2023 UN-Wide Health Survey, </w:t>
      </w:r>
      <w:r w:rsidRPr="00932E2E">
        <w:rPr>
          <w:lang w:eastAsia="zh-CN"/>
        </w:rPr>
        <w:t>with a comprehensive approach that aims to prevent mental health risks, promote awareness and resilience, support staff in need, and create an enabling work environment that fosters overall wellbeing</w:t>
      </w:r>
      <w:r w:rsidRPr="00932E2E">
        <w:t>.</w:t>
      </w:r>
      <w:r w:rsidRPr="00932E2E">
        <w:rPr>
          <w:rFonts w:hint="eastAsia"/>
          <w:lang w:eastAsia="zh-CN"/>
        </w:rPr>
        <w:t xml:space="preserve"> </w:t>
      </w:r>
      <w:r w:rsidRPr="00932E2E">
        <w:rPr>
          <w:lang w:eastAsia="zh-CN"/>
        </w:rPr>
        <w:t>Implementation of the Plan is underway, with specific actions integrated into organizational practices and staff support mechanisms.</w:t>
      </w:r>
    </w:p>
    <w:p w14:paraId="45FDE658" w14:textId="77777777" w:rsidR="00D2670C" w:rsidRPr="00B844FA" w:rsidRDefault="00D2670C" w:rsidP="008259C8">
      <w:pPr>
        <w:pStyle w:val="Headingb"/>
        <w:spacing w:before="240"/>
      </w:pPr>
      <w:r w:rsidRPr="002D031A">
        <w:t>Services: Delivering excellence-driven HR services to support our people</w:t>
      </w:r>
    </w:p>
    <w:p w14:paraId="387AA333" w14:textId="33C0292F" w:rsidR="00D2670C" w:rsidRPr="00CB7826" w:rsidRDefault="00CB7826" w:rsidP="00D2670C">
      <w:pPr>
        <w:jc w:val="both"/>
        <w:rPr>
          <w:lang w:eastAsia="zh-CN"/>
        </w:rPr>
      </w:pPr>
      <w:r w:rsidRPr="006C519C">
        <w:rPr>
          <w:lang w:eastAsia="zh-CN"/>
        </w:rPr>
        <w:t xml:space="preserve">The </w:t>
      </w:r>
      <w:r w:rsidR="005037B7">
        <w:rPr>
          <w:lang w:eastAsia="zh-CN"/>
        </w:rPr>
        <w:t xml:space="preserve">third pillar of the </w:t>
      </w:r>
      <w:proofErr w:type="spellStart"/>
      <w:r w:rsidRPr="006C519C">
        <w:rPr>
          <w:lang w:eastAsia="zh-CN"/>
        </w:rPr>
        <w:t>HRTP</w:t>
      </w:r>
      <w:proofErr w:type="spellEnd"/>
      <w:r w:rsidR="005037B7">
        <w:rPr>
          <w:lang w:eastAsia="zh-CN"/>
        </w:rPr>
        <w:t xml:space="preserve">, Services, </w:t>
      </w:r>
      <w:r w:rsidR="0069163F">
        <w:rPr>
          <w:lang w:eastAsia="zh-CN"/>
        </w:rPr>
        <w:t>furthers</w:t>
      </w:r>
      <w:r w:rsidR="00D2670C" w:rsidRPr="00CB7826">
        <w:rPr>
          <w:lang w:eastAsia="zh-CN"/>
        </w:rPr>
        <w:t xml:space="preserve"> the organization’s commitment to leveraging fit-for-purpose technologies to enhance the employee experience and to deliver streamlined, efficient HR services that best meet the needs of our people. </w:t>
      </w:r>
    </w:p>
    <w:p w14:paraId="53D39E36" w14:textId="5C19A636" w:rsidR="00D2670C" w:rsidRPr="00C3006F" w:rsidRDefault="0069163F" w:rsidP="00D2670C">
      <w:pPr>
        <w:jc w:val="both"/>
        <w:rPr>
          <w:lang w:eastAsia="zh-CN"/>
        </w:rPr>
      </w:pPr>
      <w:r>
        <w:rPr>
          <w:lang w:eastAsia="zh-CN"/>
        </w:rPr>
        <w:t xml:space="preserve">Under this pillar the </w:t>
      </w:r>
      <w:proofErr w:type="spellStart"/>
      <w:r>
        <w:rPr>
          <w:lang w:eastAsia="zh-CN"/>
        </w:rPr>
        <w:t>HRTP</w:t>
      </w:r>
      <w:proofErr w:type="spellEnd"/>
      <w:r>
        <w:rPr>
          <w:lang w:eastAsia="zh-CN"/>
        </w:rPr>
        <w:t xml:space="preserve"> also recognises the need</w:t>
      </w:r>
      <w:r w:rsidRPr="00CB7826">
        <w:rPr>
          <w:lang w:eastAsia="zh-CN"/>
        </w:rPr>
        <w:t xml:space="preserve"> </w:t>
      </w:r>
      <w:r w:rsidR="00D2670C" w:rsidRPr="00C3006F">
        <w:rPr>
          <w:lang w:eastAsia="zh-CN"/>
        </w:rPr>
        <w:t>to refine processes by eliminating unnecessary bureaucracy, fostering transparency, and strengthening accountability. A key priority is to create a work environment where decision-making is</w:t>
      </w:r>
      <w:r w:rsidR="00D2670C">
        <w:rPr>
          <w:rFonts w:hint="eastAsia"/>
          <w:lang w:eastAsia="zh-CN"/>
        </w:rPr>
        <w:t xml:space="preserve"> driven</w:t>
      </w:r>
      <w:r w:rsidR="00D2670C" w:rsidRPr="00C3006F">
        <w:rPr>
          <w:lang w:eastAsia="zh-CN"/>
        </w:rPr>
        <w:t xml:space="preserve"> by data </w:t>
      </w:r>
      <w:r w:rsidR="00D2670C">
        <w:rPr>
          <w:rFonts w:hint="eastAsia"/>
          <w:lang w:eastAsia="zh-CN"/>
        </w:rPr>
        <w:t xml:space="preserve">and people analytics, </w:t>
      </w:r>
      <w:r w:rsidR="00D2670C" w:rsidRPr="00922525">
        <w:rPr>
          <w:lang w:eastAsia="zh-CN"/>
        </w:rPr>
        <w:t>supporting a strategic and evidence-based HR approach</w:t>
      </w:r>
      <w:r w:rsidR="00D2670C" w:rsidRPr="00C3006F">
        <w:rPr>
          <w:lang w:eastAsia="zh-CN"/>
        </w:rPr>
        <w:t>.</w:t>
      </w:r>
    </w:p>
    <w:p w14:paraId="786970C7" w14:textId="5F0A44D9" w:rsidR="00D2670C" w:rsidRDefault="00D2670C" w:rsidP="00D2670C">
      <w:pPr>
        <w:jc w:val="both"/>
        <w:rPr>
          <w:lang w:eastAsia="zh-CN"/>
        </w:rPr>
      </w:pPr>
      <w:r w:rsidRPr="00C3006F">
        <w:rPr>
          <w:lang w:eastAsia="zh-CN"/>
        </w:rPr>
        <w:t>Additionally, communication and consultation remain central to th</w:t>
      </w:r>
      <w:r w:rsidR="006C6FCE">
        <w:rPr>
          <w:lang w:eastAsia="zh-CN"/>
        </w:rPr>
        <w:t>e</w:t>
      </w:r>
      <w:r w:rsidRPr="00C3006F">
        <w:rPr>
          <w:lang w:eastAsia="zh-CN"/>
        </w:rPr>
        <w:t xml:space="preserve"> transformation</w:t>
      </w:r>
      <w:r w:rsidR="006C6FCE">
        <w:rPr>
          <w:lang w:eastAsia="zh-CN"/>
        </w:rPr>
        <w:t xml:space="preserve"> of HR in ITU</w:t>
      </w:r>
      <w:r w:rsidRPr="00C3006F">
        <w:rPr>
          <w:lang w:eastAsia="zh-CN"/>
        </w:rPr>
        <w:t>. ITU is committed to establishing a robust and fair regulatory framework in collaboration with staff representatives and staff-management bodies</w:t>
      </w:r>
      <w:r>
        <w:rPr>
          <w:rFonts w:hint="eastAsia"/>
          <w:lang w:eastAsia="zh-CN"/>
        </w:rPr>
        <w:t>,</w:t>
      </w:r>
      <w:r w:rsidRPr="00C3006F">
        <w:rPr>
          <w:lang w:eastAsia="zh-CN"/>
        </w:rPr>
        <w:t xml:space="preserve"> ensur</w:t>
      </w:r>
      <w:r>
        <w:rPr>
          <w:rFonts w:hint="eastAsia"/>
          <w:lang w:eastAsia="zh-CN"/>
        </w:rPr>
        <w:t>ing</w:t>
      </w:r>
      <w:r w:rsidRPr="00C3006F">
        <w:rPr>
          <w:lang w:eastAsia="zh-CN"/>
        </w:rPr>
        <w:t xml:space="preserve"> that policies and HR services are responsive to the needs of both staff and managers.</w:t>
      </w:r>
    </w:p>
    <w:p w14:paraId="00188978" w14:textId="77777777" w:rsidR="00D2670C" w:rsidRPr="00922525" w:rsidRDefault="00D2670C" w:rsidP="008259C8">
      <w:pPr>
        <w:spacing w:before="240"/>
        <w:jc w:val="both"/>
        <w:rPr>
          <w:lang w:eastAsia="zh-CN"/>
        </w:rPr>
      </w:pPr>
      <w:r w:rsidRPr="00B844FA">
        <w:t>Key highlights:</w:t>
      </w:r>
    </w:p>
    <w:p w14:paraId="485E67C8" w14:textId="441D74FF" w:rsidR="00D2670C" w:rsidRPr="00932E2E" w:rsidRDefault="00D2670C" w:rsidP="00D2670C">
      <w:pPr>
        <w:pStyle w:val="enumlev1"/>
        <w:jc w:val="both"/>
      </w:pPr>
      <w:r>
        <w:t>1</w:t>
      </w:r>
      <w:r>
        <w:tab/>
      </w:r>
      <w:r w:rsidRPr="00932E2E">
        <w:t xml:space="preserve">In 2024, HRMD initiated efforts to strengthen the regulatory framework to ensure </w:t>
      </w:r>
      <w:r w:rsidRPr="00932E2E">
        <w:rPr>
          <w:rFonts w:hint="eastAsia"/>
          <w:lang w:eastAsia="zh-CN"/>
        </w:rPr>
        <w:t xml:space="preserve">that </w:t>
      </w:r>
      <w:r w:rsidRPr="00932E2E">
        <w:t xml:space="preserve">ITU’s policies align with the needs of its current and future workforce. </w:t>
      </w:r>
      <w:r w:rsidRPr="00932E2E">
        <w:rPr>
          <w:rFonts w:hint="eastAsia"/>
          <w:lang w:eastAsia="zh-CN"/>
        </w:rPr>
        <w:t>By</w:t>
      </w:r>
      <w:r w:rsidRPr="00932E2E">
        <w:t xml:space="preserve"> benchmarking against</w:t>
      </w:r>
      <w:r w:rsidRPr="00932E2E">
        <w:rPr>
          <w:rFonts w:hint="eastAsia"/>
          <w:lang w:eastAsia="zh-CN"/>
        </w:rPr>
        <w:t xml:space="preserve"> </w:t>
      </w:r>
      <w:r w:rsidRPr="00932E2E">
        <w:t>U</w:t>
      </w:r>
      <w:r w:rsidRPr="00932E2E">
        <w:rPr>
          <w:rFonts w:hint="eastAsia"/>
          <w:lang w:eastAsia="zh-CN"/>
        </w:rPr>
        <w:t xml:space="preserve">N </w:t>
      </w:r>
      <w:r w:rsidRPr="00932E2E">
        <w:t xml:space="preserve">system organizations, </w:t>
      </w:r>
      <w:r w:rsidR="003A7424">
        <w:rPr>
          <w:lang w:eastAsia="zh-CN"/>
        </w:rPr>
        <w:t xml:space="preserve">gaps were </w:t>
      </w:r>
      <w:r w:rsidRPr="00932E2E">
        <w:t>identif</w:t>
      </w:r>
      <w:r w:rsidRPr="00932E2E">
        <w:rPr>
          <w:rFonts w:hint="eastAsia"/>
          <w:lang w:eastAsia="zh-CN"/>
        </w:rPr>
        <w:t>ied</w:t>
      </w:r>
      <w:r w:rsidRPr="00932E2E">
        <w:t xml:space="preserve">, </w:t>
      </w:r>
      <w:r w:rsidR="003A7424">
        <w:t xml:space="preserve">policies </w:t>
      </w:r>
      <w:r w:rsidRPr="00932E2E">
        <w:t>update</w:t>
      </w:r>
      <w:r w:rsidRPr="00932E2E">
        <w:rPr>
          <w:rFonts w:hint="eastAsia"/>
          <w:lang w:eastAsia="zh-CN"/>
        </w:rPr>
        <w:t>d</w:t>
      </w:r>
      <w:r w:rsidRPr="00932E2E">
        <w:t xml:space="preserve">, and </w:t>
      </w:r>
      <w:r w:rsidR="003A7424">
        <w:t xml:space="preserve">new ones </w:t>
      </w:r>
      <w:r w:rsidRPr="00932E2E">
        <w:t>introduce</w:t>
      </w:r>
      <w:r w:rsidRPr="00932E2E">
        <w:rPr>
          <w:rFonts w:hint="eastAsia"/>
          <w:lang w:eastAsia="zh-CN"/>
        </w:rPr>
        <w:t>d</w:t>
      </w:r>
      <w:r w:rsidRPr="00932E2E">
        <w:t xml:space="preserve"> to </w:t>
      </w:r>
      <w:r w:rsidRPr="00932E2E">
        <w:rPr>
          <w:rFonts w:hint="eastAsia"/>
          <w:lang w:eastAsia="zh-CN"/>
        </w:rPr>
        <w:t>better support</w:t>
      </w:r>
      <w:r w:rsidRPr="00932E2E">
        <w:t xml:space="preserve"> ITU’s evolving workforce.</w:t>
      </w:r>
      <w:r w:rsidRPr="00932E2E">
        <w:rPr>
          <w:rFonts w:hint="eastAsia"/>
          <w:lang w:eastAsia="zh-CN"/>
        </w:rPr>
        <w:t xml:space="preserve"> </w:t>
      </w:r>
      <w:r w:rsidRPr="00932E2E">
        <w:rPr>
          <w:lang w:eastAsia="zh-CN"/>
        </w:rPr>
        <w:t xml:space="preserve">Ongoing reviews of FT recruitment, </w:t>
      </w:r>
      <w:proofErr w:type="spellStart"/>
      <w:r w:rsidRPr="00932E2E">
        <w:rPr>
          <w:lang w:eastAsia="zh-CN"/>
        </w:rPr>
        <w:t>SSA</w:t>
      </w:r>
      <w:proofErr w:type="spellEnd"/>
      <w:r w:rsidRPr="00932E2E">
        <w:rPr>
          <w:lang w:eastAsia="zh-CN"/>
        </w:rPr>
        <w:t xml:space="preserve"> administration and recruitment, short-term staff administration, rental subsidy, education grant, and dependency benefits are underway in 2025 to ensure continued alignment with best practices.</w:t>
      </w:r>
    </w:p>
    <w:p w14:paraId="68C03D6B" w14:textId="2AD288DE" w:rsidR="00D2670C" w:rsidRPr="00932E2E" w:rsidRDefault="00D2670C" w:rsidP="00D2670C">
      <w:pPr>
        <w:pStyle w:val="enumlev1"/>
        <w:jc w:val="both"/>
      </w:pPr>
      <w:r>
        <w:t>2</w:t>
      </w:r>
      <w:r>
        <w:tab/>
      </w:r>
      <w:r w:rsidRPr="354279BC">
        <w:rPr>
          <w:lang w:eastAsia="zh-CN"/>
        </w:rPr>
        <w:t xml:space="preserve">A new teleworking and flexible working arrangements policy </w:t>
      </w:r>
      <w:r w:rsidRPr="354279BC">
        <w:rPr>
          <w:rFonts w:hint="eastAsia"/>
          <w:lang w:eastAsia="zh-CN"/>
        </w:rPr>
        <w:t xml:space="preserve">has been developed, with </w:t>
      </w:r>
      <w:r w:rsidRPr="354279BC">
        <w:rPr>
          <w:lang w:eastAsia="zh-CN"/>
        </w:rPr>
        <w:t>implement</w:t>
      </w:r>
      <w:r w:rsidR="00806755" w:rsidRPr="354279BC">
        <w:rPr>
          <w:lang w:eastAsia="zh-CN"/>
        </w:rPr>
        <w:t>ation plann</w:t>
      </w:r>
      <w:r w:rsidRPr="354279BC">
        <w:rPr>
          <w:lang w:eastAsia="zh-CN"/>
        </w:rPr>
        <w:t>ed in 2025</w:t>
      </w:r>
      <w:r w:rsidRPr="354279BC">
        <w:rPr>
          <w:rFonts w:hint="eastAsia"/>
          <w:lang w:eastAsia="zh-CN"/>
        </w:rPr>
        <w:t xml:space="preserve">. It is </w:t>
      </w:r>
      <w:r w:rsidRPr="354279BC">
        <w:rPr>
          <w:lang w:eastAsia="zh-CN"/>
        </w:rPr>
        <w:t xml:space="preserve">designed to </w:t>
      </w:r>
      <w:r w:rsidRPr="354279BC">
        <w:rPr>
          <w:rFonts w:hint="eastAsia"/>
          <w:lang w:eastAsia="zh-CN"/>
        </w:rPr>
        <w:t xml:space="preserve">maintain productivity and includes specific approval </w:t>
      </w:r>
      <w:r w:rsidRPr="354279BC">
        <w:rPr>
          <w:lang w:eastAsia="zh-CN"/>
        </w:rPr>
        <w:t>processes</w:t>
      </w:r>
      <w:r w:rsidRPr="354279BC">
        <w:rPr>
          <w:rFonts w:hint="eastAsia"/>
          <w:lang w:eastAsia="zh-CN"/>
        </w:rPr>
        <w:t xml:space="preserve">, clear delegation of authority and procedures, all of which will be implemented through an online system for </w:t>
      </w:r>
      <w:r w:rsidR="20662A38" w:rsidRPr="354279BC">
        <w:rPr>
          <w:lang w:eastAsia="zh-CN"/>
        </w:rPr>
        <w:t>accountability</w:t>
      </w:r>
      <w:r w:rsidRPr="354279BC">
        <w:rPr>
          <w:rFonts w:hint="eastAsia"/>
          <w:lang w:eastAsia="zh-CN"/>
        </w:rPr>
        <w:t xml:space="preserve"> purposes.</w:t>
      </w:r>
    </w:p>
    <w:p w14:paraId="32013093" w14:textId="2E747720" w:rsidR="00D2670C" w:rsidRPr="00932E2E" w:rsidRDefault="00D2670C" w:rsidP="00D2670C">
      <w:pPr>
        <w:pStyle w:val="enumlev1"/>
        <w:jc w:val="both"/>
        <w:rPr>
          <w:bCs/>
        </w:rPr>
      </w:pPr>
      <w:r w:rsidRPr="00E84C18">
        <w:rPr>
          <w:bCs/>
        </w:rPr>
        <w:t>3</w:t>
      </w:r>
      <w:r w:rsidRPr="00E84C18">
        <w:rPr>
          <w:bCs/>
        </w:rPr>
        <w:tab/>
      </w:r>
      <w:r w:rsidRPr="00932E2E">
        <w:rPr>
          <w:bCs/>
        </w:rPr>
        <w:t xml:space="preserve">A standard operating procedure (SOP) for </w:t>
      </w:r>
      <w:proofErr w:type="spellStart"/>
      <w:r w:rsidRPr="00932E2E">
        <w:rPr>
          <w:bCs/>
        </w:rPr>
        <w:t>SSA</w:t>
      </w:r>
      <w:proofErr w:type="spellEnd"/>
      <w:r w:rsidRPr="00932E2E">
        <w:rPr>
          <w:bCs/>
        </w:rPr>
        <w:t xml:space="preserve"> payments was developed to ensure the timely closure of contracts and includes a certification by managers that outputs have been successfully achieved. In addition, a guideline on conflicts of interest for SSAs</w:t>
      </w:r>
      <w:r w:rsidRPr="00932E2E">
        <w:rPr>
          <w:rFonts w:hint="eastAsia"/>
          <w:bCs/>
          <w:lang w:eastAsia="zh-CN"/>
        </w:rPr>
        <w:t xml:space="preserve"> </w:t>
      </w:r>
      <w:r w:rsidRPr="00932E2E">
        <w:rPr>
          <w:bCs/>
        </w:rPr>
        <w:t>was introduced to facilitate the declaration and monitoring of actual or potential conflicts, ensuring compliance with ethical standards.</w:t>
      </w:r>
      <w:r w:rsidRPr="00932E2E">
        <w:rPr>
          <w:rFonts w:hint="eastAsia"/>
          <w:bCs/>
          <w:lang w:eastAsia="zh-CN"/>
        </w:rPr>
        <w:t xml:space="preserve"> </w:t>
      </w:r>
    </w:p>
    <w:p w14:paraId="72B15728" w14:textId="450ACF3B" w:rsidR="00D2670C" w:rsidRPr="00932E2E" w:rsidRDefault="00D2670C" w:rsidP="00D2670C">
      <w:pPr>
        <w:pStyle w:val="enumlev1"/>
        <w:jc w:val="both"/>
        <w:rPr>
          <w:bCs/>
        </w:rPr>
      </w:pPr>
      <w:r>
        <w:rPr>
          <w:bCs/>
        </w:rPr>
        <w:t>4</w:t>
      </w:r>
      <w:r>
        <w:rPr>
          <w:bCs/>
        </w:rPr>
        <w:tab/>
      </w:r>
      <w:r w:rsidRPr="00932E2E">
        <w:rPr>
          <w:bCs/>
        </w:rPr>
        <w:t>The first part of the HR Delegation of Authority Framework was introduced to streamline HR approval processes, enabling faster decision-making on key HR matters.</w:t>
      </w:r>
      <w:r w:rsidRPr="00932E2E">
        <w:rPr>
          <w:rFonts w:hint="eastAsia"/>
          <w:bCs/>
          <w:lang w:eastAsia="zh-CN"/>
        </w:rPr>
        <w:t xml:space="preserve"> </w:t>
      </w:r>
      <w:r w:rsidRPr="00932E2E">
        <w:rPr>
          <w:bCs/>
        </w:rPr>
        <w:t>HR is currently leading a larger, Union-wide exercise to develop an overall Delegation of Authority Framework for ITU.</w:t>
      </w:r>
    </w:p>
    <w:p w14:paraId="18699EFB" w14:textId="4ABCE4A6" w:rsidR="00D2670C" w:rsidRPr="00932E2E" w:rsidRDefault="00D2670C" w:rsidP="00D2670C">
      <w:pPr>
        <w:pStyle w:val="enumlev1"/>
        <w:jc w:val="both"/>
        <w:rPr>
          <w:bCs/>
        </w:rPr>
      </w:pPr>
      <w:r>
        <w:rPr>
          <w:bCs/>
        </w:rPr>
        <w:t>5</w:t>
      </w:r>
      <w:r>
        <w:rPr>
          <w:bCs/>
        </w:rPr>
        <w:tab/>
      </w:r>
      <w:r w:rsidRPr="00932E2E">
        <w:rPr>
          <w:bCs/>
        </w:rPr>
        <w:t>A draft policy on the Prevention of Sexual Exploitation and Abuse has been developed, aligning with UN common system principles and best practices and will be promulgated in 2025.</w:t>
      </w:r>
    </w:p>
    <w:p w14:paraId="2704C9FE" w14:textId="4B9C8274" w:rsidR="00D2670C" w:rsidRPr="00932E2E" w:rsidRDefault="00D2670C" w:rsidP="00D2670C">
      <w:pPr>
        <w:pStyle w:val="enumlev1"/>
        <w:jc w:val="both"/>
        <w:rPr>
          <w:bCs/>
        </w:rPr>
      </w:pPr>
      <w:r w:rsidRPr="00E80A0B">
        <w:rPr>
          <w:bCs/>
        </w:rPr>
        <w:lastRenderedPageBreak/>
        <w:t>6</w:t>
      </w:r>
      <w:r w:rsidRPr="00E80A0B">
        <w:rPr>
          <w:bCs/>
        </w:rPr>
        <w:tab/>
      </w:r>
      <w:r w:rsidRPr="00932E2E">
        <w:rPr>
          <w:bCs/>
          <w:lang w:eastAsia="zh-CN"/>
        </w:rPr>
        <w:t xml:space="preserve">HRMD </w:t>
      </w:r>
      <w:r w:rsidRPr="00932E2E">
        <w:rPr>
          <w:rFonts w:hint="eastAsia"/>
          <w:bCs/>
          <w:lang w:eastAsia="zh-CN"/>
        </w:rPr>
        <w:t>published</w:t>
      </w:r>
      <w:r w:rsidRPr="00932E2E">
        <w:rPr>
          <w:bCs/>
          <w:lang w:eastAsia="zh-CN"/>
        </w:rPr>
        <w:t xml:space="preserve"> the </w:t>
      </w:r>
      <w:r w:rsidRPr="00932E2E">
        <w:rPr>
          <w:rFonts w:hint="eastAsia"/>
          <w:bCs/>
          <w:lang w:eastAsia="zh-CN"/>
        </w:rPr>
        <w:t xml:space="preserve">updated </w:t>
      </w:r>
      <w:r w:rsidRPr="00932E2E">
        <w:rPr>
          <w:bCs/>
          <w:lang w:eastAsia="zh-CN"/>
        </w:rPr>
        <w:t>2024</w:t>
      </w:r>
      <w:r w:rsidRPr="00932E2E">
        <w:rPr>
          <w:rFonts w:hint="eastAsia"/>
          <w:bCs/>
          <w:lang w:eastAsia="zh-CN"/>
        </w:rPr>
        <w:t xml:space="preserve"> </w:t>
      </w:r>
      <w:r w:rsidRPr="00932E2E">
        <w:rPr>
          <w:bCs/>
          <w:lang w:eastAsia="zh-CN"/>
        </w:rPr>
        <w:t xml:space="preserve">Staff Regulations and Staff Rules, </w:t>
      </w:r>
      <w:r w:rsidRPr="00932E2E">
        <w:rPr>
          <w:rFonts w:hint="eastAsia"/>
          <w:bCs/>
          <w:lang w:eastAsia="zh-CN"/>
        </w:rPr>
        <w:t xml:space="preserve">and revisions to the </w:t>
      </w:r>
      <w:r w:rsidRPr="00932E2E">
        <w:rPr>
          <w:bCs/>
          <w:lang w:eastAsia="zh-CN"/>
        </w:rPr>
        <w:t>2025</w:t>
      </w:r>
      <w:r w:rsidRPr="00932E2E">
        <w:rPr>
          <w:rFonts w:hint="eastAsia"/>
          <w:bCs/>
          <w:lang w:eastAsia="zh-CN"/>
        </w:rPr>
        <w:t xml:space="preserve"> version are underway.</w:t>
      </w:r>
    </w:p>
    <w:p w14:paraId="7DC5E1B2" w14:textId="4E45874A" w:rsidR="00D2670C" w:rsidRPr="00932E2E" w:rsidRDefault="00D2670C" w:rsidP="00D2670C">
      <w:pPr>
        <w:pStyle w:val="enumlev1"/>
        <w:jc w:val="both"/>
        <w:rPr>
          <w:bCs/>
        </w:rPr>
      </w:pPr>
      <w:r>
        <w:rPr>
          <w:bCs/>
        </w:rPr>
        <w:t>7</w:t>
      </w:r>
      <w:r>
        <w:rPr>
          <w:bCs/>
        </w:rPr>
        <w:tab/>
      </w:r>
      <w:r w:rsidRPr="00932E2E">
        <w:rPr>
          <w:bCs/>
        </w:rPr>
        <w:t xml:space="preserve">ITU participated in the first UN inter-agency project on generative AI, </w:t>
      </w:r>
      <w:r w:rsidRPr="00932E2E">
        <w:rPr>
          <w:rFonts w:hint="eastAsia"/>
          <w:bCs/>
          <w:lang w:eastAsia="zh-CN"/>
        </w:rPr>
        <w:t xml:space="preserve">leading the </w:t>
      </w:r>
      <w:r w:rsidRPr="00932E2E">
        <w:rPr>
          <w:bCs/>
        </w:rPr>
        <w:t>develop</w:t>
      </w:r>
      <w:r w:rsidRPr="00932E2E">
        <w:rPr>
          <w:rFonts w:hint="eastAsia"/>
          <w:bCs/>
          <w:lang w:eastAsia="zh-CN"/>
        </w:rPr>
        <w:t>ment of</w:t>
      </w:r>
      <w:r w:rsidRPr="00932E2E">
        <w:rPr>
          <w:bCs/>
        </w:rPr>
        <w:t xml:space="preserve"> an AI chatbot for HR queries and policy analysis</w:t>
      </w:r>
      <w:r w:rsidRPr="00932E2E">
        <w:rPr>
          <w:rFonts w:hint="eastAsia"/>
          <w:bCs/>
          <w:lang w:eastAsia="zh-CN"/>
        </w:rPr>
        <w:t xml:space="preserve">, </w:t>
      </w:r>
      <w:r w:rsidRPr="00932E2E">
        <w:rPr>
          <w:bCs/>
        </w:rPr>
        <w:t>improv</w:t>
      </w:r>
      <w:r w:rsidRPr="00932E2E">
        <w:rPr>
          <w:rFonts w:hint="eastAsia"/>
          <w:bCs/>
          <w:lang w:eastAsia="zh-CN"/>
        </w:rPr>
        <w:t>ing</w:t>
      </w:r>
      <w:r w:rsidRPr="00932E2E">
        <w:rPr>
          <w:bCs/>
        </w:rPr>
        <w:t xml:space="preserve"> HR service accessibility by automating responses to complex policy questions, reducing workload, and streamlining information access. Th</w:t>
      </w:r>
      <w:r w:rsidRPr="00932E2E">
        <w:rPr>
          <w:rFonts w:hint="eastAsia"/>
          <w:bCs/>
          <w:lang w:eastAsia="zh-CN"/>
        </w:rPr>
        <w:t>is</w:t>
      </w:r>
      <w:r w:rsidRPr="00932E2E">
        <w:rPr>
          <w:bCs/>
        </w:rPr>
        <w:t xml:space="preserve"> project also offers valuable insights into generative AI, supporting ITU’s AI readiness.</w:t>
      </w:r>
    </w:p>
    <w:p w14:paraId="2B70745C" w14:textId="2B8BC54C" w:rsidR="00D2670C" w:rsidRPr="00932E2E" w:rsidRDefault="00D2670C" w:rsidP="00D2670C">
      <w:pPr>
        <w:pStyle w:val="enumlev1"/>
        <w:jc w:val="both"/>
        <w:rPr>
          <w:bCs/>
        </w:rPr>
      </w:pPr>
      <w:r>
        <w:rPr>
          <w:bCs/>
        </w:rPr>
        <w:t>8</w:t>
      </w:r>
      <w:r>
        <w:rPr>
          <w:bCs/>
        </w:rPr>
        <w:tab/>
      </w:r>
      <w:r w:rsidRPr="00932E2E">
        <w:rPr>
          <w:bCs/>
        </w:rPr>
        <w:t xml:space="preserve">A modern, user-friendly Performance Management page </w:t>
      </w:r>
      <w:r w:rsidRPr="00932E2E">
        <w:rPr>
          <w:rFonts w:hint="eastAsia"/>
          <w:bCs/>
          <w:lang w:eastAsia="zh-CN"/>
        </w:rPr>
        <w:t>was</w:t>
      </w:r>
      <w:r w:rsidRPr="00932E2E">
        <w:rPr>
          <w:bCs/>
        </w:rPr>
        <w:t xml:space="preserve"> launched, featuring key process information and guidelines</w:t>
      </w:r>
      <w:r w:rsidRPr="00932E2E">
        <w:rPr>
          <w:rFonts w:hint="eastAsia"/>
          <w:bCs/>
          <w:lang w:eastAsia="zh-CN"/>
        </w:rPr>
        <w:t xml:space="preserve"> </w:t>
      </w:r>
      <w:r w:rsidRPr="00932E2E">
        <w:rPr>
          <w:bCs/>
          <w:lang w:val="en-US" w:eastAsia="zh-CN"/>
        </w:rPr>
        <w:t>for navigating each step of the process</w:t>
      </w:r>
      <w:r w:rsidRPr="00932E2E">
        <w:rPr>
          <w:bCs/>
        </w:rPr>
        <w:t>.</w:t>
      </w:r>
      <w:r w:rsidRPr="00932E2E">
        <w:rPr>
          <w:rFonts w:hint="eastAsia"/>
          <w:bCs/>
          <w:lang w:eastAsia="zh-CN"/>
        </w:rPr>
        <w:t xml:space="preserve"> </w:t>
      </w:r>
      <w:r w:rsidRPr="00932E2E">
        <w:rPr>
          <w:bCs/>
          <w:lang w:val="en-US" w:eastAsia="zh-CN"/>
        </w:rPr>
        <w:t>System-related queries on end-year evaluations decreased by 26% compared to the previous year</w:t>
      </w:r>
      <w:r w:rsidRPr="00932E2E">
        <w:rPr>
          <w:rFonts w:hint="eastAsia"/>
          <w:bCs/>
          <w:lang w:val="en-US" w:eastAsia="zh-CN"/>
        </w:rPr>
        <w:t>.</w:t>
      </w:r>
    </w:p>
    <w:p w14:paraId="142CA94B" w14:textId="3E3F949E" w:rsidR="00D2670C" w:rsidRPr="00932E2E" w:rsidRDefault="00D2670C" w:rsidP="00D2670C">
      <w:pPr>
        <w:pStyle w:val="enumlev1"/>
        <w:jc w:val="both"/>
        <w:rPr>
          <w:bCs/>
        </w:rPr>
      </w:pPr>
      <w:bookmarkStart w:id="14" w:name="_Hlk195088523"/>
      <w:r w:rsidRPr="008C6FAD">
        <w:rPr>
          <w:bCs/>
        </w:rPr>
        <w:t>9</w:t>
      </w:r>
      <w:r w:rsidRPr="008C6FAD">
        <w:rPr>
          <w:bCs/>
        </w:rPr>
        <w:tab/>
      </w:r>
      <w:r w:rsidRPr="00932E2E">
        <w:rPr>
          <w:bCs/>
        </w:rPr>
        <w:t xml:space="preserve">The fully automated Workforce Analytics Report, powered by Power BI, has been continuously improved based on feedback from Council </w:t>
      </w:r>
      <w:r w:rsidR="00203B4E">
        <w:rPr>
          <w:bCs/>
        </w:rPr>
        <w:t>M</w:t>
      </w:r>
      <w:r w:rsidRPr="00932E2E">
        <w:rPr>
          <w:bCs/>
        </w:rPr>
        <w:t>ember</w:t>
      </w:r>
      <w:r w:rsidR="00203B4E">
        <w:rPr>
          <w:bCs/>
        </w:rPr>
        <w:t xml:space="preserve"> State</w:t>
      </w:r>
      <w:r w:rsidRPr="00932E2E">
        <w:rPr>
          <w:bCs/>
        </w:rPr>
        <w:t>s</w:t>
      </w:r>
      <w:r w:rsidRPr="00932E2E">
        <w:rPr>
          <w:rFonts w:hint="eastAsia"/>
          <w:bCs/>
          <w:lang w:eastAsia="zh-CN"/>
        </w:rPr>
        <w:t>. D</w:t>
      </w:r>
      <w:r w:rsidRPr="00932E2E">
        <w:rPr>
          <w:bCs/>
          <w:lang w:eastAsia="zh-CN"/>
        </w:rPr>
        <w:t>ata connection with SAP SuccessFactors (Recruitment Management System) was established, enhancing the recruitment page with real-time updates. Additionally, the retirement projection page was upgraded to include Grade information, further enriching the analytics and reporting capabilities.</w:t>
      </w:r>
    </w:p>
    <w:bookmarkEnd w:id="14"/>
    <w:p w14:paraId="10675ABF" w14:textId="589360B1" w:rsidR="00D2670C" w:rsidRPr="00932E2E" w:rsidRDefault="00D2670C" w:rsidP="00D2670C">
      <w:pPr>
        <w:pStyle w:val="enumlev1"/>
        <w:jc w:val="both"/>
        <w:rPr>
          <w:bCs/>
        </w:rPr>
      </w:pPr>
      <w:r>
        <w:rPr>
          <w:bCs/>
        </w:rPr>
        <w:t>10</w:t>
      </w:r>
      <w:r>
        <w:rPr>
          <w:bCs/>
        </w:rPr>
        <w:tab/>
      </w:r>
      <w:r w:rsidRPr="00932E2E">
        <w:rPr>
          <w:bCs/>
          <w:lang w:eastAsia="zh-CN"/>
        </w:rPr>
        <w:t xml:space="preserve">The United Nations Joint Staff Pension Fund </w:t>
      </w:r>
      <w:r w:rsidRPr="00932E2E">
        <w:rPr>
          <w:rFonts w:hint="eastAsia"/>
          <w:bCs/>
          <w:lang w:eastAsia="zh-CN"/>
        </w:rPr>
        <w:t>(</w:t>
      </w:r>
      <w:proofErr w:type="spellStart"/>
      <w:r w:rsidRPr="00932E2E">
        <w:rPr>
          <w:bCs/>
          <w:lang w:eastAsia="zh-CN"/>
        </w:rPr>
        <w:t>UNJSPF</w:t>
      </w:r>
      <w:proofErr w:type="spellEnd"/>
      <w:r w:rsidRPr="00932E2E">
        <w:rPr>
          <w:rFonts w:hint="eastAsia"/>
          <w:bCs/>
          <w:lang w:eastAsia="zh-CN"/>
        </w:rPr>
        <w:t>)</w:t>
      </w:r>
      <w:r w:rsidRPr="00932E2E">
        <w:rPr>
          <w:bCs/>
          <w:lang w:eastAsia="zh-CN"/>
        </w:rPr>
        <w:t xml:space="preserve"> Financial Interface Phase I went live in July 2024. In December 2024, the yearly data was submitted through this interface, allowing </w:t>
      </w:r>
      <w:proofErr w:type="spellStart"/>
      <w:r w:rsidRPr="00932E2E">
        <w:rPr>
          <w:bCs/>
          <w:lang w:eastAsia="zh-CN"/>
        </w:rPr>
        <w:t>UNJSPF</w:t>
      </w:r>
      <w:proofErr w:type="spellEnd"/>
      <w:r w:rsidRPr="00932E2E">
        <w:rPr>
          <w:bCs/>
          <w:lang w:eastAsia="zh-CN"/>
        </w:rPr>
        <w:t xml:space="preserve"> to generate the 2024 yearly reports. This marks the first time these reports are produced using the new financial interface, facilitating the reconciliation of pension contributions. Additionally, over 3</w:t>
      </w:r>
      <w:r w:rsidR="00EC0292">
        <w:rPr>
          <w:bCs/>
          <w:lang w:eastAsia="zh-CN"/>
        </w:rPr>
        <w:t> </w:t>
      </w:r>
      <w:r w:rsidRPr="00932E2E">
        <w:rPr>
          <w:bCs/>
          <w:lang w:eastAsia="zh-CN"/>
        </w:rPr>
        <w:t>000 data modifications related to the SAP</w:t>
      </w:r>
      <w:r w:rsidRPr="00932E2E">
        <w:rPr>
          <w:rFonts w:hint="eastAsia"/>
          <w:bCs/>
          <w:lang w:eastAsia="zh-CN"/>
        </w:rPr>
        <w:t xml:space="preserve"> </w:t>
      </w:r>
      <w:r w:rsidRPr="00932E2E">
        <w:rPr>
          <w:bCs/>
          <w:lang w:eastAsia="zh-CN"/>
        </w:rPr>
        <w:t>health insurance number</w:t>
      </w:r>
      <w:r w:rsidRPr="00932E2E">
        <w:rPr>
          <w:rFonts w:hint="eastAsia"/>
          <w:bCs/>
          <w:lang w:eastAsia="zh-CN"/>
        </w:rPr>
        <w:t xml:space="preserve"> registrations</w:t>
      </w:r>
      <w:r w:rsidRPr="00932E2E">
        <w:rPr>
          <w:bCs/>
          <w:lang w:eastAsia="zh-CN"/>
        </w:rPr>
        <w:t xml:space="preserve"> </w:t>
      </w:r>
      <w:r w:rsidRPr="00932E2E">
        <w:rPr>
          <w:rFonts w:hint="eastAsia"/>
          <w:bCs/>
          <w:lang w:eastAsia="zh-CN"/>
        </w:rPr>
        <w:t>were</w:t>
      </w:r>
      <w:r w:rsidRPr="00932E2E">
        <w:rPr>
          <w:bCs/>
          <w:lang w:eastAsia="zh-CN"/>
        </w:rPr>
        <w:t xml:space="preserve"> validated and updated</w:t>
      </w:r>
      <w:r w:rsidRPr="00932E2E">
        <w:rPr>
          <w:rFonts w:hint="eastAsia"/>
          <w:bCs/>
          <w:lang w:eastAsia="zh-CN"/>
        </w:rPr>
        <w:t xml:space="preserve"> to improve HR data accuracy.</w:t>
      </w:r>
    </w:p>
    <w:p w14:paraId="68110336" w14:textId="6A57585C" w:rsidR="00D2670C" w:rsidRPr="00932E2E" w:rsidRDefault="00D2670C" w:rsidP="00D2670C">
      <w:pPr>
        <w:pStyle w:val="enumlev1"/>
        <w:jc w:val="both"/>
        <w:rPr>
          <w:bCs/>
        </w:rPr>
      </w:pPr>
      <w:r>
        <w:rPr>
          <w:bCs/>
        </w:rPr>
        <w:t>11</w:t>
      </w:r>
      <w:r>
        <w:rPr>
          <w:bCs/>
        </w:rPr>
        <w:tab/>
      </w:r>
      <w:r w:rsidRPr="00932E2E">
        <w:rPr>
          <w:bCs/>
          <w:lang w:eastAsia="zh-CN"/>
        </w:rPr>
        <w:t>HRMD strengthened intersectoral communication with regional offices, including through meetings on social security benefits, organized for Cairo, Russia, and Latin America in 2024, with additional sessions planned for Africa and Asia in 2025</w:t>
      </w:r>
      <w:r w:rsidRPr="00932E2E">
        <w:rPr>
          <w:rFonts w:hint="eastAsia"/>
          <w:bCs/>
          <w:lang w:eastAsia="zh-CN"/>
        </w:rPr>
        <w:t>.</w:t>
      </w:r>
    </w:p>
    <w:p w14:paraId="6FB526CD" w14:textId="33E5BF61" w:rsidR="00D2670C" w:rsidRPr="00932E2E" w:rsidRDefault="00D2670C" w:rsidP="00D2670C">
      <w:pPr>
        <w:pStyle w:val="enumlev1"/>
        <w:jc w:val="both"/>
        <w:rPr>
          <w:bCs/>
        </w:rPr>
      </w:pPr>
      <w:r>
        <w:rPr>
          <w:bCs/>
        </w:rPr>
        <w:t>12</w:t>
      </w:r>
      <w:r>
        <w:rPr>
          <w:bCs/>
        </w:rPr>
        <w:tab/>
      </w:r>
      <w:r w:rsidRPr="00932E2E">
        <w:rPr>
          <w:bCs/>
        </w:rPr>
        <w:t xml:space="preserve">Induction and Pre-Retirement Seminars were successfully </w:t>
      </w:r>
      <w:r w:rsidRPr="00932E2E">
        <w:rPr>
          <w:rFonts w:hint="eastAsia"/>
          <w:bCs/>
          <w:lang w:eastAsia="zh-CN"/>
        </w:rPr>
        <w:t xml:space="preserve">conducted, </w:t>
      </w:r>
      <w:r w:rsidRPr="00932E2E">
        <w:rPr>
          <w:bCs/>
          <w:lang w:eastAsia="zh-CN"/>
        </w:rPr>
        <w:t>ensuring a smooth transition for new hires and providing guidance for employees approaching retirement</w:t>
      </w:r>
      <w:r w:rsidRPr="00932E2E">
        <w:rPr>
          <w:rFonts w:hint="eastAsia"/>
          <w:bCs/>
          <w:lang w:eastAsia="zh-CN"/>
        </w:rPr>
        <w:t>.</w:t>
      </w:r>
    </w:p>
    <w:p w14:paraId="139E6DCD" w14:textId="13BB7196" w:rsidR="00D2670C" w:rsidRPr="00932E2E" w:rsidRDefault="00D2670C" w:rsidP="00FA71A0">
      <w:pPr>
        <w:pStyle w:val="enumlev1"/>
        <w:spacing w:line="259" w:lineRule="auto"/>
        <w:jc w:val="both"/>
      </w:pPr>
      <w:r>
        <w:t>13</w:t>
      </w:r>
      <w:r>
        <w:tab/>
      </w:r>
      <w:r w:rsidR="76B86AE7" w:rsidRPr="382CACE0">
        <w:t>Standard Operating Procedures (SOPs)</w:t>
      </w:r>
      <w:r w:rsidR="0A9D7E8E" w:rsidRPr="382CACE0">
        <w:rPr>
          <w:lang w:eastAsia="zh-CN"/>
        </w:rPr>
        <w:t xml:space="preserve"> </w:t>
      </w:r>
      <w:r w:rsidRPr="382CACE0">
        <w:rPr>
          <w:lang w:eastAsia="zh-CN"/>
        </w:rPr>
        <w:t xml:space="preserve">for emergency </w:t>
      </w:r>
      <w:r w:rsidR="22C935E2">
        <w:t xml:space="preserve">situations </w:t>
      </w:r>
      <w:r w:rsidRPr="382CACE0">
        <w:rPr>
          <w:lang w:eastAsia="zh-CN"/>
        </w:rPr>
        <w:t xml:space="preserve">for staff in Field Offices and on missions have been developed in collaboration with the Staff Council to enhance ITU’s </w:t>
      </w:r>
      <w:r w:rsidRPr="382CACE0">
        <w:rPr>
          <w:rFonts w:hint="eastAsia"/>
          <w:lang w:eastAsia="zh-CN"/>
        </w:rPr>
        <w:t xml:space="preserve">emergency preparedness </w:t>
      </w:r>
      <w:r w:rsidRPr="382CACE0">
        <w:rPr>
          <w:lang w:eastAsia="zh-CN"/>
        </w:rPr>
        <w:t>and staff s</w:t>
      </w:r>
      <w:r w:rsidRPr="382CACE0">
        <w:rPr>
          <w:rFonts w:hint="eastAsia"/>
          <w:lang w:eastAsia="zh-CN"/>
        </w:rPr>
        <w:t xml:space="preserve">ecurity </w:t>
      </w:r>
      <w:r w:rsidRPr="382CACE0">
        <w:rPr>
          <w:lang w:eastAsia="zh-CN"/>
        </w:rPr>
        <w:t>protocols</w:t>
      </w:r>
      <w:r w:rsidRPr="382CACE0">
        <w:rPr>
          <w:rFonts w:hint="eastAsia"/>
          <w:lang w:eastAsia="zh-CN"/>
        </w:rPr>
        <w:t>.</w:t>
      </w:r>
    </w:p>
    <w:p w14:paraId="3FE71788" w14:textId="498FBE40" w:rsidR="00D2670C" w:rsidRPr="00932E2E" w:rsidRDefault="00D2670C" w:rsidP="00D2670C">
      <w:pPr>
        <w:pStyle w:val="enumlev1"/>
        <w:jc w:val="both"/>
        <w:rPr>
          <w:bCs/>
        </w:rPr>
      </w:pPr>
      <w:r w:rsidRPr="006E1DB6">
        <w:rPr>
          <w:bCs/>
        </w:rPr>
        <w:t>14</w:t>
      </w:r>
      <w:r w:rsidRPr="006E1DB6">
        <w:rPr>
          <w:bCs/>
        </w:rPr>
        <w:tab/>
      </w:r>
      <w:r w:rsidRPr="00932E2E">
        <w:rPr>
          <w:bCs/>
        </w:rPr>
        <w:t>HRMD continued to enhance accountability by systematically monitoring and addressing outstanding audit recommendations. Between June 2024 and May 2025, 30</w:t>
      </w:r>
      <w:r w:rsidR="00EC0292">
        <w:rPr>
          <w:bCs/>
        </w:rPr>
        <w:t> </w:t>
      </w:r>
      <w:r w:rsidRPr="00932E2E">
        <w:rPr>
          <w:bCs/>
        </w:rPr>
        <w:t xml:space="preserve">audit recommendations were closed. Of the 73 legacy recommendations open as of August 2023, 37 (51%) have been closed to date, reflecting significant progress in reducing the historical backlog. These efforts underscore </w:t>
      </w:r>
      <w:r w:rsidRPr="00932E2E">
        <w:rPr>
          <w:rFonts w:hint="eastAsia"/>
          <w:bCs/>
          <w:lang w:eastAsia="zh-CN"/>
        </w:rPr>
        <w:t>its</w:t>
      </w:r>
      <w:r w:rsidRPr="00932E2E">
        <w:rPr>
          <w:bCs/>
        </w:rPr>
        <w:t xml:space="preserve"> commitment to effectiveness, transparency, and results-based management.</w:t>
      </w:r>
    </w:p>
    <w:p w14:paraId="55DF1107" w14:textId="18CAB28D" w:rsidR="006C6FCE" w:rsidRPr="000D66AF" w:rsidRDefault="006C6FCE" w:rsidP="008259C8">
      <w:pPr>
        <w:keepNext/>
        <w:keepLines/>
        <w:jc w:val="both"/>
        <w:rPr>
          <w:b/>
          <w:bCs/>
        </w:rPr>
      </w:pPr>
      <w:r>
        <w:rPr>
          <w:b/>
          <w:bCs/>
        </w:rPr>
        <w:lastRenderedPageBreak/>
        <w:t>Transition from the Human Resources Strategic Plan</w:t>
      </w:r>
    </w:p>
    <w:p w14:paraId="28389830" w14:textId="132E45F3" w:rsidR="00D2670C" w:rsidRDefault="00D2670C" w:rsidP="008259C8">
      <w:pPr>
        <w:keepNext/>
        <w:keepLines/>
        <w:jc w:val="both"/>
      </w:pPr>
      <w:r w:rsidRPr="00450DC3">
        <w:t>As reported to the Council in 2024</w:t>
      </w:r>
      <w:r w:rsidR="009C1B30">
        <w:t xml:space="preserve"> (</w:t>
      </w:r>
      <w:r w:rsidR="00206058" w:rsidRPr="008259C8">
        <w:t>D</w:t>
      </w:r>
      <w:r w:rsidR="009C1B30" w:rsidRPr="008259C8">
        <w:t xml:space="preserve">ocument </w:t>
      </w:r>
      <w:hyperlink r:id="rId16" w:history="1">
        <w:proofErr w:type="spellStart"/>
        <w:r w:rsidR="00461793" w:rsidRPr="008259C8">
          <w:rPr>
            <w:rStyle w:val="Hyperlink"/>
          </w:rPr>
          <w:t>C</w:t>
        </w:r>
        <w:r w:rsidR="00206058" w:rsidRPr="008259C8">
          <w:rPr>
            <w:rStyle w:val="Hyperlink"/>
          </w:rPr>
          <w:t>24</w:t>
        </w:r>
        <w:proofErr w:type="spellEnd"/>
        <w:r w:rsidR="00206058" w:rsidRPr="008259C8">
          <w:rPr>
            <w:rStyle w:val="Hyperlink"/>
          </w:rPr>
          <w:t>/</w:t>
        </w:r>
        <w:r w:rsidR="00461793" w:rsidRPr="008259C8">
          <w:rPr>
            <w:rStyle w:val="Hyperlink"/>
          </w:rPr>
          <w:t>29</w:t>
        </w:r>
      </w:hyperlink>
      <w:r w:rsidR="00206058">
        <w:t>)</w:t>
      </w:r>
      <w:r w:rsidRPr="00450DC3">
        <w:t>, the Human Resources Strategic Plan (</w:t>
      </w:r>
      <w:proofErr w:type="spellStart"/>
      <w:r w:rsidRPr="00450DC3">
        <w:t>HRSP</w:t>
      </w:r>
      <w:proofErr w:type="spellEnd"/>
      <w:r w:rsidRPr="00450DC3">
        <w:t>) 2020–2023 concluded</w:t>
      </w:r>
      <w:r w:rsidR="00206058">
        <w:t xml:space="preserve"> and shifted </w:t>
      </w:r>
      <w:r w:rsidRPr="00450DC3">
        <w:t xml:space="preserve">from </w:t>
      </w:r>
      <w:r w:rsidR="00206058">
        <w:t>the</w:t>
      </w:r>
      <w:r w:rsidR="00206058" w:rsidRPr="00450DC3">
        <w:t xml:space="preserve"> </w:t>
      </w:r>
      <w:r w:rsidRPr="00450DC3">
        <w:t xml:space="preserve">four-year </w:t>
      </w:r>
      <w:r w:rsidR="00206058">
        <w:t>Strategy</w:t>
      </w:r>
      <w:r w:rsidRPr="00450DC3">
        <w:t xml:space="preserve"> to a more </w:t>
      </w:r>
      <w:r>
        <w:rPr>
          <w:rFonts w:hint="eastAsia"/>
          <w:lang w:eastAsia="zh-CN"/>
        </w:rPr>
        <w:t>focused</w:t>
      </w:r>
      <w:r w:rsidRPr="00450DC3">
        <w:t xml:space="preserve"> </w:t>
      </w:r>
      <w:r w:rsidR="00206058">
        <w:t>Human Resources Transformation Plan (</w:t>
      </w:r>
      <w:proofErr w:type="spellStart"/>
      <w:r w:rsidR="00206058">
        <w:t>HRTP</w:t>
      </w:r>
      <w:proofErr w:type="spellEnd"/>
      <w:r w:rsidR="00206058">
        <w:t>)</w:t>
      </w:r>
      <w:r w:rsidRPr="00450DC3">
        <w:t xml:space="preserve">, </w:t>
      </w:r>
      <w:r w:rsidR="00DF0202">
        <w:t xml:space="preserve">which is </w:t>
      </w:r>
      <w:r w:rsidRPr="00450DC3">
        <w:t xml:space="preserve">a pivotal driver of the </w:t>
      </w:r>
      <w:r w:rsidR="00DF0202">
        <w:t xml:space="preserve">overall </w:t>
      </w:r>
      <w:r w:rsidRPr="00450DC3">
        <w:t xml:space="preserve">ITU Transformation. </w:t>
      </w:r>
      <w:r w:rsidR="00DF0202">
        <w:t xml:space="preserve">The </w:t>
      </w:r>
      <w:proofErr w:type="spellStart"/>
      <w:r w:rsidR="00DF0202">
        <w:t>HRTP</w:t>
      </w:r>
      <w:proofErr w:type="spellEnd"/>
      <w:r w:rsidR="00DF0202">
        <w:t xml:space="preserve"> is focussed on specific, achievable and </w:t>
      </w:r>
      <w:r w:rsidR="4F350BDD">
        <w:t>t</w:t>
      </w:r>
      <w:r w:rsidR="75E5CB9D">
        <w:t>ime</w:t>
      </w:r>
      <w:r w:rsidR="00DF0202">
        <w:t xml:space="preserve"> bound improvements in ITU’s HR processes and procedures</w:t>
      </w:r>
      <w:r w:rsidR="37CEB1E9">
        <w:t xml:space="preserve">. </w:t>
      </w:r>
      <w:r w:rsidR="5A1952F2" w:rsidRPr="382CACE0">
        <w:rPr>
          <w:rFonts w:eastAsia="Calibri" w:cs="Calibri"/>
          <w:szCs w:val="24"/>
        </w:rPr>
        <w:t xml:space="preserve">Key ongoing and upcoming initiatives under the </w:t>
      </w:r>
      <w:proofErr w:type="spellStart"/>
      <w:r w:rsidR="5A1952F2" w:rsidRPr="382CACE0">
        <w:rPr>
          <w:rFonts w:eastAsia="Calibri" w:cs="Calibri"/>
          <w:szCs w:val="24"/>
        </w:rPr>
        <w:t>HRTP</w:t>
      </w:r>
      <w:proofErr w:type="spellEnd"/>
      <w:r w:rsidR="5A1952F2" w:rsidRPr="382CACE0">
        <w:rPr>
          <w:rFonts w:eastAsia="Calibri" w:cs="Calibri"/>
          <w:szCs w:val="24"/>
        </w:rPr>
        <w:t xml:space="preserve"> are aligned with the ITU Transformation Roadmap, </w:t>
      </w:r>
      <w:r w:rsidR="7C37648D" w:rsidRPr="382CACE0">
        <w:rPr>
          <w:rFonts w:eastAsia="Calibri" w:cs="Calibri"/>
          <w:szCs w:val="24"/>
        </w:rPr>
        <w:t xml:space="preserve">including </w:t>
      </w:r>
      <w:r w:rsidR="5A1952F2" w:rsidRPr="382CACE0">
        <w:rPr>
          <w:rFonts w:eastAsia="Calibri" w:cs="Calibri"/>
          <w:szCs w:val="24"/>
        </w:rPr>
        <w:t>the modernization of HR policies and processes, the digitalization of recruitment tools, enhanced performance and talent management,</w:t>
      </w:r>
      <w:r w:rsidR="579F6F90" w:rsidRPr="382CACE0">
        <w:rPr>
          <w:rFonts w:eastAsia="Calibri" w:cs="Calibri"/>
          <w:szCs w:val="24"/>
        </w:rPr>
        <w:t xml:space="preserve"> </w:t>
      </w:r>
      <w:r w:rsidR="1A19C6F7" w:rsidRPr="382CACE0">
        <w:rPr>
          <w:rFonts w:eastAsia="Calibri" w:cs="Calibri"/>
          <w:szCs w:val="24"/>
        </w:rPr>
        <w:t>and</w:t>
      </w:r>
      <w:r w:rsidR="5A1952F2" w:rsidRPr="382CACE0">
        <w:rPr>
          <w:rFonts w:eastAsia="Calibri" w:cs="Calibri"/>
          <w:szCs w:val="24"/>
        </w:rPr>
        <w:t xml:space="preserve"> delegation</w:t>
      </w:r>
      <w:r w:rsidR="0D4E1E0B" w:rsidRPr="382CACE0">
        <w:rPr>
          <w:rFonts w:eastAsia="Calibri" w:cs="Calibri"/>
          <w:szCs w:val="24"/>
        </w:rPr>
        <w:t>s</w:t>
      </w:r>
      <w:r w:rsidR="5A1952F2" w:rsidRPr="382CACE0">
        <w:rPr>
          <w:rFonts w:eastAsia="Calibri" w:cs="Calibri"/>
          <w:szCs w:val="24"/>
        </w:rPr>
        <w:t xml:space="preserve"> of authority.</w:t>
      </w:r>
      <w:r w:rsidR="004E5838" w:rsidRPr="382CACE0">
        <w:rPr>
          <w:rFonts w:eastAsia="Calibri" w:cs="Calibri"/>
          <w:szCs w:val="24"/>
        </w:rPr>
        <w:t xml:space="preserve"> </w:t>
      </w:r>
      <w:r w:rsidRPr="00450DC3">
        <w:t xml:space="preserve">During this interim period, </w:t>
      </w:r>
      <w:r>
        <w:rPr>
          <w:rFonts w:hint="eastAsia"/>
          <w:lang w:eastAsia="zh-CN"/>
        </w:rPr>
        <w:t>t</w:t>
      </w:r>
      <w:r w:rsidRPr="00450DC3">
        <w:rPr>
          <w:lang w:eastAsia="zh-CN"/>
        </w:rPr>
        <w:t xml:space="preserve">o ensure continued accountability and transparency, an annex on the Implementation of Resolution 48 is </w:t>
      </w:r>
      <w:r>
        <w:rPr>
          <w:rFonts w:hint="eastAsia"/>
          <w:lang w:eastAsia="zh-CN"/>
        </w:rPr>
        <w:t>included</w:t>
      </w:r>
      <w:r w:rsidRPr="00450DC3">
        <w:rPr>
          <w:lang w:eastAsia="zh-CN"/>
        </w:rPr>
        <w:t xml:space="preserve">, </w:t>
      </w:r>
      <w:r>
        <w:rPr>
          <w:rFonts w:hint="eastAsia"/>
          <w:lang w:eastAsia="zh-CN"/>
        </w:rPr>
        <w:t xml:space="preserve">providing </w:t>
      </w:r>
      <w:r w:rsidRPr="00450DC3">
        <w:rPr>
          <w:lang w:eastAsia="zh-CN"/>
        </w:rPr>
        <w:t xml:space="preserve">regular tracking of </w:t>
      </w:r>
      <w:r w:rsidR="004E5838">
        <w:rPr>
          <w:lang w:eastAsia="zh-CN"/>
        </w:rPr>
        <w:t xml:space="preserve">core </w:t>
      </w:r>
      <w:r w:rsidRPr="00450DC3">
        <w:rPr>
          <w:lang w:eastAsia="zh-CN"/>
        </w:rPr>
        <w:t>HR indicators during this transitional phase</w:t>
      </w:r>
      <w:r w:rsidRPr="00450DC3">
        <w:t xml:space="preserve">. These efforts </w:t>
      </w:r>
      <w:r>
        <w:rPr>
          <w:rFonts w:hint="eastAsia"/>
          <w:lang w:eastAsia="zh-CN"/>
        </w:rPr>
        <w:t xml:space="preserve">also </w:t>
      </w:r>
      <w:r w:rsidRPr="00450DC3">
        <w:t>lay the groundwork for the development of a new</w:t>
      </w:r>
      <w:r>
        <w:rPr>
          <w:rFonts w:hint="eastAsia"/>
          <w:lang w:eastAsia="zh-CN"/>
        </w:rPr>
        <w:t xml:space="preserve"> comprehensive </w:t>
      </w:r>
      <w:r w:rsidRPr="00450DC3">
        <w:t>HR strategic plan</w:t>
      </w:r>
      <w:r w:rsidR="004E5838">
        <w:t>, which will be developed and presented to Council 2026</w:t>
      </w:r>
      <w:r w:rsidRPr="006E1DB6">
        <w:t>.</w:t>
      </w:r>
    </w:p>
    <w:p w14:paraId="3C83B459" w14:textId="77777777" w:rsidR="00D2670C" w:rsidRDefault="00D2670C" w:rsidP="00D2670C">
      <w:pPr>
        <w:rPr>
          <w:rFonts w:eastAsia="SimSun"/>
        </w:rPr>
        <w:sectPr w:rsidR="00D2670C" w:rsidSect="008259C8">
          <w:footerReference w:type="default" r:id="rId17"/>
          <w:headerReference w:type="first" r:id="rId18"/>
          <w:footerReference w:type="first" r:id="rId19"/>
          <w:pgSz w:w="11907" w:h="16834"/>
          <w:pgMar w:top="1418" w:right="1418" w:bottom="1418" w:left="1418" w:header="720" w:footer="720" w:gutter="0"/>
          <w:paperSrc w:first="7" w:other="7"/>
          <w:cols w:space="720"/>
          <w:titlePg/>
        </w:sectPr>
      </w:pPr>
    </w:p>
    <w:p w14:paraId="748A8F66" w14:textId="77777777" w:rsidR="00D2670C" w:rsidRDefault="00D2670C" w:rsidP="00917736">
      <w:pPr>
        <w:pStyle w:val="AnnexNo"/>
        <w:spacing w:before="0"/>
      </w:pPr>
      <w:r w:rsidRPr="00D15614">
        <w:rPr>
          <w:rFonts w:hint="eastAsia"/>
        </w:rPr>
        <w:lastRenderedPageBreak/>
        <w:t>Annex</w:t>
      </w:r>
    </w:p>
    <w:p w14:paraId="4E7648B0" w14:textId="317BD123" w:rsidR="00D2670C" w:rsidRPr="00D15614" w:rsidRDefault="00D2670C" w:rsidP="00917736">
      <w:pPr>
        <w:pStyle w:val="Annextitle"/>
        <w:spacing w:after="120"/>
        <w:rPr>
          <w:lang w:eastAsia="zh-CN"/>
        </w:rPr>
      </w:pPr>
      <w:r w:rsidRPr="00D15614">
        <w:t>Implementation of Resolution 48</w:t>
      </w:r>
      <w:r w:rsidR="00D32BE5">
        <w:t xml:space="preserve"> – </w:t>
      </w:r>
      <w:r w:rsidRPr="00D15614">
        <w:t xml:space="preserve">HR </w:t>
      </w:r>
      <w:r w:rsidR="00D32BE5" w:rsidRPr="00D15614">
        <w:t>indicators and progress update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578"/>
        <w:gridCol w:w="1458"/>
        <w:gridCol w:w="5976"/>
        <w:gridCol w:w="5976"/>
      </w:tblGrid>
      <w:tr w:rsidR="00D2670C" w:rsidRPr="00917736" w14:paraId="6F1AA6F2" w14:textId="77777777" w:rsidTr="00917736">
        <w:trPr>
          <w:trHeight w:val="401"/>
          <w:tblHeader/>
          <w:jc w:val="center"/>
        </w:trPr>
        <w:tc>
          <w:tcPr>
            <w:tcW w:w="207" w:type="pct"/>
            <w:shd w:val="clear" w:color="auto" w:fill="B8CCE4" w:themeFill="accent1" w:themeFillTint="66"/>
            <w:hideMark/>
          </w:tcPr>
          <w:p w14:paraId="2ACF599D" w14:textId="77777777" w:rsidR="00D2670C" w:rsidRPr="00917736" w:rsidRDefault="00D2670C" w:rsidP="00D32BE5">
            <w:pPr>
              <w:pStyle w:val="Tablehead"/>
              <w:rPr>
                <w:sz w:val="20"/>
                <w:lang w:val="en-US" w:eastAsia="zh-CN"/>
              </w:rPr>
            </w:pPr>
            <w:r w:rsidRPr="00917736">
              <w:rPr>
                <w:rFonts w:hint="eastAsia"/>
                <w:sz w:val="20"/>
                <w:lang w:val="en-US" w:eastAsia="zh-CN"/>
              </w:rPr>
              <w:t>No.</w:t>
            </w:r>
          </w:p>
        </w:tc>
        <w:tc>
          <w:tcPr>
            <w:tcW w:w="521" w:type="pct"/>
            <w:shd w:val="clear" w:color="auto" w:fill="B8CCE4" w:themeFill="accent1" w:themeFillTint="66"/>
          </w:tcPr>
          <w:p w14:paraId="6FAD9D72" w14:textId="77777777" w:rsidR="00D2670C" w:rsidRPr="00917736" w:rsidRDefault="00D2670C" w:rsidP="00D32BE5">
            <w:pPr>
              <w:pStyle w:val="Tablehead"/>
              <w:rPr>
                <w:sz w:val="20"/>
                <w:lang w:val="en-US" w:eastAsia="zh-CN"/>
              </w:rPr>
            </w:pPr>
            <w:r w:rsidRPr="00917736">
              <w:rPr>
                <w:rFonts w:hint="eastAsia"/>
                <w:sz w:val="20"/>
                <w:lang w:val="en-US" w:eastAsia="zh-CN"/>
              </w:rPr>
              <w:t>Items</w:t>
            </w:r>
          </w:p>
        </w:tc>
        <w:tc>
          <w:tcPr>
            <w:tcW w:w="2136" w:type="pct"/>
            <w:shd w:val="clear" w:color="auto" w:fill="B8CCE4" w:themeFill="accent1" w:themeFillTint="66"/>
          </w:tcPr>
          <w:p w14:paraId="727E0E34" w14:textId="77777777" w:rsidR="00D2670C" w:rsidRPr="00917736" w:rsidRDefault="00D2670C" w:rsidP="00D32BE5">
            <w:pPr>
              <w:pStyle w:val="Tablehead"/>
              <w:rPr>
                <w:sz w:val="20"/>
                <w:lang w:val="en-US"/>
              </w:rPr>
            </w:pPr>
            <w:r w:rsidRPr="00917736">
              <w:rPr>
                <w:sz w:val="20"/>
                <w:lang w:val="en-US"/>
              </w:rPr>
              <w:t>Key Performance Indicators</w:t>
            </w:r>
          </w:p>
        </w:tc>
        <w:tc>
          <w:tcPr>
            <w:tcW w:w="2136" w:type="pct"/>
            <w:shd w:val="clear" w:color="auto" w:fill="B8CCE4" w:themeFill="accent1" w:themeFillTint="66"/>
          </w:tcPr>
          <w:p w14:paraId="68F3E164" w14:textId="77777777" w:rsidR="00D2670C" w:rsidRPr="00917736" w:rsidRDefault="00D2670C" w:rsidP="00D32BE5">
            <w:pPr>
              <w:pStyle w:val="Tablehead"/>
              <w:rPr>
                <w:sz w:val="20"/>
                <w:lang w:val="en-US"/>
              </w:rPr>
            </w:pPr>
            <w:r w:rsidRPr="00917736">
              <w:rPr>
                <w:sz w:val="20"/>
                <w:lang w:val="en-US"/>
              </w:rPr>
              <w:t>Reporting (Status May 2025)</w:t>
            </w:r>
          </w:p>
        </w:tc>
      </w:tr>
      <w:tr w:rsidR="00D2670C" w:rsidRPr="00917736" w14:paraId="78404D7B" w14:textId="77777777" w:rsidTr="00917736">
        <w:trPr>
          <w:trHeight w:val="20"/>
          <w:jc w:val="center"/>
        </w:trPr>
        <w:tc>
          <w:tcPr>
            <w:tcW w:w="207" w:type="pct"/>
            <w:shd w:val="clear" w:color="auto" w:fill="FFFFFF" w:themeFill="background1"/>
            <w:hideMark/>
          </w:tcPr>
          <w:p w14:paraId="6C838826" w14:textId="77777777" w:rsidR="00D2670C" w:rsidRPr="00917736" w:rsidRDefault="00D2670C" w:rsidP="00D32BE5">
            <w:pPr>
              <w:pStyle w:val="Tabletext"/>
              <w:jc w:val="center"/>
              <w:rPr>
                <w:sz w:val="20"/>
                <w:lang w:val="en-US" w:eastAsia="zh-CN"/>
              </w:rPr>
            </w:pPr>
            <w:r w:rsidRPr="00917736">
              <w:rPr>
                <w:sz w:val="20"/>
                <w:lang w:val="en-US" w:eastAsia="zh-CN"/>
              </w:rPr>
              <w:t>1</w:t>
            </w:r>
          </w:p>
        </w:tc>
        <w:tc>
          <w:tcPr>
            <w:tcW w:w="521" w:type="pct"/>
            <w:shd w:val="clear" w:color="auto" w:fill="FFFFFF" w:themeFill="background1"/>
            <w:hideMark/>
          </w:tcPr>
          <w:p w14:paraId="0D0B0BED" w14:textId="77777777" w:rsidR="00D2670C" w:rsidRPr="00917736" w:rsidRDefault="00D2670C" w:rsidP="00D32BE5">
            <w:pPr>
              <w:pStyle w:val="Tabletext"/>
              <w:rPr>
                <w:sz w:val="20"/>
                <w:lang w:val="en-US"/>
              </w:rPr>
            </w:pPr>
            <w:r w:rsidRPr="00917736">
              <w:rPr>
                <w:sz w:val="20"/>
                <w:lang w:eastAsia="zh-CN"/>
              </w:rPr>
              <w:t>Recruitment and Representation</w:t>
            </w:r>
          </w:p>
        </w:tc>
        <w:tc>
          <w:tcPr>
            <w:tcW w:w="2136" w:type="pct"/>
            <w:shd w:val="clear" w:color="auto" w:fill="FFFFFF" w:themeFill="background1"/>
          </w:tcPr>
          <w:p w14:paraId="7BD528C9" w14:textId="77777777" w:rsidR="00D2670C" w:rsidRPr="00917736" w:rsidRDefault="00D2670C" w:rsidP="00134045">
            <w:pPr>
              <w:pStyle w:val="Tabletext"/>
              <w:ind w:left="284" w:hanging="284"/>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bidi="en-US"/>
              </w:rPr>
              <w:t>Qualitative and quantitative analysis of movement of positions (review, upgrading, downgrading, transfer and creation)</w:t>
            </w:r>
            <w:r w:rsidRPr="00917736">
              <w:rPr>
                <w:sz w:val="20"/>
                <w:lang w:val="en-US"/>
              </w:rPr>
              <w:t xml:space="preserve"> / total number of positions that have been subject of a classification exercise.</w:t>
            </w:r>
          </w:p>
          <w:p w14:paraId="3B8A8EDF"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 xml:space="preserve">Use of </w:t>
            </w:r>
            <w:proofErr w:type="spellStart"/>
            <w:r w:rsidRPr="00917736">
              <w:rPr>
                <w:sz w:val="20"/>
                <w:lang w:val="en-US"/>
              </w:rPr>
              <w:t>ICSC</w:t>
            </w:r>
            <w:proofErr w:type="spellEnd"/>
            <w:r w:rsidRPr="00917736">
              <w:rPr>
                <w:sz w:val="20"/>
                <w:lang w:val="en-US"/>
              </w:rPr>
              <w:t xml:space="preserve"> job classification standards.</w:t>
            </w:r>
          </w:p>
        </w:tc>
        <w:tc>
          <w:tcPr>
            <w:tcW w:w="2136" w:type="pct"/>
            <w:shd w:val="clear" w:color="auto" w:fill="FFFFFF" w:themeFill="background1"/>
          </w:tcPr>
          <w:p w14:paraId="4D97D18F" w14:textId="77777777" w:rsidR="00D2670C" w:rsidRPr="00917736" w:rsidRDefault="00D2670C" w:rsidP="00D32BE5">
            <w:pPr>
              <w:pStyle w:val="Tabletext"/>
              <w:rPr>
                <w:sz w:val="20"/>
                <w:lang w:val="en-US"/>
              </w:rPr>
            </w:pPr>
            <w:r w:rsidRPr="00917736">
              <w:rPr>
                <w:sz w:val="20"/>
                <w:lang w:val="en-US"/>
              </w:rPr>
              <w:t xml:space="preserve">A </w:t>
            </w:r>
            <w:r w:rsidRPr="00917736">
              <w:rPr>
                <w:rFonts w:hint="eastAsia"/>
                <w:sz w:val="20"/>
                <w:lang w:val="en-US" w:eastAsia="zh-CN"/>
              </w:rPr>
              <w:t>series of</w:t>
            </w:r>
            <w:r w:rsidRPr="00917736">
              <w:rPr>
                <w:sz w:val="20"/>
                <w:lang w:val="en-US"/>
              </w:rPr>
              <w:t xml:space="preserve"> classification activities from 202</w:t>
            </w:r>
            <w:r w:rsidRPr="00917736">
              <w:rPr>
                <w:sz w:val="20"/>
                <w:lang w:val="en-US" w:eastAsia="zh-CN"/>
              </w:rPr>
              <w:t>4</w:t>
            </w:r>
            <w:r w:rsidRPr="00917736">
              <w:rPr>
                <w:sz w:val="20"/>
                <w:lang w:val="en-US"/>
              </w:rPr>
              <w:t xml:space="preserve"> to </w:t>
            </w:r>
            <w:r w:rsidRPr="00917736">
              <w:rPr>
                <w:sz w:val="20"/>
                <w:lang w:val="en-US" w:eastAsia="zh-CN"/>
              </w:rPr>
              <w:t>May 2025</w:t>
            </w:r>
            <w:r w:rsidRPr="00917736">
              <w:rPr>
                <w:sz w:val="20"/>
                <w:lang w:val="en-US"/>
              </w:rPr>
              <w:t xml:space="preserve">, excluding validation of grade for short-term contracts: </w:t>
            </w:r>
          </w:p>
          <w:p w14:paraId="544F3EE7" w14:textId="77777777" w:rsidR="00D2670C" w:rsidRPr="00917736" w:rsidRDefault="00D2670C" w:rsidP="00D32BE5">
            <w:pPr>
              <w:pStyle w:val="Tabletext"/>
              <w:rPr>
                <w:sz w:val="20"/>
                <w:lang w:val="en-US"/>
              </w:rPr>
            </w:pPr>
            <w:r w:rsidRPr="00917736">
              <w:rPr>
                <w:sz w:val="20"/>
                <w:lang w:val="en-US"/>
              </w:rPr>
              <w:t>•</w:t>
            </w:r>
            <w:r w:rsidRPr="00917736">
              <w:rPr>
                <w:sz w:val="20"/>
              </w:rPr>
              <w:tab/>
            </w:r>
            <w:r w:rsidRPr="00917736">
              <w:rPr>
                <w:sz w:val="20"/>
                <w:lang w:val="en-US"/>
              </w:rPr>
              <w:t>36 creations of regular positions and 14 Project Posts</w:t>
            </w:r>
          </w:p>
          <w:p w14:paraId="7F2D0998" w14:textId="77777777" w:rsidR="00D2670C" w:rsidRPr="00917736" w:rsidRDefault="00D2670C" w:rsidP="00D32BE5">
            <w:pPr>
              <w:pStyle w:val="Tabletext"/>
              <w:rPr>
                <w:sz w:val="20"/>
                <w:lang w:val="en-US"/>
              </w:rPr>
            </w:pPr>
            <w:r w:rsidRPr="00917736">
              <w:rPr>
                <w:sz w:val="20"/>
                <w:lang w:val="en-US"/>
              </w:rPr>
              <w:t>•</w:t>
            </w:r>
            <w:r w:rsidRPr="00917736">
              <w:rPr>
                <w:sz w:val="20"/>
              </w:rPr>
              <w:tab/>
            </w:r>
            <w:r w:rsidRPr="00917736">
              <w:rPr>
                <w:sz w:val="20"/>
                <w:lang w:val="en-US" w:eastAsia="zh-CN"/>
              </w:rPr>
              <w:t>4</w:t>
            </w:r>
            <w:r w:rsidRPr="00917736">
              <w:rPr>
                <w:sz w:val="20"/>
                <w:lang w:val="en-US"/>
              </w:rPr>
              <w:t xml:space="preserve"> downgrades</w:t>
            </w:r>
          </w:p>
          <w:p w14:paraId="7DD5F8B6" w14:textId="77777777" w:rsidR="00D2670C" w:rsidRPr="00917736" w:rsidRDefault="00D2670C" w:rsidP="00D32BE5">
            <w:pPr>
              <w:pStyle w:val="Tabletext"/>
              <w:rPr>
                <w:sz w:val="20"/>
                <w:lang w:val="en-US"/>
              </w:rPr>
            </w:pPr>
            <w:r w:rsidRPr="00917736">
              <w:rPr>
                <w:sz w:val="20"/>
                <w:lang w:val="en-US"/>
              </w:rPr>
              <w:t>•</w:t>
            </w:r>
            <w:r w:rsidRPr="00917736">
              <w:rPr>
                <w:sz w:val="20"/>
              </w:rPr>
              <w:tab/>
            </w:r>
            <w:r w:rsidRPr="00917736">
              <w:rPr>
                <w:sz w:val="20"/>
                <w:lang w:val="en-US" w:eastAsia="zh-CN"/>
              </w:rPr>
              <w:t>26</w:t>
            </w:r>
            <w:r w:rsidRPr="00917736">
              <w:rPr>
                <w:sz w:val="20"/>
                <w:lang w:val="en-US"/>
              </w:rPr>
              <w:t xml:space="preserve"> upgrades</w:t>
            </w:r>
          </w:p>
          <w:p w14:paraId="14B35EEC" w14:textId="77777777" w:rsidR="00D2670C" w:rsidRPr="00917736" w:rsidRDefault="00D2670C" w:rsidP="00D32BE5">
            <w:pPr>
              <w:pStyle w:val="Tabletext"/>
              <w:rPr>
                <w:sz w:val="20"/>
                <w:lang w:val="en-US"/>
              </w:rPr>
            </w:pPr>
            <w:r w:rsidRPr="00917736">
              <w:rPr>
                <w:sz w:val="20"/>
                <w:lang w:val="en-US"/>
              </w:rPr>
              <w:t>•</w:t>
            </w:r>
            <w:r w:rsidRPr="00917736">
              <w:rPr>
                <w:sz w:val="20"/>
              </w:rPr>
              <w:tab/>
            </w:r>
            <w:r w:rsidRPr="00917736">
              <w:rPr>
                <w:sz w:val="20"/>
                <w:lang w:val="en-US" w:eastAsia="zh-CN"/>
              </w:rPr>
              <w:t>13</w:t>
            </w:r>
            <w:r w:rsidRPr="00917736">
              <w:rPr>
                <w:sz w:val="20"/>
                <w:lang w:val="en-US"/>
              </w:rPr>
              <w:t xml:space="preserve"> transfers</w:t>
            </w:r>
          </w:p>
          <w:p w14:paraId="404D4080" w14:textId="77777777" w:rsidR="00D2670C" w:rsidRPr="00917736" w:rsidRDefault="00D2670C" w:rsidP="00D32BE5">
            <w:pPr>
              <w:pStyle w:val="Tabletext"/>
              <w:rPr>
                <w:sz w:val="20"/>
                <w:lang w:val="en-US"/>
              </w:rPr>
            </w:pPr>
            <w:r w:rsidRPr="00917736">
              <w:rPr>
                <w:sz w:val="20"/>
                <w:lang w:val="en-US"/>
              </w:rPr>
              <w:t>•</w:t>
            </w:r>
            <w:r w:rsidRPr="00917736">
              <w:rPr>
                <w:sz w:val="20"/>
              </w:rPr>
              <w:tab/>
            </w:r>
            <w:r w:rsidRPr="00917736">
              <w:rPr>
                <w:sz w:val="20"/>
                <w:lang w:val="en-US" w:eastAsia="zh-CN"/>
              </w:rPr>
              <w:t>59</w:t>
            </w:r>
            <w:r w:rsidRPr="00917736">
              <w:rPr>
                <w:sz w:val="20"/>
                <w:lang w:val="en-US"/>
              </w:rPr>
              <w:t xml:space="preserve"> reviews</w:t>
            </w:r>
          </w:p>
          <w:p w14:paraId="6EB05440" w14:textId="77777777" w:rsidR="00D2670C" w:rsidRPr="00917736" w:rsidRDefault="00D2670C" w:rsidP="00D32BE5">
            <w:pPr>
              <w:pStyle w:val="Tabletext"/>
              <w:rPr>
                <w:sz w:val="20"/>
                <w:lang w:val="en-US"/>
              </w:rPr>
            </w:pPr>
            <w:r w:rsidRPr="00917736">
              <w:rPr>
                <w:sz w:val="20"/>
                <w:lang w:val="en-US"/>
              </w:rPr>
              <w:t>•</w:t>
            </w:r>
            <w:r w:rsidRPr="00917736">
              <w:rPr>
                <w:sz w:val="20"/>
              </w:rPr>
              <w:tab/>
            </w:r>
            <w:r w:rsidRPr="00917736">
              <w:rPr>
                <w:sz w:val="20"/>
                <w:lang w:val="en-US"/>
              </w:rPr>
              <w:t xml:space="preserve">58 </w:t>
            </w:r>
            <w:proofErr w:type="spellStart"/>
            <w:r w:rsidRPr="00917736">
              <w:rPr>
                <w:sz w:val="20"/>
                <w:lang w:val="en-US"/>
              </w:rPr>
              <w:t>SPAs</w:t>
            </w:r>
            <w:proofErr w:type="spellEnd"/>
          </w:p>
          <w:p w14:paraId="0D4A58E0" w14:textId="77777777" w:rsidR="00D2670C" w:rsidRPr="00917736" w:rsidRDefault="00D2670C" w:rsidP="00D32BE5">
            <w:pPr>
              <w:pStyle w:val="Tabletext"/>
              <w:rPr>
                <w:sz w:val="20"/>
                <w:lang w:val="en-US"/>
              </w:rPr>
            </w:pPr>
            <w:r w:rsidRPr="00917736">
              <w:rPr>
                <w:sz w:val="20"/>
                <w:lang w:val="en-US"/>
              </w:rPr>
              <w:t xml:space="preserve">All job descriptions/positions have been evaluated against </w:t>
            </w:r>
            <w:proofErr w:type="spellStart"/>
            <w:r w:rsidRPr="00917736">
              <w:rPr>
                <w:sz w:val="20"/>
                <w:lang w:val="en-US"/>
              </w:rPr>
              <w:t>ICSC</w:t>
            </w:r>
            <w:proofErr w:type="spellEnd"/>
            <w:r w:rsidRPr="00917736">
              <w:rPr>
                <w:sz w:val="20"/>
                <w:lang w:val="en-US"/>
              </w:rPr>
              <w:t xml:space="preserve"> classification standards.</w:t>
            </w:r>
          </w:p>
        </w:tc>
      </w:tr>
      <w:tr w:rsidR="00D2670C" w:rsidRPr="00917736" w14:paraId="5C6427CB" w14:textId="77777777" w:rsidTr="00917736">
        <w:trPr>
          <w:trHeight w:val="514"/>
          <w:jc w:val="center"/>
        </w:trPr>
        <w:tc>
          <w:tcPr>
            <w:tcW w:w="207" w:type="pct"/>
            <w:shd w:val="clear" w:color="auto" w:fill="FFFFFF" w:themeFill="background1"/>
          </w:tcPr>
          <w:p w14:paraId="55E96C28" w14:textId="77777777" w:rsidR="00D2670C" w:rsidRPr="00917736" w:rsidRDefault="00D2670C" w:rsidP="00D32BE5">
            <w:pPr>
              <w:pStyle w:val="Tabletext"/>
              <w:jc w:val="center"/>
              <w:rPr>
                <w:sz w:val="20"/>
                <w:lang w:val="en-US" w:eastAsia="zh-CN"/>
              </w:rPr>
            </w:pPr>
            <w:r w:rsidRPr="00917736">
              <w:rPr>
                <w:rFonts w:hint="eastAsia"/>
                <w:sz w:val="20"/>
                <w:lang w:val="en-US" w:eastAsia="zh-CN"/>
              </w:rPr>
              <w:t>2</w:t>
            </w:r>
          </w:p>
        </w:tc>
        <w:tc>
          <w:tcPr>
            <w:tcW w:w="521" w:type="pct"/>
            <w:shd w:val="clear" w:color="auto" w:fill="FFFFFF" w:themeFill="background1"/>
          </w:tcPr>
          <w:p w14:paraId="76E719C3" w14:textId="77777777" w:rsidR="00D2670C" w:rsidRPr="00917736" w:rsidRDefault="00D2670C" w:rsidP="00D32BE5">
            <w:pPr>
              <w:pStyle w:val="Tabletext"/>
              <w:rPr>
                <w:sz w:val="20"/>
                <w:lang w:eastAsia="zh-CN"/>
              </w:rPr>
            </w:pPr>
            <w:r w:rsidRPr="00917736">
              <w:rPr>
                <w:sz w:val="20"/>
                <w:lang w:eastAsia="zh-CN"/>
              </w:rPr>
              <w:t>Recruitment and Representation</w:t>
            </w:r>
          </w:p>
        </w:tc>
        <w:tc>
          <w:tcPr>
            <w:tcW w:w="2136" w:type="pct"/>
            <w:shd w:val="clear" w:color="auto" w:fill="FFFFFF" w:themeFill="background1"/>
          </w:tcPr>
          <w:p w14:paraId="1AD448E0" w14:textId="77777777" w:rsidR="00D2670C" w:rsidRPr="00917736" w:rsidRDefault="00D2670C" w:rsidP="00D32BE5">
            <w:pPr>
              <w:pStyle w:val="Tabletext"/>
              <w:rPr>
                <w:sz w:val="20"/>
                <w:lang w:val="en-US" w:bidi="en-US"/>
              </w:rPr>
            </w:pPr>
            <w:r w:rsidRPr="00917736">
              <w:rPr>
                <w:sz w:val="20"/>
                <w:lang w:val="en-US"/>
              </w:rPr>
              <w:t>Average Number of applications per position</w:t>
            </w:r>
          </w:p>
        </w:tc>
        <w:tc>
          <w:tcPr>
            <w:tcW w:w="2136" w:type="pct"/>
            <w:shd w:val="clear" w:color="auto" w:fill="FFFFFF" w:themeFill="background1"/>
          </w:tcPr>
          <w:p w14:paraId="5CFC76BD" w14:textId="77777777" w:rsidR="00D2670C" w:rsidRPr="00917736" w:rsidRDefault="00D2670C" w:rsidP="00D32BE5">
            <w:pPr>
              <w:pStyle w:val="Tabletext"/>
              <w:rPr>
                <w:sz w:val="20"/>
                <w:lang w:val="en-US"/>
              </w:rPr>
            </w:pPr>
            <w:r w:rsidRPr="00917736">
              <w:rPr>
                <w:sz w:val="20"/>
                <w:lang w:val="en-US"/>
              </w:rPr>
              <w:t>Average</w:t>
            </w:r>
            <w:r w:rsidRPr="00917736">
              <w:rPr>
                <w:sz w:val="20"/>
                <w:lang w:val="en-US" w:eastAsia="zh-CN"/>
              </w:rPr>
              <w:t xml:space="preserve"> </w:t>
            </w:r>
            <w:r w:rsidRPr="00917736">
              <w:rPr>
                <w:sz w:val="20"/>
                <w:lang w:val="en-US"/>
              </w:rPr>
              <w:t>Number of applications per position</w:t>
            </w:r>
            <w:r w:rsidRPr="00917736">
              <w:rPr>
                <w:rFonts w:eastAsia="Malgun Gothic" w:hint="eastAsia"/>
                <w:sz w:val="20"/>
                <w:lang w:val="en-US" w:eastAsia="ko-KR"/>
              </w:rPr>
              <w:t>: 103.9 in 2025 for FT positions</w:t>
            </w:r>
            <w:r w:rsidRPr="00917736">
              <w:rPr>
                <w:rFonts w:hint="eastAsia"/>
                <w:sz w:val="20"/>
                <w:lang w:val="en-US" w:eastAsia="zh-CN"/>
              </w:rPr>
              <w:t>.</w:t>
            </w:r>
          </w:p>
        </w:tc>
      </w:tr>
      <w:tr w:rsidR="00D2670C" w:rsidRPr="00917736" w14:paraId="20773F56" w14:textId="77777777" w:rsidTr="00917736">
        <w:trPr>
          <w:trHeight w:val="20"/>
          <w:jc w:val="center"/>
        </w:trPr>
        <w:tc>
          <w:tcPr>
            <w:tcW w:w="207" w:type="pct"/>
            <w:shd w:val="clear" w:color="auto" w:fill="FFFFFF" w:themeFill="background1"/>
          </w:tcPr>
          <w:p w14:paraId="09578F9C" w14:textId="77777777" w:rsidR="00D2670C" w:rsidRPr="00917736" w:rsidRDefault="00D2670C" w:rsidP="00D32BE5">
            <w:pPr>
              <w:pStyle w:val="Tabletext"/>
              <w:jc w:val="center"/>
              <w:rPr>
                <w:sz w:val="20"/>
                <w:lang w:val="en-US" w:eastAsia="zh-CN"/>
              </w:rPr>
            </w:pPr>
            <w:r w:rsidRPr="00917736">
              <w:rPr>
                <w:rFonts w:hint="eastAsia"/>
                <w:sz w:val="20"/>
                <w:lang w:val="en-US" w:eastAsia="zh-CN"/>
              </w:rPr>
              <w:t>3</w:t>
            </w:r>
          </w:p>
        </w:tc>
        <w:tc>
          <w:tcPr>
            <w:tcW w:w="521" w:type="pct"/>
            <w:shd w:val="clear" w:color="auto" w:fill="FFFFFF" w:themeFill="background1"/>
          </w:tcPr>
          <w:p w14:paraId="7F2D069F" w14:textId="77777777" w:rsidR="00D2670C" w:rsidRPr="00917736" w:rsidRDefault="00D2670C" w:rsidP="00D32BE5">
            <w:pPr>
              <w:pStyle w:val="Tabletext"/>
              <w:rPr>
                <w:sz w:val="20"/>
                <w:lang w:val="en-US" w:eastAsia="zh-CN"/>
              </w:rPr>
            </w:pPr>
            <w:r w:rsidRPr="00917736">
              <w:rPr>
                <w:sz w:val="20"/>
                <w:lang w:eastAsia="zh-CN"/>
              </w:rPr>
              <w:t>Recruitment and Representation</w:t>
            </w:r>
          </w:p>
        </w:tc>
        <w:tc>
          <w:tcPr>
            <w:tcW w:w="2136" w:type="pct"/>
            <w:shd w:val="clear" w:color="auto" w:fill="FFFFFF" w:themeFill="background1"/>
            <w:hideMark/>
          </w:tcPr>
          <w:p w14:paraId="7D63EF61" w14:textId="77777777" w:rsidR="00D2670C" w:rsidRPr="00917736" w:rsidRDefault="00D2670C" w:rsidP="00D32BE5">
            <w:pPr>
              <w:pStyle w:val="Tabletext"/>
              <w:ind w:left="284" w:hanging="284"/>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Geographical and gender proportions in the workforce, by duty station, sector, grade (%)</w:t>
            </w:r>
          </w:p>
          <w:p w14:paraId="7DE3528C" w14:textId="77777777" w:rsidR="00D2670C" w:rsidRPr="00917736" w:rsidRDefault="00D2670C" w:rsidP="00D32BE5">
            <w:pPr>
              <w:pStyle w:val="Tabletext"/>
              <w:ind w:left="284" w:hanging="284"/>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Gender distribution by occupational group (%)</w:t>
            </w:r>
          </w:p>
          <w:p w14:paraId="14E2BDDF" w14:textId="025FE4BF" w:rsidR="00D2670C" w:rsidRPr="00917736" w:rsidRDefault="00D2670C" w:rsidP="00D32BE5">
            <w:pPr>
              <w:pStyle w:val="Tabletext"/>
              <w:ind w:left="284" w:hanging="284"/>
              <w:rPr>
                <w:sz w:val="20"/>
                <w:lang w:val="en-US"/>
              </w:rPr>
            </w:pPr>
            <w:r w:rsidRPr="00917736">
              <w:rPr>
                <w:rFonts w:ascii="Symbol" w:hAnsi="Symbol"/>
                <w:sz w:val="20"/>
                <w:lang w:val="en-US"/>
              </w:rPr>
              <w:t></w:t>
            </w:r>
            <w:r>
              <w:tab/>
            </w:r>
            <w:r w:rsidRPr="00917736">
              <w:rPr>
                <w:sz w:val="20"/>
                <w:lang w:val="en-US"/>
              </w:rPr>
              <w:t xml:space="preserve">Regular monitoring of key workforce metrics, such as geographical distribution and gender parity </w:t>
            </w:r>
          </w:p>
        </w:tc>
        <w:tc>
          <w:tcPr>
            <w:tcW w:w="2136" w:type="pct"/>
            <w:shd w:val="clear" w:color="auto" w:fill="FFFFFF" w:themeFill="background1"/>
          </w:tcPr>
          <w:p w14:paraId="599AD4F9" w14:textId="77777777" w:rsidR="00D2670C" w:rsidRPr="00917736" w:rsidRDefault="00D2670C" w:rsidP="00D32BE5">
            <w:pPr>
              <w:pStyle w:val="Tabletext"/>
              <w:rPr>
                <w:rFonts w:eastAsia="Malgun Gothic"/>
                <w:sz w:val="20"/>
                <w:lang w:val="en-US" w:eastAsia="ko-KR"/>
              </w:rPr>
            </w:pPr>
            <w:r w:rsidRPr="00917736">
              <w:rPr>
                <w:sz w:val="20"/>
                <w:lang w:val="en-US" w:eastAsia="zh-CN"/>
              </w:rPr>
              <w:t>A dynamic live dashboard, continuously updated via a data feed from the SAP HR data warehouse, offers a comprehensive overview of key personnel metrics at ITU, including gender and geographical distribution</w:t>
            </w:r>
            <w:r w:rsidRPr="00917736">
              <w:rPr>
                <w:sz w:val="20"/>
                <w:lang w:val="en-US"/>
              </w:rPr>
              <w:t>.</w:t>
            </w:r>
          </w:p>
          <w:p w14:paraId="4667EB56" w14:textId="77777777" w:rsidR="00D2670C" w:rsidRPr="00917736" w:rsidRDefault="00D2670C" w:rsidP="00D32BE5">
            <w:pPr>
              <w:pStyle w:val="Tabletext"/>
              <w:rPr>
                <w:rFonts w:eastAsia="Malgun Gothic"/>
                <w:sz w:val="20"/>
                <w:lang w:val="en-US" w:eastAsia="ko-KR"/>
              </w:rPr>
            </w:pPr>
            <w:r w:rsidRPr="00917736">
              <w:rPr>
                <w:rFonts w:eastAsia="Malgun Gothic" w:hint="eastAsia"/>
                <w:sz w:val="20"/>
                <w:lang w:val="en-US" w:eastAsia="ko-KR"/>
              </w:rPr>
              <w:t>Gender distribution by sector (</w:t>
            </w:r>
            <w:r w:rsidRPr="00917736">
              <w:rPr>
                <w:rFonts w:eastAsia="Malgun Gothic"/>
                <w:sz w:val="20"/>
                <w:lang w:val="en-US" w:eastAsia="ko-KR"/>
              </w:rPr>
              <w:t>regular</w:t>
            </w:r>
            <w:r w:rsidRPr="00917736">
              <w:rPr>
                <w:rFonts w:eastAsia="Malgun Gothic" w:hint="eastAsia"/>
                <w:sz w:val="20"/>
                <w:lang w:val="en-US" w:eastAsia="ko-KR"/>
              </w:rPr>
              <w:t xml:space="preserve"> staff)</w:t>
            </w:r>
          </w:p>
          <w:p w14:paraId="1BBC2D8B" w14:textId="16463A36" w:rsidR="00D2670C" w:rsidRPr="00917736" w:rsidRDefault="00D32BE5" w:rsidP="00D32BE5">
            <w:pPr>
              <w:pStyle w:val="Tabletext"/>
              <w:rPr>
                <w:rFonts w:eastAsia="Malgun Gothic"/>
                <w:sz w:val="20"/>
                <w:lang w:val="en-US" w:eastAsia="ko-KR"/>
              </w:rPr>
            </w:pPr>
            <w:r w:rsidRPr="00917736">
              <w:rPr>
                <w:rFonts w:eastAsia="Malgun Gothic"/>
                <w:sz w:val="20"/>
                <w:lang w:val="en-US" w:eastAsia="ko-KR"/>
              </w:rPr>
              <w:t>–</w:t>
            </w:r>
            <w:r w:rsidRPr="00917736">
              <w:rPr>
                <w:rFonts w:eastAsia="Malgun Gothic"/>
                <w:sz w:val="20"/>
                <w:lang w:val="en-US" w:eastAsia="ko-KR"/>
              </w:rPr>
              <w:tab/>
            </w:r>
            <w:r w:rsidR="00D2670C" w:rsidRPr="00917736">
              <w:rPr>
                <w:rFonts w:eastAsia="Malgun Gothic" w:hint="eastAsia"/>
                <w:sz w:val="20"/>
                <w:lang w:val="en-US" w:eastAsia="ko-KR"/>
              </w:rPr>
              <w:t>BDT: Female 53.1% / Male 46.9%</w:t>
            </w:r>
          </w:p>
          <w:p w14:paraId="1D2BE52C" w14:textId="5072D017" w:rsidR="00D2670C" w:rsidRPr="00917736" w:rsidRDefault="00D32BE5" w:rsidP="00D32BE5">
            <w:pPr>
              <w:pStyle w:val="Tabletext"/>
              <w:rPr>
                <w:rFonts w:eastAsia="Malgun Gothic"/>
                <w:sz w:val="20"/>
                <w:lang w:val="en-US" w:eastAsia="ko-KR"/>
              </w:rPr>
            </w:pPr>
            <w:r w:rsidRPr="00917736">
              <w:rPr>
                <w:rFonts w:eastAsia="Malgun Gothic"/>
                <w:sz w:val="20"/>
                <w:lang w:val="en-US" w:eastAsia="ko-KR"/>
              </w:rPr>
              <w:t>–</w:t>
            </w:r>
            <w:r w:rsidRPr="00917736">
              <w:rPr>
                <w:rFonts w:eastAsia="Malgun Gothic"/>
                <w:sz w:val="20"/>
                <w:lang w:val="en-US" w:eastAsia="ko-KR"/>
              </w:rPr>
              <w:tab/>
            </w:r>
            <w:r w:rsidR="00D2670C" w:rsidRPr="00917736">
              <w:rPr>
                <w:rFonts w:eastAsia="Malgun Gothic" w:hint="eastAsia"/>
                <w:sz w:val="20"/>
                <w:lang w:val="en-US" w:eastAsia="ko-KR"/>
              </w:rPr>
              <w:t>BR: Female 42.0% / Male 58.0%</w:t>
            </w:r>
          </w:p>
          <w:p w14:paraId="38037AE3" w14:textId="5ECACEF8" w:rsidR="00D2670C" w:rsidRPr="00917736" w:rsidRDefault="00D32BE5" w:rsidP="00D32BE5">
            <w:pPr>
              <w:pStyle w:val="Tabletext"/>
              <w:rPr>
                <w:rFonts w:eastAsia="Malgun Gothic"/>
                <w:sz w:val="20"/>
                <w:lang w:val="en-US" w:eastAsia="ko-KR"/>
              </w:rPr>
            </w:pPr>
            <w:r w:rsidRPr="00917736">
              <w:rPr>
                <w:rFonts w:eastAsia="Malgun Gothic"/>
                <w:sz w:val="20"/>
                <w:lang w:val="en-US" w:eastAsia="ko-KR"/>
              </w:rPr>
              <w:t>–</w:t>
            </w:r>
            <w:r w:rsidRPr="00917736">
              <w:rPr>
                <w:rFonts w:eastAsia="Malgun Gothic"/>
                <w:sz w:val="20"/>
                <w:lang w:val="en-US" w:eastAsia="ko-KR"/>
              </w:rPr>
              <w:tab/>
            </w:r>
            <w:r w:rsidR="00D2670C" w:rsidRPr="00917736">
              <w:rPr>
                <w:rFonts w:eastAsia="Malgun Gothic" w:hint="eastAsia"/>
                <w:sz w:val="20"/>
                <w:lang w:val="en-US" w:eastAsia="ko-KR"/>
              </w:rPr>
              <w:t>GS: Female 54.9% / Male 45.1%</w:t>
            </w:r>
          </w:p>
          <w:p w14:paraId="788E2F40" w14:textId="57A174E9" w:rsidR="00D2670C" w:rsidRPr="00917736" w:rsidRDefault="00D32BE5" w:rsidP="00D32BE5">
            <w:pPr>
              <w:pStyle w:val="Tabletext"/>
              <w:rPr>
                <w:rFonts w:eastAsia="Malgun Gothic"/>
                <w:sz w:val="20"/>
                <w:lang w:val="en-US" w:eastAsia="ko-KR"/>
              </w:rPr>
            </w:pPr>
            <w:r w:rsidRPr="00917736">
              <w:rPr>
                <w:rFonts w:eastAsia="Malgun Gothic"/>
                <w:sz w:val="20"/>
                <w:lang w:val="en-US" w:eastAsia="ko-KR"/>
              </w:rPr>
              <w:t>–</w:t>
            </w:r>
            <w:r w:rsidRPr="00917736">
              <w:rPr>
                <w:rFonts w:eastAsia="Malgun Gothic"/>
                <w:sz w:val="20"/>
                <w:lang w:val="en-US" w:eastAsia="ko-KR"/>
              </w:rPr>
              <w:tab/>
            </w:r>
            <w:r w:rsidR="00D2670C" w:rsidRPr="00917736">
              <w:rPr>
                <w:rFonts w:eastAsia="Malgun Gothic" w:hint="eastAsia"/>
                <w:sz w:val="20"/>
                <w:lang w:val="en-US" w:eastAsia="ko-KR"/>
              </w:rPr>
              <w:t>TSB: Female 51.4% / Male 48.6%</w:t>
            </w:r>
          </w:p>
          <w:p w14:paraId="7F7A45A5" w14:textId="77777777" w:rsidR="00D2670C" w:rsidRPr="00917736" w:rsidRDefault="00D2670C" w:rsidP="00D32BE5">
            <w:pPr>
              <w:pStyle w:val="Tabletext"/>
              <w:rPr>
                <w:rFonts w:eastAsia="Malgun Gothic"/>
                <w:sz w:val="20"/>
                <w:lang w:val="en-US" w:eastAsia="ko-KR"/>
              </w:rPr>
            </w:pPr>
            <w:r w:rsidRPr="00917736">
              <w:rPr>
                <w:rFonts w:eastAsia="Malgun Gothic" w:hint="eastAsia"/>
                <w:sz w:val="20"/>
                <w:lang w:val="en-US" w:eastAsia="ko-KR"/>
              </w:rPr>
              <w:t>Gender distribution by occupational group (</w:t>
            </w:r>
            <w:r w:rsidRPr="00917736">
              <w:rPr>
                <w:rFonts w:eastAsia="Malgun Gothic"/>
                <w:sz w:val="20"/>
                <w:lang w:val="en-US" w:eastAsia="ko-KR"/>
              </w:rPr>
              <w:t>regular</w:t>
            </w:r>
            <w:r w:rsidRPr="00917736">
              <w:rPr>
                <w:rFonts w:eastAsia="Malgun Gothic" w:hint="eastAsia"/>
                <w:sz w:val="20"/>
                <w:lang w:val="en-US" w:eastAsia="ko-KR"/>
              </w:rPr>
              <w:t xml:space="preserve"> staff)</w:t>
            </w:r>
          </w:p>
          <w:p w14:paraId="10CEBA4A" w14:textId="4675AF0F" w:rsidR="00D2670C" w:rsidRPr="00917736" w:rsidRDefault="00D32BE5" w:rsidP="00D32BE5">
            <w:pPr>
              <w:pStyle w:val="Tabletext"/>
              <w:ind w:left="284" w:hanging="284"/>
              <w:rPr>
                <w:rFonts w:eastAsia="Malgun Gothic"/>
                <w:sz w:val="20"/>
                <w:lang w:val="en-US" w:eastAsia="ko-KR"/>
              </w:rPr>
            </w:pPr>
            <w:r w:rsidRPr="00917736">
              <w:rPr>
                <w:rFonts w:eastAsia="Malgun Gothic"/>
                <w:sz w:val="20"/>
                <w:lang w:val="en-US" w:eastAsia="ko-KR"/>
              </w:rPr>
              <w:t>–</w:t>
            </w:r>
            <w:r w:rsidRPr="00917736">
              <w:rPr>
                <w:rFonts w:eastAsia="Malgun Gothic"/>
                <w:sz w:val="20"/>
                <w:lang w:val="en-US" w:eastAsia="ko-KR"/>
              </w:rPr>
              <w:tab/>
            </w:r>
            <w:r w:rsidR="00D2670C" w:rsidRPr="00917736">
              <w:rPr>
                <w:rFonts w:eastAsia="Malgun Gothic" w:hint="eastAsia"/>
                <w:sz w:val="20"/>
                <w:lang w:val="en-US" w:eastAsia="ko-KR"/>
              </w:rPr>
              <w:t>Professional and Higher category: Female 43.9% / Male 56.1%</w:t>
            </w:r>
          </w:p>
          <w:p w14:paraId="65CD704A" w14:textId="26A06011" w:rsidR="00D2670C" w:rsidRPr="00917736" w:rsidRDefault="00D32BE5" w:rsidP="00D32BE5">
            <w:pPr>
              <w:pStyle w:val="Tabletext"/>
              <w:ind w:left="284" w:hanging="284"/>
              <w:rPr>
                <w:rFonts w:eastAsia="Malgun Gothic"/>
                <w:sz w:val="20"/>
                <w:lang w:val="en-US" w:eastAsia="ko-KR"/>
              </w:rPr>
            </w:pPr>
            <w:r w:rsidRPr="00917736">
              <w:rPr>
                <w:rFonts w:eastAsia="Malgun Gothic"/>
                <w:sz w:val="20"/>
                <w:lang w:val="en-US" w:eastAsia="ko-KR"/>
              </w:rPr>
              <w:t>–</w:t>
            </w:r>
            <w:r w:rsidRPr="00917736">
              <w:rPr>
                <w:rFonts w:eastAsia="Malgun Gothic"/>
                <w:sz w:val="20"/>
                <w:lang w:val="en-US" w:eastAsia="ko-KR"/>
              </w:rPr>
              <w:tab/>
            </w:r>
            <w:r w:rsidR="00D2670C" w:rsidRPr="00917736">
              <w:rPr>
                <w:rFonts w:eastAsia="Malgun Gothic" w:hint="eastAsia"/>
                <w:sz w:val="20"/>
                <w:lang w:val="en-US" w:eastAsia="ko-KR"/>
              </w:rPr>
              <w:t>General Service category: Female 67.4% / Male 32.6%</w:t>
            </w:r>
          </w:p>
          <w:p w14:paraId="2B100407" w14:textId="77777777" w:rsidR="00D2670C" w:rsidRPr="00917736" w:rsidRDefault="00D2670C" w:rsidP="00D32BE5">
            <w:pPr>
              <w:pStyle w:val="Tabletext"/>
              <w:rPr>
                <w:rFonts w:eastAsia="Malgun Gothic"/>
                <w:sz w:val="20"/>
                <w:lang w:val="en-US" w:eastAsia="ko-KR"/>
              </w:rPr>
            </w:pPr>
            <w:r w:rsidRPr="00917736">
              <w:rPr>
                <w:rFonts w:eastAsia="Malgun Gothic" w:hint="eastAsia"/>
                <w:sz w:val="20"/>
                <w:lang w:val="en-US" w:eastAsia="ko-KR"/>
              </w:rPr>
              <w:t>Geographical distribution (</w:t>
            </w:r>
            <w:r w:rsidRPr="00917736">
              <w:rPr>
                <w:rFonts w:eastAsia="Malgun Gothic"/>
                <w:sz w:val="20"/>
                <w:lang w:val="en-US" w:eastAsia="ko-KR"/>
              </w:rPr>
              <w:t>regular</w:t>
            </w:r>
            <w:r w:rsidRPr="00917736">
              <w:rPr>
                <w:rFonts w:eastAsia="Malgun Gothic" w:hint="eastAsia"/>
                <w:sz w:val="20"/>
                <w:lang w:val="en-US" w:eastAsia="ko-KR"/>
              </w:rPr>
              <w:t xml:space="preserve"> staff): 114 nationalities</w:t>
            </w:r>
          </w:p>
        </w:tc>
      </w:tr>
      <w:tr w:rsidR="00D2670C" w:rsidRPr="00917736" w14:paraId="4EE260E3" w14:textId="77777777" w:rsidTr="00917736">
        <w:trPr>
          <w:trHeight w:val="898"/>
          <w:jc w:val="center"/>
        </w:trPr>
        <w:tc>
          <w:tcPr>
            <w:tcW w:w="207" w:type="pct"/>
            <w:shd w:val="clear" w:color="auto" w:fill="FFFFFF" w:themeFill="background1"/>
          </w:tcPr>
          <w:p w14:paraId="19C581F6" w14:textId="77777777" w:rsidR="00D2670C" w:rsidRPr="00917736" w:rsidRDefault="00D2670C" w:rsidP="00D32BE5">
            <w:pPr>
              <w:pStyle w:val="Tabletext"/>
              <w:jc w:val="center"/>
              <w:rPr>
                <w:sz w:val="20"/>
                <w:lang w:val="en-US" w:eastAsia="zh-CN"/>
              </w:rPr>
            </w:pPr>
            <w:bookmarkStart w:id="16" w:name="_Hlk95295505"/>
            <w:r w:rsidRPr="00917736">
              <w:rPr>
                <w:rFonts w:hint="eastAsia"/>
                <w:sz w:val="20"/>
                <w:lang w:val="en-US" w:eastAsia="zh-CN"/>
              </w:rPr>
              <w:lastRenderedPageBreak/>
              <w:t>4.</w:t>
            </w:r>
          </w:p>
        </w:tc>
        <w:tc>
          <w:tcPr>
            <w:tcW w:w="521" w:type="pct"/>
            <w:shd w:val="clear" w:color="auto" w:fill="FFFFFF" w:themeFill="background1"/>
          </w:tcPr>
          <w:p w14:paraId="49178B4A" w14:textId="77777777" w:rsidR="00D2670C" w:rsidRPr="00917736" w:rsidRDefault="00D2670C" w:rsidP="00D32BE5">
            <w:pPr>
              <w:pStyle w:val="Tabletext"/>
              <w:rPr>
                <w:sz w:val="20"/>
                <w:lang w:val="en-US" w:eastAsia="zh-CN"/>
              </w:rPr>
            </w:pPr>
            <w:r w:rsidRPr="00917736">
              <w:rPr>
                <w:rFonts w:hint="eastAsia"/>
                <w:sz w:val="20"/>
                <w:lang w:val="en-US" w:eastAsia="zh-CN"/>
              </w:rPr>
              <w:t>Partnerships</w:t>
            </w:r>
          </w:p>
        </w:tc>
        <w:tc>
          <w:tcPr>
            <w:tcW w:w="2136" w:type="pct"/>
            <w:shd w:val="clear" w:color="auto" w:fill="FFFFFF" w:themeFill="background1"/>
          </w:tcPr>
          <w:p w14:paraId="27477651" w14:textId="1C3971B0" w:rsidR="00D2670C" w:rsidRPr="00917736" w:rsidRDefault="00D2670C" w:rsidP="00D32BE5">
            <w:pPr>
              <w:pStyle w:val="Tabletext"/>
              <w:ind w:left="284" w:hanging="284"/>
              <w:rPr>
                <w:sz w:val="20"/>
                <w:lang w:val="en-US"/>
              </w:rPr>
            </w:pPr>
            <w:r w:rsidRPr="00917736">
              <w:rPr>
                <w:rFonts w:ascii="Symbol" w:hAnsi="Symbol"/>
                <w:sz w:val="20"/>
                <w:lang w:val="en-US"/>
              </w:rPr>
              <w:t></w:t>
            </w:r>
            <w:r>
              <w:tab/>
            </w:r>
            <w:r w:rsidRPr="00917736">
              <w:rPr>
                <w:sz w:val="20"/>
                <w:lang w:val="en-US"/>
              </w:rPr>
              <w:t xml:space="preserve">Number of established partnerships with administrations (qualitative reporting on initiatives and quantitative, i.e., number of Funds-in-Trust (FIT), </w:t>
            </w:r>
            <w:proofErr w:type="spellStart"/>
            <w:r w:rsidRPr="00917736">
              <w:rPr>
                <w:sz w:val="20"/>
                <w:lang w:val="en-US"/>
              </w:rPr>
              <w:t>JPOs</w:t>
            </w:r>
            <w:proofErr w:type="spellEnd"/>
            <w:r w:rsidRPr="00917736">
              <w:rPr>
                <w:sz w:val="20"/>
                <w:lang w:val="en-US" w:eastAsia="zh-CN"/>
              </w:rPr>
              <w:t xml:space="preserve">, </w:t>
            </w:r>
            <w:r w:rsidRPr="00917736">
              <w:rPr>
                <w:sz w:val="20"/>
                <w:lang w:val="en-US"/>
              </w:rPr>
              <w:t xml:space="preserve">loans/secondments recruited through partnerships </w:t>
            </w:r>
            <w:proofErr w:type="spellStart"/>
            <w:r w:rsidRPr="00917736">
              <w:rPr>
                <w:sz w:val="20"/>
                <w:lang w:val="en-US"/>
              </w:rPr>
              <w:t>programmes</w:t>
            </w:r>
            <w:proofErr w:type="spellEnd"/>
            <w:r w:rsidR="446F5A57" w:rsidRPr="382CACE0">
              <w:rPr>
                <w:sz w:val="20"/>
                <w:lang w:val="en-US"/>
              </w:rPr>
              <w:t>)</w:t>
            </w:r>
          </w:p>
        </w:tc>
        <w:tc>
          <w:tcPr>
            <w:tcW w:w="2136" w:type="pct"/>
            <w:shd w:val="clear" w:color="auto" w:fill="FFFFFF" w:themeFill="background1"/>
          </w:tcPr>
          <w:p w14:paraId="7B92D27F" w14:textId="77777777" w:rsidR="00D2670C" w:rsidRPr="00917736" w:rsidRDefault="00D2670C" w:rsidP="00D32BE5">
            <w:pPr>
              <w:pStyle w:val="Tabletext"/>
              <w:rPr>
                <w:sz w:val="20"/>
                <w:lang w:val="en-US" w:eastAsia="zh-CN"/>
              </w:rPr>
            </w:pPr>
            <w:r w:rsidRPr="00917736">
              <w:rPr>
                <w:sz w:val="20"/>
                <w:lang w:val="en-US" w:eastAsia="zh-CN"/>
              </w:rPr>
              <w:t xml:space="preserve">Number of partners for the FIT and loans </w:t>
            </w:r>
            <w:proofErr w:type="spellStart"/>
            <w:r w:rsidRPr="00917736">
              <w:rPr>
                <w:sz w:val="20"/>
                <w:lang w:val="en-US" w:eastAsia="zh-CN"/>
              </w:rPr>
              <w:t>programmes</w:t>
            </w:r>
            <w:proofErr w:type="spellEnd"/>
            <w:r w:rsidRPr="00917736">
              <w:rPr>
                <w:sz w:val="20"/>
                <w:lang w:val="en-US" w:eastAsia="zh-CN"/>
              </w:rPr>
              <w:t>: 12</w:t>
            </w:r>
          </w:p>
          <w:p w14:paraId="4AA24081" w14:textId="77777777" w:rsidR="00D2670C" w:rsidRPr="00917736" w:rsidRDefault="00D2670C" w:rsidP="00D32BE5">
            <w:pPr>
              <w:pStyle w:val="Tabletext"/>
              <w:rPr>
                <w:sz w:val="20"/>
                <w:lang w:val="en-US" w:eastAsia="zh-CN"/>
              </w:rPr>
            </w:pPr>
            <w:r w:rsidRPr="00917736">
              <w:rPr>
                <w:sz w:val="20"/>
                <w:lang w:val="en-US" w:eastAsia="zh-CN"/>
              </w:rPr>
              <w:t xml:space="preserve">Number of partners for the </w:t>
            </w:r>
            <w:proofErr w:type="spellStart"/>
            <w:r w:rsidRPr="00917736">
              <w:rPr>
                <w:sz w:val="20"/>
                <w:lang w:val="en-US" w:eastAsia="zh-CN"/>
              </w:rPr>
              <w:t>JPO</w:t>
            </w:r>
            <w:proofErr w:type="spellEnd"/>
            <w:r w:rsidRPr="00917736">
              <w:rPr>
                <w:sz w:val="20"/>
                <w:lang w:val="en-US" w:eastAsia="zh-CN"/>
              </w:rPr>
              <w:t xml:space="preserve"> programme: 7</w:t>
            </w:r>
          </w:p>
          <w:p w14:paraId="4D918422" w14:textId="77777777" w:rsidR="00D2670C" w:rsidRPr="00917736" w:rsidRDefault="00D2670C" w:rsidP="00D32BE5">
            <w:pPr>
              <w:pStyle w:val="Tabletext"/>
              <w:rPr>
                <w:sz w:val="20"/>
                <w:lang w:val="en-US" w:eastAsia="zh-CN"/>
              </w:rPr>
            </w:pPr>
            <w:r w:rsidRPr="00917736">
              <w:rPr>
                <w:sz w:val="20"/>
                <w:lang w:val="en-US" w:eastAsia="zh-CN"/>
              </w:rPr>
              <w:t>Number of partners for the sponsored internship programme: 2</w:t>
            </w:r>
          </w:p>
          <w:p w14:paraId="6AB5A8EE" w14:textId="77777777" w:rsidR="00D2670C" w:rsidRPr="00917736" w:rsidRDefault="00D2670C" w:rsidP="00D32BE5">
            <w:pPr>
              <w:pStyle w:val="Tabletext"/>
              <w:rPr>
                <w:sz w:val="20"/>
                <w:lang w:val="en-US"/>
              </w:rPr>
            </w:pPr>
            <w:r w:rsidRPr="00917736">
              <w:rPr>
                <w:sz w:val="20"/>
                <w:lang w:val="en-US"/>
              </w:rPr>
              <w:t>Number of FIT:</w:t>
            </w:r>
            <w:r w:rsidRPr="00917736">
              <w:rPr>
                <w:rFonts w:hint="eastAsia"/>
                <w:sz w:val="20"/>
                <w:lang w:val="en-US" w:eastAsia="zh-CN"/>
              </w:rPr>
              <w:t xml:space="preserve"> </w:t>
            </w:r>
            <w:r w:rsidRPr="00917736">
              <w:rPr>
                <w:sz w:val="20"/>
                <w:lang w:val="en-US"/>
              </w:rPr>
              <w:t>9 and 2 additiona</w:t>
            </w:r>
            <w:r w:rsidRPr="00917736">
              <w:rPr>
                <w:rFonts w:hint="eastAsia"/>
                <w:sz w:val="20"/>
                <w:lang w:val="en-US" w:eastAsia="zh-CN"/>
              </w:rPr>
              <w:t xml:space="preserve">l to </w:t>
            </w:r>
            <w:r w:rsidRPr="00917736">
              <w:rPr>
                <w:sz w:val="20"/>
                <w:lang w:val="en-US"/>
              </w:rPr>
              <w:t>join shortly</w:t>
            </w:r>
          </w:p>
          <w:p w14:paraId="561E9F1B" w14:textId="77777777" w:rsidR="00D2670C" w:rsidRPr="00917736" w:rsidRDefault="00D2670C" w:rsidP="00D32BE5">
            <w:pPr>
              <w:pStyle w:val="Tabletext"/>
              <w:rPr>
                <w:sz w:val="20"/>
                <w:lang w:val="en-US"/>
              </w:rPr>
            </w:pPr>
            <w:r w:rsidRPr="00917736">
              <w:rPr>
                <w:sz w:val="20"/>
                <w:lang w:val="en-US"/>
              </w:rPr>
              <w:t xml:space="preserve">Number of </w:t>
            </w:r>
            <w:proofErr w:type="spellStart"/>
            <w:r w:rsidRPr="00917736">
              <w:rPr>
                <w:sz w:val="20"/>
                <w:lang w:val="en-US"/>
              </w:rPr>
              <w:t>JPOs</w:t>
            </w:r>
            <w:proofErr w:type="spellEnd"/>
            <w:r w:rsidRPr="00917736">
              <w:rPr>
                <w:sz w:val="20"/>
                <w:lang w:val="en-US"/>
              </w:rPr>
              <w:t>:</w:t>
            </w:r>
            <w:r w:rsidRPr="00917736">
              <w:rPr>
                <w:sz w:val="20"/>
              </w:rPr>
              <w:t xml:space="preserve"> </w:t>
            </w:r>
            <w:r w:rsidRPr="00917736">
              <w:rPr>
                <w:sz w:val="20"/>
                <w:lang w:val="en-US"/>
              </w:rPr>
              <w:t>7 in place; at least 4 more expected</w:t>
            </w:r>
          </w:p>
          <w:p w14:paraId="6FCAB72E" w14:textId="77777777" w:rsidR="00D2670C" w:rsidRPr="00917736" w:rsidRDefault="00D2670C" w:rsidP="00D32BE5">
            <w:pPr>
              <w:pStyle w:val="Tabletext"/>
              <w:rPr>
                <w:color w:val="000000"/>
                <w:sz w:val="20"/>
                <w:lang w:val="en-US" w:eastAsia="zh-CN"/>
              </w:rPr>
            </w:pPr>
            <w:r w:rsidRPr="00917736">
              <w:rPr>
                <w:sz w:val="20"/>
                <w:lang w:val="en-US"/>
              </w:rPr>
              <w:t xml:space="preserve">Number of loans: 2 and 1 </w:t>
            </w:r>
            <w:r w:rsidRPr="00917736">
              <w:rPr>
                <w:rFonts w:hint="eastAsia"/>
                <w:sz w:val="20"/>
                <w:lang w:val="en-US" w:eastAsia="zh-CN"/>
              </w:rPr>
              <w:t xml:space="preserve">more to </w:t>
            </w:r>
            <w:r w:rsidRPr="00917736">
              <w:rPr>
                <w:sz w:val="20"/>
                <w:lang w:val="en-US"/>
              </w:rPr>
              <w:t>join shortly</w:t>
            </w:r>
          </w:p>
        </w:tc>
      </w:tr>
      <w:tr w:rsidR="00D2670C" w:rsidRPr="00917736" w14:paraId="766DF1B3" w14:textId="77777777" w:rsidTr="00917736">
        <w:trPr>
          <w:trHeight w:val="20"/>
          <w:jc w:val="center"/>
        </w:trPr>
        <w:tc>
          <w:tcPr>
            <w:tcW w:w="207" w:type="pct"/>
            <w:shd w:val="clear" w:color="auto" w:fill="FFFFFF" w:themeFill="background1"/>
          </w:tcPr>
          <w:p w14:paraId="5DABC3FF" w14:textId="77777777" w:rsidR="00D2670C" w:rsidRPr="00917736" w:rsidRDefault="00D2670C" w:rsidP="00D32BE5">
            <w:pPr>
              <w:pStyle w:val="Tabletext"/>
              <w:jc w:val="center"/>
              <w:rPr>
                <w:sz w:val="20"/>
                <w:lang w:val="en-US" w:eastAsia="zh-CN"/>
              </w:rPr>
            </w:pPr>
            <w:r w:rsidRPr="00917736">
              <w:rPr>
                <w:rFonts w:hint="eastAsia"/>
                <w:sz w:val="20"/>
                <w:lang w:val="en-US" w:eastAsia="zh-CN"/>
              </w:rPr>
              <w:t>5</w:t>
            </w:r>
          </w:p>
        </w:tc>
        <w:tc>
          <w:tcPr>
            <w:tcW w:w="521" w:type="pct"/>
            <w:shd w:val="clear" w:color="auto" w:fill="FFFFFF" w:themeFill="background1"/>
          </w:tcPr>
          <w:p w14:paraId="218AFE2E" w14:textId="77777777" w:rsidR="00D2670C" w:rsidRPr="00917736" w:rsidRDefault="00D2670C" w:rsidP="00D32BE5">
            <w:pPr>
              <w:pStyle w:val="Tabletext"/>
              <w:rPr>
                <w:sz w:val="20"/>
                <w:lang w:val="en-US" w:eastAsia="zh-CN"/>
              </w:rPr>
            </w:pPr>
            <w:r w:rsidRPr="00917736">
              <w:rPr>
                <w:rFonts w:hint="eastAsia"/>
                <w:sz w:val="20"/>
                <w:lang w:val="en-US" w:eastAsia="zh-CN"/>
              </w:rPr>
              <w:t>Partnerships</w:t>
            </w:r>
          </w:p>
        </w:tc>
        <w:tc>
          <w:tcPr>
            <w:tcW w:w="2136" w:type="pct"/>
            <w:shd w:val="clear" w:color="auto" w:fill="FFFFFF" w:themeFill="background1"/>
            <w:hideMark/>
          </w:tcPr>
          <w:p w14:paraId="6C45FDCE"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 xml:space="preserve">Designed and launched young talent </w:t>
            </w:r>
            <w:proofErr w:type="spellStart"/>
            <w:r w:rsidRPr="00917736">
              <w:rPr>
                <w:sz w:val="20"/>
                <w:lang w:val="en-US"/>
              </w:rPr>
              <w:t>programmes</w:t>
            </w:r>
            <w:proofErr w:type="spellEnd"/>
          </w:p>
          <w:p w14:paraId="5426B288"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Number of interns</w:t>
            </w:r>
          </w:p>
        </w:tc>
        <w:tc>
          <w:tcPr>
            <w:tcW w:w="2136" w:type="pct"/>
            <w:shd w:val="clear" w:color="auto" w:fill="FFFFFF" w:themeFill="background1"/>
          </w:tcPr>
          <w:p w14:paraId="6B9BFE6B" w14:textId="77777777" w:rsidR="00D2670C" w:rsidRPr="00917736" w:rsidRDefault="00D2670C" w:rsidP="00D32BE5">
            <w:pPr>
              <w:pStyle w:val="Tabletext"/>
              <w:rPr>
                <w:color w:val="000000"/>
                <w:sz w:val="20"/>
                <w:lang w:val="en-US" w:eastAsia="zh-CN"/>
              </w:rPr>
            </w:pPr>
            <w:r w:rsidRPr="00917736">
              <w:rPr>
                <w:color w:val="000000"/>
                <w:sz w:val="20"/>
                <w:lang w:val="en-US" w:eastAsia="zh-CN"/>
              </w:rPr>
              <w:t xml:space="preserve">Number of </w:t>
            </w:r>
            <w:proofErr w:type="spellStart"/>
            <w:r w:rsidRPr="00917736">
              <w:rPr>
                <w:color w:val="000000"/>
                <w:sz w:val="20"/>
                <w:lang w:val="en-US" w:eastAsia="zh-CN"/>
              </w:rPr>
              <w:t>YPPs</w:t>
            </w:r>
            <w:proofErr w:type="spellEnd"/>
            <w:r w:rsidRPr="00917736">
              <w:rPr>
                <w:color w:val="000000"/>
                <w:sz w:val="20"/>
                <w:lang w:val="en-US" w:eastAsia="zh-CN"/>
              </w:rPr>
              <w:t>:</w:t>
            </w:r>
            <w:r w:rsidRPr="00917736">
              <w:rPr>
                <w:sz w:val="20"/>
              </w:rPr>
              <w:t xml:space="preserve"> </w:t>
            </w:r>
            <w:r w:rsidRPr="00917736">
              <w:rPr>
                <w:color w:val="000000"/>
                <w:sz w:val="20"/>
                <w:lang w:val="en-US" w:eastAsia="zh-CN"/>
              </w:rPr>
              <w:t xml:space="preserve">6 </w:t>
            </w:r>
            <w:proofErr w:type="spellStart"/>
            <w:r w:rsidRPr="00917736">
              <w:rPr>
                <w:color w:val="000000"/>
                <w:sz w:val="20"/>
                <w:lang w:val="en-US" w:eastAsia="zh-CN"/>
              </w:rPr>
              <w:t>YPPs</w:t>
            </w:r>
            <w:proofErr w:type="spellEnd"/>
            <w:r w:rsidRPr="00917736">
              <w:rPr>
                <w:color w:val="000000"/>
                <w:sz w:val="20"/>
                <w:lang w:val="en-US" w:eastAsia="zh-CN"/>
              </w:rPr>
              <w:t xml:space="preserve"> in onboarding process</w:t>
            </w:r>
          </w:p>
          <w:p w14:paraId="5A7C481B" w14:textId="77777777" w:rsidR="00D2670C" w:rsidRPr="00917736" w:rsidRDefault="00D2670C" w:rsidP="00D32BE5">
            <w:pPr>
              <w:pStyle w:val="Tabletext"/>
              <w:rPr>
                <w:sz w:val="20"/>
                <w:lang w:val="en-US"/>
              </w:rPr>
            </w:pPr>
            <w:r w:rsidRPr="00917736">
              <w:rPr>
                <w:color w:val="000000"/>
                <w:sz w:val="20"/>
                <w:lang w:val="en-US"/>
              </w:rPr>
              <w:t>Number of interns:</w:t>
            </w:r>
          </w:p>
          <w:p w14:paraId="6CE709C0" w14:textId="77777777" w:rsidR="00D2670C" w:rsidRPr="00917736" w:rsidRDefault="00D2670C" w:rsidP="00D32BE5">
            <w:pPr>
              <w:pStyle w:val="Tabletext"/>
              <w:rPr>
                <w:sz w:val="20"/>
                <w:lang w:val="en-US" w:eastAsia="zh-CN"/>
              </w:rPr>
            </w:pPr>
            <w:r w:rsidRPr="00917736">
              <w:rPr>
                <w:color w:val="000000" w:themeColor="text1"/>
                <w:sz w:val="20"/>
                <w:lang w:val="en-US" w:eastAsia="zh-CN"/>
              </w:rPr>
              <w:t>88</w:t>
            </w:r>
            <w:r w:rsidRPr="00917736">
              <w:rPr>
                <w:color w:val="000000" w:themeColor="text1"/>
                <w:sz w:val="20"/>
                <w:lang w:val="en-US"/>
              </w:rPr>
              <w:t xml:space="preserve"> (SG 40 - BR 0 – BDT 31– TSB 17)</w:t>
            </w:r>
          </w:p>
        </w:tc>
      </w:tr>
      <w:bookmarkEnd w:id="16"/>
      <w:tr w:rsidR="00D2670C" w:rsidRPr="00917736" w14:paraId="61976584" w14:textId="77777777" w:rsidTr="00917736">
        <w:trPr>
          <w:trHeight w:val="1140"/>
          <w:jc w:val="center"/>
        </w:trPr>
        <w:tc>
          <w:tcPr>
            <w:tcW w:w="207" w:type="pct"/>
            <w:shd w:val="clear" w:color="auto" w:fill="FFFFFF" w:themeFill="background1"/>
          </w:tcPr>
          <w:p w14:paraId="72DE500B" w14:textId="77777777" w:rsidR="00D2670C" w:rsidRPr="00917736" w:rsidRDefault="00D2670C" w:rsidP="00D32BE5">
            <w:pPr>
              <w:pStyle w:val="Tabletext"/>
              <w:jc w:val="center"/>
              <w:rPr>
                <w:sz w:val="20"/>
                <w:lang w:val="en-US" w:eastAsia="zh-CN"/>
              </w:rPr>
            </w:pPr>
            <w:r w:rsidRPr="00917736">
              <w:rPr>
                <w:rFonts w:hint="eastAsia"/>
                <w:sz w:val="20"/>
                <w:lang w:val="en-US" w:eastAsia="zh-CN"/>
              </w:rPr>
              <w:t>6</w:t>
            </w:r>
          </w:p>
        </w:tc>
        <w:tc>
          <w:tcPr>
            <w:tcW w:w="521" w:type="pct"/>
            <w:shd w:val="clear" w:color="auto" w:fill="FFFFFF" w:themeFill="background1"/>
          </w:tcPr>
          <w:p w14:paraId="55B1A51D" w14:textId="77777777" w:rsidR="00D2670C" w:rsidRPr="00917736" w:rsidRDefault="00D2670C" w:rsidP="00D32BE5">
            <w:pPr>
              <w:pStyle w:val="Tabletext"/>
              <w:rPr>
                <w:sz w:val="20"/>
                <w:lang w:val="en-US" w:eastAsia="zh-CN"/>
              </w:rPr>
            </w:pPr>
            <w:r w:rsidRPr="00917736">
              <w:rPr>
                <w:sz w:val="20"/>
                <w:lang w:eastAsia="zh-CN"/>
              </w:rPr>
              <w:t xml:space="preserve">Performance </w:t>
            </w:r>
            <w:r w:rsidRPr="00917736">
              <w:rPr>
                <w:rFonts w:hint="eastAsia"/>
                <w:sz w:val="20"/>
                <w:lang w:eastAsia="zh-CN"/>
              </w:rPr>
              <w:t>M</w:t>
            </w:r>
            <w:r w:rsidRPr="00917736">
              <w:rPr>
                <w:sz w:val="20"/>
                <w:lang w:eastAsia="zh-CN"/>
              </w:rPr>
              <w:t>anagement</w:t>
            </w:r>
          </w:p>
        </w:tc>
        <w:tc>
          <w:tcPr>
            <w:tcW w:w="2136" w:type="pct"/>
            <w:shd w:val="clear" w:color="auto" w:fill="FFFFFF" w:themeFill="background1"/>
            <w:hideMark/>
          </w:tcPr>
          <w:p w14:paraId="1B1831C3"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Compliance rates</w:t>
            </w:r>
          </w:p>
          <w:p w14:paraId="0A39D2B8"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 xml:space="preserve">Number of performing vs. </w:t>
            </w:r>
            <w:r w:rsidRPr="00917736">
              <w:rPr>
                <w:sz w:val="20"/>
                <w:lang w:val="en-US" w:eastAsia="zh-CN"/>
              </w:rPr>
              <w:t>under</w:t>
            </w:r>
            <w:r w:rsidRPr="00917736">
              <w:rPr>
                <w:sz w:val="20"/>
                <w:lang w:val="en-US"/>
              </w:rPr>
              <w:t>performing staff</w:t>
            </w:r>
          </w:p>
        </w:tc>
        <w:tc>
          <w:tcPr>
            <w:tcW w:w="2136" w:type="pct"/>
            <w:shd w:val="clear" w:color="auto" w:fill="FFFFFF" w:themeFill="background1"/>
          </w:tcPr>
          <w:p w14:paraId="67559E41" w14:textId="77777777" w:rsidR="00D2670C" w:rsidRPr="00917736" w:rsidRDefault="00D2670C" w:rsidP="00D32BE5">
            <w:pPr>
              <w:pStyle w:val="Tabletext"/>
              <w:rPr>
                <w:rFonts w:eastAsia="Malgun Gothic"/>
                <w:sz w:val="20"/>
                <w:lang w:val="en-US" w:eastAsia="ko-KR"/>
              </w:rPr>
            </w:pPr>
            <w:r w:rsidRPr="00917736">
              <w:rPr>
                <w:rFonts w:eastAsia="Malgun Gothic" w:hint="eastAsia"/>
                <w:sz w:val="20"/>
                <w:lang w:val="en-US" w:eastAsia="ko-KR"/>
              </w:rPr>
              <w:t>89</w:t>
            </w:r>
            <w:r w:rsidRPr="00917736">
              <w:rPr>
                <w:sz w:val="20"/>
                <w:lang w:val="en-US"/>
              </w:rPr>
              <w:t xml:space="preserve">% of ITU staff members in the General Secretariat, BDT, BR and TSB, have </w:t>
            </w:r>
            <w:r w:rsidRPr="00917736">
              <w:rPr>
                <w:sz w:val="20"/>
                <w:lang w:val="en-US" w:eastAsia="zh-CN"/>
              </w:rPr>
              <w:t>completed</w:t>
            </w:r>
            <w:r w:rsidRPr="00917736">
              <w:rPr>
                <w:sz w:val="20"/>
                <w:lang w:val="en-US"/>
              </w:rPr>
              <w:t xml:space="preserve"> their 202</w:t>
            </w:r>
            <w:r w:rsidRPr="00917736">
              <w:rPr>
                <w:sz w:val="20"/>
                <w:lang w:val="en-US" w:eastAsia="zh-CN"/>
              </w:rPr>
              <w:t>4</w:t>
            </w:r>
            <w:r w:rsidRPr="00917736">
              <w:rPr>
                <w:sz w:val="20"/>
                <w:lang w:val="en-US"/>
              </w:rPr>
              <w:t xml:space="preserve"> e-</w:t>
            </w:r>
            <w:proofErr w:type="spellStart"/>
            <w:r w:rsidRPr="00917736">
              <w:rPr>
                <w:sz w:val="20"/>
                <w:lang w:val="en-US"/>
              </w:rPr>
              <w:t>PMDS</w:t>
            </w:r>
            <w:proofErr w:type="spellEnd"/>
            <w:r w:rsidRPr="00917736">
              <w:rPr>
                <w:rFonts w:eastAsia="Malgun Gothic" w:hint="eastAsia"/>
                <w:sz w:val="20"/>
                <w:lang w:val="en-US" w:eastAsia="ko-KR"/>
              </w:rPr>
              <w:t xml:space="preserve"> (staff on long term sick leave excluded)</w:t>
            </w:r>
            <w:r w:rsidRPr="00917736">
              <w:rPr>
                <w:rFonts w:hint="eastAsia"/>
                <w:sz w:val="20"/>
                <w:lang w:val="en-US" w:eastAsia="zh-CN"/>
              </w:rPr>
              <w:t>.</w:t>
            </w:r>
          </w:p>
          <w:p w14:paraId="09E656EC" w14:textId="77777777" w:rsidR="00D2670C" w:rsidRPr="00917736" w:rsidRDefault="00D2670C" w:rsidP="00D32BE5">
            <w:pPr>
              <w:pStyle w:val="Tabletext"/>
              <w:rPr>
                <w:sz w:val="20"/>
                <w:lang w:val="en-US" w:eastAsia="zh-CN"/>
              </w:rPr>
            </w:pPr>
            <w:r w:rsidRPr="00917736">
              <w:rPr>
                <w:sz w:val="20"/>
                <w:lang w:val="en-US"/>
              </w:rPr>
              <w:t>The number of underperformance cases</w:t>
            </w:r>
            <w:r w:rsidRPr="00917736">
              <w:rPr>
                <w:sz w:val="20"/>
                <w:lang w:val="en-US" w:eastAsia="zh-CN"/>
              </w:rPr>
              <w:t>: 11</w:t>
            </w:r>
            <w:r w:rsidRPr="00917736">
              <w:rPr>
                <w:rFonts w:hint="eastAsia"/>
                <w:sz w:val="20"/>
                <w:lang w:val="en-US" w:eastAsia="zh-CN"/>
              </w:rPr>
              <w:t>.</w:t>
            </w:r>
          </w:p>
          <w:p w14:paraId="1E5C9A47" w14:textId="77777777" w:rsidR="00D2670C" w:rsidRPr="00917736" w:rsidRDefault="00D2670C" w:rsidP="00D32BE5">
            <w:pPr>
              <w:pStyle w:val="Tabletext"/>
              <w:rPr>
                <w:sz w:val="20"/>
                <w:lang w:val="en-US" w:eastAsia="zh-CN"/>
              </w:rPr>
            </w:pPr>
            <w:r w:rsidRPr="00917736">
              <w:rPr>
                <w:sz w:val="20"/>
                <w:lang w:val="en-US" w:eastAsia="zh-CN"/>
              </w:rPr>
              <w:t>4</w:t>
            </w:r>
            <w:r w:rsidRPr="00917736">
              <w:rPr>
                <w:sz w:val="20"/>
                <w:lang w:val="en-US"/>
              </w:rPr>
              <w:t xml:space="preserve"> information sessions on performance management have been delivered to managers and staff </w:t>
            </w:r>
            <w:r w:rsidRPr="00917736">
              <w:rPr>
                <w:sz w:val="20"/>
                <w:lang w:val="en-US" w:eastAsia="zh-CN"/>
              </w:rPr>
              <w:t>across the Union</w:t>
            </w:r>
            <w:r w:rsidRPr="00917736">
              <w:rPr>
                <w:sz w:val="20"/>
                <w:lang w:val="en-US"/>
              </w:rPr>
              <w:t xml:space="preserve">. </w:t>
            </w:r>
          </w:p>
        </w:tc>
      </w:tr>
      <w:tr w:rsidR="00D2670C" w:rsidRPr="00917736" w14:paraId="40B7FD9D" w14:textId="77777777" w:rsidTr="00917736">
        <w:trPr>
          <w:trHeight w:val="549"/>
          <w:jc w:val="center"/>
        </w:trPr>
        <w:tc>
          <w:tcPr>
            <w:tcW w:w="207" w:type="pct"/>
            <w:shd w:val="clear" w:color="auto" w:fill="FFFFFF" w:themeFill="background1"/>
          </w:tcPr>
          <w:p w14:paraId="081E5CFC" w14:textId="77777777" w:rsidR="00D2670C" w:rsidRPr="00917736" w:rsidRDefault="00D2670C" w:rsidP="00D32BE5">
            <w:pPr>
              <w:pStyle w:val="Tabletext"/>
              <w:jc w:val="center"/>
              <w:rPr>
                <w:sz w:val="20"/>
                <w:lang w:val="en-US" w:eastAsia="zh-CN"/>
              </w:rPr>
            </w:pPr>
            <w:r w:rsidRPr="00917736">
              <w:rPr>
                <w:rFonts w:hint="eastAsia"/>
                <w:sz w:val="20"/>
                <w:lang w:val="en-US" w:eastAsia="zh-CN"/>
              </w:rPr>
              <w:t>7</w:t>
            </w:r>
          </w:p>
        </w:tc>
        <w:tc>
          <w:tcPr>
            <w:tcW w:w="521" w:type="pct"/>
            <w:shd w:val="clear" w:color="auto" w:fill="FFFFFF" w:themeFill="background1"/>
          </w:tcPr>
          <w:p w14:paraId="0FE1F5D5" w14:textId="77777777" w:rsidR="00D2670C" w:rsidRPr="00917736" w:rsidRDefault="00D2670C" w:rsidP="00D32BE5">
            <w:pPr>
              <w:pStyle w:val="Tabletext"/>
              <w:rPr>
                <w:sz w:val="20"/>
                <w:lang w:eastAsia="zh-CN"/>
              </w:rPr>
            </w:pPr>
            <w:r w:rsidRPr="00917736">
              <w:rPr>
                <w:sz w:val="20"/>
                <w:lang w:eastAsia="zh-CN"/>
              </w:rPr>
              <w:t xml:space="preserve">Performance </w:t>
            </w:r>
            <w:r w:rsidRPr="00917736">
              <w:rPr>
                <w:rFonts w:hint="eastAsia"/>
                <w:sz w:val="20"/>
                <w:lang w:eastAsia="zh-CN"/>
              </w:rPr>
              <w:t>M</w:t>
            </w:r>
            <w:r w:rsidRPr="00917736">
              <w:rPr>
                <w:sz w:val="20"/>
                <w:lang w:eastAsia="zh-CN"/>
              </w:rPr>
              <w:t>anagement</w:t>
            </w:r>
          </w:p>
        </w:tc>
        <w:tc>
          <w:tcPr>
            <w:tcW w:w="2136" w:type="pct"/>
            <w:shd w:val="clear" w:color="auto" w:fill="FFFFFF" w:themeFill="background1"/>
          </w:tcPr>
          <w:p w14:paraId="6AA0AE63"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rPr>
              <w:t>ePMDS efficiency improvement</w:t>
            </w:r>
          </w:p>
        </w:tc>
        <w:tc>
          <w:tcPr>
            <w:tcW w:w="2136" w:type="pct"/>
            <w:shd w:val="clear" w:color="auto" w:fill="FFFFFF" w:themeFill="background1"/>
          </w:tcPr>
          <w:p w14:paraId="314F0D24" w14:textId="77777777" w:rsidR="00D2670C" w:rsidRPr="00917736" w:rsidRDefault="00D2670C" w:rsidP="00D32BE5">
            <w:pPr>
              <w:pStyle w:val="Tabletext"/>
              <w:rPr>
                <w:sz w:val="20"/>
                <w:lang w:val="en-US" w:eastAsia="zh-CN"/>
              </w:rPr>
            </w:pPr>
            <w:r w:rsidRPr="00917736">
              <w:rPr>
                <w:sz w:val="20"/>
                <w:lang w:eastAsia="zh-CN"/>
              </w:rPr>
              <w:t>Time spent by supervisors on performance evaluations reduced by at least 50% through the simplified tool.</w:t>
            </w:r>
          </w:p>
        </w:tc>
      </w:tr>
      <w:tr w:rsidR="00D2670C" w:rsidRPr="00917736" w14:paraId="7B195457" w14:textId="77777777" w:rsidTr="00917736">
        <w:trPr>
          <w:trHeight w:val="448"/>
          <w:jc w:val="center"/>
        </w:trPr>
        <w:tc>
          <w:tcPr>
            <w:tcW w:w="207" w:type="pct"/>
            <w:shd w:val="clear" w:color="auto" w:fill="FFFFFF" w:themeFill="background1"/>
          </w:tcPr>
          <w:p w14:paraId="6D893A36" w14:textId="77777777" w:rsidR="00D2670C" w:rsidRPr="00917736" w:rsidRDefault="00D2670C" w:rsidP="00D32BE5">
            <w:pPr>
              <w:pStyle w:val="Tabletext"/>
              <w:jc w:val="center"/>
              <w:rPr>
                <w:sz w:val="20"/>
                <w:lang w:val="en-US" w:eastAsia="zh-CN"/>
              </w:rPr>
            </w:pPr>
            <w:r w:rsidRPr="00917736">
              <w:rPr>
                <w:rFonts w:hint="eastAsia"/>
                <w:sz w:val="20"/>
                <w:lang w:val="en-US" w:eastAsia="zh-CN"/>
              </w:rPr>
              <w:t>8</w:t>
            </w:r>
          </w:p>
        </w:tc>
        <w:tc>
          <w:tcPr>
            <w:tcW w:w="521" w:type="pct"/>
            <w:shd w:val="clear" w:color="auto" w:fill="FFFFFF" w:themeFill="background1"/>
          </w:tcPr>
          <w:p w14:paraId="448B2313" w14:textId="77777777" w:rsidR="00D2670C" w:rsidRPr="00917736" w:rsidRDefault="00D2670C" w:rsidP="00D32BE5">
            <w:pPr>
              <w:pStyle w:val="Tabletext"/>
              <w:rPr>
                <w:sz w:val="20"/>
                <w:lang w:eastAsia="zh-CN"/>
              </w:rPr>
            </w:pPr>
            <w:r w:rsidRPr="00917736">
              <w:rPr>
                <w:sz w:val="20"/>
                <w:lang w:eastAsia="zh-CN"/>
              </w:rPr>
              <w:t xml:space="preserve">Performance </w:t>
            </w:r>
            <w:r w:rsidRPr="00917736">
              <w:rPr>
                <w:rFonts w:hint="eastAsia"/>
                <w:sz w:val="20"/>
                <w:lang w:eastAsia="zh-CN"/>
              </w:rPr>
              <w:t>M</w:t>
            </w:r>
            <w:r w:rsidRPr="00917736">
              <w:rPr>
                <w:sz w:val="20"/>
                <w:lang w:eastAsia="zh-CN"/>
              </w:rPr>
              <w:t>anagement</w:t>
            </w:r>
          </w:p>
        </w:tc>
        <w:tc>
          <w:tcPr>
            <w:tcW w:w="2136" w:type="pct"/>
            <w:shd w:val="clear" w:color="auto" w:fill="FFFFFF" w:themeFill="background1"/>
          </w:tcPr>
          <w:p w14:paraId="28CD7AAD"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 reduction in</w:t>
            </w:r>
            <w:r w:rsidRPr="00917736">
              <w:rPr>
                <w:sz w:val="20"/>
                <w:lang w:val="en-US" w:eastAsia="zh-CN"/>
              </w:rPr>
              <w:t xml:space="preserve"> </w:t>
            </w:r>
            <w:r w:rsidRPr="00917736">
              <w:rPr>
                <w:sz w:val="20"/>
                <w:lang w:val="en-US"/>
              </w:rPr>
              <w:t>performance-related queries</w:t>
            </w:r>
          </w:p>
        </w:tc>
        <w:tc>
          <w:tcPr>
            <w:tcW w:w="2136" w:type="pct"/>
            <w:shd w:val="clear" w:color="auto" w:fill="FFFFFF" w:themeFill="background1"/>
          </w:tcPr>
          <w:p w14:paraId="6DE81277" w14:textId="77777777" w:rsidR="00D2670C" w:rsidRPr="00917736" w:rsidRDefault="00D2670C" w:rsidP="00D32BE5">
            <w:pPr>
              <w:pStyle w:val="Tabletext"/>
              <w:rPr>
                <w:sz w:val="20"/>
                <w:lang w:val="en-US" w:eastAsia="zh-CN"/>
              </w:rPr>
            </w:pPr>
            <w:r w:rsidRPr="00917736">
              <w:rPr>
                <w:sz w:val="20"/>
                <w:lang w:val="en-US" w:eastAsia="zh-CN"/>
              </w:rPr>
              <w:t>System-related queries on end-year evaluations decreased by 26% compared to the previous year.</w:t>
            </w:r>
          </w:p>
        </w:tc>
      </w:tr>
      <w:tr w:rsidR="00D2670C" w:rsidRPr="00917736" w14:paraId="312F4C43" w14:textId="77777777" w:rsidTr="00917736">
        <w:trPr>
          <w:trHeight w:val="400"/>
          <w:jc w:val="center"/>
        </w:trPr>
        <w:tc>
          <w:tcPr>
            <w:tcW w:w="207" w:type="pct"/>
            <w:shd w:val="clear" w:color="auto" w:fill="FFFFFF" w:themeFill="background1"/>
          </w:tcPr>
          <w:p w14:paraId="15C58A37" w14:textId="77777777" w:rsidR="00D2670C" w:rsidRPr="00917736" w:rsidRDefault="00D2670C" w:rsidP="00D32BE5">
            <w:pPr>
              <w:pStyle w:val="Tabletext"/>
              <w:jc w:val="center"/>
              <w:rPr>
                <w:sz w:val="20"/>
                <w:lang w:val="en-US" w:eastAsia="zh-CN"/>
              </w:rPr>
            </w:pPr>
            <w:r w:rsidRPr="00917736">
              <w:rPr>
                <w:rFonts w:hint="eastAsia"/>
                <w:sz w:val="20"/>
                <w:lang w:val="en-US" w:eastAsia="zh-CN"/>
              </w:rPr>
              <w:t>9</w:t>
            </w:r>
          </w:p>
        </w:tc>
        <w:tc>
          <w:tcPr>
            <w:tcW w:w="521" w:type="pct"/>
            <w:shd w:val="clear" w:color="auto" w:fill="FFFFFF" w:themeFill="background1"/>
          </w:tcPr>
          <w:p w14:paraId="56541627" w14:textId="77777777" w:rsidR="00D2670C" w:rsidRPr="00917736" w:rsidRDefault="00D2670C" w:rsidP="00D32BE5">
            <w:pPr>
              <w:pStyle w:val="Tabletext"/>
              <w:rPr>
                <w:sz w:val="20"/>
                <w:lang w:eastAsia="zh-CN"/>
              </w:rPr>
            </w:pPr>
            <w:r w:rsidRPr="00917736">
              <w:rPr>
                <w:rFonts w:hint="eastAsia"/>
                <w:sz w:val="20"/>
                <w:lang w:eastAsia="zh-CN"/>
              </w:rPr>
              <w:t>Learning and Development</w:t>
            </w:r>
          </w:p>
        </w:tc>
        <w:tc>
          <w:tcPr>
            <w:tcW w:w="2136" w:type="pct"/>
            <w:shd w:val="clear" w:color="auto" w:fill="FFFFFF" w:themeFill="background1"/>
          </w:tcPr>
          <w:p w14:paraId="72E2BC84"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Training investment as % of staff cost (target = 3%)</w:t>
            </w:r>
          </w:p>
        </w:tc>
        <w:tc>
          <w:tcPr>
            <w:tcW w:w="2136" w:type="pct"/>
            <w:shd w:val="clear" w:color="auto" w:fill="FFFFFF" w:themeFill="background1"/>
          </w:tcPr>
          <w:p w14:paraId="7F6718CC" w14:textId="5E59BC7F" w:rsidR="00D2670C" w:rsidRPr="00917736" w:rsidRDefault="0A9D7E8E" w:rsidP="00FA71A0">
            <w:pPr>
              <w:pStyle w:val="Tabletext"/>
              <w:spacing w:line="259" w:lineRule="auto"/>
              <w:rPr>
                <w:rFonts w:eastAsia="Malgun Gothic"/>
                <w:sz w:val="20"/>
                <w:lang w:val="en-US" w:eastAsia="ko-KR"/>
              </w:rPr>
            </w:pPr>
            <w:r w:rsidRPr="382CACE0">
              <w:rPr>
                <w:sz w:val="20"/>
                <w:lang w:val="en-US"/>
              </w:rPr>
              <w:t>Training investment as % of staff cost</w:t>
            </w:r>
            <w:r w:rsidRPr="382CACE0">
              <w:rPr>
                <w:sz w:val="20"/>
                <w:lang w:val="en-US" w:eastAsia="zh-CN"/>
              </w:rPr>
              <w:t xml:space="preserve">: </w:t>
            </w:r>
            <w:r w:rsidRPr="382CACE0">
              <w:rPr>
                <w:rFonts w:eastAsia="Malgun Gothic"/>
                <w:sz w:val="20"/>
                <w:lang w:val="en-US" w:eastAsia="ko-KR"/>
              </w:rPr>
              <w:t>0.5%</w:t>
            </w:r>
            <w:r w:rsidR="6259C5E2" w:rsidRPr="382CACE0">
              <w:rPr>
                <w:rFonts w:eastAsia="Malgun Gothic"/>
                <w:sz w:val="20"/>
                <w:lang w:val="en-US" w:eastAsia="ko-KR"/>
              </w:rPr>
              <w:t>.</w:t>
            </w:r>
            <w:r w:rsidR="5A94A47C" w:rsidRPr="382CACE0">
              <w:rPr>
                <w:rFonts w:eastAsia="Malgun Gothic"/>
                <w:sz w:val="20"/>
                <w:lang w:val="en-US" w:eastAsia="ko-KR"/>
              </w:rPr>
              <w:t xml:space="preserve"> </w:t>
            </w:r>
            <w:r w:rsidR="6259C5E2" w:rsidRPr="382CACE0">
              <w:rPr>
                <w:rFonts w:eastAsia="Malgun Gothic"/>
                <w:sz w:val="20"/>
                <w:lang w:val="en-US" w:eastAsia="ko-KR"/>
              </w:rPr>
              <w:t>N</w:t>
            </w:r>
            <w:r w:rsidR="36D2E499" w:rsidRPr="382CACE0">
              <w:rPr>
                <w:rFonts w:eastAsia="Malgun Gothic"/>
                <w:sz w:val="20"/>
                <w:lang w:val="en-US" w:eastAsia="ko-KR"/>
              </w:rPr>
              <w:t xml:space="preserve">oting that ITU avails itself </w:t>
            </w:r>
            <w:r w:rsidR="2F0F20C8" w:rsidRPr="382CACE0">
              <w:rPr>
                <w:rFonts w:eastAsia="Malgun Gothic"/>
                <w:sz w:val="20"/>
                <w:lang w:val="en-US" w:eastAsia="ko-KR"/>
              </w:rPr>
              <w:t>of</w:t>
            </w:r>
            <w:r w:rsidR="4628A46A" w:rsidRPr="382CACE0">
              <w:rPr>
                <w:rFonts w:eastAsia="Malgun Gothic"/>
                <w:sz w:val="20"/>
                <w:lang w:val="en-US" w:eastAsia="ko-KR"/>
              </w:rPr>
              <w:t xml:space="preserve"> </w:t>
            </w:r>
            <w:r w:rsidR="36D2E499" w:rsidRPr="382CACE0">
              <w:rPr>
                <w:rFonts w:eastAsia="Malgun Gothic"/>
                <w:sz w:val="20"/>
                <w:lang w:val="en-US" w:eastAsia="ko-KR"/>
              </w:rPr>
              <w:t xml:space="preserve">training </w:t>
            </w:r>
            <w:r w:rsidR="71A181C5" w:rsidRPr="382CACE0">
              <w:rPr>
                <w:rFonts w:eastAsia="Malgun Gothic"/>
                <w:sz w:val="20"/>
                <w:lang w:val="en-US" w:eastAsia="ko-KR"/>
              </w:rPr>
              <w:t xml:space="preserve">delivered </w:t>
            </w:r>
            <w:r w:rsidR="36D2E499" w:rsidRPr="382CACE0">
              <w:rPr>
                <w:rFonts w:eastAsia="Malgun Gothic"/>
                <w:sz w:val="20"/>
                <w:lang w:val="en-US" w:eastAsia="ko-KR"/>
              </w:rPr>
              <w:t>by</w:t>
            </w:r>
            <w:r w:rsidR="3E1DFD96" w:rsidRPr="382CACE0">
              <w:rPr>
                <w:rFonts w:eastAsia="Malgun Gothic"/>
                <w:sz w:val="20"/>
                <w:lang w:val="en-US" w:eastAsia="ko-KR"/>
              </w:rPr>
              <w:t xml:space="preserve"> ITU staff and pro bono</w:t>
            </w:r>
            <w:r w:rsidR="5B887F65" w:rsidRPr="382CACE0">
              <w:rPr>
                <w:rFonts w:eastAsia="Malgun Gothic"/>
                <w:sz w:val="20"/>
                <w:lang w:val="en-US" w:eastAsia="ko-KR"/>
              </w:rPr>
              <w:t xml:space="preserve"> resources.</w:t>
            </w:r>
            <w:r w:rsidR="1D79C164" w:rsidRPr="382CACE0">
              <w:rPr>
                <w:rFonts w:eastAsia="Malgun Gothic"/>
                <w:sz w:val="20"/>
                <w:lang w:val="en-US" w:eastAsia="ko-KR"/>
              </w:rPr>
              <w:t xml:space="preserve"> ITU leverages self-paced learning resources made available through our licensing agreements with platforms such as LinkedIn Learning and Rosetta Stone, which provide scalable and cost-effective access to high-quality content.</w:t>
            </w:r>
            <w:r w:rsidR="0D9BB40C" w:rsidRPr="382CACE0">
              <w:rPr>
                <w:rFonts w:eastAsia="Malgun Gothic"/>
                <w:sz w:val="20"/>
                <w:lang w:val="en-US" w:eastAsia="ko-KR"/>
              </w:rPr>
              <w:t xml:space="preserve"> </w:t>
            </w:r>
            <w:r w:rsidR="1D79C164" w:rsidRPr="382CACE0">
              <w:rPr>
                <w:rFonts w:eastAsia="Malgun Gothic"/>
                <w:sz w:val="20"/>
                <w:lang w:val="en-US" w:eastAsia="ko-KR"/>
              </w:rPr>
              <w:t xml:space="preserve">ITU </w:t>
            </w:r>
            <w:r w:rsidR="0025385D" w:rsidRPr="382CACE0">
              <w:rPr>
                <w:rFonts w:eastAsia="Malgun Gothic"/>
                <w:sz w:val="20"/>
                <w:lang w:val="en-US" w:eastAsia="ko-KR"/>
              </w:rPr>
              <w:t xml:space="preserve">also </w:t>
            </w:r>
            <w:r w:rsidR="1D79C164" w:rsidRPr="382CACE0">
              <w:rPr>
                <w:rFonts w:eastAsia="Malgun Gothic"/>
                <w:sz w:val="20"/>
                <w:lang w:val="en-US" w:eastAsia="ko-KR"/>
              </w:rPr>
              <w:t xml:space="preserve">capitalizes on in-house expertise as well as UN-to-UN collaboration to promote knowledge exchange and drive efficiencies across the </w:t>
            </w:r>
            <w:r w:rsidR="5AD21E4C" w:rsidRPr="382CACE0">
              <w:rPr>
                <w:sz w:val="20"/>
                <w:lang w:val="en-US"/>
              </w:rPr>
              <w:t>UN</w:t>
            </w:r>
            <w:r w:rsidR="1D79C164" w:rsidRPr="382CACE0">
              <w:rPr>
                <w:rFonts w:eastAsia="Malgun Gothic"/>
                <w:sz w:val="20"/>
                <w:lang w:val="en-US" w:eastAsia="ko-KR"/>
              </w:rPr>
              <w:t xml:space="preserve"> system.</w:t>
            </w:r>
          </w:p>
        </w:tc>
      </w:tr>
      <w:tr w:rsidR="00D2670C" w:rsidRPr="00917736" w14:paraId="1B66B477" w14:textId="77777777" w:rsidTr="00FA71A0">
        <w:trPr>
          <w:trHeight w:val="7125"/>
          <w:jc w:val="center"/>
        </w:trPr>
        <w:tc>
          <w:tcPr>
            <w:tcW w:w="207" w:type="pct"/>
            <w:shd w:val="clear" w:color="auto" w:fill="FFFFFF" w:themeFill="background1"/>
          </w:tcPr>
          <w:p w14:paraId="7E8D6D71" w14:textId="77777777" w:rsidR="00D2670C" w:rsidRPr="00917736" w:rsidRDefault="00D2670C" w:rsidP="00D32BE5">
            <w:pPr>
              <w:pStyle w:val="Tabletext"/>
              <w:jc w:val="center"/>
              <w:rPr>
                <w:sz w:val="20"/>
                <w:lang w:val="en-US"/>
              </w:rPr>
            </w:pPr>
            <w:r w:rsidRPr="00917736">
              <w:rPr>
                <w:rFonts w:hint="eastAsia"/>
                <w:sz w:val="20"/>
                <w:lang w:val="en-US" w:eastAsia="zh-CN"/>
              </w:rPr>
              <w:lastRenderedPageBreak/>
              <w:t>10</w:t>
            </w:r>
          </w:p>
        </w:tc>
        <w:tc>
          <w:tcPr>
            <w:tcW w:w="521" w:type="pct"/>
            <w:shd w:val="clear" w:color="auto" w:fill="FFFFFF" w:themeFill="background1"/>
          </w:tcPr>
          <w:p w14:paraId="12AC96B8" w14:textId="77777777" w:rsidR="00D2670C" w:rsidRPr="00917736" w:rsidRDefault="00D2670C" w:rsidP="00D32BE5">
            <w:pPr>
              <w:pStyle w:val="Tabletext"/>
              <w:rPr>
                <w:sz w:val="20"/>
                <w:lang w:val="en-US"/>
              </w:rPr>
            </w:pPr>
            <w:r w:rsidRPr="00917736">
              <w:rPr>
                <w:rFonts w:hint="eastAsia"/>
                <w:sz w:val="20"/>
                <w:lang w:eastAsia="zh-CN"/>
              </w:rPr>
              <w:t>Learning and Development</w:t>
            </w:r>
          </w:p>
        </w:tc>
        <w:tc>
          <w:tcPr>
            <w:tcW w:w="2136" w:type="pct"/>
            <w:shd w:val="clear" w:color="auto" w:fill="FFFFFF" w:themeFill="background1"/>
            <w:hideMark/>
          </w:tcPr>
          <w:p w14:paraId="021EBE54" w14:textId="77777777" w:rsidR="00D2670C" w:rsidRPr="00917736" w:rsidRDefault="00D2670C" w:rsidP="00D32BE5">
            <w:pPr>
              <w:pStyle w:val="Tabletext"/>
              <w:ind w:left="284" w:hanging="284"/>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eastAsia="zh-CN"/>
              </w:rPr>
              <w:t xml:space="preserve">Number </w:t>
            </w:r>
            <w:r w:rsidRPr="00917736">
              <w:rPr>
                <w:sz w:val="20"/>
              </w:rPr>
              <w:t>of leadership development programmes offered</w:t>
            </w:r>
          </w:p>
          <w:p w14:paraId="707859CE" w14:textId="77777777" w:rsidR="00D2670C" w:rsidRPr="00917736" w:rsidRDefault="00D2670C" w:rsidP="00D32BE5">
            <w:pPr>
              <w:pStyle w:val="Tabletext"/>
              <w:ind w:left="284" w:hanging="284"/>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Number of participants in the Leadership</w:t>
            </w:r>
            <w:r w:rsidRPr="00917736">
              <w:rPr>
                <w:sz w:val="20"/>
                <w:lang w:val="en-US" w:eastAsia="zh-CN"/>
              </w:rPr>
              <w:t xml:space="preserve"> development </w:t>
            </w:r>
            <w:r w:rsidRPr="00917736">
              <w:rPr>
                <w:sz w:val="20"/>
                <w:lang w:val="en-US"/>
              </w:rPr>
              <w:t>Programme</w:t>
            </w:r>
          </w:p>
        </w:tc>
        <w:tc>
          <w:tcPr>
            <w:tcW w:w="2136" w:type="pct"/>
            <w:shd w:val="clear" w:color="auto" w:fill="FFFFFF" w:themeFill="background1"/>
          </w:tcPr>
          <w:p w14:paraId="541A2401" w14:textId="77777777" w:rsidR="00D2670C" w:rsidRPr="00917736" w:rsidRDefault="00D2670C" w:rsidP="00D32BE5">
            <w:pPr>
              <w:pStyle w:val="Tabletext"/>
              <w:rPr>
                <w:sz w:val="20"/>
                <w:lang w:val="en-US" w:eastAsia="zh-CN"/>
              </w:rPr>
            </w:pPr>
            <w:r w:rsidRPr="00917736">
              <w:rPr>
                <w:sz w:val="20"/>
                <w:lang w:eastAsia="zh-CN"/>
              </w:rPr>
              <w:t xml:space="preserve">Number </w:t>
            </w:r>
            <w:r w:rsidRPr="00917736">
              <w:rPr>
                <w:sz w:val="20"/>
              </w:rPr>
              <w:t>of leadership development programmes offered</w:t>
            </w:r>
            <w:r w:rsidRPr="00917736">
              <w:rPr>
                <w:sz w:val="20"/>
                <w:lang w:eastAsia="zh-CN"/>
              </w:rPr>
              <w:t>:</w:t>
            </w:r>
          </w:p>
          <w:p w14:paraId="09E427FD" w14:textId="77777777" w:rsidR="00D2670C" w:rsidRPr="00917736" w:rsidRDefault="00D2670C" w:rsidP="00D32BE5">
            <w:pPr>
              <w:pStyle w:val="Tabletext"/>
              <w:rPr>
                <w:sz w:val="20"/>
                <w:lang w:eastAsia="zh-CN"/>
              </w:rPr>
            </w:pPr>
            <w:r w:rsidRPr="00917736">
              <w:rPr>
                <w:sz w:val="20"/>
                <w:lang w:eastAsia="zh-CN"/>
              </w:rPr>
              <w:t xml:space="preserve">Inclusive Leadership course (composed of three sessions: Managing Bias, Identify and Microaggressions; Fostering Psychological Safety: Open &amp; Inclusive Environment; Advancing Gender and Racial Equity and Inclusion) for </w:t>
            </w:r>
            <w:proofErr w:type="spellStart"/>
            <w:r w:rsidRPr="00917736">
              <w:rPr>
                <w:sz w:val="20"/>
                <w:lang w:eastAsia="zh-CN"/>
              </w:rPr>
              <w:t>P5</w:t>
            </w:r>
            <w:proofErr w:type="spellEnd"/>
            <w:r w:rsidRPr="00917736">
              <w:rPr>
                <w:sz w:val="20"/>
                <w:lang w:eastAsia="zh-CN"/>
              </w:rPr>
              <w:t xml:space="preserve"> and above</w:t>
            </w:r>
            <w:r w:rsidRPr="00917736">
              <w:rPr>
                <w:rFonts w:hint="eastAsia"/>
                <w:sz w:val="20"/>
                <w:lang w:eastAsia="zh-CN"/>
              </w:rPr>
              <w:t>.</w:t>
            </w:r>
          </w:p>
          <w:p w14:paraId="4C3C00D6" w14:textId="77777777" w:rsidR="00D2670C" w:rsidRPr="00917736" w:rsidRDefault="00D2670C" w:rsidP="00D32BE5">
            <w:pPr>
              <w:pStyle w:val="Tabletext"/>
              <w:rPr>
                <w:sz w:val="20"/>
                <w:lang w:eastAsia="zh-CN"/>
              </w:rPr>
            </w:pPr>
            <w:r w:rsidRPr="00917736">
              <w:rPr>
                <w:sz w:val="20"/>
                <w:lang w:eastAsia="zh-CN"/>
              </w:rPr>
              <w:t>Adaptive Leadership programme, which includes the following components:</w:t>
            </w:r>
          </w:p>
          <w:p w14:paraId="34F8F626" w14:textId="77777777" w:rsidR="00D2670C" w:rsidRPr="00917736" w:rsidRDefault="00D2670C" w:rsidP="00D32BE5">
            <w:pPr>
              <w:pStyle w:val="Tabletext"/>
              <w:ind w:left="284" w:hanging="284"/>
              <w:rPr>
                <w:sz w:val="20"/>
                <w:lang w:eastAsia="zh-CN"/>
              </w:rPr>
            </w:pPr>
            <w:r w:rsidRPr="00917736">
              <w:rPr>
                <w:rFonts w:ascii="Symbol" w:hAnsi="Symbol"/>
                <w:sz w:val="20"/>
                <w:lang w:eastAsia="zh-CN"/>
              </w:rPr>
              <w:t></w:t>
            </w:r>
            <w:r w:rsidRPr="00917736">
              <w:rPr>
                <w:rFonts w:ascii="Symbol" w:hAnsi="Symbol"/>
                <w:sz w:val="20"/>
                <w:lang w:eastAsia="zh-CN"/>
              </w:rPr>
              <w:tab/>
            </w:r>
            <w:r w:rsidRPr="00917736">
              <w:rPr>
                <w:sz w:val="20"/>
                <w:lang w:eastAsia="zh-CN"/>
              </w:rPr>
              <w:t>Adaptive Leadership Workshop for Senior Management Team</w:t>
            </w:r>
          </w:p>
          <w:p w14:paraId="4E07D291" w14:textId="77777777" w:rsidR="00D2670C" w:rsidRPr="00917736" w:rsidRDefault="00D2670C" w:rsidP="00D32BE5">
            <w:pPr>
              <w:pStyle w:val="Tabletext"/>
              <w:ind w:left="284" w:hanging="284"/>
              <w:rPr>
                <w:sz w:val="20"/>
                <w:lang w:eastAsia="zh-CN"/>
              </w:rPr>
            </w:pPr>
            <w:r w:rsidRPr="00917736">
              <w:rPr>
                <w:rFonts w:ascii="Symbol" w:hAnsi="Symbol"/>
                <w:sz w:val="20"/>
                <w:lang w:eastAsia="zh-CN"/>
              </w:rPr>
              <w:t></w:t>
            </w:r>
            <w:r w:rsidRPr="00917736">
              <w:rPr>
                <w:rFonts w:ascii="Symbol" w:hAnsi="Symbol"/>
                <w:sz w:val="20"/>
                <w:lang w:eastAsia="zh-CN"/>
              </w:rPr>
              <w:tab/>
            </w:r>
            <w:r w:rsidRPr="00917736">
              <w:rPr>
                <w:sz w:val="20"/>
                <w:lang w:eastAsia="zh-CN"/>
              </w:rPr>
              <w:t xml:space="preserve">Adaptive Leadership workshops and peer-to-peer consulting sessions for </w:t>
            </w:r>
            <w:proofErr w:type="spellStart"/>
            <w:r w:rsidRPr="00917736">
              <w:rPr>
                <w:sz w:val="20"/>
                <w:lang w:eastAsia="zh-CN"/>
              </w:rPr>
              <w:t>ChangeMakers</w:t>
            </w:r>
            <w:proofErr w:type="spellEnd"/>
            <w:r w:rsidRPr="00917736">
              <w:rPr>
                <w:sz w:val="20"/>
                <w:lang w:eastAsia="zh-CN"/>
              </w:rPr>
              <w:t xml:space="preserve"> group</w:t>
            </w:r>
            <w:r w:rsidRPr="00917736">
              <w:rPr>
                <w:rFonts w:hint="eastAsia"/>
                <w:sz w:val="20"/>
                <w:lang w:eastAsia="zh-CN"/>
              </w:rPr>
              <w:t xml:space="preserve"> </w:t>
            </w:r>
          </w:p>
          <w:p w14:paraId="1D25D873" w14:textId="77777777" w:rsidR="00D2670C" w:rsidRPr="00917736" w:rsidRDefault="00D2670C" w:rsidP="00D32BE5">
            <w:pPr>
              <w:pStyle w:val="Tabletext"/>
              <w:ind w:left="284" w:hanging="284"/>
              <w:rPr>
                <w:sz w:val="20"/>
                <w:lang w:eastAsia="zh-CN"/>
              </w:rPr>
            </w:pPr>
            <w:r w:rsidRPr="00917736">
              <w:rPr>
                <w:rFonts w:ascii="Symbol" w:hAnsi="Symbol"/>
                <w:sz w:val="20"/>
                <w:lang w:eastAsia="zh-CN"/>
              </w:rPr>
              <w:t></w:t>
            </w:r>
            <w:r w:rsidRPr="00917736">
              <w:rPr>
                <w:rFonts w:ascii="Symbol" w:hAnsi="Symbol"/>
                <w:sz w:val="20"/>
                <w:lang w:eastAsia="zh-CN"/>
              </w:rPr>
              <w:tab/>
            </w:r>
            <w:r w:rsidRPr="00917736">
              <w:rPr>
                <w:sz w:val="20"/>
                <w:lang w:eastAsia="zh-CN"/>
              </w:rPr>
              <w:t xml:space="preserve">Adaptive Leadership workshop for </w:t>
            </w:r>
            <w:proofErr w:type="spellStart"/>
            <w:r w:rsidRPr="00917736">
              <w:rPr>
                <w:sz w:val="20"/>
                <w:lang w:eastAsia="zh-CN"/>
              </w:rPr>
              <w:t>P5</w:t>
            </w:r>
            <w:proofErr w:type="spellEnd"/>
            <w:r w:rsidRPr="00917736">
              <w:rPr>
                <w:sz w:val="20"/>
                <w:lang w:eastAsia="zh-CN"/>
              </w:rPr>
              <w:t xml:space="preserve"> and above</w:t>
            </w:r>
          </w:p>
          <w:p w14:paraId="4FED6A1A" w14:textId="77777777" w:rsidR="00D2670C" w:rsidRPr="00917736" w:rsidRDefault="00D2670C" w:rsidP="00D32BE5">
            <w:pPr>
              <w:pStyle w:val="Tabletext"/>
              <w:ind w:left="284" w:hanging="284"/>
              <w:rPr>
                <w:sz w:val="20"/>
                <w:lang w:eastAsia="zh-CN"/>
              </w:rPr>
            </w:pPr>
            <w:r w:rsidRPr="00917736">
              <w:rPr>
                <w:rFonts w:ascii="Symbol" w:hAnsi="Symbol"/>
                <w:sz w:val="20"/>
                <w:lang w:eastAsia="zh-CN"/>
              </w:rPr>
              <w:t></w:t>
            </w:r>
            <w:r w:rsidRPr="00917736">
              <w:rPr>
                <w:rFonts w:ascii="Symbol" w:hAnsi="Symbol"/>
                <w:sz w:val="20"/>
                <w:lang w:eastAsia="zh-CN"/>
              </w:rPr>
              <w:tab/>
            </w:r>
            <w:r w:rsidRPr="00917736">
              <w:rPr>
                <w:sz w:val="20"/>
                <w:lang w:eastAsia="zh-CN"/>
              </w:rPr>
              <w:t xml:space="preserve">Adaptive Leadership workshop for </w:t>
            </w:r>
            <w:proofErr w:type="spellStart"/>
            <w:r w:rsidRPr="00917736">
              <w:rPr>
                <w:sz w:val="20"/>
                <w:lang w:eastAsia="zh-CN"/>
              </w:rPr>
              <w:t>P4</w:t>
            </w:r>
            <w:proofErr w:type="spellEnd"/>
          </w:p>
          <w:p w14:paraId="620C355E" w14:textId="77777777" w:rsidR="00D2670C" w:rsidRPr="00917736" w:rsidRDefault="00D2670C" w:rsidP="00D32BE5">
            <w:pPr>
              <w:pStyle w:val="Tabletext"/>
              <w:rPr>
                <w:sz w:val="20"/>
                <w:lang w:eastAsia="zh-CN"/>
              </w:rPr>
            </w:pPr>
            <w:r w:rsidRPr="00917736">
              <w:rPr>
                <w:sz w:val="20"/>
                <w:lang w:eastAsia="zh-CN"/>
              </w:rPr>
              <w:t>Monthly consulting and follow up webinars on adaptive leadership with Intact Teams (the management level of all departments/offices/regions in ITU)</w:t>
            </w:r>
            <w:r w:rsidRPr="00917736">
              <w:rPr>
                <w:rFonts w:hint="eastAsia"/>
                <w:sz w:val="20"/>
                <w:lang w:eastAsia="zh-CN"/>
              </w:rPr>
              <w:t>.</w:t>
            </w:r>
          </w:p>
          <w:p w14:paraId="0261EF94" w14:textId="77777777" w:rsidR="00D2670C" w:rsidRPr="00917736" w:rsidRDefault="00D2670C" w:rsidP="00D32BE5">
            <w:pPr>
              <w:pStyle w:val="Tabletext"/>
              <w:rPr>
                <w:sz w:val="20"/>
                <w:lang w:val="en-US"/>
              </w:rPr>
            </w:pPr>
            <w:r w:rsidRPr="00917736">
              <w:rPr>
                <w:sz w:val="20"/>
                <w:lang w:val="en-US"/>
              </w:rPr>
              <w:t xml:space="preserve">Number of participants in the Leadership </w:t>
            </w:r>
            <w:r w:rsidRPr="00917736">
              <w:rPr>
                <w:sz w:val="20"/>
              </w:rPr>
              <w:t>development</w:t>
            </w:r>
            <w:r w:rsidRPr="00917736">
              <w:rPr>
                <w:sz w:val="20"/>
                <w:lang w:val="en-US"/>
              </w:rPr>
              <w:t xml:space="preserve"> Programme</w:t>
            </w:r>
            <w:r w:rsidRPr="00917736">
              <w:rPr>
                <w:sz w:val="20"/>
                <w:lang w:eastAsia="zh-CN"/>
              </w:rPr>
              <w:t>:</w:t>
            </w:r>
          </w:p>
          <w:p w14:paraId="0230B9CA" w14:textId="77777777" w:rsidR="00D2670C" w:rsidRPr="00917736" w:rsidRDefault="00D2670C" w:rsidP="00D32BE5">
            <w:pPr>
              <w:pStyle w:val="Tabletext"/>
              <w:rPr>
                <w:sz w:val="20"/>
                <w:lang w:eastAsia="zh-CN"/>
              </w:rPr>
            </w:pPr>
            <w:r w:rsidRPr="00917736">
              <w:rPr>
                <w:sz w:val="20"/>
                <w:lang w:eastAsia="zh-CN"/>
              </w:rPr>
              <w:t xml:space="preserve">Inclusive Leadership course: 46.5 % of </w:t>
            </w:r>
            <w:proofErr w:type="spellStart"/>
            <w:r w:rsidRPr="00917736">
              <w:rPr>
                <w:sz w:val="20"/>
                <w:lang w:eastAsia="zh-CN"/>
              </w:rPr>
              <w:t>P5</w:t>
            </w:r>
            <w:proofErr w:type="spellEnd"/>
            <w:r w:rsidRPr="00917736">
              <w:rPr>
                <w:sz w:val="20"/>
                <w:lang w:eastAsia="zh-CN"/>
              </w:rPr>
              <w:t xml:space="preserve"> and above at ITU completed all three sessions</w:t>
            </w:r>
          </w:p>
          <w:p w14:paraId="225436A1" w14:textId="77777777" w:rsidR="00D2670C" w:rsidRPr="00917736" w:rsidRDefault="00D2670C" w:rsidP="00D32BE5">
            <w:pPr>
              <w:pStyle w:val="Tabletext"/>
              <w:rPr>
                <w:sz w:val="20"/>
                <w:lang w:eastAsia="zh-CN"/>
              </w:rPr>
            </w:pPr>
            <w:r w:rsidRPr="00917736">
              <w:rPr>
                <w:sz w:val="20"/>
                <w:lang w:eastAsia="zh-CN"/>
              </w:rPr>
              <w:t xml:space="preserve">Adaptive Leadership workshops and peer-to-peer consulting sessions for </w:t>
            </w:r>
            <w:proofErr w:type="spellStart"/>
            <w:r w:rsidRPr="00917736">
              <w:rPr>
                <w:sz w:val="20"/>
                <w:lang w:eastAsia="zh-CN"/>
              </w:rPr>
              <w:t>ChangeMakers</w:t>
            </w:r>
            <w:proofErr w:type="spellEnd"/>
            <w:r w:rsidRPr="00917736">
              <w:rPr>
                <w:sz w:val="20"/>
                <w:lang w:eastAsia="zh-CN"/>
              </w:rPr>
              <w:t xml:space="preserve"> group: 47</w:t>
            </w:r>
          </w:p>
          <w:p w14:paraId="13C08A77" w14:textId="77777777" w:rsidR="00D2670C" w:rsidRPr="00917736" w:rsidRDefault="00D2670C" w:rsidP="00D32BE5">
            <w:pPr>
              <w:pStyle w:val="Tabletext"/>
              <w:rPr>
                <w:sz w:val="20"/>
                <w:lang w:eastAsia="zh-CN"/>
              </w:rPr>
            </w:pPr>
            <w:r w:rsidRPr="00917736">
              <w:rPr>
                <w:sz w:val="20"/>
                <w:lang w:eastAsia="zh-CN"/>
              </w:rPr>
              <w:t xml:space="preserve">Adaptive Leadership workshop for </w:t>
            </w:r>
            <w:proofErr w:type="spellStart"/>
            <w:r w:rsidRPr="00917736">
              <w:rPr>
                <w:sz w:val="20"/>
                <w:lang w:eastAsia="zh-CN"/>
              </w:rPr>
              <w:t>P5</w:t>
            </w:r>
            <w:proofErr w:type="spellEnd"/>
            <w:r w:rsidRPr="00917736">
              <w:rPr>
                <w:sz w:val="20"/>
                <w:lang w:eastAsia="zh-CN"/>
              </w:rPr>
              <w:t xml:space="preserve"> and above: 44</w:t>
            </w:r>
          </w:p>
          <w:p w14:paraId="5C8CAA1B" w14:textId="77777777" w:rsidR="00D2670C" w:rsidRPr="00917736" w:rsidRDefault="00D2670C" w:rsidP="00D32BE5">
            <w:pPr>
              <w:pStyle w:val="Tabletext"/>
              <w:rPr>
                <w:sz w:val="20"/>
                <w:lang w:eastAsia="zh-CN"/>
              </w:rPr>
            </w:pPr>
            <w:r w:rsidRPr="00917736">
              <w:rPr>
                <w:sz w:val="20"/>
                <w:lang w:eastAsia="zh-CN"/>
              </w:rPr>
              <w:t xml:space="preserve">Adaptive Leadership workshop for </w:t>
            </w:r>
            <w:proofErr w:type="spellStart"/>
            <w:r w:rsidRPr="00917736">
              <w:rPr>
                <w:sz w:val="20"/>
                <w:lang w:eastAsia="zh-CN"/>
              </w:rPr>
              <w:t>P4</w:t>
            </w:r>
            <w:proofErr w:type="spellEnd"/>
            <w:r w:rsidRPr="00917736">
              <w:rPr>
                <w:sz w:val="20"/>
                <w:lang w:eastAsia="zh-CN"/>
              </w:rPr>
              <w:t>: 37</w:t>
            </w:r>
          </w:p>
        </w:tc>
      </w:tr>
      <w:tr w:rsidR="00D2670C" w:rsidRPr="00917736" w14:paraId="135A4BA8" w14:textId="77777777" w:rsidTr="00917736">
        <w:trPr>
          <w:trHeight w:val="412"/>
          <w:jc w:val="center"/>
        </w:trPr>
        <w:tc>
          <w:tcPr>
            <w:tcW w:w="207" w:type="pct"/>
            <w:vMerge w:val="restart"/>
            <w:shd w:val="clear" w:color="auto" w:fill="FFFFFF" w:themeFill="background1"/>
          </w:tcPr>
          <w:p w14:paraId="4E25E6DC" w14:textId="77777777" w:rsidR="00D2670C" w:rsidRPr="00917736" w:rsidRDefault="00D2670C" w:rsidP="00D32BE5">
            <w:pPr>
              <w:pStyle w:val="Tabletext"/>
              <w:jc w:val="center"/>
              <w:rPr>
                <w:sz w:val="20"/>
                <w:lang w:val="en-US"/>
              </w:rPr>
            </w:pPr>
            <w:r w:rsidRPr="00917736">
              <w:rPr>
                <w:rFonts w:hint="eastAsia"/>
                <w:sz w:val="20"/>
                <w:lang w:val="en-US" w:eastAsia="zh-CN"/>
              </w:rPr>
              <w:t>11</w:t>
            </w:r>
          </w:p>
        </w:tc>
        <w:tc>
          <w:tcPr>
            <w:tcW w:w="521" w:type="pct"/>
            <w:vMerge w:val="restart"/>
            <w:shd w:val="clear" w:color="auto" w:fill="FFFFFF" w:themeFill="background1"/>
          </w:tcPr>
          <w:p w14:paraId="1F167784" w14:textId="77777777" w:rsidR="00D2670C" w:rsidRPr="00917736" w:rsidRDefault="00D2670C" w:rsidP="00D32BE5">
            <w:pPr>
              <w:pStyle w:val="Tabletext"/>
              <w:rPr>
                <w:sz w:val="20"/>
                <w:lang w:val="en-US" w:eastAsia="zh-CN"/>
              </w:rPr>
            </w:pPr>
            <w:r w:rsidRPr="00917736">
              <w:rPr>
                <w:rFonts w:hint="eastAsia"/>
                <w:sz w:val="20"/>
                <w:lang w:eastAsia="zh-CN"/>
              </w:rPr>
              <w:t>Learning and Development</w:t>
            </w:r>
          </w:p>
        </w:tc>
        <w:tc>
          <w:tcPr>
            <w:tcW w:w="2136" w:type="pct"/>
            <w:shd w:val="clear" w:color="auto" w:fill="FFFFFF" w:themeFill="background1"/>
            <w:hideMark/>
          </w:tcPr>
          <w:p w14:paraId="3BF3C484"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rPr>
              <w:t>% completion rate of mandatory trainings</w:t>
            </w:r>
          </w:p>
        </w:tc>
        <w:tc>
          <w:tcPr>
            <w:tcW w:w="2136" w:type="pct"/>
            <w:shd w:val="clear" w:color="auto" w:fill="FFFFFF" w:themeFill="background1"/>
          </w:tcPr>
          <w:p w14:paraId="11C6D353" w14:textId="77777777" w:rsidR="00D2670C" w:rsidRPr="00917736" w:rsidRDefault="00D2670C" w:rsidP="00D32BE5">
            <w:pPr>
              <w:pStyle w:val="Tabletext"/>
              <w:rPr>
                <w:rFonts w:eastAsia="Malgun Gothic"/>
                <w:sz w:val="20"/>
                <w:lang w:eastAsia="ko-KR"/>
              </w:rPr>
            </w:pPr>
            <w:r w:rsidRPr="00917736">
              <w:rPr>
                <w:sz w:val="20"/>
              </w:rPr>
              <w:t>% completion rate of mandatory trainings</w:t>
            </w:r>
            <w:r w:rsidRPr="00917736">
              <w:rPr>
                <w:sz w:val="20"/>
                <w:lang w:eastAsia="zh-CN"/>
              </w:rPr>
              <w:t>:</w:t>
            </w:r>
          </w:p>
          <w:p w14:paraId="13A5C2B0" w14:textId="29E39240" w:rsidR="00D2670C" w:rsidRPr="00917736" w:rsidRDefault="00D2670C" w:rsidP="00D32BE5">
            <w:pPr>
              <w:pStyle w:val="Tabletext"/>
              <w:ind w:left="284" w:hanging="284"/>
              <w:rPr>
                <w:sz w:val="20"/>
                <w:lang w:eastAsia="zh-CN"/>
              </w:rPr>
            </w:pPr>
            <w:r w:rsidRPr="00917736">
              <w:rPr>
                <w:rFonts w:ascii="Symbol" w:hAnsi="Symbol"/>
                <w:sz w:val="20"/>
                <w:lang w:eastAsia="zh-CN"/>
              </w:rPr>
              <w:t></w:t>
            </w:r>
            <w:r w:rsidRPr="00917736">
              <w:rPr>
                <w:rFonts w:ascii="Symbol" w:hAnsi="Symbol"/>
                <w:sz w:val="20"/>
                <w:lang w:eastAsia="zh-CN"/>
              </w:rPr>
              <w:tab/>
            </w:r>
            <w:r w:rsidRPr="00917736">
              <w:rPr>
                <w:sz w:val="20"/>
                <w:lang w:eastAsia="zh-CN"/>
              </w:rPr>
              <w:t>Cybersecurity Awareness Essentials Course: 60.6%</w:t>
            </w:r>
          </w:p>
          <w:p w14:paraId="592AA1DE" w14:textId="1960993E" w:rsidR="00D2670C" w:rsidRPr="00917736" w:rsidRDefault="00D2670C" w:rsidP="00D32BE5">
            <w:pPr>
              <w:pStyle w:val="Tabletext"/>
              <w:ind w:left="284" w:hanging="284"/>
              <w:rPr>
                <w:sz w:val="20"/>
                <w:lang w:eastAsia="zh-CN"/>
              </w:rPr>
            </w:pPr>
            <w:r w:rsidRPr="00917736">
              <w:rPr>
                <w:rFonts w:ascii="Symbol" w:hAnsi="Symbol"/>
                <w:sz w:val="20"/>
                <w:lang w:eastAsia="zh-CN"/>
              </w:rPr>
              <w:t></w:t>
            </w:r>
            <w:r w:rsidRPr="00917736">
              <w:rPr>
                <w:rFonts w:ascii="Symbol" w:hAnsi="Symbol"/>
                <w:sz w:val="20"/>
                <w:lang w:eastAsia="zh-CN"/>
              </w:rPr>
              <w:tab/>
            </w:r>
            <w:proofErr w:type="spellStart"/>
            <w:r w:rsidRPr="00917736">
              <w:rPr>
                <w:sz w:val="20"/>
                <w:lang w:eastAsia="zh-CN"/>
              </w:rPr>
              <w:t>BSAFE</w:t>
            </w:r>
            <w:proofErr w:type="spellEnd"/>
            <w:r w:rsidRPr="00917736">
              <w:rPr>
                <w:sz w:val="20"/>
                <w:lang w:eastAsia="zh-CN"/>
              </w:rPr>
              <w:t xml:space="preserve"> (Security Awareness Training): 60.5%</w:t>
            </w:r>
          </w:p>
          <w:p w14:paraId="5390A9DF" w14:textId="77777777" w:rsidR="00D2670C" w:rsidRPr="00917736" w:rsidRDefault="00D2670C" w:rsidP="00D32BE5">
            <w:pPr>
              <w:pStyle w:val="Tabletext"/>
              <w:ind w:left="284" w:hanging="284"/>
              <w:rPr>
                <w:sz w:val="20"/>
                <w:lang w:eastAsia="zh-CN"/>
              </w:rPr>
            </w:pPr>
            <w:r w:rsidRPr="00917736">
              <w:rPr>
                <w:rFonts w:ascii="Symbol" w:hAnsi="Symbol"/>
                <w:sz w:val="20"/>
                <w:lang w:eastAsia="zh-CN"/>
              </w:rPr>
              <w:t></w:t>
            </w:r>
            <w:r w:rsidRPr="00917736">
              <w:rPr>
                <w:rFonts w:ascii="Symbol" w:hAnsi="Symbol"/>
                <w:sz w:val="20"/>
                <w:lang w:eastAsia="zh-CN"/>
              </w:rPr>
              <w:tab/>
            </w:r>
            <w:r w:rsidRPr="00917736">
              <w:rPr>
                <w:sz w:val="20"/>
                <w:lang w:eastAsia="zh-CN"/>
              </w:rPr>
              <w:t>I Know Gender - Modules 1-2-3: 55.7%</w:t>
            </w:r>
          </w:p>
          <w:p w14:paraId="6FD1C340" w14:textId="77777777" w:rsidR="00D2670C" w:rsidRPr="00917736" w:rsidRDefault="00D2670C" w:rsidP="00D32BE5">
            <w:pPr>
              <w:pStyle w:val="Tabletext"/>
              <w:ind w:left="284" w:hanging="284"/>
              <w:rPr>
                <w:sz w:val="20"/>
                <w:lang w:eastAsia="zh-CN"/>
              </w:rPr>
            </w:pPr>
            <w:r w:rsidRPr="00917736">
              <w:rPr>
                <w:rFonts w:ascii="Symbol" w:hAnsi="Symbol"/>
                <w:sz w:val="20"/>
                <w:lang w:eastAsia="zh-CN"/>
              </w:rPr>
              <w:lastRenderedPageBreak/>
              <w:t></w:t>
            </w:r>
            <w:r w:rsidRPr="00917736">
              <w:rPr>
                <w:rFonts w:ascii="Symbol" w:hAnsi="Symbol"/>
                <w:sz w:val="20"/>
                <w:lang w:eastAsia="zh-CN"/>
              </w:rPr>
              <w:tab/>
            </w:r>
            <w:r w:rsidRPr="00917736">
              <w:rPr>
                <w:sz w:val="20"/>
                <w:lang w:eastAsia="zh-CN"/>
              </w:rPr>
              <w:t>United to Respect: Preventing Sexual Harassment and Other Prohibited Conduct: 40.4%</w:t>
            </w:r>
          </w:p>
          <w:p w14:paraId="5D3C5606" w14:textId="77777777" w:rsidR="00D2670C" w:rsidRPr="00917736" w:rsidRDefault="00D2670C" w:rsidP="00D32BE5">
            <w:pPr>
              <w:pStyle w:val="Tabletext"/>
              <w:ind w:left="284" w:hanging="284"/>
              <w:rPr>
                <w:sz w:val="20"/>
                <w:lang w:eastAsia="zh-CN"/>
              </w:rPr>
            </w:pPr>
            <w:r w:rsidRPr="00917736">
              <w:rPr>
                <w:rFonts w:ascii="Symbol" w:hAnsi="Symbol"/>
                <w:sz w:val="20"/>
                <w:lang w:eastAsia="zh-CN"/>
              </w:rPr>
              <w:t></w:t>
            </w:r>
            <w:r w:rsidRPr="00917736">
              <w:rPr>
                <w:rFonts w:ascii="Symbol" w:hAnsi="Symbol"/>
                <w:sz w:val="20"/>
                <w:lang w:eastAsia="zh-CN"/>
              </w:rPr>
              <w:tab/>
            </w:r>
            <w:r w:rsidRPr="00917736">
              <w:rPr>
                <w:sz w:val="20"/>
                <w:lang w:eastAsia="zh-CN"/>
              </w:rPr>
              <w:t>Prevention of Sexual Exploitation and Abuse: 30.9%</w:t>
            </w:r>
          </w:p>
          <w:p w14:paraId="6EBD140C" w14:textId="1A6E79F8" w:rsidR="00D2670C" w:rsidRPr="00917736" w:rsidRDefault="00D2670C" w:rsidP="00D32BE5">
            <w:pPr>
              <w:pStyle w:val="Tabletext"/>
              <w:ind w:left="284" w:hanging="284"/>
              <w:rPr>
                <w:sz w:val="20"/>
                <w:lang w:eastAsia="zh-CN"/>
              </w:rPr>
            </w:pPr>
            <w:r w:rsidRPr="00917736">
              <w:rPr>
                <w:rFonts w:ascii="Symbol" w:hAnsi="Symbol"/>
                <w:sz w:val="20"/>
                <w:lang w:eastAsia="zh-CN"/>
              </w:rPr>
              <w:t></w:t>
            </w:r>
            <w:r w:rsidRPr="00917736">
              <w:rPr>
                <w:rFonts w:ascii="Symbol" w:hAnsi="Symbol"/>
                <w:sz w:val="20"/>
                <w:lang w:eastAsia="zh-CN"/>
              </w:rPr>
              <w:tab/>
            </w:r>
            <w:r w:rsidRPr="00917736">
              <w:rPr>
                <w:sz w:val="20"/>
                <w:lang w:eastAsia="zh-CN"/>
              </w:rPr>
              <w:t>Ethics &amp; Integrity at ITU: 27.6%</w:t>
            </w:r>
          </w:p>
          <w:p w14:paraId="66B6F177" w14:textId="77777777" w:rsidR="00D2670C" w:rsidRPr="00917736" w:rsidRDefault="00D2670C" w:rsidP="00D32BE5">
            <w:pPr>
              <w:pStyle w:val="Tabletext"/>
              <w:ind w:left="284" w:hanging="284"/>
              <w:rPr>
                <w:rFonts w:eastAsia="Malgun Gothic"/>
                <w:sz w:val="20"/>
                <w:lang w:val="en-US" w:eastAsia="ko-KR"/>
              </w:rPr>
            </w:pPr>
            <w:r w:rsidRPr="00917736">
              <w:rPr>
                <w:rFonts w:ascii="Symbol" w:eastAsia="Malgun Gothic" w:hAnsi="Symbol"/>
                <w:sz w:val="20"/>
                <w:lang w:val="en-US" w:eastAsia="ko-KR"/>
              </w:rPr>
              <w:t></w:t>
            </w:r>
            <w:r w:rsidRPr="00917736">
              <w:rPr>
                <w:rFonts w:ascii="Symbol" w:eastAsia="Malgun Gothic" w:hAnsi="Symbol"/>
                <w:sz w:val="20"/>
                <w:lang w:val="en-US" w:eastAsia="ko-KR"/>
              </w:rPr>
              <w:tab/>
            </w:r>
            <w:r w:rsidRPr="00917736">
              <w:rPr>
                <w:sz w:val="20"/>
                <w:lang w:eastAsia="zh-CN"/>
              </w:rPr>
              <w:t>Greening the Blue: 13.8% (recently added as mandatory training as of 1 May 2025)</w:t>
            </w:r>
          </w:p>
        </w:tc>
      </w:tr>
      <w:tr w:rsidR="00D2670C" w:rsidRPr="00917736" w14:paraId="45552635" w14:textId="77777777" w:rsidTr="00917736">
        <w:trPr>
          <w:trHeight w:val="584"/>
          <w:jc w:val="center"/>
        </w:trPr>
        <w:tc>
          <w:tcPr>
            <w:tcW w:w="207" w:type="pct"/>
            <w:vMerge/>
          </w:tcPr>
          <w:p w14:paraId="0A153551" w14:textId="77777777" w:rsidR="00D2670C" w:rsidRPr="00917736" w:rsidRDefault="00D2670C" w:rsidP="00D32BE5">
            <w:pPr>
              <w:pStyle w:val="Tabletext"/>
              <w:jc w:val="center"/>
              <w:rPr>
                <w:sz w:val="20"/>
                <w:lang w:val="en-US"/>
              </w:rPr>
            </w:pPr>
          </w:p>
        </w:tc>
        <w:tc>
          <w:tcPr>
            <w:tcW w:w="521" w:type="pct"/>
            <w:vMerge/>
          </w:tcPr>
          <w:p w14:paraId="6AAB0A43" w14:textId="77777777" w:rsidR="00D2670C" w:rsidRPr="00917736" w:rsidRDefault="00D2670C" w:rsidP="00D32BE5">
            <w:pPr>
              <w:pStyle w:val="Tabletext"/>
              <w:rPr>
                <w:sz w:val="20"/>
                <w:lang w:val="en-US" w:eastAsia="zh-CN"/>
              </w:rPr>
            </w:pPr>
          </w:p>
        </w:tc>
        <w:tc>
          <w:tcPr>
            <w:tcW w:w="2136" w:type="pct"/>
            <w:shd w:val="clear" w:color="auto" w:fill="FFFFFF" w:themeFill="background1"/>
            <w:hideMark/>
          </w:tcPr>
          <w:p w14:paraId="3EB5A221" w14:textId="77777777" w:rsidR="00D2670C" w:rsidRPr="00917736" w:rsidRDefault="00D2670C" w:rsidP="00D32BE5">
            <w:pPr>
              <w:pStyle w:val="Tabletext"/>
              <w:rPr>
                <w:sz w:val="20"/>
                <w:lang w:val="en-US"/>
              </w:rPr>
            </w:pPr>
            <w:bookmarkStart w:id="17" w:name="_Hlk39134893"/>
            <w:r w:rsidRPr="00917736">
              <w:rPr>
                <w:rFonts w:ascii="Symbol" w:hAnsi="Symbol"/>
                <w:sz w:val="20"/>
                <w:lang w:val="en-US"/>
              </w:rPr>
              <w:t></w:t>
            </w:r>
            <w:r w:rsidRPr="00917736">
              <w:rPr>
                <w:rFonts w:ascii="Symbol" w:hAnsi="Symbol"/>
                <w:sz w:val="20"/>
                <w:lang w:val="en-US"/>
              </w:rPr>
              <w:tab/>
            </w:r>
            <w:r w:rsidRPr="00917736">
              <w:rPr>
                <w:sz w:val="20"/>
              </w:rPr>
              <w:t>% of staff receiving in-service training</w:t>
            </w:r>
            <w:bookmarkEnd w:id="17"/>
          </w:p>
        </w:tc>
        <w:tc>
          <w:tcPr>
            <w:tcW w:w="2136" w:type="pct"/>
            <w:shd w:val="clear" w:color="auto" w:fill="FFFFFF" w:themeFill="background1"/>
          </w:tcPr>
          <w:p w14:paraId="59199425" w14:textId="77777777" w:rsidR="00D2670C" w:rsidRPr="00917736" w:rsidRDefault="00D2670C" w:rsidP="00D32BE5">
            <w:pPr>
              <w:pStyle w:val="Tabletext"/>
              <w:rPr>
                <w:sz w:val="20"/>
                <w:lang w:val="en-US"/>
              </w:rPr>
            </w:pPr>
            <w:bookmarkStart w:id="18" w:name="_Hlk67902942"/>
            <w:r w:rsidRPr="00917736">
              <w:rPr>
                <w:sz w:val="20"/>
                <w:lang w:eastAsia="zh-CN"/>
              </w:rPr>
              <w:t>% of staff receiving in-service training: The corporate trainings as part of the ITU Learning Plan are available to all ITU employees, regardless of contract type.</w:t>
            </w:r>
            <w:bookmarkEnd w:id="18"/>
          </w:p>
        </w:tc>
      </w:tr>
      <w:tr w:rsidR="00D2670C" w:rsidRPr="00917736" w14:paraId="5613557F" w14:textId="77777777" w:rsidTr="00917736">
        <w:trPr>
          <w:trHeight w:val="20"/>
          <w:jc w:val="center"/>
        </w:trPr>
        <w:tc>
          <w:tcPr>
            <w:tcW w:w="207" w:type="pct"/>
            <w:shd w:val="clear" w:color="auto" w:fill="FFFFFF" w:themeFill="background1"/>
          </w:tcPr>
          <w:p w14:paraId="6EA7A621" w14:textId="77777777" w:rsidR="00D2670C" w:rsidRPr="00917736" w:rsidRDefault="00D2670C" w:rsidP="00D32BE5">
            <w:pPr>
              <w:pStyle w:val="Tabletext"/>
              <w:jc w:val="center"/>
              <w:rPr>
                <w:sz w:val="20"/>
                <w:lang w:val="en-US"/>
              </w:rPr>
            </w:pPr>
            <w:r w:rsidRPr="00917736">
              <w:rPr>
                <w:rFonts w:hint="eastAsia"/>
                <w:sz w:val="20"/>
                <w:lang w:val="en-US" w:eastAsia="zh-CN"/>
              </w:rPr>
              <w:t>12</w:t>
            </w:r>
          </w:p>
        </w:tc>
        <w:tc>
          <w:tcPr>
            <w:tcW w:w="521" w:type="pct"/>
            <w:shd w:val="clear" w:color="auto" w:fill="FFFFFF" w:themeFill="background1"/>
          </w:tcPr>
          <w:p w14:paraId="309D28E4" w14:textId="77777777" w:rsidR="00D2670C" w:rsidRPr="00917736" w:rsidRDefault="00D2670C" w:rsidP="00D32BE5">
            <w:pPr>
              <w:pStyle w:val="Tabletext"/>
              <w:rPr>
                <w:sz w:val="20"/>
                <w:lang w:val="en-US" w:eastAsia="zh-CN"/>
              </w:rPr>
            </w:pPr>
            <w:r w:rsidRPr="00917736">
              <w:rPr>
                <w:sz w:val="20"/>
                <w:lang w:val="en-US" w:eastAsia="zh-CN"/>
              </w:rPr>
              <w:t>Learning and Development</w:t>
            </w:r>
          </w:p>
        </w:tc>
        <w:tc>
          <w:tcPr>
            <w:tcW w:w="2136" w:type="pct"/>
            <w:shd w:val="clear" w:color="auto" w:fill="FFFFFF" w:themeFill="background1"/>
          </w:tcPr>
          <w:p w14:paraId="183671B2" w14:textId="77777777" w:rsidR="00D2670C" w:rsidRPr="00917736" w:rsidRDefault="00D2670C" w:rsidP="00D32BE5">
            <w:pPr>
              <w:pStyle w:val="Tabletext"/>
              <w:rPr>
                <w:sz w:val="20"/>
              </w:rPr>
            </w:pPr>
            <w:r w:rsidRPr="00917736">
              <w:rPr>
                <w:rFonts w:ascii="Symbol" w:hAnsi="Symbol"/>
                <w:sz w:val="20"/>
              </w:rPr>
              <w:t></w:t>
            </w:r>
            <w:r w:rsidRPr="00917736">
              <w:rPr>
                <w:rFonts w:ascii="Symbol" w:hAnsi="Symbol"/>
                <w:sz w:val="20"/>
              </w:rPr>
              <w:tab/>
            </w:r>
            <w:r w:rsidRPr="00917736">
              <w:rPr>
                <w:sz w:val="20"/>
              </w:rPr>
              <w:t>Language programme cost efficiency</w:t>
            </w:r>
          </w:p>
        </w:tc>
        <w:tc>
          <w:tcPr>
            <w:tcW w:w="2136" w:type="pct"/>
            <w:shd w:val="clear" w:color="auto" w:fill="FFFFFF" w:themeFill="background1"/>
          </w:tcPr>
          <w:p w14:paraId="7BB47C59" w14:textId="77777777" w:rsidR="00D2670C" w:rsidRPr="00917736" w:rsidRDefault="00D2670C" w:rsidP="00D32BE5">
            <w:pPr>
              <w:pStyle w:val="Tabletext"/>
              <w:rPr>
                <w:sz w:val="20"/>
                <w:lang w:eastAsia="zh-CN"/>
              </w:rPr>
            </w:pPr>
            <w:r w:rsidRPr="00917736">
              <w:rPr>
                <w:sz w:val="20"/>
                <w:lang w:eastAsia="zh-CN"/>
              </w:rPr>
              <w:t>Annual cost reduced by 13% through partnership with UNOG and other UN entities.</w:t>
            </w:r>
          </w:p>
        </w:tc>
      </w:tr>
      <w:tr w:rsidR="00D2670C" w:rsidRPr="00917736" w14:paraId="5CEB076E" w14:textId="77777777" w:rsidTr="00917736">
        <w:trPr>
          <w:trHeight w:val="20"/>
          <w:jc w:val="center"/>
        </w:trPr>
        <w:tc>
          <w:tcPr>
            <w:tcW w:w="207" w:type="pct"/>
            <w:shd w:val="clear" w:color="auto" w:fill="FFFFFF" w:themeFill="background1"/>
          </w:tcPr>
          <w:p w14:paraId="3EC3CA05" w14:textId="77777777" w:rsidR="00D2670C" w:rsidRPr="00917736" w:rsidRDefault="00D2670C" w:rsidP="00D32BE5">
            <w:pPr>
              <w:pStyle w:val="Tabletext"/>
              <w:jc w:val="center"/>
              <w:rPr>
                <w:sz w:val="20"/>
                <w:lang w:val="en-US"/>
              </w:rPr>
            </w:pPr>
            <w:r w:rsidRPr="00917736">
              <w:rPr>
                <w:rFonts w:hint="eastAsia"/>
                <w:sz w:val="20"/>
                <w:lang w:val="en-US" w:eastAsia="zh-CN"/>
              </w:rPr>
              <w:t>13</w:t>
            </w:r>
          </w:p>
        </w:tc>
        <w:tc>
          <w:tcPr>
            <w:tcW w:w="521" w:type="pct"/>
            <w:shd w:val="clear" w:color="auto" w:fill="FFFFFF" w:themeFill="background1"/>
          </w:tcPr>
          <w:p w14:paraId="7829F655" w14:textId="77777777" w:rsidR="00D2670C" w:rsidRPr="00917736" w:rsidRDefault="00D2670C" w:rsidP="00D32BE5">
            <w:pPr>
              <w:pStyle w:val="Tabletext"/>
              <w:rPr>
                <w:sz w:val="20"/>
                <w:lang w:val="en-US" w:eastAsia="zh-CN"/>
              </w:rPr>
            </w:pPr>
            <w:r w:rsidRPr="00917736">
              <w:rPr>
                <w:sz w:val="20"/>
                <w:lang w:val="en-US" w:eastAsia="zh-CN"/>
              </w:rPr>
              <w:t>Learning and Development</w:t>
            </w:r>
          </w:p>
        </w:tc>
        <w:tc>
          <w:tcPr>
            <w:tcW w:w="2136" w:type="pct"/>
            <w:shd w:val="clear" w:color="auto" w:fill="FFFFFF" w:themeFill="background1"/>
            <w:hideMark/>
          </w:tcPr>
          <w:p w14:paraId="7CDC16E2"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 xml:space="preserve">Number of Inductions held (% newly recruited staff participated) </w:t>
            </w:r>
          </w:p>
        </w:tc>
        <w:tc>
          <w:tcPr>
            <w:tcW w:w="2136" w:type="pct"/>
            <w:shd w:val="clear" w:color="auto" w:fill="FFFFFF" w:themeFill="background1"/>
          </w:tcPr>
          <w:p w14:paraId="2266CD9F" w14:textId="77777777" w:rsidR="00D2670C" w:rsidRPr="00917736" w:rsidRDefault="00D2670C" w:rsidP="00D32BE5">
            <w:pPr>
              <w:pStyle w:val="Tabletext"/>
              <w:rPr>
                <w:sz w:val="20"/>
                <w:lang w:val="en-US"/>
              </w:rPr>
            </w:pPr>
            <w:r w:rsidRPr="00917736">
              <w:rPr>
                <w:sz w:val="20"/>
                <w:lang w:val="en-US"/>
              </w:rPr>
              <w:t>In 202</w:t>
            </w:r>
            <w:r w:rsidRPr="00917736">
              <w:rPr>
                <w:sz w:val="20"/>
                <w:lang w:val="en-US" w:eastAsia="zh-CN"/>
              </w:rPr>
              <w:t>4/2025</w:t>
            </w:r>
            <w:r w:rsidRPr="00917736">
              <w:rPr>
                <w:sz w:val="20"/>
                <w:lang w:val="en-US"/>
              </w:rPr>
              <w:t xml:space="preserve">, </w:t>
            </w:r>
            <w:r w:rsidRPr="00917736">
              <w:rPr>
                <w:sz w:val="20"/>
                <w:lang w:val="en-US" w:eastAsia="zh-CN"/>
              </w:rPr>
              <w:t>two</w:t>
            </w:r>
            <w:r w:rsidRPr="00917736">
              <w:rPr>
                <w:sz w:val="20"/>
                <w:lang w:val="en-US"/>
              </w:rPr>
              <w:t xml:space="preserve"> induction sessions were delivered to a total of 83 newly recruited staff, consultants (</w:t>
            </w:r>
            <w:proofErr w:type="spellStart"/>
            <w:r w:rsidRPr="00917736">
              <w:rPr>
                <w:sz w:val="20"/>
                <w:lang w:val="en-US"/>
              </w:rPr>
              <w:t>SSAs</w:t>
            </w:r>
            <w:proofErr w:type="spellEnd"/>
            <w:r w:rsidRPr="00917736">
              <w:rPr>
                <w:sz w:val="20"/>
                <w:lang w:val="en-US"/>
              </w:rPr>
              <w:t>) and interns. Another session is scheduled for October 2025</w:t>
            </w:r>
            <w:r w:rsidRPr="00917736">
              <w:rPr>
                <w:rFonts w:hint="eastAsia"/>
                <w:sz w:val="20"/>
                <w:lang w:val="en-US" w:eastAsia="zh-CN"/>
              </w:rPr>
              <w:t>.</w:t>
            </w:r>
          </w:p>
        </w:tc>
      </w:tr>
      <w:tr w:rsidR="00D2670C" w:rsidRPr="00917736" w14:paraId="43E7277D" w14:textId="77777777" w:rsidTr="00917736">
        <w:trPr>
          <w:trHeight w:val="787"/>
          <w:jc w:val="center"/>
        </w:trPr>
        <w:tc>
          <w:tcPr>
            <w:tcW w:w="207" w:type="pct"/>
            <w:shd w:val="clear" w:color="auto" w:fill="FFFFFF" w:themeFill="background1"/>
          </w:tcPr>
          <w:p w14:paraId="3F88E96B" w14:textId="77777777" w:rsidR="00D2670C" w:rsidRPr="00917736" w:rsidRDefault="00D2670C" w:rsidP="00D32BE5">
            <w:pPr>
              <w:pStyle w:val="Tabletext"/>
              <w:jc w:val="center"/>
              <w:rPr>
                <w:sz w:val="20"/>
                <w:lang w:val="en-US"/>
              </w:rPr>
            </w:pPr>
            <w:r w:rsidRPr="00917736">
              <w:rPr>
                <w:rFonts w:hint="eastAsia"/>
                <w:sz w:val="20"/>
                <w:lang w:val="en-US" w:eastAsia="zh-CN"/>
              </w:rPr>
              <w:t>14</w:t>
            </w:r>
          </w:p>
        </w:tc>
        <w:tc>
          <w:tcPr>
            <w:tcW w:w="521" w:type="pct"/>
            <w:shd w:val="clear" w:color="auto" w:fill="FFFFFF" w:themeFill="background1"/>
          </w:tcPr>
          <w:p w14:paraId="026F7B47" w14:textId="77777777" w:rsidR="00D2670C" w:rsidRPr="00917736" w:rsidRDefault="00D2670C" w:rsidP="00D32BE5">
            <w:pPr>
              <w:pStyle w:val="Tabletext"/>
              <w:rPr>
                <w:sz w:val="20"/>
                <w:lang w:val="en-US" w:eastAsia="zh-CN"/>
              </w:rPr>
            </w:pPr>
            <w:r w:rsidRPr="00917736">
              <w:rPr>
                <w:sz w:val="20"/>
                <w:lang w:val="en-US" w:eastAsia="zh-CN"/>
              </w:rPr>
              <w:t>HR Policy</w:t>
            </w:r>
          </w:p>
        </w:tc>
        <w:tc>
          <w:tcPr>
            <w:tcW w:w="2136" w:type="pct"/>
            <w:shd w:val="clear" w:color="auto" w:fill="FFFFFF" w:themeFill="background1"/>
          </w:tcPr>
          <w:p w14:paraId="09D8F843"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Review and update the HR-Related Policies and Service Orders</w:t>
            </w:r>
          </w:p>
        </w:tc>
        <w:tc>
          <w:tcPr>
            <w:tcW w:w="2136" w:type="pct"/>
            <w:shd w:val="clear" w:color="auto" w:fill="FFFFFF" w:themeFill="background1"/>
          </w:tcPr>
          <w:p w14:paraId="63B8CEEC" w14:textId="77777777" w:rsidR="00D2670C" w:rsidRPr="00917736" w:rsidRDefault="00D2670C" w:rsidP="00D32BE5">
            <w:pPr>
              <w:pStyle w:val="Tabletext"/>
              <w:rPr>
                <w:sz w:val="20"/>
                <w:lang w:eastAsia="zh-CN"/>
              </w:rPr>
            </w:pPr>
            <w:r w:rsidRPr="00917736">
              <w:rPr>
                <w:sz w:val="20"/>
                <w:lang w:eastAsia="zh-CN"/>
              </w:rPr>
              <w:t>9 new or revised policies/Service Orders on HR matters were published (including on mandatory training, voluntary separation, salaries and classification of posts)</w:t>
            </w:r>
            <w:r w:rsidRPr="00917736">
              <w:rPr>
                <w:rFonts w:hint="eastAsia"/>
                <w:sz w:val="20"/>
                <w:lang w:eastAsia="zh-CN"/>
              </w:rPr>
              <w:t>.</w:t>
            </w:r>
          </w:p>
        </w:tc>
      </w:tr>
      <w:tr w:rsidR="00D2670C" w:rsidRPr="00917736" w14:paraId="03D2CE9A" w14:textId="77777777" w:rsidTr="00917736">
        <w:trPr>
          <w:trHeight w:val="700"/>
          <w:jc w:val="center"/>
        </w:trPr>
        <w:tc>
          <w:tcPr>
            <w:tcW w:w="207" w:type="pct"/>
            <w:shd w:val="clear" w:color="auto" w:fill="FFFFFF" w:themeFill="background1"/>
          </w:tcPr>
          <w:p w14:paraId="15E2C952" w14:textId="77777777" w:rsidR="00D2670C" w:rsidRPr="00917736" w:rsidRDefault="00D2670C" w:rsidP="00D32BE5">
            <w:pPr>
              <w:pStyle w:val="Tabletext"/>
              <w:jc w:val="center"/>
              <w:rPr>
                <w:sz w:val="20"/>
                <w:lang w:val="en-US" w:eastAsia="zh-CN"/>
              </w:rPr>
            </w:pPr>
            <w:r w:rsidRPr="00917736">
              <w:rPr>
                <w:rFonts w:hint="eastAsia"/>
                <w:sz w:val="20"/>
                <w:lang w:val="en-US" w:eastAsia="zh-CN"/>
              </w:rPr>
              <w:t>15</w:t>
            </w:r>
          </w:p>
        </w:tc>
        <w:tc>
          <w:tcPr>
            <w:tcW w:w="521" w:type="pct"/>
            <w:shd w:val="clear" w:color="auto" w:fill="FFFFFF" w:themeFill="background1"/>
          </w:tcPr>
          <w:p w14:paraId="3851F946" w14:textId="77777777" w:rsidR="00D2670C" w:rsidRPr="00917736" w:rsidRDefault="00D2670C" w:rsidP="00D32BE5">
            <w:pPr>
              <w:pStyle w:val="Tabletext"/>
              <w:rPr>
                <w:sz w:val="20"/>
                <w:lang w:val="en-US" w:eastAsia="zh-CN"/>
              </w:rPr>
            </w:pPr>
            <w:r w:rsidRPr="00917736">
              <w:rPr>
                <w:rFonts w:hint="eastAsia"/>
                <w:sz w:val="20"/>
                <w:lang w:val="en-US" w:eastAsia="zh-CN"/>
              </w:rPr>
              <w:t>HR Policy</w:t>
            </w:r>
          </w:p>
        </w:tc>
        <w:tc>
          <w:tcPr>
            <w:tcW w:w="2136" w:type="pct"/>
            <w:shd w:val="clear" w:color="auto" w:fill="FFFFFF" w:themeFill="background1"/>
          </w:tcPr>
          <w:p w14:paraId="3BD4CBE5"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Review and update the Staff Rules and Staff Regulations</w:t>
            </w:r>
          </w:p>
        </w:tc>
        <w:tc>
          <w:tcPr>
            <w:tcW w:w="2136" w:type="pct"/>
            <w:shd w:val="clear" w:color="auto" w:fill="FFFFFF" w:themeFill="background1"/>
          </w:tcPr>
          <w:p w14:paraId="6D9EE562" w14:textId="35A870B0" w:rsidR="00D2670C" w:rsidRPr="00917736" w:rsidRDefault="00D2670C" w:rsidP="00D32BE5">
            <w:pPr>
              <w:pStyle w:val="Tabletext"/>
              <w:rPr>
                <w:sz w:val="20"/>
                <w:lang w:eastAsia="zh-CN"/>
              </w:rPr>
            </w:pPr>
            <w:r w:rsidRPr="00917736">
              <w:rPr>
                <w:sz w:val="20"/>
                <w:lang w:eastAsia="zh-CN"/>
              </w:rPr>
              <w:t>2024</w:t>
            </w:r>
            <w:r w:rsidRPr="00917736">
              <w:rPr>
                <w:rFonts w:hint="eastAsia"/>
                <w:sz w:val="20"/>
                <w:lang w:eastAsia="zh-CN"/>
              </w:rPr>
              <w:t xml:space="preserve"> version </w:t>
            </w:r>
            <w:r w:rsidRPr="00917736">
              <w:rPr>
                <w:sz w:val="20"/>
                <w:lang w:eastAsia="zh-CN"/>
              </w:rPr>
              <w:t>published;</w:t>
            </w:r>
            <w:r w:rsidRPr="00917736">
              <w:rPr>
                <w:rFonts w:hint="eastAsia"/>
                <w:sz w:val="20"/>
                <w:lang w:eastAsia="zh-CN"/>
              </w:rPr>
              <w:t xml:space="preserve"> 2025 version underway</w:t>
            </w:r>
            <w:r w:rsidRPr="00917736">
              <w:rPr>
                <w:sz w:val="20"/>
                <w:lang w:eastAsia="zh-CN"/>
              </w:rPr>
              <w:t>; consultations on several amendments are in progress</w:t>
            </w:r>
            <w:r w:rsidRPr="00917736">
              <w:rPr>
                <w:rFonts w:hint="eastAsia"/>
                <w:sz w:val="20"/>
                <w:lang w:eastAsia="zh-CN"/>
              </w:rPr>
              <w:t>.</w:t>
            </w:r>
            <w:r w:rsidRPr="00917736">
              <w:rPr>
                <w:sz w:val="20"/>
                <w:lang w:eastAsia="zh-CN"/>
              </w:rPr>
              <w:t xml:space="preserve"> The rules for staff on temporary appointments are being comprehensively reviewed for issuance later in 2025.</w:t>
            </w:r>
          </w:p>
        </w:tc>
      </w:tr>
      <w:tr w:rsidR="00D2670C" w:rsidRPr="00917736" w14:paraId="259FD974" w14:textId="77777777" w:rsidTr="00917736">
        <w:trPr>
          <w:trHeight w:val="383"/>
          <w:jc w:val="center"/>
        </w:trPr>
        <w:tc>
          <w:tcPr>
            <w:tcW w:w="207" w:type="pct"/>
            <w:shd w:val="clear" w:color="auto" w:fill="FFFFFF" w:themeFill="background1"/>
          </w:tcPr>
          <w:p w14:paraId="494C8FEF" w14:textId="77777777" w:rsidR="00D2670C" w:rsidRPr="00917736" w:rsidRDefault="00D2670C" w:rsidP="00D32BE5">
            <w:pPr>
              <w:pStyle w:val="Tabletext"/>
              <w:jc w:val="center"/>
              <w:rPr>
                <w:sz w:val="20"/>
                <w:lang w:val="en-US" w:eastAsia="zh-CN"/>
              </w:rPr>
            </w:pPr>
            <w:r w:rsidRPr="00917736">
              <w:rPr>
                <w:rFonts w:hint="eastAsia"/>
                <w:sz w:val="20"/>
                <w:lang w:val="en-US" w:eastAsia="zh-CN"/>
              </w:rPr>
              <w:t>16</w:t>
            </w:r>
          </w:p>
        </w:tc>
        <w:tc>
          <w:tcPr>
            <w:tcW w:w="521" w:type="pct"/>
            <w:shd w:val="clear" w:color="auto" w:fill="FFFFFF" w:themeFill="background1"/>
          </w:tcPr>
          <w:p w14:paraId="193AA130" w14:textId="77777777" w:rsidR="00D2670C" w:rsidRPr="00917736" w:rsidRDefault="00D2670C" w:rsidP="00D32BE5">
            <w:pPr>
              <w:pStyle w:val="Tabletext"/>
              <w:rPr>
                <w:sz w:val="20"/>
                <w:lang w:val="en-US" w:eastAsia="zh-CN"/>
              </w:rPr>
            </w:pPr>
            <w:r w:rsidRPr="00917736">
              <w:rPr>
                <w:rFonts w:hint="eastAsia"/>
                <w:sz w:val="20"/>
                <w:lang w:val="en-US" w:eastAsia="zh-CN"/>
              </w:rPr>
              <w:t>HR Policy</w:t>
            </w:r>
          </w:p>
        </w:tc>
        <w:tc>
          <w:tcPr>
            <w:tcW w:w="2136" w:type="pct"/>
            <w:shd w:val="clear" w:color="auto" w:fill="FFFFFF" w:themeFill="background1"/>
          </w:tcPr>
          <w:p w14:paraId="79466E59" w14:textId="19F7DC4B"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rFonts w:hint="eastAsia"/>
                <w:sz w:val="20"/>
                <w:lang w:eastAsia="zh-CN"/>
              </w:rPr>
              <w:t>P</w:t>
            </w:r>
            <w:r w:rsidRPr="00917736">
              <w:rPr>
                <w:sz w:val="20"/>
              </w:rPr>
              <w:t>olicies under review</w:t>
            </w:r>
          </w:p>
        </w:tc>
        <w:tc>
          <w:tcPr>
            <w:tcW w:w="2136" w:type="pct"/>
            <w:shd w:val="clear" w:color="auto" w:fill="FFFFFF" w:themeFill="background1"/>
          </w:tcPr>
          <w:p w14:paraId="1E044A37" w14:textId="77777777" w:rsidR="00D2670C" w:rsidRPr="00917736" w:rsidRDefault="00D2670C" w:rsidP="00D32BE5">
            <w:pPr>
              <w:pStyle w:val="Tabletext"/>
              <w:rPr>
                <w:sz w:val="20"/>
                <w:lang w:eastAsia="zh-CN"/>
              </w:rPr>
            </w:pPr>
            <w:r w:rsidRPr="00917736">
              <w:rPr>
                <w:rFonts w:hint="eastAsia"/>
                <w:sz w:val="20"/>
                <w:lang w:eastAsia="zh-CN"/>
              </w:rPr>
              <w:t>Number of policies under review</w:t>
            </w:r>
            <w:r w:rsidRPr="00917736">
              <w:rPr>
                <w:sz w:val="20"/>
                <w:lang w:eastAsia="zh-CN"/>
              </w:rPr>
              <w:t xml:space="preserve"> (including on Working hours and flexible working arrangements and affiliate workforce (SSAs))</w:t>
            </w:r>
            <w:r w:rsidRPr="00917736">
              <w:rPr>
                <w:rFonts w:hint="eastAsia"/>
                <w:sz w:val="20"/>
                <w:lang w:eastAsia="zh-CN"/>
              </w:rPr>
              <w:t xml:space="preserve">: </w:t>
            </w:r>
            <w:r w:rsidRPr="00917736">
              <w:rPr>
                <w:sz w:val="20"/>
                <w:lang w:eastAsia="zh-CN"/>
              </w:rPr>
              <w:t>13</w:t>
            </w:r>
          </w:p>
        </w:tc>
      </w:tr>
      <w:tr w:rsidR="00D2670C" w:rsidRPr="00917736" w14:paraId="223F7402" w14:textId="77777777" w:rsidTr="00917736">
        <w:trPr>
          <w:trHeight w:val="20"/>
          <w:jc w:val="center"/>
        </w:trPr>
        <w:tc>
          <w:tcPr>
            <w:tcW w:w="207" w:type="pct"/>
            <w:shd w:val="clear" w:color="auto" w:fill="FFFFFF" w:themeFill="background1"/>
          </w:tcPr>
          <w:p w14:paraId="0065F6D5" w14:textId="77777777" w:rsidR="00D2670C" w:rsidRPr="00917736" w:rsidRDefault="00D2670C" w:rsidP="00D32BE5">
            <w:pPr>
              <w:pStyle w:val="Tabletext"/>
              <w:jc w:val="center"/>
              <w:rPr>
                <w:sz w:val="20"/>
                <w:lang w:val="en-US" w:eastAsia="zh-CN"/>
              </w:rPr>
            </w:pPr>
            <w:r w:rsidRPr="00917736">
              <w:rPr>
                <w:rFonts w:hint="eastAsia"/>
                <w:sz w:val="20"/>
                <w:lang w:val="en-US" w:eastAsia="zh-CN"/>
              </w:rPr>
              <w:t>17</w:t>
            </w:r>
          </w:p>
        </w:tc>
        <w:tc>
          <w:tcPr>
            <w:tcW w:w="521" w:type="pct"/>
            <w:shd w:val="clear" w:color="auto" w:fill="FFFFFF" w:themeFill="background1"/>
          </w:tcPr>
          <w:p w14:paraId="62BB0BFD" w14:textId="77777777" w:rsidR="00D2670C" w:rsidRPr="00917736" w:rsidRDefault="00D2670C" w:rsidP="00D32BE5">
            <w:pPr>
              <w:pStyle w:val="Tabletext"/>
              <w:rPr>
                <w:sz w:val="20"/>
                <w:lang w:val="en-US"/>
              </w:rPr>
            </w:pPr>
            <w:r w:rsidRPr="00917736">
              <w:rPr>
                <w:sz w:val="20"/>
              </w:rPr>
              <w:t>Data</w:t>
            </w:r>
            <w:r w:rsidRPr="00917736">
              <w:rPr>
                <w:sz w:val="20"/>
                <w:lang w:eastAsia="zh-CN"/>
              </w:rPr>
              <w:t xml:space="preserve"> and Reporting</w:t>
            </w:r>
          </w:p>
        </w:tc>
        <w:tc>
          <w:tcPr>
            <w:tcW w:w="2136" w:type="pct"/>
            <w:shd w:val="clear" w:color="auto" w:fill="FFFFFF" w:themeFill="background1"/>
          </w:tcPr>
          <w:p w14:paraId="3CC7D51C"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rFonts w:hint="eastAsia"/>
                <w:sz w:val="20"/>
                <w:lang w:eastAsia="zh-CN"/>
              </w:rPr>
              <w:t>Access to</w:t>
            </w:r>
            <w:r w:rsidRPr="00917736">
              <w:rPr>
                <w:sz w:val="20"/>
              </w:rPr>
              <w:t xml:space="preserve"> HR dashboard</w:t>
            </w:r>
          </w:p>
        </w:tc>
        <w:tc>
          <w:tcPr>
            <w:tcW w:w="2136" w:type="pct"/>
            <w:shd w:val="clear" w:color="auto" w:fill="FFFFFF" w:themeFill="background1"/>
          </w:tcPr>
          <w:p w14:paraId="5947601F" w14:textId="77777777" w:rsidR="00D2670C" w:rsidRPr="00917736" w:rsidRDefault="00D2670C" w:rsidP="00D32BE5">
            <w:pPr>
              <w:pStyle w:val="Tabletext"/>
              <w:rPr>
                <w:rFonts w:eastAsia="Malgun Gothic"/>
                <w:sz w:val="20"/>
                <w:lang w:eastAsia="ko-KR"/>
              </w:rPr>
            </w:pPr>
            <w:r w:rsidRPr="00917736">
              <w:rPr>
                <w:rFonts w:hint="eastAsia"/>
                <w:sz w:val="20"/>
                <w:lang w:eastAsia="zh-CN"/>
              </w:rPr>
              <w:t xml:space="preserve">All staff </w:t>
            </w:r>
            <w:r w:rsidRPr="00917736">
              <w:rPr>
                <w:sz w:val="20"/>
                <w:lang w:eastAsia="zh-CN"/>
              </w:rPr>
              <w:t>members</w:t>
            </w:r>
            <w:r w:rsidRPr="00917736">
              <w:rPr>
                <w:rFonts w:hint="eastAsia"/>
                <w:sz w:val="20"/>
                <w:lang w:eastAsia="zh-CN"/>
              </w:rPr>
              <w:t xml:space="preserve"> and member states have access to this dashboard.</w:t>
            </w:r>
          </w:p>
        </w:tc>
      </w:tr>
      <w:tr w:rsidR="00D2670C" w:rsidRPr="00917736" w14:paraId="40FD02F9" w14:textId="77777777" w:rsidTr="00917736">
        <w:trPr>
          <w:trHeight w:val="20"/>
          <w:jc w:val="center"/>
        </w:trPr>
        <w:tc>
          <w:tcPr>
            <w:tcW w:w="207" w:type="pct"/>
            <w:shd w:val="clear" w:color="auto" w:fill="FFFFFF" w:themeFill="background1"/>
          </w:tcPr>
          <w:p w14:paraId="77523608" w14:textId="77777777" w:rsidR="00D2670C" w:rsidRPr="00917736" w:rsidRDefault="00D2670C" w:rsidP="00D32BE5">
            <w:pPr>
              <w:pStyle w:val="Tabletext"/>
              <w:jc w:val="center"/>
              <w:rPr>
                <w:sz w:val="20"/>
                <w:lang w:val="en-US" w:eastAsia="zh-CN"/>
              </w:rPr>
            </w:pPr>
            <w:r w:rsidRPr="00917736">
              <w:rPr>
                <w:rFonts w:hint="eastAsia"/>
                <w:sz w:val="20"/>
                <w:lang w:val="en-US" w:eastAsia="zh-CN"/>
              </w:rPr>
              <w:t>18</w:t>
            </w:r>
          </w:p>
        </w:tc>
        <w:tc>
          <w:tcPr>
            <w:tcW w:w="521" w:type="pct"/>
            <w:shd w:val="clear" w:color="auto" w:fill="FFFFFF" w:themeFill="background1"/>
          </w:tcPr>
          <w:p w14:paraId="27EFD1C9" w14:textId="77777777" w:rsidR="00D2670C" w:rsidRPr="00917736" w:rsidRDefault="00D2670C" w:rsidP="00D32BE5">
            <w:pPr>
              <w:pStyle w:val="Tabletext"/>
              <w:rPr>
                <w:sz w:val="20"/>
                <w:lang w:val="en-US"/>
              </w:rPr>
            </w:pPr>
            <w:r w:rsidRPr="00917736">
              <w:rPr>
                <w:sz w:val="20"/>
              </w:rPr>
              <w:t>Data</w:t>
            </w:r>
            <w:r w:rsidRPr="00917736">
              <w:rPr>
                <w:sz w:val="20"/>
                <w:lang w:eastAsia="zh-CN"/>
              </w:rPr>
              <w:t xml:space="preserve"> and Reporting</w:t>
            </w:r>
          </w:p>
        </w:tc>
        <w:tc>
          <w:tcPr>
            <w:tcW w:w="2136" w:type="pct"/>
            <w:shd w:val="clear" w:color="auto" w:fill="FFFFFF" w:themeFill="background1"/>
          </w:tcPr>
          <w:p w14:paraId="364FCFAE" w14:textId="77777777" w:rsidR="00D2670C" w:rsidRPr="00917736" w:rsidRDefault="00D2670C" w:rsidP="00134045">
            <w:pPr>
              <w:pStyle w:val="Tabletext"/>
              <w:ind w:left="284" w:hanging="284"/>
              <w:rPr>
                <w:sz w:val="20"/>
              </w:rPr>
            </w:pPr>
            <w:r w:rsidRPr="00917736">
              <w:rPr>
                <w:rFonts w:ascii="Symbol" w:hAnsi="Symbol"/>
                <w:sz w:val="20"/>
              </w:rPr>
              <w:t></w:t>
            </w:r>
            <w:r w:rsidRPr="00917736">
              <w:rPr>
                <w:rFonts w:ascii="Symbol" w:hAnsi="Symbol"/>
                <w:sz w:val="20"/>
              </w:rPr>
              <w:tab/>
            </w:r>
            <w:r w:rsidRPr="00917736">
              <w:rPr>
                <w:sz w:val="20"/>
              </w:rPr>
              <w:t>% of data connections established between reporting tools and data sources</w:t>
            </w:r>
          </w:p>
        </w:tc>
        <w:tc>
          <w:tcPr>
            <w:tcW w:w="2136" w:type="pct"/>
            <w:shd w:val="clear" w:color="auto" w:fill="FFFFFF" w:themeFill="background1"/>
          </w:tcPr>
          <w:p w14:paraId="2EDF20E0" w14:textId="77777777" w:rsidR="00D2670C" w:rsidRPr="00917736" w:rsidRDefault="00D2670C" w:rsidP="00D32BE5">
            <w:pPr>
              <w:pStyle w:val="Tabletext"/>
              <w:rPr>
                <w:rFonts w:eastAsia="Malgun Gothic"/>
                <w:sz w:val="20"/>
                <w:lang w:eastAsia="ko-KR"/>
              </w:rPr>
            </w:pPr>
            <w:r w:rsidRPr="00917736">
              <w:rPr>
                <w:rFonts w:hint="eastAsia"/>
                <w:sz w:val="20"/>
                <w:lang w:eastAsia="zh-CN"/>
              </w:rPr>
              <w:t>D</w:t>
            </w:r>
            <w:r w:rsidRPr="00917736">
              <w:rPr>
                <w:sz w:val="20"/>
              </w:rPr>
              <w:t>ata connections established between reporting tools and data sources</w:t>
            </w:r>
            <w:r w:rsidRPr="00917736">
              <w:rPr>
                <w:rFonts w:hint="eastAsia"/>
                <w:sz w:val="20"/>
                <w:lang w:eastAsia="zh-CN"/>
              </w:rPr>
              <w:t xml:space="preserve">: </w:t>
            </w:r>
            <w:r w:rsidRPr="00917736">
              <w:rPr>
                <w:rFonts w:eastAsia="Malgun Gothic"/>
                <w:sz w:val="20"/>
                <w:lang w:eastAsia="ko-KR"/>
              </w:rPr>
              <w:t>100%</w:t>
            </w:r>
          </w:p>
        </w:tc>
      </w:tr>
      <w:tr w:rsidR="00D2670C" w:rsidRPr="00917736" w14:paraId="564CFB37" w14:textId="77777777" w:rsidTr="00917736">
        <w:trPr>
          <w:trHeight w:val="430"/>
          <w:jc w:val="center"/>
        </w:trPr>
        <w:tc>
          <w:tcPr>
            <w:tcW w:w="207" w:type="pct"/>
            <w:shd w:val="clear" w:color="auto" w:fill="FFFFFF" w:themeFill="background1"/>
          </w:tcPr>
          <w:p w14:paraId="4567DCE1" w14:textId="77777777" w:rsidR="00D2670C" w:rsidRPr="00917736" w:rsidRDefault="00D2670C" w:rsidP="00D32BE5">
            <w:pPr>
              <w:pStyle w:val="Tabletext"/>
              <w:jc w:val="center"/>
              <w:rPr>
                <w:sz w:val="20"/>
                <w:lang w:val="en-US" w:eastAsia="zh-CN"/>
              </w:rPr>
            </w:pPr>
            <w:r w:rsidRPr="00917736">
              <w:rPr>
                <w:rFonts w:hint="eastAsia"/>
                <w:sz w:val="20"/>
                <w:lang w:val="en-US"/>
              </w:rPr>
              <w:t>19</w:t>
            </w:r>
          </w:p>
        </w:tc>
        <w:tc>
          <w:tcPr>
            <w:tcW w:w="521" w:type="pct"/>
            <w:shd w:val="clear" w:color="auto" w:fill="FFFFFF" w:themeFill="background1"/>
          </w:tcPr>
          <w:p w14:paraId="3C917616" w14:textId="77777777" w:rsidR="00D2670C" w:rsidRPr="00917736" w:rsidRDefault="00D2670C" w:rsidP="00D32BE5">
            <w:pPr>
              <w:pStyle w:val="Tabletext"/>
              <w:rPr>
                <w:sz w:val="20"/>
                <w:lang w:val="en-US"/>
              </w:rPr>
            </w:pPr>
            <w:r w:rsidRPr="00917736">
              <w:rPr>
                <w:sz w:val="20"/>
              </w:rPr>
              <w:t>Data</w:t>
            </w:r>
            <w:r w:rsidRPr="00917736">
              <w:rPr>
                <w:sz w:val="20"/>
                <w:lang w:eastAsia="zh-CN"/>
              </w:rPr>
              <w:t xml:space="preserve"> and Reporting</w:t>
            </w:r>
          </w:p>
        </w:tc>
        <w:tc>
          <w:tcPr>
            <w:tcW w:w="2136" w:type="pct"/>
            <w:shd w:val="clear" w:color="auto" w:fill="FFFFFF" w:themeFill="background1"/>
          </w:tcPr>
          <w:p w14:paraId="336BF55F" w14:textId="77777777" w:rsidR="00D2670C" w:rsidRPr="00917736" w:rsidRDefault="00D2670C" w:rsidP="00D32BE5">
            <w:pPr>
              <w:pStyle w:val="Tabletext"/>
              <w:rPr>
                <w:sz w:val="20"/>
              </w:rPr>
            </w:pPr>
            <w:r w:rsidRPr="00917736">
              <w:rPr>
                <w:rFonts w:ascii="Symbol" w:hAnsi="Symbol"/>
                <w:sz w:val="20"/>
              </w:rPr>
              <w:t></w:t>
            </w:r>
            <w:r w:rsidRPr="00917736">
              <w:rPr>
                <w:rFonts w:ascii="Symbol" w:hAnsi="Symbol"/>
                <w:sz w:val="20"/>
              </w:rPr>
              <w:tab/>
            </w:r>
            <w:r w:rsidRPr="00917736">
              <w:rPr>
                <w:sz w:val="20"/>
                <w:lang w:eastAsia="zh-CN"/>
              </w:rPr>
              <w:t xml:space="preserve">Health insurance data </w:t>
            </w:r>
            <w:r w:rsidRPr="00917736">
              <w:rPr>
                <w:rFonts w:hint="eastAsia"/>
                <w:sz w:val="20"/>
                <w:lang w:eastAsia="zh-CN"/>
              </w:rPr>
              <w:t>update</w:t>
            </w:r>
          </w:p>
        </w:tc>
        <w:tc>
          <w:tcPr>
            <w:tcW w:w="2136" w:type="pct"/>
            <w:shd w:val="clear" w:color="auto" w:fill="FFFFFF" w:themeFill="background1"/>
          </w:tcPr>
          <w:p w14:paraId="4FB10D03" w14:textId="23C07D08" w:rsidR="00D2670C" w:rsidRPr="00917736" w:rsidRDefault="00D2670C" w:rsidP="00D32BE5">
            <w:pPr>
              <w:pStyle w:val="Tabletext"/>
              <w:rPr>
                <w:sz w:val="20"/>
                <w:lang w:eastAsia="zh-CN"/>
              </w:rPr>
            </w:pPr>
            <w:r w:rsidRPr="00917736">
              <w:rPr>
                <w:sz w:val="20"/>
                <w:lang w:eastAsia="zh-CN"/>
              </w:rPr>
              <w:t>3</w:t>
            </w:r>
            <w:r w:rsidR="008259C8">
              <w:rPr>
                <w:sz w:val="20"/>
                <w:lang w:eastAsia="zh-CN"/>
              </w:rPr>
              <w:t> </w:t>
            </w:r>
            <w:r w:rsidRPr="00917736">
              <w:rPr>
                <w:sz w:val="20"/>
                <w:lang w:eastAsia="zh-CN"/>
              </w:rPr>
              <w:t>000+ SAP health insurance records</w:t>
            </w:r>
            <w:r w:rsidRPr="00917736">
              <w:rPr>
                <w:rFonts w:hint="eastAsia"/>
                <w:sz w:val="20"/>
                <w:lang w:eastAsia="zh-CN"/>
              </w:rPr>
              <w:t xml:space="preserve"> reviewed and updated.</w:t>
            </w:r>
          </w:p>
        </w:tc>
      </w:tr>
      <w:tr w:rsidR="00D2670C" w:rsidRPr="00917736" w14:paraId="57ACBA97" w14:textId="77777777" w:rsidTr="00917736">
        <w:trPr>
          <w:trHeight w:val="20"/>
          <w:jc w:val="center"/>
        </w:trPr>
        <w:tc>
          <w:tcPr>
            <w:tcW w:w="207" w:type="pct"/>
            <w:shd w:val="clear" w:color="auto" w:fill="FFFFFF" w:themeFill="background1"/>
          </w:tcPr>
          <w:p w14:paraId="624E3FA0" w14:textId="77777777" w:rsidR="00D2670C" w:rsidRPr="00917736" w:rsidRDefault="00D2670C" w:rsidP="00D32BE5">
            <w:pPr>
              <w:pStyle w:val="Tabletext"/>
              <w:jc w:val="center"/>
              <w:rPr>
                <w:sz w:val="20"/>
                <w:lang w:val="en-US"/>
              </w:rPr>
            </w:pPr>
            <w:r w:rsidRPr="00917736">
              <w:rPr>
                <w:rFonts w:hint="eastAsia"/>
                <w:sz w:val="20"/>
                <w:lang w:val="en-US"/>
              </w:rPr>
              <w:lastRenderedPageBreak/>
              <w:t>20</w:t>
            </w:r>
          </w:p>
        </w:tc>
        <w:tc>
          <w:tcPr>
            <w:tcW w:w="521" w:type="pct"/>
            <w:shd w:val="clear" w:color="auto" w:fill="FFFFFF" w:themeFill="background1"/>
          </w:tcPr>
          <w:p w14:paraId="6EEBC460" w14:textId="77777777" w:rsidR="00D2670C" w:rsidRPr="00917736" w:rsidRDefault="00D2670C" w:rsidP="00D32BE5">
            <w:pPr>
              <w:pStyle w:val="Tabletext"/>
              <w:rPr>
                <w:bCs/>
                <w:sz w:val="20"/>
                <w:lang w:val="en-US"/>
              </w:rPr>
            </w:pPr>
            <w:r w:rsidRPr="00917736">
              <w:rPr>
                <w:bCs/>
                <w:sz w:val="20"/>
                <w:lang w:val="en-US"/>
              </w:rPr>
              <w:t>Engagement</w:t>
            </w:r>
            <w:r w:rsidRPr="00917736">
              <w:rPr>
                <w:bCs/>
                <w:sz w:val="20"/>
                <w:lang w:val="en-US" w:eastAsia="zh-CN"/>
              </w:rPr>
              <w:t xml:space="preserve"> and </w:t>
            </w:r>
            <w:r w:rsidRPr="00917736">
              <w:rPr>
                <w:bCs/>
                <w:sz w:val="20"/>
                <w:lang w:val="en-US"/>
              </w:rPr>
              <w:t>Culture</w:t>
            </w:r>
          </w:p>
        </w:tc>
        <w:tc>
          <w:tcPr>
            <w:tcW w:w="2136" w:type="pct"/>
            <w:shd w:val="clear" w:color="auto" w:fill="FFFFFF" w:themeFill="background1"/>
            <w:hideMark/>
          </w:tcPr>
          <w:p w14:paraId="65D97C40" w14:textId="77777777" w:rsidR="00D2670C" w:rsidRPr="00917736" w:rsidRDefault="00D2670C" w:rsidP="00D32BE5">
            <w:pPr>
              <w:pStyle w:val="Tabletext"/>
              <w:rPr>
                <w:sz w:val="20"/>
                <w:lang w:val="en-US"/>
              </w:rPr>
            </w:pPr>
            <w:r w:rsidRPr="00917736">
              <w:rPr>
                <w:rFonts w:ascii="Symbol" w:hAnsi="Symbol"/>
                <w:sz w:val="20"/>
                <w:lang w:val="en-US"/>
              </w:rPr>
              <w:t></w:t>
            </w:r>
            <w:r w:rsidRPr="00917736">
              <w:rPr>
                <w:rFonts w:ascii="Symbol" w:hAnsi="Symbol"/>
                <w:sz w:val="20"/>
                <w:lang w:val="en-US"/>
              </w:rPr>
              <w:tab/>
            </w:r>
            <w:r w:rsidRPr="00917736">
              <w:rPr>
                <w:sz w:val="20"/>
                <w:lang w:val="en-US"/>
              </w:rPr>
              <w:t>Regular yearly staff surveys</w:t>
            </w:r>
          </w:p>
        </w:tc>
        <w:tc>
          <w:tcPr>
            <w:tcW w:w="2136" w:type="pct"/>
            <w:shd w:val="clear" w:color="auto" w:fill="FFFFFF" w:themeFill="background1"/>
          </w:tcPr>
          <w:p w14:paraId="63809A4F" w14:textId="77777777" w:rsidR="00D2670C" w:rsidRPr="00917736" w:rsidRDefault="00D2670C" w:rsidP="00D32BE5">
            <w:pPr>
              <w:pStyle w:val="Tabletext"/>
              <w:rPr>
                <w:sz w:val="20"/>
                <w:lang w:eastAsia="zh-CN"/>
              </w:rPr>
            </w:pPr>
            <w:r w:rsidRPr="00917736">
              <w:rPr>
                <w:sz w:val="20"/>
                <w:lang w:eastAsia="zh-CN"/>
              </w:rPr>
              <w:t>Employee Engagement Survey participation rate: 72%</w:t>
            </w:r>
          </w:p>
        </w:tc>
      </w:tr>
      <w:tr w:rsidR="00D2670C" w:rsidRPr="00917736" w14:paraId="4EECCCEA" w14:textId="77777777" w:rsidTr="00917736">
        <w:trPr>
          <w:trHeight w:val="20"/>
          <w:jc w:val="center"/>
        </w:trPr>
        <w:tc>
          <w:tcPr>
            <w:tcW w:w="207" w:type="pct"/>
            <w:shd w:val="clear" w:color="auto" w:fill="FFFFFF" w:themeFill="background1"/>
          </w:tcPr>
          <w:p w14:paraId="187F104B" w14:textId="77777777" w:rsidR="00D2670C" w:rsidRPr="00917736" w:rsidRDefault="00D2670C" w:rsidP="00D32BE5">
            <w:pPr>
              <w:pStyle w:val="Tabletext"/>
              <w:jc w:val="center"/>
              <w:rPr>
                <w:sz w:val="20"/>
                <w:lang w:val="en-US"/>
              </w:rPr>
            </w:pPr>
            <w:r w:rsidRPr="00917736">
              <w:rPr>
                <w:rFonts w:hint="eastAsia"/>
                <w:sz w:val="20"/>
                <w:lang w:val="en-US"/>
              </w:rPr>
              <w:t>21</w:t>
            </w:r>
          </w:p>
        </w:tc>
        <w:tc>
          <w:tcPr>
            <w:tcW w:w="521" w:type="pct"/>
            <w:shd w:val="clear" w:color="auto" w:fill="FFFFFF" w:themeFill="background1"/>
          </w:tcPr>
          <w:p w14:paraId="5DA0D420" w14:textId="77777777" w:rsidR="00D2670C" w:rsidRPr="00917736" w:rsidRDefault="00D2670C" w:rsidP="00D32BE5">
            <w:pPr>
              <w:pStyle w:val="Tabletext"/>
              <w:rPr>
                <w:bCs/>
                <w:sz w:val="20"/>
                <w:lang w:val="en-US"/>
              </w:rPr>
            </w:pPr>
            <w:r w:rsidRPr="00917736">
              <w:rPr>
                <w:bCs/>
                <w:sz w:val="20"/>
                <w:lang w:val="en-US"/>
              </w:rPr>
              <w:t>Engagement</w:t>
            </w:r>
            <w:r w:rsidRPr="00917736">
              <w:rPr>
                <w:bCs/>
                <w:sz w:val="20"/>
                <w:lang w:val="en-US" w:eastAsia="zh-CN"/>
              </w:rPr>
              <w:t xml:space="preserve"> and </w:t>
            </w:r>
            <w:r w:rsidRPr="00917736">
              <w:rPr>
                <w:bCs/>
                <w:sz w:val="20"/>
                <w:lang w:val="en-US"/>
              </w:rPr>
              <w:t>Culture</w:t>
            </w:r>
          </w:p>
        </w:tc>
        <w:tc>
          <w:tcPr>
            <w:tcW w:w="2136" w:type="pct"/>
            <w:shd w:val="clear" w:color="auto" w:fill="FFFFFF" w:themeFill="background1"/>
          </w:tcPr>
          <w:p w14:paraId="7DF6C961" w14:textId="77777777" w:rsidR="00D2670C" w:rsidRPr="00917736" w:rsidRDefault="00D2670C" w:rsidP="00D32BE5">
            <w:pPr>
              <w:pStyle w:val="Tabletext"/>
              <w:rPr>
                <w:sz w:val="20"/>
                <w:lang w:val="en-US" w:eastAsia="zh-CN"/>
              </w:rPr>
            </w:pPr>
            <w:r w:rsidRPr="00917736">
              <w:rPr>
                <w:rFonts w:ascii="Symbol" w:hAnsi="Symbol"/>
                <w:sz w:val="20"/>
                <w:lang w:val="en-US" w:eastAsia="zh-CN"/>
              </w:rPr>
              <w:t></w:t>
            </w:r>
            <w:r w:rsidRPr="00917736">
              <w:rPr>
                <w:rFonts w:ascii="Symbol" w:hAnsi="Symbol"/>
                <w:sz w:val="20"/>
                <w:lang w:val="en-US" w:eastAsia="zh-CN"/>
              </w:rPr>
              <w:tab/>
            </w:r>
            <w:r w:rsidRPr="00917736">
              <w:rPr>
                <w:sz w:val="20"/>
                <w:lang w:val="en-US"/>
              </w:rPr>
              <w:t>M</w:t>
            </w:r>
            <w:r w:rsidRPr="00917736">
              <w:rPr>
                <w:rFonts w:hint="eastAsia"/>
                <w:sz w:val="20"/>
                <w:lang w:val="en-US"/>
              </w:rPr>
              <w:t>ental health and wellbeing</w:t>
            </w:r>
            <w:r w:rsidRPr="00917736">
              <w:rPr>
                <w:rFonts w:hint="eastAsia"/>
                <w:sz w:val="20"/>
                <w:lang w:val="en-US" w:eastAsia="zh-CN"/>
              </w:rPr>
              <w:t xml:space="preserve"> initiatives</w:t>
            </w:r>
          </w:p>
        </w:tc>
        <w:tc>
          <w:tcPr>
            <w:tcW w:w="2136" w:type="pct"/>
            <w:shd w:val="clear" w:color="auto" w:fill="FFFFFF" w:themeFill="background1"/>
          </w:tcPr>
          <w:p w14:paraId="7F9894CE" w14:textId="77777777" w:rsidR="00D2670C" w:rsidRPr="00917736" w:rsidRDefault="00D2670C" w:rsidP="00D32BE5">
            <w:pPr>
              <w:pStyle w:val="Tabletext"/>
              <w:rPr>
                <w:sz w:val="20"/>
                <w:lang w:eastAsia="zh-CN"/>
              </w:rPr>
            </w:pPr>
            <w:r w:rsidRPr="00917736">
              <w:rPr>
                <w:sz w:val="20"/>
                <w:lang w:eastAsia="zh-CN"/>
              </w:rPr>
              <w:t>Mindfulness and wellbeing sessions for HQ and field staff, including stress management and online resources (e.g., Wellbeing Playlist)</w:t>
            </w:r>
            <w:r w:rsidRPr="00917736">
              <w:rPr>
                <w:rFonts w:hint="eastAsia"/>
                <w:sz w:val="20"/>
                <w:lang w:eastAsia="zh-CN"/>
              </w:rPr>
              <w:t>.</w:t>
            </w:r>
          </w:p>
          <w:p w14:paraId="1B91ABBC" w14:textId="77777777" w:rsidR="00D2670C" w:rsidRPr="00917736" w:rsidRDefault="00D2670C" w:rsidP="00D32BE5">
            <w:pPr>
              <w:pStyle w:val="Tabletext"/>
              <w:rPr>
                <w:sz w:val="20"/>
                <w:lang w:eastAsia="zh-CN"/>
              </w:rPr>
            </w:pPr>
            <w:r w:rsidRPr="00917736">
              <w:rPr>
                <w:sz w:val="20"/>
                <w:lang w:eastAsia="zh-CN"/>
              </w:rPr>
              <w:t>Confidential counselling access, with 390 individual sessions in 2024–2025 and improved referral pathways</w:t>
            </w:r>
            <w:r w:rsidRPr="00917736">
              <w:rPr>
                <w:rFonts w:hint="eastAsia"/>
                <w:sz w:val="20"/>
                <w:lang w:eastAsia="zh-CN"/>
              </w:rPr>
              <w:t>.</w:t>
            </w:r>
          </w:p>
          <w:p w14:paraId="3E75F961" w14:textId="77777777" w:rsidR="00D2670C" w:rsidRPr="00917736" w:rsidRDefault="00D2670C" w:rsidP="00D32BE5">
            <w:pPr>
              <w:pStyle w:val="Tabletext"/>
              <w:rPr>
                <w:sz w:val="20"/>
                <w:lang w:eastAsia="zh-CN"/>
              </w:rPr>
            </w:pPr>
            <w:r w:rsidRPr="00917736">
              <w:rPr>
                <w:rFonts w:hint="eastAsia"/>
                <w:sz w:val="20"/>
                <w:lang w:eastAsia="zh-CN"/>
              </w:rPr>
              <w:t xml:space="preserve">Sessions </w:t>
            </w:r>
            <w:r w:rsidRPr="00917736">
              <w:rPr>
                <w:sz w:val="20"/>
                <w:lang w:eastAsia="zh-CN"/>
              </w:rPr>
              <w:t>on microaggressions, unconscious bias, and inclusive leadership</w:t>
            </w:r>
            <w:r w:rsidRPr="00917736">
              <w:rPr>
                <w:rFonts w:hint="eastAsia"/>
                <w:sz w:val="20"/>
                <w:lang w:eastAsia="zh-CN"/>
              </w:rPr>
              <w:t>.</w:t>
            </w:r>
          </w:p>
        </w:tc>
      </w:tr>
    </w:tbl>
    <w:p w14:paraId="6D7DFC34" w14:textId="77777777" w:rsidR="00D2670C" w:rsidRDefault="00D2670C" w:rsidP="006D0706">
      <w:pPr>
        <w:pStyle w:val="Tablefin"/>
      </w:pPr>
    </w:p>
    <w:p w14:paraId="2F19B8EE" w14:textId="1ABEE3DF" w:rsidR="007A3FCD" w:rsidRPr="00C0458D" w:rsidRDefault="007A3FCD" w:rsidP="008259C8">
      <w:pPr>
        <w:spacing w:before="600"/>
        <w:jc w:val="center"/>
      </w:pPr>
      <w:r>
        <w:t>______________</w:t>
      </w:r>
    </w:p>
    <w:sectPr w:rsidR="007A3FCD" w:rsidRPr="00C0458D" w:rsidSect="00D2670C">
      <w:headerReference w:type="default" r:id="rId20"/>
      <w:footerReference w:type="default" r:id="rId21"/>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1450" w14:textId="77777777" w:rsidR="007E1E44" w:rsidRDefault="007E1E44">
      <w:r>
        <w:separator/>
      </w:r>
    </w:p>
  </w:endnote>
  <w:endnote w:type="continuationSeparator" w:id="0">
    <w:p w14:paraId="0AC8822F" w14:textId="77777777" w:rsidR="007E1E44" w:rsidRDefault="007E1E44">
      <w:r>
        <w:continuationSeparator/>
      </w:r>
    </w:p>
  </w:endnote>
  <w:endnote w:type="continuationNotice" w:id="1">
    <w:p w14:paraId="5D404703" w14:textId="77777777" w:rsidR="007E1E44" w:rsidRDefault="007E1E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charset w:val="00"/>
    <w:family w:val="swiss"/>
    <w:notTrueType/>
    <w:pitch w:val="variable"/>
    <w:sig w:usb0="A00002EF"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171D2BDC" w14:textId="77777777" w:rsidTr="007F1442">
      <w:trPr>
        <w:jc w:val="center"/>
      </w:trPr>
      <w:tc>
        <w:tcPr>
          <w:tcW w:w="1803" w:type="dxa"/>
          <w:vAlign w:val="center"/>
        </w:tcPr>
        <w:p w14:paraId="31D1335F" w14:textId="77777777" w:rsidR="00EE49E8" w:rsidRDefault="00C6520B" w:rsidP="00EE49E8">
          <w:pPr>
            <w:pStyle w:val="Header"/>
            <w:jc w:val="left"/>
            <w:rPr>
              <w:noProof/>
            </w:rPr>
          </w:pPr>
          <w:r>
            <w:rPr>
              <w:noProof/>
            </w:rPr>
            <w:t>gDoc #</w:t>
          </w:r>
        </w:p>
      </w:tc>
      <w:tc>
        <w:tcPr>
          <w:tcW w:w="8261" w:type="dxa"/>
        </w:tcPr>
        <w:p w14:paraId="41ACA405" w14:textId="33FB7D2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D2670C">
            <w:rPr>
              <w:bCs/>
            </w:rPr>
            <w:t>66</w:t>
          </w:r>
          <w:r w:rsidRPr="00623AE3">
            <w:rPr>
              <w:bCs/>
            </w:rPr>
            <w:t>-E</w:t>
          </w:r>
          <w:r>
            <w:rPr>
              <w:bCs/>
            </w:rPr>
            <w:tab/>
          </w:r>
          <w:r>
            <w:fldChar w:fldCharType="begin"/>
          </w:r>
          <w:r>
            <w:instrText>PAGE</w:instrText>
          </w:r>
          <w:r>
            <w:fldChar w:fldCharType="separate"/>
          </w:r>
          <w:r>
            <w:t>1</w:t>
          </w:r>
          <w:r>
            <w:rPr>
              <w:noProof/>
            </w:rPr>
            <w:fldChar w:fldCharType="end"/>
          </w:r>
        </w:p>
      </w:tc>
    </w:tr>
  </w:tbl>
  <w:p w14:paraId="55285A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AF066C8" w14:textId="77777777" w:rsidTr="006B77F1">
      <w:trPr>
        <w:jc w:val="center"/>
      </w:trPr>
      <w:tc>
        <w:tcPr>
          <w:tcW w:w="1803" w:type="dxa"/>
          <w:vAlign w:val="center"/>
        </w:tcPr>
        <w:p w14:paraId="10E40478"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168C2EE9" w14:textId="563B07F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6D0706">
            <w:rPr>
              <w:bCs/>
            </w:rPr>
            <w:t>66</w:t>
          </w:r>
          <w:r w:rsidRPr="00623AE3">
            <w:rPr>
              <w:bCs/>
            </w:rPr>
            <w:t>-E</w:t>
          </w:r>
          <w:r>
            <w:rPr>
              <w:bCs/>
            </w:rPr>
            <w:tab/>
          </w:r>
          <w:r>
            <w:fldChar w:fldCharType="begin"/>
          </w:r>
          <w:r>
            <w:instrText>PAGE</w:instrText>
          </w:r>
          <w:r>
            <w:fldChar w:fldCharType="separate"/>
          </w:r>
          <w:r>
            <w:t>1</w:t>
          </w:r>
          <w:r>
            <w:rPr>
              <w:noProof/>
            </w:rPr>
            <w:fldChar w:fldCharType="end"/>
          </w:r>
        </w:p>
      </w:tc>
    </w:tr>
  </w:tbl>
  <w:p w14:paraId="13A3BABC"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2670C" w:rsidRPr="00784011" w14:paraId="18063508" w14:textId="77777777" w:rsidTr="007F1442">
      <w:trPr>
        <w:jc w:val="center"/>
      </w:trPr>
      <w:tc>
        <w:tcPr>
          <w:tcW w:w="1803" w:type="dxa"/>
          <w:vAlign w:val="center"/>
        </w:tcPr>
        <w:p w14:paraId="00E47D06" w14:textId="77777777" w:rsidR="00D2670C" w:rsidRDefault="00D2670C" w:rsidP="00EE49E8">
          <w:pPr>
            <w:pStyle w:val="Header"/>
            <w:jc w:val="left"/>
            <w:rPr>
              <w:noProof/>
            </w:rPr>
          </w:pPr>
          <w:r>
            <w:rPr>
              <w:noProof/>
            </w:rPr>
            <w:t>gDoc #</w:t>
          </w:r>
        </w:p>
      </w:tc>
      <w:tc>
        <w:tcPr>
          <w:tcW w:w="8261" w:type="dxa"/>
        </w:tcPr>
        <w:p w14:paraId="589CF23F" w14:textId="22A9C231" w:rsidR="00D2670C" w:rsidRPr="00E06FD5" w:rsidRDefault="00D2670C"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66</w:t>
          </w:r>
          <w:r w:rsidRPr="00623AE3">
            <w:rPr>
              <w:bCs/>
            </w:rPr>
            <w:t>-E</w:t>
          </w:r>
          <w:r>
            <w:rPr>
              <w:bCs/>
            </w:rPr>
            <w:tab/>
          </w:r>
          <w:r>
            <w:fldChar w:fldCharType="begin"/>
          </w:r>
          <w:r>
            <w:instrText>PAGE</w:instrText>
          </w:r>
          <w:r>
            <w:fldChar w:fldCharType="separate"/>
          </w:r>
          <w:r>
            <w:t>1</w:t>
          </w:r>
          <w:r>
            <w:rPr>
              <w:noProof/>
            </w:rPr>
            <w:fldChar w:fldCharType="end"/>
          </w:r>
        </w:p>
      </w:tc>
    </w:tr>
  </w:tbl>
  <w:p w14:paraId="412D2030" w14:textId="77777777" w:rsidR="00D2670C" w:rsidRPr="00DB1936" w:rsidRDefault="00D2670C" w:rsidP="00EE49E8">
    <w:pPr>
      <w:pStyle w:val="Header"/>
      <w:tabs>
        <w:tab w:val="left" w:pos="8080"/>
        <w:tab w:val="right" w:pos="9072"/>
      </w:tabs>
      <w:jc w:val="lef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2F2C" w14:textId="77777777" w:rsidR="007E1E44" w:rsidRDefault="007E1E44">
      <w:r>
        <w:t>____________________</w:t>
      </w:r>
    </w:p>
  </w:footnote>
  <w:footnote w:type="continuationSeparator" w:id="0">
    <w:p w14:paraId="59EC90ED" w14:textId="77777777" w:rsidR="007E1E44" w:rsidRDefault="007E1E44">
      <w:r>
        <w:continuationSeparator/>
      </w:r>
    </w:p>
  </w:footnote>
  <w:footnote w:type="continuationNotice" w:id="1">
    <w:p w14:paraId="59E5AA23" w14:textId="77777777" w:rsidR="007E1E44" w:rsidRDefault="007E1E4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72F38E08" w14:textId="77777777" w:rsidTr="007F1442">
      <w:trPr>
        <w:trHeight w:val="1104"/>
        <w:jc w:val="center"/>
      </w:trPr>
      <w:tc>
        <w:tcPr>
          <w:tcW w:w="4390" w:type="dxa"/>
          <w:vAlign w:val="center"/>
        </w:tcPr>
        <w:p w14:paraId="47BADB04" w14:textId="77777777" w:rsidR="00AD3606" w:rsidRPr="009621F8" w:rsidRDefault="003936D3" w:rsidP="00CF4A2B">
          <w:pPr>
            <w:pStyle w:val="Header"/>
            <w:jc w:val="left"/>
            <w:rPr>
              <w:rFonts w:ascii="Arial" w:hAnsi="Arial" w:cs="Arial"/>
              <w:b/>
              <w:bCs/>
              <w:color w:val="009CD6"/>
              <w:sz w:val="36"/>
              <w:szCs w:val="36"/>
            </w:rPr>
          </w:pPr>
          <w:bookmarkStart w:id="15" w:name="_Hlk133422111"/>
          <w:r>
            <w:rPr>
              <w:rFonts w:ascii="Arial" w:hAnsi="Arial" w:cs="Arial"/>
              <w:b/>
              <w:bCs/>
              <w:noProof/>
              <w:color w:val="009CD6"/>
              <w:sz w:val="36"/>
              <w:szCs w:val="36"/>
            </w:rPr>
            <w:drawing>
              <wp:inline distT="0" distB="0" distL="0" distR="0" wp14:anchorId="3E32EFE3" wp14:editId="4329AD68">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6670FBFF" w14:textId="77777777" w:rsidR="00AD3606" w:rsidRDefault="00AD3606" w:rsidP="00AD3606">
          <w:pPr>
            <w:pStyle w:val="Header"/>
            <w:jc w:val="right"/>
            <w:rPr>
              <w:rFonts w:ascii="Arial" w:hAnsi="Arial" w:cs="Arial"/>
              <w:b/>
              <w:bCs/>
              <w:color w:val="009CD6"/>
              <w:szCs w:val="18"/>
            </w:rPr>
          </w:pPr>
        </w:p>
        <w:p w14:paraId="178053C9" w14:textId="77777777" w:rsidR="00AD3606" w:rsidRDefault="00AD3606" w:rsidP="00AD3606">
          <w:pPr>
            <w:pStyle w:val="Header"/>
            <w:jc w:val="right"/>
            <w:rPr>
              <w:rFonts w:ascii="Arial" w:hAnsi="Arial" w:cs="Arial"/>
              <w:b/>
              <w:bCs/>
              <w:color w:val="009CD6"/>
              <w:szCs w:val="18"/>
            </w:rPr>
          </w:pPr>
        </w:p>
        <w:p w14:paraId="311AF9F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049CAFF0"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30EE55BC" wp14:editId="425BD6CD">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5192A"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EB31" w14:textId="77777777" w:rsidR="00D2670C" w:rsidRDefault="00D26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10"/>
    <w:rsid w:val="000035A6"/>
    <w:rsid w:val="000143BF"/>
    <w:rsid w:val="000175FA"/>
    <w:rsid w:val="000210D4"/>
    <w:rsid w:val="00053504"/>
    <w:rsid w:val="0006007D"/>
    <w:rsid w:val="00063016"/>
    <w:rsid w:val="0006652E"/>
    <w:rsid w:val="00066795"/>
    <w:rsid w:val="00066A95"/>
    <w:rsid w:val="00067250"/>
    <w:rsid w:val="00067759"/>
    <w:rsid w:val="00076AF6"/>
    <w:rsid w:val="00083DFE"/>
    <w:rsid w:val="00085CF2"/>
    <w:rsid w:val="000A6CD2"/>
    <w:rsid w:val="000B1705"/>
    <w:rsid w:val="000B3462"/>
    <w:rsid w:val="000B4FBF"/>
    <w:rsid w:val="000D66AF"/>
    <w:rsid w:val="000D75B2"/>
    <w:rsid w:val="000E06A3"/>
    <w:rsid w:val="000F5DDB"/>
    <w:rsid w:val="00107992"/>
    <w:rsid w:val="001121F5"/>
    <w:rsid w:val="00134045"/>
    <w:rsid w:val="001400DC"/>
    <w:rsid w:val="00140CE1"/>
    <w:rsid w:val="00150415"/>
    <w:rsid w:val="00154634"/>
    <w:rsid w:val="00173B0D"/>
    <w:rsid w:val="0017539C"/>
    <w:rsid w:val="00175AC2"/>
    <w:rsid w:val="0017609F"/>
    <w:rsid w:val="00176F47"/>
    <w:rsid w:val="00186E52"/>
    <w:rsid w:val="00192742"/>
    <w:rsid w:val="001A3154"/>
    <w:rsid w:val="001A45B5"/>
    <w:rsid w:val="001A7D1D"/>
    <w:rsid w:val="001B176F"/>
    <w:rsid w:val="001B51DD"/>
    <w:rsid w:val="001B6614"/>
    <w:rsid w:val="001C4E57"/>
    <w:rsid w:val="001C628E"/>
    <w:rsid w:val="001E0F7B"/>
    <w:rsid w:val="001F5569"/>
    <w:rsid w:val="001F61D1"/>
    <w:rsid w:val="00203B4E"/>
    <w:rsid w:val="00206058"/>
    <w:rsid w:val="002119FD"/>
    <w:rsid w:val="002130E0"/>
    <w:rsid w:val="00221887"/>
    <w:rsid w:val="00221F46"/>
    <w:rsid w:val="002429F0"/>
    <w:rsid w:val="0025385D"/>
    <w:rsid w:val="00264425"/>
    <w:rsid w:val="00265875"/>
    <w:rsid w:val="0027303B"/>
    <w:rsid w:val="0027385A"/>
    <w:rsid w:val="0028109B"/>
    <w:rsid w:val="00286AC4"/>
    <w:rsid w:val="002A1C29"/>
    <w:rsid w:val="002A2188"/>
    <w:rsid w:val="002A2F9E"/>
    <w:rsid w:val="002A3E1A"/>
    <w:rsid w:val="002A56A4"/>
    <w:rsid w:val="002B1F58"/>
    <w:rsid w:val="002B24FC"/>
    <w:rsid w:val="002C1C7A"/>
    <w:rsid w:val="002C3F32"/>
    <w:rsid w:val="002C54E2"/>
    <w:rsid w:val="002F2FA5"/>
    <w:rsid w:val="0030160F"/>
    <w:rsid w:val="00306237"/>
    <w:rsid w:val="00320223"/>
    <w:rsid w:val="00322D0D"/>
    <w:rsid w:val="00340042"/>
    <w:rsid w:val="00344130"/>
    <w:rsid w:val="00354B72"/>
    <w:rsid w:val="00361465"/>
    <w:rsid w:val="0038543D"/>
    <w:rsid w:val="0038556B"/>
    <w:rsid w:val="00385FD6"/>
    <w:rsid w:val="003877F5"/>
    <w:rsid w:val="003936D3"/>
    <w:rsid w:val="003942D4"/>
    <w:rsid w:val="003958A8"/>
    <w:rsid w:val="003A569F"/>
    <w:rsid w:val="003A7424"/>
    <w:rsid w:val="003B29C2"/>
    <w:rsid w:val="003B4FAF"/>
    <w:rsid w:val="003C2533"/>
    <w:rsid w:val="003D5A7F"/>
    <w:rsid w:val="003E47FA"/>
    <w:rsid w:val="003F05B3"/>
    <w:rsid w:val="003F47D2"/>
    <w:rsid w:val="003F6538"/>
    <w:rsid w:val="003FC33B"/>
    <w:rsid w:val="00400B10"/>
    <w:rsid w:val="0040435A"/>
    <w:rsid w:val="00416A24"/>
    <w:rsid w:val="004278B5"/>
    <w:rsid w:val="00431D9E"/>
    <w:rsid w:val="00433CE8"/>
    <w:rsid w:val="00434A5C"/>
    <w:rsid w:val="00446432"/>
    <w:rsid w:val="00453079"/>
    <w:rsid w:val="004544D9"/>
    <w:rsid w:val="00461793"/>
    <w:rsid w:val="00472BAD"/>
    <w:rsid w:val="00476EC8"/>
    <w:rsid w:val="00482DE9"/>
    <w:rsid w:val="00484009"/>
    <w:rsid w:val="00490E72"/>
    <w:rsid w:val="00491157"/>
    <w:rsid w:val="00491BA9"/>
    <w:rsid w:val="004921C8"/>
    <w:rsid w:val="00495B0B"/>
    <w:rsid w:val="00497C24"/>
    <w:rsid w:val="004A1B8B"/>
    <w:rsid w:val="004B669E"/>
    <w:rsid w:val="004C7DD5"/>
    <w:rsid w:val="004D1851"/>
    <w:rsid w:val="004D599D"/>
    <w:rsid w:val="004E2EA5"/>
    <w:rsid w:val="004E3AEB"/>
    <w:rsid w:val="004E5838"/>
    <w:rsid w:val="0050223C"/>
    <w:rsid w:val="005037B7"/>
    <w:rsid w:val="005243FF"/>
    <w:rsid w:val="00564FBC"/>
    <w:rsid w:val="005800BC"/>
    <w:rsid w:val="00582442"/>
    <w:rsid w:val="00597CEA"/>
    <w:rsid w:val="005F3269"/>
    <w:rsid w:val="005F6E2D"/>
    <w:rsid w:val="00603141"/>
    <w:rsid w:val="006108F2"/>
    <w:rsid w:val="00623AE3"/>
    <w:rsid w:val="00633AFF"/>
    <w:rsid w:val="0064737F"/>
    <w:rsid w:val="006474DD"/>
    <w:rsid w:val="00651AB8"/>
    <w:rsid w:val="006535F1"/>
    <w:rsid w:val="0065557D"/>
    <w:rsid w:val="00660D50"/>
    <w:rsid w:val="00662984"/>
    <w:rsid w:val="006716BB"/>
    <w:rsid w:val="00684E24"/>
    <w:rsid w:val="0069163F"/>
    <w:rsid w:val="006B1859"/>
    <w:rsid w:val="006B5889"/>
    <w:rsid w:val="006B6680"/>
    <w:rsid w:val="006B6DCC"/>
    <w:rsid w:val="006B77F1"/>
    <w:rsid w:val="006C519C"/>
    <w:rsid w:val="006C6FCE"/>
    <w:rsid w:val="006D0706"/>
    <w:rsid w:val="006D47B9"/>
    <w:rsid w:val="006E1FAB"/>
    <w:rsid w:val="006F3030"/>
    <w:rsid w:val="00700D21"/>
    <w:rsid w:val="00702DEF"/>
    <w:rsid w:val="00706861"/>
    <w:rsid w:val="00722551"/>
    <w:rsid w:val="0075051B"/>
    <w:rsid w:val="00767DED"/>
    <w:rsid w:val="0077110E"/>
    <w:rsid w:val="00793188"/>
    <w:rsid w:val="00794D34"/>
    <w:rsid w:val="00797B46"/>
    <w:rsid w:val="007A210B"/>
    <w:rsid w:val="007A3FCD"/>
    <w:rsid w:val="007B005F"/>
    <w:rsid w:val="007B19CF"/>
    <w:rsid w:val="007B22AA"/>
    <w:rsid w:val="007B622C"/>
    <w:rsid w:val="007D01AF"/>
    <w:rsid w:val="007D23F5"/>
    <w:rsid w:val="007D49F4"/>
    <w:rsid w:val="007E1E44"/>
    <w:rsid w:val="007F1442"/>
    <w:rsid w:val="00806755"/>
    <w:rsid w:val="00813E5E"/>
    <w:rsid w:val="008259C8"/>
    <w:rsid w:val="0083581B"/>
    <w:rsid w:val="00863874"/>
    <w:rsid w:val="00864AFF"/>
    <w:rsid w:val="00865925"/>
    <w:rsid w:val="00885ADE"/>
    <w:rsid w:val="008A2B00"/>
    <w:rsid w:val="008B4A6A"/>
    <w:rsid w:val="008B4F5D"/>
    <w:rsid w:val="008B5208"/>
    <w:rsid w:val="008C7E27"/>
    <w:rsid w:val="008D064D"/>
    <w:rsid w:val="008F0234"/>
    <w:rsid w:val="008F4503"/>
    <w:rsid w:val="008F64CE"/>
    <w:rsid w:val="008F7448"/>
    <w:rsid w:val="0090147A"/>
    <w:rsid w:val="00916080"/>
    <w:rsid w:val="009173EF"/>
    <w:rsid w:val="00917736"/>
    <w:rsid w:val="00923B2D"/>
    <w:rsid w:val="00932906"/>
    <w:rsid w:val="00961B0B"/>
    <w:rsid w:val="00962D33"/>
    <w:rsid w:val="009646AD"/>
    <w:rsid w:val="00973AAE"/>
    <w:rsid w:val="009817BA"/>
    <w:rsid w:val="00992E90"/>
    <w:rsid w:val="0099753F"/>
    <w:rsid w:val="009B38C3"/>
    <w:rsid w:val="009B7CFC"/>
    <w:rsid w:val="009C1B30"/>
    <w:rsid w:val="009D39E4"/>
    <w:rsid w:val="009E06E2"/>
    <w:rsid w:val="009E17BD"/>
    <w:rsid w:val="009E485A"/>
    <w:rsid w:val="009F52BA"/>
    <w:rsid w:val="00A02DF3"/>
    <w:rsid w:val="00A04CEC"/>
    <w:rsid w:val="00A21C92"/>
    <w:rsid w:val="00A27F92"/>
    <w:rsid w:val="00A32257"/>
    <w:rsid w:val="00A36D20"/>
    <w:rsid w:val="00A50802"/>
    <w:rsid w:val="00A514A4"/>
    <w:rsid w:val="00A55622"/>
    <w:rsid w:val="00A71112"/>
    <w:rsid w:val="00A759F2"/>
    <w:rsid w:val="00A83502"/>
    <w:rsid w:val="00A94BAB"/>
    <w:rsid w:val="00AD15B3"/>
    <w:rsid w:val="00AD3606"/>
    <w:rsid w:val="00AD4A3D"/>
    <w:rsid w:val="00AE3478"/>
    <w:rsid w:val="00AF2EF7"/>
    <w:rsid w:val="00AF6E49"/>
    <w:rsid w:val="00B04A67"/>
    <w:rsid w:val="00B0583C"/>
    <w:rsid w:val="00B16898"/>
    <w:rsid w:val="00B1761F"/>
    <w:rsid w:val="00B34D5E"/>
    <w:rsid w:val="00B400FB"/>
    <w:rsid w:val="00B40A81"/>
    <w:rsid w:val="00B44910"/>
    <w:rsid w:val="00B663F5"/>
    <w:rsid w:val="00B70AE9"/>
    <w:rsid w:val="00B72267"/>
    <w:rsid w:val="00B76EB6"/>
    <w:rsid w:val="00B7737B"/>
    <w:rsid w:val="00B824C8"/>
    <w:rsid w:val="00B84B9D"/>
    <w:rsid w:val="00B85C6D"/>
    <w:rsid w:val="00B9131F"/>
    <w:rsid w:val="00BB0646"/>
    <w:rsid w:val="00BB418D"/>
    <w:rsid w:val="00BC251A"/>
    <w:rsid w:val="00BC4A20"/>
    <w:rsid w:val="00BD032B"/>
    <w:rsid w:val="00BD1C14"/>
    <w:rsid w:val="00BE01C6"/>
    <w:rsid w:val="00BE2640"/>
    <w:rsid w:val="00BF1FDE"/>
    <w:rsid w:val="00C01189"/>
    <w:rsid w:val="00C04399"/>
    <w:rsid w:val="00C0458D"/>
    <w:rsid w:val="00C20600"/>
    <w:rsid w:val="00C24702"/>
    <w:rsid w:val="00C30DEC"/>
    <w:rsid w:val="00C374DE"/>
    <w:rsid w:val="00C4321C"/>
    <w:rsid w:val="00C47AD4"/>
    <w:rsid w:val="00C52D81"/>
    <w:rsid w:val="00C55198"/>
    <w:rsid w:val="00C6520B"/>
    <w:rsid w:val="00C7494B"/>
    <w:rsid w:val="00C766A9"/>
    <w:rsid w:val="00CA6393"/>
    <w:rsid w:val="00CA7533"/>
    <w:rsid w:val="00CA7995"/>
    <w:rsid w:val="00CB18FF"/>
    <w:rsid w:val="00CB7826"/>
    <w:rsid w:val="00CC0F52"/>
    <w:rsid w:val="00CD0C08"/>
    <w:rsid w:val="00CD4AA0"/>
    <w:rsid w:val="00CE03FB"/>
    <w:rsid w:val="00CE433C"/>
    <w:rsid w:val="00CE4576"/>
    <w:rsid w:val="00CF0161"/>
    <w:rsid w:val="00CF33F3"/>
    <w:rsid w:val="00CF4A2B"/>
    <w:rsid w:val="00D024CA"/>
    <w:rsid w:val="00D06183"/>
    <w:rsid w:val="00D22C42"/>
    <w:rsid w:val="00D2670C"/>
    <w:rsid w:val="00D3140F"/>
    <w:rsid w:val="00D32BE5"/>
    <w:rsid w:val="00D63D56"/>
    <w:rsid w:val="00D65041"/>
    <w:rsid w:val="00D90002"/>
    <w:rsid w:val="00DB1936"/>
    <w:rsid w:val="00DB384B"/>
    <w:rsid w:val="00DC2205"/>
    <w:rsid w:val="00DD7C2A"/>
    <w:rsid w:val="00DE303F"/>
    <w:rsid w:val="00DF0189"/>
    <w:rsid w:val="00DF0202"/>
    <w:rsid w:val="00DF75C5"/>
    <w:rsid w:val="00E06FD5"/>
    <w:rsid w:val="00E10E80"/>
    <w:rsid w:val="00E124F0"/>
    <w:rsid w:val="00E227F3"/>
    <w:rsid w:val="00E545C6"/>
    <w:rsid w:val="00E570A4"/>
    <w:rsid w:val="00E60F04"/>
    <w:rsid w:val="00E64CB2"/>
    <w:rsid w:val="00E65B24"/>
    <w:rsid w:val="00E74BC2"/>
    <w:rsid w:val="00E854E4"/>
    <w:rsid w:val="00E86DBF"/>
    <w:rsid w:val="00E969AF"/>
    <w:rsid w:val="00EB0D6F"/>
    <w:rsid w:val="00EB2232"/>
    <w:rsid w:val="00EC0292"/>
    <w:rsid w:val="00EC5337"/>
    <w:rsid w:val="00EC5400"/>
    <w:rsid w:val="00ED7991"/>
    <w:rsid w:val="00EE4636"/>
    <w:rsid w:val="00EE49E8"/>
    <w:rsid w:val="00EF181E"/>
    <w:rsid w:val="00F164CB"/>
    <w:rsid w:val="00F16BAB"/>
    <w:rsid w:val="00F2150A"/>
    <w:rsid w:val="00F231D8"/>
    <w:rsid w:val="00F44C00"/>
    <w:rsid w:val="00F45D2C"/>
    <w:rsid w:val="00F46C5F"/>
    <w:rsid w:val="00F478C8"/>
    <w:rsid w:val="00F632C0"/>
    <w:rsid w:val="00F641E1"/>
    <w:rsid w:val="00F7287E"/>
    <w:rsid w:val="00F84C89"/>
    <w:rsid w:val="00F94A63"/>
    <w:rsid w:val="00FA1C28"/>
    <w:rsid w:val="00FA71A0"/>
    <w:rsid w:val="00FB1279"/>
    <w:rsid w:val="00FB5FFB"/>
    <w:rsid w:val="00FB6B76"/>
    <w:rsid w:val="00FB7596"/>
    <w:rsid w:val="00FC55C0"/>
    <w:rsid w:val="00FCA045"/>
    <w:rsid w:val="00FD447A"/>
    <w:rsid w:val="00FD6DEF"/>
    <w:rsid w:val="00FE4077"/>
    <w:rsid w:val="00FE500D"/>
    <w:rsid w:val="00FE77D2"/>
    <w:rsid w:val="00FF0AFA"/>
    <w:rsid w:val="00FF3995"/>
    <w:rsid w:val="00FF39B1"/>
    <w:rsid w:val="0116D57B"/>
    <w:rsid w:val="016A2D9A"/>
    <w:rsid w:val="01DD8A4E"/>
    <w:rsid w:val="02473CA2"/>
    <w:rsid w:val="055F9417"/>
    <w:rsid w:val="05BF5421"/>
    <w:rsid w:val="05CD8B21"/>
    <w:rsid w:val="079AC41F"/>
    <w:rsid w:val="07B66187"/>
    <w:rsid w:val="0925B280"/>
    <w:rsid w:val="096364C9"/>
    <w:rsid w:val="09BF8B46"/>
    <w:rsid w:val="0A52B70F"/>
    <w:rsid w:val="0A82E9F3"/>
    <w:rsid w:val="0A9D7E8E"/>
    <w:rsid w:val="0B289CAF"/>
    <w:rsid w:val="0B59EFA3"/>
    <w:rsid w:val="0BC49826"/>
    <w:rsid w:val="0CA6243F"/>
    <w:rsid w:val="0CE2A64E"/>
    <w:rsid w:val="0D009880"/>
    <w:rsid w:val="0D4E1E0B"/>
    <w:rsid w:val="0D9052C0"/>
    <w:rsid w:val="0D9BB40C"/>
    <w:rsid w:val="0DA439FC"/>
    <w:rsid w:val="0DEDB454"/>
    <w:rsid w:val="0E9C42C6"/>
    <w:rsid w:val="0F1008FB"/>
    <w:rsid w:val="0F713726"/>
    <w:rsid w:val="11907DBD"/>
    <w:rsid w:val="1243DD8F"/>
    <w:rsid w:val="135E2A55"/>
    <w:rsid w:val="1533D70B"/>
    <w:rsid w:val="160B3B92"/>
    <w:rsid w:val="16F59560"/>
    <w:rsid w:val="16F5BB25"/>
    <w:rsid w:val="176C6DE1"/>
    <w:rsid w:val="1900607A"/>
    <w:rsid w:val="19D38028"/>
    <w:rsid w:val="1A19C6F7"/>
    <w:rsid w:val="1A7733E9"/>
    <w:rsid w:val="1ADC48C3"/>
    <w:rsid w:val="1BE7E2B7"/>
    <w:rsid w:val="1D79C164"/>
    <w:rsid w:val="1DD2409E"/>
    <w:rsid w:val="1DE44629"/>
    <w:rsid w:val="1EA2B752"/>
    <w:rsid w:val="1F5C9738"/>
    <w:rsid w:val="1FC23E18"/>
    <w:rsid w:val="20662A38"/>
    <w:rsid w:val="20EDF4E7"/>
    <w:rsid w:val="20F688BF"/>
    <w:rsid w:val="22B22190"/>
    <w:rsid w:val="22C1E537"/>
    <w:rsid w:val="22C935E2"/>
    <w:rsid w:val="23B0F80F"/>
    <w:rsid w:val="23B6A1FD"/>
    <w:rsid w:val="23C63422"/>
    <w:rsid w:val="23ECF807"/>
    <w:rsid w:val="242F8D9E"/>
    <w:rsid w:val="245D0E8A"/>
    <w:rsid w:val="27256C2D"/>
    <w:rsid w:val="286DF723"/>
    <w:rsid w:val="2AB7BCEA"/>
    <w:rsid w:val="2B5623D7"/>
    <w:rsid w:val="2C162CAD"/>
    <w:rsid w:val="2C9CBB5C"/>
    <w:rsid w:val="2CC4E076"/>
    <w:rsid w:val="2EC1A992"/>
    <w:rsid w:val="2F0F20C8"/>
    <w:rsid w:val="2FBE922F"/>
    <w:rsid w:val="3077EF0F"/>
    <w:rsid w:val="30FBD60F"/>
    <w:rsid w:val="30FC9B8C"/>
    <w:rsid w:val="31764108"/>
    <w:rsid w:val="31A3A55B"/>
    <w:rsid w:val="34523F9E"/>
    <w:rsid w:val="347CF98F"/>
    <w:rsid w:val="34D518D2"/>
    <w:rsid w:val="35121CAC"/>
    <w:rsid w:val="354279BC"/>
    <w:rsid w:val="36D2E499"/>
    <w:rsid w:val="37CEB1E9"/>
    <w:rsid w:val="382CACE0"/>
    <w:rsid w:val="38C406E3"/>
    <w:rsid w:val="397EA454"/>
    <w:rsid w:val="3B711DD3"/>
    <w:rsid w:val="3BAE20CB"/>
    <w:rsid w:val="3BC0C76A"/>
    <w:rsid w:val="3C1D446D"/>
    <w:rsid w:val="3C3490D5"/>
    <w:rsid w:val="3CB1BB7D"/>
    <w:rsid w:val="3D23FFA7"/>
    <w:rsid w:val="3E1DFD96"/>
    <w:rsid w:val="3E72A320"/>
    <w:rsid w:val="3EF550A5"/>
    <w:rsid w:val="41CACFD9"/>
    <w:rsid w:val="421994AA"/>
    <w:rsid w:val="42D85F0C"/>
    <w:rsid w:val="439BF88A"/>
    <w:rsid w:val="443BCFE6"/>
    <w:rsid w:val="446F5A57"/>
    <w:rsid w:val="449B19AB"/>
    <w:rsid w:val="449CE22B"/>
    <w:rsid w:val="44C4107D"/>
    <w:rsid w:val="44E0E42C"/>
    <w:rsid w:val="452D102B"/>
    <w:rsid w:val="454B39AC"/>
    <w:rsid w:val="4628A46A"/>
    <w:rsid w:val="464DBF4E"/>
    <w:rsid w:val="46D4B05A"/>
    <w:rsid w:val="4712CF1A"/>
    <w:rsid w:val="474587DB"/>
    <w:rsid w:val="47B8CF8A"/>
    <w:rsid w:val="4901DCB3"/>
    <w:rsid w:val="493C883F"/>
    <w:rsid w:val="49B6BD8D"/>
    <w:rsid w:val="4A819C01"/>
    <w:rsid w:val="4C0E4C59"/>
    <w:rsid w:val="4D38D920"/>
    <w:rsid w:val="4D3B7A8B"/>
    <w:rsid w:val="4DCD4C9A"/>
    <w:rsid w:val="4DDF8944"/>
    <w:rsid w:val="4DF70856"/>
    <w:rsid w:val="4E612A57"/>
    <w:rsid w:val="4EBB5E51"/>
    <w:rsid w:val="4F23CDCD"/>
    <w:rsid w:val="4F350BDD"/>
    <w:rsid w:val="4F3E3C99"/>
    <w:rsid w:val="4F6AE4BB"/>
    <w:rsid w:val="51A9546D"/>
    <w:rsid w:val="51FFBA09"/>
    <w:rsid w:val="52C32C93"/>
    <w:rsid w:val="538368A0"/>
    <w:rsid w:val="53BB58E9"/>
    <w:rsid w:val="53FF7637"/>
    <w:rsid w:val="5583FC21"/>
    <w:rsid w:val="55F9ABDB"/>
    <w:rsid w:val="56616011"/>
    <w:rsid w:val="56FD8C10"/>
    <w:rsid w:val="579F6F90"/>
    <w:rsid w:val="57D18CF9"/>
    <w:rsid w:val="59D5D1BD"/>
    <w:rsid w:val="5A1952F2"/>
    <w:rsid w:val="5A89B045"/>
    <w:rsid w:val="5A94A47C"/>
    <w:rsid w:val="5AC5D13E"/>
    <w:rsid w:val="5AD21E4C"/>
    <w:rsid w:val="5B47D24E"/>
    <w:rsid w:val="5B887F65"/>
    <w:rsid w:val="5C5242C2"/>
    <w:rsid w:val="5D9F27BE"/>
    <w:rsid w:val="5DC0AC52"/>
    <w:rsid w:val="5DD04491"/>
    <w:rsid w:val="5E27FD82"/>
    <w:rsid w:val="5E857D3D"/>
    <w:rsid w:val="5F5DD9FA"/>
    <w:rsid w:val="5FF3BACA"/>
    <w:rsid w:val="622F493C"/>
    <w:rsid w:val="6230EEB2"/>
    <w:rsid w:val="6235D26B"/>
    <w:rsid w:val="6259C5E2"/>
    <w:rsid w:val="635C406A"/>
    <w:rsid w:val="64D269E9"/>
    <w:rsid w:val="665F7D81"/>
    <w:rsid w:val="67B0084C"/>
    <w:rsid w:val="67D602D0"/>
    <w:rsid w:val="684C3A91"/>
    <w:rsid w:val="6865E9B3"/>
    <w:rsid w:val="68823919"/>
    <w:rsid w:val="68945726"/>
    <w:rsid w:val="68DBAF35"/>
    <w:rsid w:val="68F9CD30"/>
    <w:rsid w:val="694EB1C8"/>
    <w:rsid w:val="696435E8"/>
    <w:rsid w:val="6975213B"/>
    <w:rsid w:val="6A061D85"/>
    <w:rsid w:val="6A35B3AA"/>
    <w:rsid w:val="6D7122CA"/>
    <w:rsid w:val="6D76A5E7"/>
    <w:rsid w:val="6DF4C86B"/>
    <w:rsid w:val="6F54AE81"/>
    <w:rsid w:val="71342DC1"/>
    <w:rsid w:val="713D6E59"/>
    <w:rsid w:val="719A0714"/>
    <w:rsid w:val="71A181C5"/>
    <w:rsid w:val="7208E8A7"/>
    <w:rsid w:val="723EAB93"/>
    <w:rsid w:val="72DAE4D1"/>
    <w:rsid w:val="72EF9B0D"/>
    <w:rsid w:val="730630B0"/>
    <w:rsid w:val="73839561"/>
    <w:rsid w:val="743A3296"/>
    <w:rsid w:val="75C5BC47"/>
    <w:rsid w:val="75E5CB9D"/>
    <w:rsid w:val="76775701"/>
    <w:rsid w:val="76B86AE7"/>
    <w:rsid w:val="7708ECA2"/>
    <w:rsid w:val="779D15D3"/>
    <w:rsid w:val="77FC85BF"/>
    <w:rsid w:val="78209C1B"/>
    <w:rsid w:val="786CFCD7"/>
    <w:rsid w:val="7882FA83"/>
    <w:rsid w:val="79B002CD"/>
    <w:rsid w:val="7A92CDA6"/>
    <w:rsid w:val="7C37648D"/>
    <w:rsid w:val="7D2492E9"/>
    <w:rsid w:val="7DB79D93"/>
    <w:rsid w:val="7E1107F9"/>
    <w:rsid w:val="7E9FDED1"/>
    <w:rsid w:val="7EDE398E"/>
    <w:rsid w:val="7F3E7F56"/>
    <w:rsid w:val="7FA902F8"/>
    <w:rsid w:val="7FC003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8B232"/>
  <w15:docId w15:val="{03A475EA-3501-4A07-AB4F-F22528D3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D32BE5"/>
    <w:pPr>
      <w:tabs>
        <w:tab w:val="clear" w:pos="567"/>
        <w:tab w:val="clear" w:pos="1134"/>
        <w:tab w:val="clear" w:pos="1701"/>
        <w:tab w:val="clear" w:pos="2268"/>
        <w:tab w:val="clear" w:pos="2835"/>
        <w:tab w:val="left" w:pos="284"/>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NoSpacing">
    <w:name w:val="No Spacing"/>
    <w:basedOn w:val="Normal"/>
    <w:uiPriority w:val="1"/>
    <w:qFormat/>
    <w:rsid w:val="00D2670C"/>
    <w:pPr>
      <w:tabs>
        <w:tab w:val="clear" w:pos="567"/>
        <w:tab w:val="clear" w:pos="1134"/>
        <w:tab w:val="clear" w:pos="1701"/>
        <w:tab w:val="clear" w:pos="2268"/>
        <w:tab w:val="clear" w:pos="2835"/>
      </w:tabs>
      <w:overflowPunct/>
      <w:autoSpaceDE/>
      <w:autoSpaceDN/>
      <w:adjustRightInd/>
      <w:spacing w:before="0"/>
      <w:textAlignment w:val="auto"/>
    </w:pPr>
    <w:rPr>
      <w:sz w:val="22"/>
      <w:szCs w:val="22"/>
      <w:lang w:eastAsia="zh-CN"/>
    </w:rPr>
  </w:style>
  <w:style w:type="paragraph" w:customStyle="1" w:styleId="Tablefin">
    <w:name w:val="Table_fin"/>
    <w:basedOn w:val="Tabletext"/>
    <w:rsid w:val="006D0706"/>
    <w:pPr>
      <w:spacing w:before="0" w:after="0"/>
    </w:pPr>
  </w:style>
  <w:style w:type="character" w:styleId="CommentReference">
    <w:name w:val="annotation reference"/>
    <w:basedOn w:val="DefaultParagraphFont"/>
    <w:semiHidden/>
    <w:unhideWhenUsed/>
    <w:rsid w:val="005F6E2D"/>
    <w:rPr>
      <w:sz w:val="16"/>
      <w:szCs w:val="16"/>
    </w:rPr>
  </w:style>
  <w:style w:type="paragraph" w:styleId="CommentText">
    <w:name w:val="annotation text"/>
    <w:basedOn w:val="Normal"/>
    <w:link w:val="CommentTextChar"/>
    <w:unhideWhenUsed/>
    <w:rsid w:val="005F6E2D"/>
    <w:rPr>
      <w:sz w:val="20"/>
    </w:rPr>
  </w:style>
  <w:style w:type="character" w:customStyle="1" w:styleId="CommentTextChar">
    <w:name w:val="Comment Text Char"/>
    <w:basedOn w:val="DefaultParagraphFont"/>
    <w:link w:val="CommentText"/>
    <w:rsid w:val="005F6E2D"/>
    <w:rPr>
      <w:rFonts w:ascii="Calibri" w:hAnsi="Calibri"/>
      <w:lang w:val="en-GB" w:eastAsia="en-US"/>
    </w:rPr>
  </w:style>
  <w:style w:type="paragraph" w:styleId="CommentSubject">
    <w:name w:val="annotation subject"/>
    <w:basedOn w:val="CommentText"/>
    <w:next w:val="CommentText"/>
    <w:link w:val="CommentSubjectChar"/>
    <w:semiHidden/>
    <w:unhideWhenUsed/>
    <w:rsid w:val="005F6E2D"/>
    <w:rPr>
      <w:b/>
      <w:bCs/>
    </w:rPr>
  </w:style>
  <w:style w:type="character" w:customStyle="1" w:styleId="CommentSubjectChar">
    <w:name w:val="Comment Subject Char"/>
    <w:basedOn w:val="CommentTextChar"/>
    <w:link w:val="CommentSubject"/>
    <w:semiHidden/>
    <w:rsid w:val="005F6E2D"/>
    <w:rPr>
      <w:rFonts w:ascii="Calibri" w:hAnsi="Calibri"/>
      <w:b/>
      <w:bCs/>
      <w:lang w:val="en-GB" w:eastAsia="en-US"/>
    </w:rPr>
  </w:style>
  <w:style w:type="paragraph" w:styleId="Revision">
    <w:name w:val="Revision"/>
    <w:hidden/>
    <w:uiPriority w:val="99"/>
    <w:semiHidden/>
    <w:rsid w:val="00F7287E"/>
    <w:rPr>
      <w:rFonts w:ascii="Calibri" w:hAnsi="Calibri"/>
      <w:sz w:val="24"/>
      <w:lang w:val="en-GB" w:eastAsia="en-US"/>
    </w:rPr>
  </w:style>
  <w:style w:type="character" w:styleId="Mention">
    <w:name w:val="Mention"/>
    <w:basedOn w:val="DefaultParagraphFont"/>
    <w:uiPriority w:val="99"/>
    <w:unhideWhenUsed/>
    <w:rsid w:val="002060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4-CL-C-0029/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tu.int/md/S24-CL-C-0029/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S24-CL-C-0029/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3-CL-INF-0013/en" TargetMode="External"/><Relationship Id="rId5" Type="http://schemas.openxmlformats.org/officeDocument/2006/relationships/numbering" Target="numbering.xml"/><Relationship Id="rId15" Type="http://schemas.openxmlformats.org/officeDocument/2006/relationships/hyperlink" Target="https://www.itu.int/en/council/Documents/basic-texts-2023/RES-048-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9-CL-C-0057/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8" ma:contentTypeDescription="Crear nuevo documento." ma:contentTypeScope="" ma:versionID="c2c2f485b5c056a560ec1111beebbd3b">
  <xsd:schema xmlns:xsd="http://www.w3.org/2001/XMLSchema" xmlns:xs="http://www.w3.org/2001/XMLSchema" xmlns:p="http://schemas.microsoft.com/office/2006/metadata/properties" xmlns:ns2="a1cf676c-2816-4389-ad5d-0f2e7c7e67c4" targetNamespace="http://schemas.microsoft.com/office/2006/metadata/properties" ma:root="true" ma:fieldsID="5236e9d7d5fcf3dc960c2645a60fa07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A203F-12E1-48C5-A9EE-7020E2836C8C}">
  <ds:schemaRefs>
    <ds:schemaRef ds:uri="http://schemas.microsoft.com/sharepoint/v3/contenttype/forms"/>
  </ds:schemaRefs>
</ds:datastoreItem>
</file>

<file path=customXml/itemProps2.xml><?xml version="1.0" encoding="utf-8"?>
<ds:datastoreItem xmlns:ds="http://schemas.openxmlformats.org/officeDocument/2006/customXml" ds:itemID="{FBE5E26E-D4BC-474A-A063-C941C00C3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BA868ABA-A870-437F-8927-E0DA53219D36}">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a1cf676c-2816-4389-ad5d-0f2e7c7e67c4"/>
  </ds:schemaRefs>
</ds:datastoreItem>
</file>

<file path=docProps/app.xml><?xml version="1.0" encoding="utf-8"?>
<Properties xmlns="http://schemas.openxmlformats.org/officeDocument/2006/extended-properties" xmlns:vt="http://schemas.openxmlformats.org/officeDocument/2006/docPropsVTypes">
  <Template>PE_Council25.dotx</Template>
  <TotalTime>2</TotalTime>
  <Pages>12</Pages>
  <Words>3808</Words>
  <Characters>23327</Characters>
  <Application>Microsoft Office Word</Application>
  <DocSecurity>0</DocSecurity>
  <Lines>496</Lines>
  <Paragraphs>253</Paragraphs>
  <ScaleCrop>false</ScaleCrop>
  <HeadingPairs>
    <vt:vector size="2" baseType="variant">
      <vt:variant>
        <vt:lpstr>Title</vt:lpstr>
      </vt:variant>
      <vt:variant>
        <vt:i4>1</vt:i4>
      </vt:variant>
    </vt:vector>
  </HeadingPairs>
  <TitlesOfParts>
    <vt:vector size="1" baseType="lpstr">
      <vt:lpstr>Progress report on the implementation of the human resources transformation plan and of Resolution 48 (Rev. Bucharest, 2022)</vt:lpstr>
    </vt:vector>
  </TitlesOfParts>
  <Manager>General Secretariat</Manager>
  <Company>International Telecommunication Union (ITU)</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on the implementation of the human resources transformation plan and of Resolution 48 (Rev. Bucharest, 2022)</dc:title>
  <dc:subject>Council 2025</dc:subject>
  <cp:keywords>C25; C2025; Council 2025; ITU160</cp:keywords>
  <dc:description/>
  <cp:lastPrinted>2000-07-18T04:30:00Z</cp:lastPrinted>
  <dcterms:created xsi:type="dcterms:W3CDTF">2025-05-22T15:38:00Z</dcterms:created>
  <dcterms:modified xsi:type="dcterms:W3CDTF">2025-05-22T15:39:00Z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y fmtid="{D5CDD505-2E9C-101B-9397-08002B2CF9AE}" pid="10" name="MSIP_Label_42920c34-aae9-4b48-aced-a40f3b79b818_Enabled">
    <vt:lpwstr>true</vt:lpwstr>
  </property>
  <property fmtid="{D5CDD505-2E9C-101B-9397-08002B2CF9AE}" pid="11" name="MSIP_Label_42920c34-aae9-4b48-aced-a40f3b79b818_SetDate">
    <vt:lpwstr>2025-05-16T08:54:25Z</vt:lpwstr>
  </property>
  <property fmtid="{D5CDD505-2E9C-101B-9397-08002B2CF9AE}" pid="12" name="MSIP_Label_42920c34-aae9-4b48-aced-a40f3b79b818_Method">
    <vt:lpwstr>Privileged</vt:lpwstr>
  </property>
  <property fmtid="{D5CDD505-2E9C-101B-9397-08002B2CF9AE}" pid="13" name="MSIP_Label_42920c34-aae9-4b48-aced-a40f3b79b818_Name">
    <vt:lpwstr>Sensitive Personal Data</vt:lpwstr>
  </property>
  <property fmtid="{D5CDD505-2E9C-101B-9397-08002B2CF9AE}" pid="14" name="MSIP_Label_42920c34-aae9-4b48-aced-a40f3b79b818_SiteId">
    <vt:lpwstr>23e464d7-04e6-4b87-913c-24bd89219fd3</vt:lpwstr>
  </property>
  <property fmtid="{D5CDD505-2E9C-101B-9397-08002B2CF9AE}" pid="15" name="MSIP_Label_42920c34-aae9-4b48-aced-a40f3b79b818_ActionId">
    <vt:lpwstr>6f7680de-49fd-475d-9693-ddc7044fc155</vt:lpwstr>
  </property>
  <property fmtid="{D5CDD505-2E9C-101B-9397-08002B2CF9AE}" pid="16" name="MSIP_Label_42920c34-aae9-4b48-aced-a40f3b79b818_ContentBits">
    <vt:lpwstr>0</vt:lpwstr>
  </property>
  <property fmtid="{D5CDD505-2E9C-101B-9397-08002B2CF9AE}" pid="17" name="MSIP_Label_42920c34-aae9-4b48-aced-a40f3b79b818_Tag">
    <vt:lpwstr>10, 2, 1, 1</vt:lpwstr>
  </property>
</Properties>
</file>