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4E7E70" w14:paraId="75D3A38C" w14:textId="77777777" w:rsidTr="00C538FC">
        <w:trPr>
          <w:cantSplit/>
          <w:trHeight w:val="23"/>
        </w:trPr>
        <w:tc>
          <w:tcPr>
            <w:tcW w:w="3969" w:type="dxa"/>
            <w:vMerge w:val="restart"/>
            <w:tcMar>
              <w:left w:w="0" w:type="dxa"/>
            </w:tcMar>
          </w:tcPr>
          <w:p w14:paraId="756EEFD1" w14:textId="02044A26" w:rsidR="00FE57F6" w:rsidRPr="004E7E70" w:rsidRDefault="00BB6FD8" w:rsidP="00C538FC">
            <w:pPr>
              <w:tabs>
                <w:tab w:val="left" w:pos="851"/>
              </w:tabs>
              <w:spacing w:before="0" w:line="240" w:lineRule="atLeast"/>
              <w:rPr>
                <w:b/>
              </w:rPr>
            </w:pPr>
            <w:bookmarkStart w:id="0" w:name="_Hlk133421839"/>
            <w:r w:rsidRPr="004E7E70">
              <w:rPr>
                <w:b/>
              </w:rPr>
              <w:t>Orden del día</w:t>
            </w:r>
            <w:r w:rsidR="00FE57F6" w:rsidRPr="004E7E70">
              <w:rPr>
                <w:b/>
              </w:rPr>
              <w:t xml:space="preserve">: </w:t>
            </w:r>
            <w:r w:rsidR="004E7E70" w:rsidRPr="004E7E70">
              <w:rPr>
                <w:b/>
              </w:rPr>
              <w:t>ADM 1</w:t>
            </w:r>
          </w:p>
        </w:tc>
        <w:tc>
          <w:tcPr>
            <w:tcW w:w="5245" w:type="dxa"/>
          </w:tcPr>
          <w:p w14:paraId="3BF30A01" w14:textId="599505C3" w:rsidR="00FE57F6" w:rsidRPr="004E7E70" w:rsidRDefault="00FE57F6" w:rsidP="00C538FC">
            <w:pPr>
              <w:tabs>
                <w:tab w:val="left" w:pos="851"/>
              </w:tabs>
              <w:spacing w:before="0" w:line="240" w:lineRule="atLeast"/>
              <w:jc w:val="right"/>
              <w:rPr>
                <w:b/>
              </w:rPr>
            </w:pPr>
            <w:r w:rsidRPr="004E7E70">
              <w:rPr>
                <w:b/>
              </w:rPr>
              <w:t>Document</w:t>
            </w:r>
            <w:r w:rsidR="00F24B71" w:rsidRPr="004E7E70">
              <w:rPr>
                <w:b/>
              </w:rPr>
              <w:t>o</w:t>
            </w:r>
            <w:r w:rsidRPr="004E7E70">
              <w:rPr>
                <w:b/>
              </w:rPr>
              <w:t xml:space="preserve"> C2</w:t>
            </w:r>
            <w:r w:rsidR="00BB6FD8" w:rsidRPr="004E7E70">
              <w:rPr>
                <w:b/>
              </w:rPr>
              <w:t>5</w:t>
            </w:r>
            <w:r w:rsidRPr="004E7E70">
              <w:rPr>
                <w:b/>
              </w:rPr>
              <w:t>/</w:t>
            </w:r>
            <w:r w:rsidR="004E7E70" w:rsidRPr="004E7E70">
              <w:rPr>
                <w:b/>
              </w:rPr>
              <w:t>65</w:t>
            </w:r>
            <w:r w:rsidRPr="004E7E70">
              <w:rPr>
                <w:b/>
              </w:rPr>
              <w:t>-</w:t>
            </w:r>
            <w:r w:rsidR="00F24B71" w:rsidRPr="004E7E70">
              <w:rPr>
                <w:b/>
              </w:rPr>
              <w:t>S</w:t>
            </w:r>
          </w:p>
        </w:tc>
      </w:tr>
      <w:tr w:rsidR="00FE57F6" w:rsidRPr="004E7E70" w14:paraId="5641AA44" w14:textId="77777777" w:rsidTr="00C538FC">
        <w:trPr>
          <w:cantSplit/>
        </w:trPr>
        <w:tc>
          <w:tcPr>
            <w:tcW w:w="3969" w:type="dxa"/>
            <w:vMerge/>
          </w:tcPr>
          <w:p w14:paraId="5336343C" w14:textId="77777777" w:rsidR="00FE57F6" w:rsidRPr="004E7E70" w:rsidRDefault="00FE57F6" w:rsidP="00C538FC">
            <w:pPr>
              <w:tabs>
                <w:tab w:val="left" w:pos="851"/>
              </w:tabs>
              <w:spacing w:line="240" w:lineRule="atLeast"/>
              <w:rPr>
                <w:b/>
              </w:rPr>
            </w:pPr>
          </w:p>
        </w:tc>
        <w:tc>
          <w:tcPr>
            <w:tcW w:w="5245" w:type="dxa"/>
          </w:tcPr>
          <w:p w14:paraId="617EBDBB" w14:textId="3A0C5343" w:rsidR="00FE57F6" w:rsidRPr="004E7E70" w:rsidRDefault="001D55B1" w:rsidP="00C538FC">
            <w:pPr>
              <w:tabs>
                <w:tab w:val="left" w:pos="851"/>
              </w:tabs>
              <w:spacing w:before="0"/>
              <w:jc w:val="right"/>
              <w:rPr>
                <w:b/>
              </w:rPr>
            </w:pPr>
            <w:r>
              <w:rPr>
                <w:b/>
              </w:rPr>
              <w:t>16</w:t>
            </w:r>
            <w:r w:rsidR="004E7E70" w:rsidRPr="004E7E70">
              <w:rPr>
                <w:b/>
              </w:rPr>
              <w:t xml:space="preserve"> de mayo de 2025</w:t>
            </w:r>
          </w:p>
        </w:tc>
      </w:tr>
      <w:tr w:rsidR="00FE57F6" w:rsidRPr="004E7E70" w14:paraId="7DC1A21A" w14:textId="77777777" w:rsidTr="00C538FC">
        <w:trPr>
          <w:cantSplit/>
          <w:trHeight w:val="23"/>
        </w:trPr>
        <w:tc>
          <w:tcPr>
            <w:tcW w:w="3969" w:type="dxa"/>
            <w:vMerge/>
          </w:tcPr>
          <w:p w14:paraId="302DCBCB" w14:textId="77777777" w:rsidR="00FE57F6" w:rsidRPr="004E7E70" w:rsidRDefault="00FE57F6" w:rsidP="00C538FC">
            <w:pPr>
              <w:tabs>
                <w:tab w:val="left" w:pos="851"/>
              </w:tabs>
              <w:spacing w:line="240" w:lineRule="atLeast"/>
              <w:rPr>
                <w:b/>
              </w:rPr>
            </w:pPr>
          </w:p>
        </w:tc>
        <w:tc>
          <w:tcPr>
            <w:tcW w:w="5245" w:type="dxa"/>
          </w:tcPr>
          <w:p w14:paraId="67F00376" w14:textId="77777777" w:rsidR="00FE57F6" w:rsidRPr="004E7E70" w:rsidRDefault="00F24B71" w:rsidP="00C538FC">
            <w:pPr>
              <w:tabs>
                <w:tab w:val="left" w:pos="851"/>
              </w:tabs>
              <w:spacing w:before="0" w:line="240" w:lineRule="atLeast"/>
              <w:jc w:val="right"/>
              <w:rPr>
                <w:b/>
                <w:bCs/>
              </w:rPr>
            </w:pPr>
            <w:r w:rsidRPr="004E7E70">
              <w:rPr>
                <w:rFonts w:cstheme="minorHAnsi"/>
                <w:b/>
                <w:bCs/>
              </w:rPr>
              <w:t>Original: inglés</w:t>
            </w:r>
          </w:p>
        </w:tc>
      </w:tr>
      <w:tr w:rsidR="00FE57F6" w:rsidRPr="004E7E70" w14:paraId="1779885E" w14:textId="77777777" w:rsidTr="00C538FC">
        <w:trPr>
          <w:cantSplit/>
          <w:trHeight w:val="23"/>
        </w:trPr>
        <w:tc>
          <w:tcPr>
            <w:tcW w:w="3969" w:type="dxa"/>
          </w:tcPr>
          <w:p w14:paraId="0874B04B" w14:textId="77777777" w:rsidR="00FE57F6" w:rsidRPr="004E7E70" w:rsidRDefault="00FE57F6" w:rsidP="00C538FC">
            <w:pPr>
              <w:tabs>
                <w:tab w:val="left" w:pos="851"/>
              </w:tabs>
              <w:spacing w:line="240" w:lineRule="atLeast"/>
              <w:rPr>
                <w:b/>
              </w:rPr>
            </w:pPr>
          </w:p>
        </w:tc>
        <w:tc>
          <w:tcPr>
            <w:tcW w:w="5245" w:type="dxa"/>
          </w:tcPr>
          <w:p w14:paraId="7F9BCFA2" w14:textId="77777777" w:rsidR="00FE57F6" w:rsidRPr="004E7E70" w:rsidRDefault="00FE57F6" w:rsidP="00C538FC">
            <w:pPr>
              <w:tabs>
                <w:tab w:val="left" w:pos="851"/>
              </w:tabs>
              <w:spacing w:before="0" w:line="240" w:lineRule="atLeast"/>
              <w:jc w:val="right"/>
              <w:rPr>
                <w:b/>
              </w:rPr>
            </w:pPr>
          </w:p>
        </w:tc>
      </w:tr>
      <w:tr w:rsidR="00FE57F6" w:rsidRPr="004E7E70" w14:paraId="105278BA" w14:textId="77777777" w:rsidTr="00C538FC">
        <w:trPr>
          <w:cantSplit/>
        </w:trPr>
        <w:tc>
          <w:tcPr>
            <w:tcW w:w="9214" w:type="dxa"/>
            <w:gridSpan w:val="2"/>
            <w:tcMar>
              <w:left w:w="0" w:type="dxa"/>
            </w:tcMar>
          </w:tcPr>
          <w:p w14:paraId="2C714435" w14:textId="77777777" w:rsidR="00FE57F6" w:rsidRPr="004E7E70" w:rsidRDefault="00157AC4" w:rsidP="00C538FC">
            <w:pPr>
              <w:pStyle w:val="Source"/>
              <w:jc w:val="left"/>
              <w:rPr>
                <w:sz w:val="34"/>
                <w:szCs w:val="34"/>
              </w:rPr>
            </w:pPr>
            <w:r w:rsidRPr="004E7E70">
              <w:rPr>
                <w:rFonts w:cstheme="minorHAnsi"/>
                <w:sz w:val="34"/>
                <w:szCs w:val="34"/>
              </w:rPr>
              <w:t>Informe de la Secretaria General</w:t>
            </w:r>
          </w:p>
        </w:tc>
      </w:tr>
      <w:tr w:rsidR="00FE57F6" w:rsidRPr="004E7E70" w14:paraId="3BF5E603" w14:textId="77777777" w:rsidTr="00C538FC">
        <w:trPr>
          <w:cantSplit/>
        </w:trPr>
        <w:tc>
          <w:tcPr>
            <w:tcW w:w="9214" w:type="dxa"/>
            <w:gridSpan w:val="2"/>
            <w:tcMar>
              <w:left w:w="0" w:type="dxa"/>
            </w:tcMar>
          </w:tcPr>
          <w:p w14:paraId="46EE3862" w14:textId="33CFB19E" w:rsidR="00FE57F6" w:rsidRPr="004E7E70" w:rsidRDefault="005B5542" w:rsidP="00F92BED">
            <w:pPr>
              <w:pStyle w:val="Subtitle"/>
              <w:framePr w:hSpace="0" w:wrap="auto" w:vAnchor="margin" w:hAnchor="text" w:xAlign="left" w:yAlign="inline"/>
            </w:pPr>
            <w:r>
              <w:t>NUEVAS SOLICITUDES DE EXONERACIÓN DE PAGO DE LA CUOTA DE ORGANIZACIONES INTERNACIONALES</w:t>
            </w:r>
          </w:p>
        </w:tc>
      </w:tr>
      <w:tr w:rsidR="00FE57F6" w:rsidRPr="004E7E70" w14:paraId="444EF1F0" w14:textId="77777777" w:rsidTr="00C538FC">
        <w:trPr>
          <w:cantSplit/>
        </w:trPr>
        <w:tc>
          <w:tcPr>
            <w:tcW w:w="9214" w:type="dxa"/>
            <w:gridSpan w:val="2"/>
            <w:tcBorders>
              <w:top w:val="single" w:sz="4" w:space="0" w:color="auto"/>
              <w:bottom w:val="single" w:sz="4" w:space="0" w:color="auto"/>
            </w:tcBorders>
            <w:tcMar>
              <w:left w:w="0" w:type="dxa"/>
            </w:tcMar>
          </w:tcPr>
          <w:p w14:paraId="6385D5D5" w14:textId="77777777" w:rsidR="00FE57F6" w:rsidRPr="004E7E70" w:rsidRDefault="00F24B71" w:rsidP="00C538FC">
            <w:pPr>
              <w:spacing w:before="160"/>
              <w:rPr>
                <w:b/>
                <w:bCs/>
                <w:sz w:val="26"/>
                <w:szCs w:val="26"/>
              </w:rPr>
            </w:pPr>
            <w:r w:rsidRPr="004E7E70">
              <w:rPr>
                <w:b/>
                <w:bCs/>
                <w:sz w:val="26"/>
                <w:szCs w:val="26"/>
              </w:rPr>
              <w:t>Finalidad</w:t>
            </w:r>
          </w:p>
          <w:p w14:paraId="206936EE" w14:textId="1EEEE446" w:rsidR="00FE57F6" w:rsidRPr="004E7E70" w:rsidRDefault="004E7E70" w:rsidP="00C538FC">
            <w:r w:rsidRPr="004E7E70">
              <w:t>Cada año, la UIT recibe solicitudes de organizaciones de carácter internacional relativas a la exoneración de pago de las cuotas de afiliación y de otras contribuciones financieras a la Unión en régimen de reciprocidad. La Secretaría examina estas nuevas solicitudes en base de los criterios establecidos por el Consejo.</w:t>
            </w:r>
          </w:p>
          <w:p w14:paraId="7F6D072C" w14:textId="77777777" w:rsidR="00FE57F6" w:rsidRPr="004E7E70" w:rsidRDefault="00F24B71" w:rsidP="00C538FC">
            <w:pPr>
              <w:spacing w:before="160"/>
              <w:rPr>
                <w:b/>
                <w:bCs/>
                <w:sz w:val="26"/>
                <w:szCs w:val="26"/>
              </w:rPr>
            </w:pPr>
            <w:r w:rsidRPr="004E7E70">
              <w:rPr>
                <w:b/>
                <w:bCs/>
                <w:sz w:val="26"/>
                <w:szCs w:val="26"/>
              </w:rPr>
              <w:t xml:space="preserve">Acción solicitada </w:t>
            </w:r>
            <w:r w:rsidR="00677A97" w:rsidRPr="004E7E70">
              <w:rPr>
                <w:b/>
                <w:bCs/>
                <w:sz w:val="26"/>
                <w:szCs w:val="26"/>
              </w:rPr>
              <w:t>al</w:t>
            </w:r>
            <w:r w:rsidRPr="004E7E70">
              <w:rPr>
                <w:b/>
                <w:bCs/>
                <w:sz w:val="26"/>
                <w:szCs w:val="26"/>
              </w:rPr>
              <w:t xml:space="preserve"> Consejo</w:t>
            </w:r>
          </w:p>
          <w:p w14:paraId="14B92477" w14:textId="15D61DBF" w:rsidR="00F92BED" w:rsidRPr="004E7E70" w:rsidRDefault="004E7E70" w:rsidP="00F92BED">
            <w:pPr>
              <w:spacing w:before="160"/>
              <w:rPr>
                <w:szCs w:val="24"/>
              </w:rPr>
            </w:pPr>
            <w:r w:rsidRPr="004E7E70">
              <w:rPr>
                <w:szCs w:val="24"/>
              </w:rPr>
              <w:t xml:space="preserve">Se invita al Consejo a </w:t>
            </w:r>
            <w:r w:rsidRPr="004E7E70">
              <w:rPr>
                <w:b/>
                <w:bCs/>
                <w:szCs w:val="24"/>
              </w:rPr>
              <w:t xml:space="preserve">examinar </w:t>
            </w:r>
            <w:r w:rsidRPr="004E7E70">
              <w:rPr>
                <w:szCs w:val="24"/>
              </w:rPr>
              <w:t>las recomendaciones de la Secretaria General en relación con las nuevas solicitudes de exoneración.</w:t>
            </w:r>
          </w:p>
          <w:p w14:paraId="1DB897EA" w14:textId="77777777" w:rsidR="00F92BED" w:rsidRPr="004E7E70" w:rsidRDefault="00F92BED" w:rsidP="00F92BED">
            <w:pPr>
              <w:spacing w:before="160"/>
              <w:rPr>
                <w:b/>
                <w:bCs/>
                <w:sz w:val="26"/>
                <w:szCs w:val="26"/>
              </w:rPr>
            </w:pPr>
            <w:r w:rsidRPr="004E7E70">
              <w:rPr>
                <w:b/>
                <w:bCs/>
                <w:sz w:val="26"/>
                <w:szCs w:val="26"/>
              </w:rPr>
              <w:t>Vínculo(s) pertinente(s) con el Plan Estratégico</w:t>
            </w:r>
          </w:p>
          <w:p w14:paraId="4DA8A5B4" w14:textId="0F128EBA" w:rsidR="00F92BED" w:rsidRPr="004E7E70" w:rsidRDefault="004E7E70" w:rsidP="00F92BED">
            <w:r w:rsidRPr="004E7E70">
              <w:t>Asociaciones y cooperación internacional.</w:t>
            </w:r>
          </w:p>
          <w:p w14:paraId="59E9BEFC" w14:textId="77777777" w:rsidR="00F92BED" w:rsidRPr="004E7E70" w:rsidRDefault="00F92BED" w:rsidP="00F92BED">
            <w:pPr>
              <w:spacing w:before="160"/>
              <w:rPr>
                <w:b/>
                <w:bCs/>
                <w:sz w:val="26"/>
                <w:szCs w:val="26"/>
              </w:rPr>
            </w:pPr>
            <w:r w:rsidRPr="004E7E70">
              <w:rPr>
                <w:b/>
                <w:bCs/>
                <w:sz w:val="26"/>
                <w:szCs w:val="26"/>
              </w:rPr>
              <w:t>Repercusiones financieras</w:t>
            </w:r>
          </w:p>
          <w:p w14:paraId="7750A628" w14:textId="6762EAC1" w:rsidR="00F92BED" w:rsidRPr="004E7E70" w:rsidRDefault="004E7E70" w:rsidP="00F92BED">
            <w:r w:rsidRPr="004E7E70">
              <w:t>Las exoneraciones de pago de la cuota de afiliación representan 160 000 CHF al año.</w:t>
            </w:r>
          </w:p>
          <w:p w14:paraId="6C0339D9" w14:textId="77777777" w:rsidR="00FE57F6" w:rsidRPr="004E7E70" w:rsidRDefault="00FE57F6" w:rsidP="00C538FC">
            <w:pPr>
              <w:spacing w:before="160"/>
              <w:rPr>
                <w:caps/>
                <w:sz w:val="22"/>
              </w:rPr>
            </w:pPr>
            <w:r w:rsidRPr="004E7E70">
              <w:rPr>
                <w:sz w:val="22"/>
              </w:rPr>
              <w:t>__________________</w:t>
            </w:r>
          </w:p>
          <w:p w14:paraId="52CF3AA2" w14:textId="2A18A967" w:rsidR="00FE57F6" w:rsidRPr="004E7E70" w:rsidRDefault="00F24B71" w:rsidP="00C538FC">
            <w:pPr>
              <w:spacing w:before="160"/>
              <w:rPr>
                <w:b/>
                <w:bCs/>
                <w:sz w:val="26"/>
                <w:szCs w:val="26"/>
              </w:rPr>
            </w:pPr>
            <w:r w:rsidRPr="004E7E70">
              <w:rPr>
                <w:b/>
                <w:bCs/>
                <w:sz w:val="26"/>
                <w:szCs w:val="26"/>
              </w:rPr>
              <w:t>Referencia</w:t>
            </w:r>
            <w:r w:rsidR="00F92BED" w:rsidRPr="004E7E70">
              <w:rPr>
                <w:b/>
                <w:bCs/>
                <w:sz w:val="26"/>
                <w:szCs w:val="26"/>
              </w:rPr>
              <w:t>s</w:t>
            </w:r>
          </w:p>
          <w:p w14:paraId="73093BFB" w14:textId="1F1EA958" w:rsidR="00FE57F6" w:rsidRPr="004E7E70" w:rsidRDefault="004E7E70" w:rsidP="00C538FC">
            <w:pPr>
              <w:spacing w:after="160"/>
              <w:rPr>
                <w:i/>
                <w:iCs/>
                <w:sz w:val="22"/>
                <w:szCs w:val="22"/>
              </w:rPr>
            </w:pPr>
            <w:r w:rsidRPr="004E7E70">
              <w:rPr>
                <w:i/>
                <w:iCs/>
                <w:sz w:val="22"/>
                <w:szCs w:val="22"/>
              </w:rPr>
              <w:t xml:space="preserve">Documento </w:t>
            </w:r>
            <w:hyperlink r:id="rId6" w:history="1">
              <w:proofErr w:type="spellStart"/>
              <w:r w:rsidRPr="00025E76">
                <w:rPr>
                  <w:rStyle w:val="StyleHyperlink11ptItalic"/>
                </w:rPr>
                <w:t>C2000</w:t>
              </w:r>
              <w:proofErr w:type="spellEnd"/>
              <w:r w:rsidRPr="00025E76">
                <w:rPr>
                  <w:rStyle w:val="StyleHyperlink11ptItalic"/>
                </w:rPr>
                <w:t>/28(</w:t>
              </w:r>
              <w:proofErr w:type="spellStart"/>
              <w:r w:rsidRPr="00025E76">
                <w:rPr>
                  <w:rStyle w:val="StyleHyperlink11ptItalic"/>
                </w:rPr>
                <w:t>Rev.1</w:t>
              </w:r>
              <w:proofErr w:type="spellEnd"/>
              <w:r w:rsidRPr="00025E76">
                <w:rPr>
                  <w:rStyle w:val="StyleHyperlink11ptItalic"/>
                </w:rPr>
                <w:t>)</w:t>
              </w:r>
            </w:hyperlink>
            <w:r w:rsidRPr="004E7E70">
              <w:rPr>
                <w:i/>
                <w:iCs/>
                <w:sz w:val="22"/>
                <w:szCs w:val="22"/>
              </w:rPr>
              <w:t xml:space="preserve">, </w:t>
            </w:r>
            <w:hyperlink r:id="rId7" w:history="1">
              <w:r w:rsidRPr="00025E76">
                <w:rPr>
                  <w:rStyle w:val="StyleHyperlink11ptItalic"/>
                </w:rPr>
                <w:t>Resolución 925 del Consejo</w:t>
              </w:r>
            </w:hyperlink>
            <w:r w:rsidRPr="004E7E70">
              <w:rPr>
                <w:i/>
                <w:iCs/>
                <w:sz w:val="22"/>
                <w:szCs w:val="22"/>
              </w:rPr>
              <w:t xml:space="preserve">, </w:t>
            </w:r>
            <w:hyperlink r:id="rId8" w:history="1">
              <w:r w:rsidRPr="00025E76">
                <w:rPr>
                  <w:rStyle w:val="StyleHyperlink11ptItalic"/>
                </w:rPr>
                <w:t>Criterios de exoneración del Consejo (Rev.</w:t>
              </w:r>
              <w:r w:rsidR="00025E76">
                <w:rPr>
                  <w:rStyle w:val="StyleHyperlink11ptItalic"/>
                </w:rPr>
                <w:t> </w:t>
              </w:r>
              <w:r w:rsidRPr="00025E76">
                <w:rPr>
                  <w:rStyle w:val="StyleHyperlink11ptItalic"/>
                </w:rPr>
                <w:t>2017)</w:t>
              </w:r>
            </w:hyperlink>
          </w:p>
        </w:tc>
      </w:tr>
      <w:bookmarkEnd w:id="0"/>
    </w:tbl>
    <w:p w14:paraId="23A45171" w14:textId="77777777" w:rsidR="00093EEB" w:rsidRPr="004E7E70" w:rsidRDefault="00093EEB"/>
    <w:p w14:paraId="71D519F0" w14:textId="77777777" w:rsidR="001559F5" w:rsidRPr="004E7E70" w:rsidRDefault="001559F5">
      <w:pPr>
        <w:tabs>
          <w:tab w:val="clear" w:pos="567"/>
          <w:tab w:val="clear" w:pos="1134"/>
          <w:tab w:val="clear" w:pos="1701"/>
          <w:tab w:val="clear" w:pos="2268"/>
          <w:tab w:val="clear" w:pos="2835"/>
        </w:tabs>
        <w:overflowPunct/>
        <w:autoSpaceDE/>
        <w:autoSpaceDN/>
        <w:adjustRightInd/>
        <w:spacing w:before="0"/>
        <w:textAlignment w:val="auto"/>
      </w:pPr>
      <w:r w:rsidRPr="004E7E70">
        <w:br w:type="page"/>
      </w:r>
    </w:p>
    <w:p w14:paraId="7CABBFDD" w14:textId="77777777" w:rsidR="004E7E70" w:rsidRPr="004E7E70" w:rsidRDefault="004E7E70" w:rsidP="004E7E70">
      <w:pPr>
        <w:pStyle w:val="Heading1"/>
      </w:pPr>
      <w:r w:rsidRPr="004E7E70">
        <w:rPr>
          <w:bCs/>
        </w:rPr>
        <w:lastRenderedPageBreak/>
        <w:t>1</w:t>
      </w:r>
      <w:r w:rsidRPr="004E7E70">
        <w:tab/>
      </w:r>
      <w:r w:rsidRPr="004E7E70">
        <w:rPr>
          <w:bCs/>
        </w:rPr>
        <w:t>Antecedentes</w:t>
      </w:r>
    </w:p>
    <w:p w14:paraId="63EC82FC" w14:textId="0C5503AF" w:rsidR="004E7E70" w:rsidRPr="004E7E70" w:rsidRDefault="004E7E70" w:rsidP="00025E76">
      <w:pPr>
        <w:jc w:val="both"/>
      </w:pPr>
      <w:r w:rsidRPr="004E7E70">
        <w:t>1.1</w:t>
      </w:r>
      <w:r w:rsidRPr="004E7E70">
        <w:tab/>
        <w:t xml:space="preserve">Cada año, la UIT recibe solicitudes de organizaciones de carácter internacional relativas a la exoneración de pago de las cuotas de afiliación y de otras contribuciones financieras a la Unión. Estas solicitudes se examinan con arreglo al procedimiento establecido por el Consejo en su reunión de 2000 (Documento </w:t>
      </w:r>
      <w:hyperlink r:id="rId9" w:history="1">
        <w:r w:rsidRPr="004E7E70">
          <w:rPr>
            <w:rStyle w:val="Hyperlink"/>
          </w:rPr>
          <w:t>C2000/28(Rev.1)</w:t>
        </w:r>
      </w:hyperlink>
      <w:r w:rsidRPr="004E7E70">
        <w:t>) y de conformidad con el número</w:t>
      </w:r>
      <w:r w:rsidR="003272F1">
        <w:t> </w:t>
      </w:r>
      <w:r w:rsidRPr="004E7E70">
        <w:t xml:space="preserve">476 del Convenio y la </w:t>
      </w:r>
      <w:hyperlink r:id="rId10" w:history="1">
        <w:r w:rsidRPr="004E7E70">
          <w:rPr>
            <w:rStyle w:val="Hyperlink"/>
          </w:rPr>
          <w:t>Resolución 925 del Consejo</w:t>
        </w:r>
      </w:hyperlink>
      <w:r w:rsidRPr="004E7E70">
        <w:t>, así como los criterios establecidos por el Consejo, revisados en 2017 (véase el punto 1.5 a continuación).</w:t>
      </w:r>
    </w:p>
    <w:p w14:paraId="0369E793" w14:textId="52103B0B" w:rsidR="004E7E70" w:rsidRPr="004E7E70" w:rsidRDefault="004E7E70" w:rsidP="00025E76">
      <w:pPr>
        <w:jc w:val="both"/>
      </w:pPr>
      <w:r w:rsidRPr="004E7E70">
        <w:t>1.2</w:t>
      </w:r>
      <w:r w:rsidRPr="004E7E70">
        <w:tab/>
        <w:t>El Consejo concede la exoneración del pago de contribuciones a raíz del análisis de las Oficinas pertinentes y de una recomendación del Secretario General. Si son aprobadas, esas organizaciones pasan a ser Miembros de Sector o Asociados en virtud del número 231 del Convenio.</w:t>
      </w:r>
    </w:p>
    <w:p w14:paraId="10E5A6B5" w14:textId="77777777" w:rsidR="004E7E70" w:rsidRPr="004E7E70" w:rsidRDefault="004E7E70" w:rsidP="00025E76">
      <w:pPr>
        <w:jc w:val="both"/>
      </w:pPr>
      <w:r w:rsidRPr="004E7E70">
        <w:t>1.3</w:t>
      </w:r>
      <w:r w:rsidRPr="004E7E70">
        <w:tab/>
        <w:t xml:space="preserve">Actualmente hay 137 organizaciones de carácter internacional que gozan de exoneración. Se puede consultar la lista completa </w:t>
      </w:r>
      <w:r w:rsidRPr="00314826">
        <w:t>aquí</w:t>
      </w:r>
      <w:r w:rsidRPr="004E7E70">
        <w:t>.</w:t>
      </w:r>
    </w:p>
    <w:p w14:paraId="553918FD" w14:textId="53B5FCD9" w:rsidR="004E7E70" w:rsidRPr="004E7E70" w:rsidRDefault="004E7E70" w:rsidP="00025E76">
      <w:pPr>
        <w:jc w:val="both"/>
      </w:pPr>
      <w:r w:rsidRPr="004E7E70">
        <w:t>1.4</w:t>
      </w:r>
      <w:r w:rsidRPr="004E7E70">
        <w:tab/>
        <w:t>En su Resolución 187 (Busán, 2014), la Conferencia de Plenipotenciarios de 2014 encargó al Consejo "que examine la práctica y los criterios para exonerar a las entidades del pago de contribuciones y, de ser necesario, realice los cambios para hacer más estrictos los criterios de admisibilidad a fin de aportar mayor claridad, coherencia y equidad entre los miembros que pagan y que no pagan, y reducir el número total de entidades exoneradas".</w:t>
      </w:r>
    </w:p>
    <w:p w14:paraId="0A807456" w14:textId="541C2CF5" w:rsidR="004E7E70" w:rsidRPr="004E7E70" w:rsidRDefault="004E7E70" w:rsidP="00025E76">
      <w:pPr>
        <w:jc w:val="both"/>
      </w:pPr>
      <w:r w:rsidRPr="004E7E70">
        <w:t>1.5</w:t>
      </w:r>
      <w:r w:rsidRPr="004E7E70">
        <w:tab/>
        <w:t xml:space="preserve">En su reunión de 2017, el Consejo aprobó los criterios revisados, que se pueden </w:t>
      </w:r>
      <w:r w:rsidRPr="00314826">
        <w:t>consultar</w:t>
      </w:r>
      <w:r w:rsidR="00D508E6">
        <w:t xml:space="preserve"> </w:t>
      </w:r>
      <w:hyperlink r:id="rId11" w:history="1">
        <w:r w:rsidR="001D55B1">
          <w:rPr>
            <w:rStyle w:val="Hyperlink"/>
          </w:rPr>
          <w:t>aquí</w:t>
        </w:r>
      </w:hyperlink>
      <w:r w:rsidRPr="004E7E70">
        <w:t>. Desde entonces, en cada reunión del Consejo se examinan las nuevas solicitudes con arreglo a estos criterios.</w:t>
      </w:r>
    </w:p>
    <w:p w14:paraId="7CFBB339" w14:textId="77777777" w:rsidR="004E7E70" w:rsidRPr="004E7E70" w:rsidRDefault="004E7E70" w:rsidP="00025E76">
      <w:pPr>
        <w:jc w:val="both"/>
      </w:pPr>
      <w:r w:rsidRPr="004E7E70">
        <w:t>1.6</w:t>
      </w:r>
      <w:r w:rsidRPr="004E7E70">
        <w:tab/>
        <w:t>En este documento solo se abordan las nuevas solicitudes de exoneración de pago de la cuota presentadas desde el último Consejo.</w:t>
      </w:r>
    </w:p>
    <w:p w14:paraId="5F178372" w14:textId="77777777" w:rsidR="004E7E70" w:rsidRPr="004E7E70" w:rsidRDefault="004E7E70" w:rsidP="004E7E70">
      <w:pPr>
        <w:pStyle w:val="Heading1"/>
      </w:pPr>
      <w:r w:rsidRPr="004E7E70">
        <w:rPr>
          <w:bCs/>
        </w:rPr>
        <w:t>2</w:t>
      </w:r>
      <w:r w:rsidRPr="004E7E70">
        <w:tab/>
      </w:r>
      <w:r w:rsidRPr="004E7E70">
        <w:rPr>
          <w:bCs/>
        </w:rPr>
        <w:t>Nuevas solicitudes y recomendaciones</w:t>
      </w:r>
    </w:p>
    <w:p w14:paraId="241AA26E" w14:textId="77777777" w:rsidR="004E7E70" w:rsidRPr="004E7E70" w:rsidRDefault="004E7E70" w:rsidP="003272F1">
      <w:pPr>
        <w:pStyle w:val="Headingb"/>
        <w:spacing w:after="120"/>
      </w:pPr>
      <w:r w:rsidRPr="004E7E70">
        <w:rPr>
          <w:bCs/>
        </w:rPr>
        <w:t>2.1</w:t>
      </w:r>
    </w:p>
    <w:tbl>
      <w:tblPr>
        <w:tblStyle w:val="TableGrid"/>
        <w:tblW w:w="0" w:type="auto"/>
        <w:tblLayout w:type="fixed"/>
        <w:tblLook w:val="04A0" w:firstRow="1" w:lastRow="0" w:firstColumn="1" w:lastColumn="0" w:noHBand="0" w:noVBand="1"/>
      </w:tblPr>
      <w:tblGrid>
        <w:gridCol w:w="3020"/>
        <w:gridCol w:w="3020"/>
        <w:gridCol w:w="3021"/>
      </w:tblGrid>
      <w:tr w:rsidR="004E7E70" w:rsidRPr="004E7E70" w14:paraId="02DC6383" w14:textId="77777777" w:rsidTr="00B3656F">
        <w:tc>
          <w:tcPr>
            <w:tcW w:w="3020" w:type="dxa"/>
          </w:tcPr>
          <w:p w14:paraId="2CD60CA9" w14:textId="77777777" w:rsidR="004E7E70" w:rsidRPr="004E7E70" w:rsidRDefault="004E7E70" w:rsidP="00B3656F">
            <w:pPr>
              <w:pStyle w:val="Tablehead"/>
            </w:pPr>
            <w:r w:rsidRPr="004E7E70">
              <w:rPr>
                <w:bCs/>
                <w:color w:val="000000"/>
              </w:rPr>
              <w:t>Organización</w:t>
            </w:r>
          </w:p>
        </w:tc>
        <w:tc>
          <w:tcPr>
            <w:tcW w:w="3020" w:type="dxa"/>
          </w:tcPr>
          <w:p w14:paraId="2AB079CD" w14:textId="77777777" w:rsidR="004E7E70" w:rsidRPr="004E7E70" w:rsidRDefault="004E7E70" w:rsidP="00B3656F">
            <w:pPr>
              <w:pStyle w:val="Tablehead"/>
            </w:pPr>
            <w:r w:rsidRPr="004E7E70">
              <w:rPr>
                <w:bCs/>
                <w:color w:val="000000"/>
              </w:rPr>
              <w:t>Sector</w:t>
            </w:r>
          </w:p>
        </w:tc>
        <w:tc>
          <w:tcPr>
            <w:tcW w:w="3021" w:type="dxa"/>
          </w:tcPr>
          <w:p w14:paraId="4F3D6F1C" w14:textId="77777777" w:rsidR="004E7E70" w:rsidRPr="004E7E70" w:rsidRDefault="004E7E70" w:rsidP="00B3656F">
            <w:pPr>
              <w:pStyle w:val="Tablehead"/>
            </w:pPr>
            <w:r w:rsidRPr="004E7E70">
              <w:rPr>
                <w:bCs/>
                <w:color w:val="000000"/>
              </w:rPr>
              <w:t>Recomendación</w:t>
            </w:r>
          </w:p>
        </w:tc>
      </w:tr>
      <w:tr w:rsidR="004E7E70" w:rsidRPr="004E7E70" w14:paraId="5B7D0795" w14:textId="77777777" w:rsidTr="00B3656F">
        <w:tc>
          <w:tcPr>
            <w:tcW w:w="3020" w:type="dxa"/>
            <w:vAlign w:val="center"/>
          </w:tcPr>
          <w:p w14:paraId="5BE24000" w14:textId="77777777" w:rsidR="004E7E70" w:rsidRPr="004E7E70" w:rsidRDefault="004E7E70" w:rsidP="004E7E70">
            <w:pPr>
              <w:pStyle w:val="Tabletext"/>
              <w:jc w:val="center"/>
              <w:rPr>
                <w:b/>
                <w:bCs/>
              </w:rPr>
            </w:pPr>
            <w:r w:rsidRPr="004E7E70">
              <w:rPr>
                <w:b/>
                <w:bCs/>
              </w:rPr>
              <w:t>Article19</w:t>
            </w:r>
          </w:p>
        </w:tc>
        <w:tc>
          <w:tcPr>
            <w:tcW w:w="3020" w:type="dxa"/>
            <w:vAlign w:val="center"/>
          </w:tcPr>
          <w:p w14:paraId="11BE2EAD" w14:textId="77777777" w:rsidR="004E7E70" w:rsidRPr="004E7E70" w:rsidRDefault="004E7E70" w:rsidP="004E7E70">
            <w:pPr>
              <w:pStyle w:val="Tabletext"/>
              <w:jc w:val="center"/>
            </w:pPr>
            <w:r w:rsidRPr="004E7E70">
              <w:t>UIT-R</w:t>
            </w:r>
          </w:p>
        </w:tc>
        <w:tc>
          <w:tcPr>
            <w:tcW w:w="3021" w:type="dxa"/>
            <w:vAlign w:val="center"/>
          </w:tcPr>
          <w:p w14:paraId="481151D4" w14:textId="77777777" w:rsidR="004E7E70" w:rsidRPr="004E7E70" w:rsidRDefault="004E7E70" w:rsidP="004E7E70">
            <w:pPr>
              <w:pStyle w:val="Tabletext"/>
              <w:jc w:val="center"/>
            </w:pPr>
            <w:r w:rsidRPr="004E7E70">
              <w:t>No</w:t>
            </w:r>
          </w:p>
        </w:tc>
      </w:tr>
    </w:tbl>
    <w:p w14:paraId="76EC069E" w14:textId="77777777" w:rsidR="00025E76" w:rsidRDefault="00025E76" w:rsidP="00025E76">
      <w:pPr>
        <w:pStyle w:val="Tablefin"/>
      </w:pPr>
    </w:p>
    <w:p w14:paraId="6698C99A" w14:textId="712A181D" w:rsidR="004E7E70" w:rsidRPr="004E7E70" w:rsidRDefault="004E7E70" w:rsidP="00025E76">
      <w:pPr>
        <w:jc w:val="both"/>
      </w:pPr>
      <w:proofErr w:type="spellStart"/>
      <w:r w:rsidRPr="004E7E70">
        <w:t>ARTICLE</w:t>
      </w:r>
      <w:proofErr w:type="spellEnd"/>
      <w:r w:rsidRPr="004E7E70">
        <w:t xml:space="preserve"> 19 es una entidad benéfica registrada en el Reino Unido. Se trata de una asociación internacional de organizaciones y particulares que trabaja en el ámbito de la libertad de expresión. En opinión de la Secretaría, esta entidad no cumple los criterios establecidos por el Consejo para la exoneración de pago de la cuota de afiliación, ya que no es una organización integrada por miembros.</w:t>
      </w:r>
    </w:p>
    <w:p w14:paraId="0E7AF70F" w14:textId="77777777" w:rsidR="004E7E70" w:rsidRPr="004E7E70" w:rsidRDefault="004E7E70" w:rsidP="002C3EE9">
      <w:pPr>
        <w:pStyle w:val="Headingb"/>
        <w:spacing w:after="120"/>
      </w:pPr>
      <w:r w:rsidRPr="004E7E70">
        <w:rPr>
          <w:bCs/>
        </w:rPr>
        <w:t>2.2</w:t>
      </w:r>
    </w:p>
    <w:tbl>
      <w:tblPr>
        <w:tblStyle w:val="TableGrid"/>
        <w:tblW w:w="0" w:type="auto"/>
        <w:tblLayout w:type="fixed"/>
        <w:tblLook w:val="04A0" w:firstRow="1" w:lastRow="0" w:firstColumn="1" w:lastColumn="0" w:noHBand="0" w:noVBand="1"/>
      </w:tblPr>
      <w:tblGrid>
        <w:gridCol w:w="3964"/>
        <w:gridCol w:w="2548"/>
        <w:gridCol w:w="2549"/>
      </w:tblGrid>
      <w:tr w:rsidR="004E7E70" w:rsidRPr="004E7E70" w14:paraId="79D357D3" w14:textId="77777777" w:rsidTr="00B3656F">
        <w:tc>
          <w:tcPr>
            <w:tcW w:w="3964" w:type="dxa"/>
          </w:tcPr>
          <w:p w14:paraId="1E64B352" w14:textId="77777777" w:rsidR="004E7E70" w:rsidRPr="004E7E70" w:rsidRDefault="004E7E70" w:rsidP="002C3EE9">
            <w:pPr>
              <w:pStyle w:val="Tablehead"/>
            </w:pPr>
            <w:r w:rsidRPr="004E7E70">
              <w:rPr>
                <w:bCs/>
                <w:color w:val="000000"/>
              </w:rPr>
              <w:t>Organización</w:t>
            </w:r>
          </w:p>
        </w:tc>
        <w:tc>
          <w:tcPr>
            <w:tcW w:w="2548" w:type="dxa"/>
          </w:tcPr>
          <w:p w14:paraId="18402576" w14:textId="77777777" w:rsidR="004E7E70" w:rsidRPr="004E7E70" w:rsidRDefault="004E7E70" w:rsidP="002C3EE9">
            <w:pPr>
              <w:pStyle w:val="Tablehead"/>
            </w:pPr>
            <w:r w:rsidRPr="004E7E70">
              <w:rPr>
                <w:bCs/>
                <w:color w:val="000000"/>
              </w:rPr>
              <w:t>Sector</w:t>
            </w:r>
          </w:p>
        </w:tc>
        <w:tc>
          <w:tcPr>
            <w:tcW w:w="2549" w:type="dxa"/>
          </w:tcPr>
          <w:p w14:paraId="6FE9DD15" w14:textId="77777777" w:rsidR="004E7E70" w:rsidRPr="004E7E70" w:rsidRDefault="004E7E70" w:rsidP="002C3EE9">
            <w:pPr>
              <w:pStyle w:val="Tablehead"/>
            </w:pPr>
            <w:r w:rsidRPr="004E7E70">
              <w:rPr>
                <w:bCs/>
                <w:color w:val="000000"/>
              </w:rPr>
              <w:t>Recomendación</w:t>
            </w:r>
          </w:p>
        </w:tc>
      </w:tr>
      <w:tr w:rsidR="004E7E70" w:rsidRPr="004E7E70" w14:paraId="600DA133" w14:textId="77777777" w:rsidTr="00B3656F">
        <w:tc>
          <w:tcPr>
            <w:tcW w:w="3964" w:type="dxa"/>
            <w:vAlign w:val="center"/>
          </w:tcPr>
          <w:p w14:paraId="3BDD3AC1" w14:textId="77777777" w:rsidR="004E7E70" w:rsidRPr="00314826" w:rsidRDefault="004E7E70" w:rsidP="002C3EE9">
            <w:pPr>
              <w:pStyle w:val="Tabletext"/>
              <w:keepNext/>
              <w:keepLines/>
              <w:jc w:val="center"/>
              <w:rPr>
                <w:b/>
                <w:bCs/>
                <w:lang w:val="en-GB"/>
              </w:rPr>
            </w:pPr>
            <w:r w:rsidRPr="00314826">
              <w:rPr>
                <w:b/>
                <w:bCs/>
                <w:lang w:val="en-GB"/>
              </w:rPr>
              <w:t>ATSC The Broadcast Standards Association</w:t>
            </w:r>
          </w:p>
        </w:tc>
        <w:tc>
          <w:tcPr>
            <w:tcW w:w="2548" w:type="dxa"/>
            <w:vAlign w:val="center"/>
          </w:tcPr>
          <w:p w14:paraId="3123D6C1" w14:textId="77777777" w:rsidR="004E7E70" w:rsidRPr="004E7E70" w:rsidRDefault="004E7E70" w:rsidP="002C3EE9">
            <w:pPr>
              <w:pStyle w:val="Tabletext"/>
              <w:keepNext/>
              <w:keepLines/>
              <w:jc w:val="center"/>
            </w:pPr>
            <w:r w:rsidRPr="004E7E70">
              <w:t>UIT-R</w:t>
            </w:r>
          </w:p>
        </w:tc>
        <w:tc>
          <w:tcPr>
            <w:tcW w:w="2549" w:type="dxa"/>
            <w:vAlign w:val="center"/>
          </w:tcPr>
          <w:p w14:paraId="46F27F62" w14:textId="77777777" w:rsidR="004E7E70" w:rsidRPr="004E7E70" w:rsidRDefault="004E7E70" w:rsidP="002C3EE9">
            <w:pPr>
              <w:pStyle w:val="Tabletext"/>
              <w:keepNext/>
              <w:keepLines/>
              <w:jc w:val="center"/>
            </w:pPr>
            <w:r w:rsidRPr="004E7E70">
              <w:t>No</w:t>
            </w:r>
          </w:p>
        </w:tc>
      </w:tr>
    </w:tbl>
    <w:p w14:paraId="1F94B8A3" w14:textId="77777777" w:rsidR="00025E76" w:rsidRDefault="00025E76" w:rsidP="00025E76">
      <w:pPr>
        <w:pStyle w:val="Tablefin"/>
      </w:pPr>
    </w:p>
    <w:p w14:paraId="05EE1020" w14:textId="77777777" w:rsidR="004E7E70" w:rsidRPr="002060B2" w:rsidRDefault="004E7E70" w:rsidP="002060B2">
      <w:pPr>
        <w:jc w:val="both"/>
        <w:rPr>
          <w:rFonts w:eastAsia="Calibri" w:cs="Calibri"/>
          <w:color w:val="000000" w:themeColor="text1"/>
          <w:spacing w:val="-2"/>
          <w:szCs w:val="24"/>
        </w:rPr>
      </w:pPr>
      <w:proofErr w:type="spellStart"/>
      <w:r w:rsidRPr="002060B2">
        <w:rPr>
          <w:spacing w:val="-2"/>
        </w:rPr>
        <w:lastRenderedPageBreak/>
        <w:t>ATSC</w:t>
      </w:r>
      <w:proofErr w:type="spellEnd"/>
      <w:r w:rsidRPr="002060B2">
        <w:rPr>
          <w:spacing w:val="-2"/>
        </w:rPr>
        <w:t xml:space="preserve">, </w:t>
      </w:r>
      <w:proofErr w:type="spellStart"/>
      <w:r w:rsidRPr="002060B2">
        <w:rPr>
          <w:spacing w:val="-2"/>
        </w:rPr>
        <w:t>the</w:t>
      </w:r>
      <w:proofErr w:type="spellEnd"/>
      <w:r w:rsidRPr="002060B2">
        <w:rPr>
          <w:spacing w:val="-2"/>
        </w:rPr>
        <w:t xml:space="preserve"> Broadcast </w:t>
      </w:r>
      <w:proofErr w:type="spellStart"/>
      <w:r w:rsidRPr="002060B2">
        <w:rPr>
          <w:spacing w:val="-2"/>
        </w:rPr>
        <w:t>Standards</w:t>
      </w:r>
      <w:proofErr w:type="spellEnd"/>
      <w:r w:rsidRPr="002060B2">
        <w:rPr>
          <w:spacing w:val="-2"/>
        </w:rPr>
        <w:t xml:space="preserve"> Association, es una organización internacional sin ánimo de lucro que elabora normas voluntarias y prácticas recomendadas para la radiodifusión de multimedios. La ATSC dirige la integración fluida de las normas de radiodifusión y telecomunicaciones para impulsar la industria. La ATSC fue fundada en 1983 por las organizaciones miembros del Comité Conjunto de Coordinación Intersocietaria (Joint Committe on InterSociety Coordination, JCIC): la Asociación de Tecnología del Consumidor (Consumer Technology Association, CTA), el Instituto de Ingenieros Electricistas y Electrónicos (IEEE), la Asociación Nacional de Radiodifusores de los Estados Unidos (National Association of Broadcasters, NAB), la Asociación de Internet y Televisión (Internet &amp; Television Association, NCTA) y la Sociedad de Ingenieros de Cine y Televisión (Society of Motion Picture and Television Engineers, SMPTE). Como asociación empresarial internacional de organizaciones con ánimo de lucro principalmente, la Secretaría considera que esta entidad no cumple los criterios establecidos por el Consejo para la exoneración de pago de la cuota de afiliación.</w:t>
      </w:r>
    </w:p>
    <w:p w14:paraId="18ED5300" w14:textId="77777777" w:rsidR="004E7E70" w:rsidRPr="004E7E70" w:rsidRDefault="004E7E70" w:rsidP="003272F1">
      <w:pPr>
        <w:pStyle w:val="Headingb"/>
        <w:spacing w:after="120"/>
      </w:pPr>
      <w:r w:rsidRPr="004E7E70">
        <w:rPr>
          <w:bCs/>
        </w:rPr>
        <w:t>2.3</w:t>
      </w:r>
    </w:p>
    <w:tbl>
      <w:tblPr>
        <w:tblStyle w:val="TableGrid"/>
        <w:tblW w:w="0" w:type="auto"/>
        <w:tblLayout w:type="fixed"/>
        <w:tblLook w:val="04A0" w:firstRow="1" w:lastRow="0" w:firstColumn="1" w:lastColumn="0" w:noHBand="0" w:noVBand="1"/>
      </w:tblPr>
      <w:tblGrid>
        <w:gridCol w:w="3964"/>
        <w:gridCol w:w="2548"/>
        <w:gridCol w:w="2549"/>
      </w:tblGrid>
      <w:tr w:rsidR="004E7E70" w:rsidRPr="004E7E70" w14:paraId="2DD1181D" w14:textId="77777777" w:rsidTr="00B3656F">
        <w:tc>
          <w:tcPr>
            <w:tcW w:w="3964" w:type="dxa"/>
          </w:tcPr>
          <w:p w14:paraId="6395E364" w14:textId="77777777" w:rsidR="004E7E70" w:rsidRPr="004E7E70" w:rsidRDefault="004E7E70" w:rsidP="00B3656F">
            <w:pPr>
              <w:pStyle w:val="Tablehead"/>
            </w:pPr>
            <w:r w:rsidRPr="004E7E70">
              <w:rPr>
                <w:bCs/>
                <w:color w:val="000000"/>
              </w:rPr>
              <w:t>Organización</w:t>
            </w:r>
          </w:p>
        </w:tc>
        <w:tc>
          <w:tcPr>
            <w:tcW w:w="2548" w:type="dxa"/>
          </w:tcPr>
          <w:p w14:paraId="08415C9B" w14:textId="77777777" w:rsidR="004E7E70" w:rsidRPr="004E7E70" w:rsidRDefault="004E7E70" w:rsidP="00B3656F">
            <w:pPr>
              <w:pStyle w:val="Tablehead"/>
            </w:pPr>
            <w:r w:rsidRPr="004E7E70">
              <w:rPr>
                <w:bCs/>
                <w:color w:val="000000"/>
              </w:rPr>
              <w:t>Sector</w:t>
            </w:r>
          </w:p>
        </w:tc>
        <w:tc>
          <w:tcPr>
            <w:tcW w:w="2549" w:type="dxa"/>
          </w:tcPr>
          <w:p w14:paraId="4E8A61A7" w14:textId="77777777" w:rsidR="004E7E70" w:rsidRPr="004E7E70" w:rsidRDefault="004E7E70" w:rsidP="00B3656F">
            <w:pPr>
              <w:pStyle w:val="Tablehead"/>
            </w:pPr>
            <w:r w:rsidRPr="004E7E70">
              <w:rPr>
                <w:bCs/>
                <w:color w:val="000000"/>
              </w:rPr>
              <w:t>Recomendación</w:t>
            </w:r>
          </w:p>
        </w:tc>
      </w:tr>
      <w:tr w:rsidR="004E7E70" w:rsidRPr="004E7E70" w14:paraId="32123585" w14:textId="77777777" w:rsidTr="00B3656F">
        <w:tc>
          <w:tcPr>
            <w:tcW w:w="3964" w:type="dxa"/>
            <w:vAlign w:val="center"/>
          </w:tcPr>
          <w:p w14:paraId="4996DF36" w14:textId="77777777" w:rsidR="004E7E70" w:rsidRPr="004E7E70" w:rsidRDefault="004E7E70" w:rsidP="004E7E70">
            <w:pPr>
              <w:pStyle w:val="Tabletext"/>
              <w:jc w:val="center"/>
              <w:rPr>
                <w:b/>
                <w:bCs/>
              </w:rPr>
            </w:pPr>
            <w:r w:rsidRPr="004E7E70">
              <w:rPr>
                <w:b/>
                <w:bCs/>
              </w:rPr>
              <w:t>The Cyber Institute</w:t>
            </w:r>
            <w:bookmarkStart w:id="1" w:name="_Int_7Fbf24l4"/>
            <w:bookmarkEnd w:id="1"/>
          </w:p>
        </w:tc>
        <w:tc>
          <w:tcPr>
            <w:tcW w:w="2548" w:type="dxa"/>
            <w:vAlign w:val="center"/>
          </w:tcPr>
          <w:p w14:paraId="3BFDE9D1" w14:textId="77777777" w:rsidR="004E7E70" w:rsidRPr="00314826" w:rsidRDefault="004E7E70" w:rsidP="004E7E70">
            <w:pPr>
              <w:pStyle w:val="Tabletext"/>
              <w:jc w:val="center"/>
              <w:rPr>
                <w:lang w:val="fr-FR"/>
              </w:rPr>
            </w:pPr>
            <w:r w:rsidRPr="00314826">
              <w:rPr>
                <w:lang w:val="fr-FR"/>
              </w:rPr>
              <w:t>UIT-R</w:t>
            </w:r>
          </w:p>
          <w:p w14:paraId="16FFD08B" w14:textId="77777777" w:rsidR="004E7E70" w:rsidRPr="00314826" w:rsidRDefault="004E7E70" w:rsidP="004E7E70">
            <w:pPr>
              <w:pStyle w:val="Tabletext"/>
              <w:jc w:val="center"/>
              <w:rPr>
                <w:lang w:val="fr-FR"/>
              </w:rPr>
            </w:pPr>
            <w:r w:rsidRPr="00314826">
              <w:rPr>
                <w:lang w:val="fr-FR"/>
              </w:rPr>
              <w:t>UIT-T</w:t>
            </w:r>
          </w:p>
          <w:p w14:paraId="6EF02143" w14:textId="77777777" w:rsidR="004E7E70" w:rsidRPr="00314826" w:rsidRDefault="004E7E70" w:rsidP="004E7E70">
            <w:pPr>
              <w:pStyle w:val="Tabletext"/>
              <w:jc w:val="center"/>
              <w:rPr>
                <w:lang w:val="fr-FR"/>
              </w:rPr>
            </w:pPr>
            <w:r w:rsidRPr="00314826">
              <w:rPr>
                <w:lang w:val="fr-FR"/>
              </w:rPr>
              <w:t>UIT-D</w:t>
            </w:r>
          </w:p>
        </w:tc>
        <w:tc>
          <w:tcPr>
            <w:tcW w:w="2549" w:type="dxa"/>
            <w:vAlign w:val="center"/>
          </w:tcPr>
          <w:p w14:paraId="0D38ED19" w14:textId="23858326" w:rsidR="004E7E70" w:rsidRPr="004E7E70" w:rsidRDefault="001D55B1" w:rsidP="004E7E70">
            <w:pPr>
              <w:pStyle w:val="Tabletext"/>
              <w:jc w:val="center"/>
            </w:pPr>
            <w:r>
              <w:t>No</w:t>
            </w:r>
          </w:p>
          <w:p w14:paraId="5BEC7EF8" w14:textId="5B2C9FB6" w:rsidR="004E7E70" w:rsidRPr="004E7E70" w:rsidRDefault="001D55B1" w:rsidP="004E7E70">
            <w:pPr>
              <w:pStyle w:val="Tabletext"/>
              <w:jc w:val="center"/>
            </w:pPr>
            <w:r>
              <w:t>No</w:t>
            </w:r>
          </w:p>
          <w:p w14:paraId="1ACFD45A" w14:textId="77777777" w:rsidR="004E7E70" w:rsidRPr="004E7E70" w:rsidRDefault="004E7E70" w:rsidP="004E7E70">
            <w:pPr>
              <w:pStyle w:val="Tabletext"/>
              <w:jc w:val="center"/>
            </w:pPr>
            <w:r w:rsidRPr="004E7E70">
              <w:t>Sí</w:t>
            </w:r>
          </w:p>
        </w:tc>
      </w:tr>
    </w:tbl>
    <w:p w14:paraId="277C0C2C" w14:textId="77777777" w:rsidR="00025E76" w:rsidRDefault="00025E76" w:rsidP="00025E76">
      <w:pPr>
        <w:pStyle w:val="Tablefin"/>
      </w:pPr>
    </w:p>
    <w:p w14:paraId="7F9C0B53" w14:textId="6B5BF527" w:rsidR="004E7E70" w:rsidRPr="002060B2" w:rsidRDefault="004E7E70" w:rsidP="00025E76">
      <w:pPr>
        <w:jc w:val="both"/>
        <w:rPr>
          <w:rFonts w:eastAsia="Calibri" w:cs="Calibri"/>
          <w:color w:val="000000" w:themeColor="text1"/>
          <w:spacing w:val="-2"/>
          <w:szCs w:val="24"/>
        </w:rPr>
      </w:pPr>
      <w:proofErr w:type="spellStart"/>
      <w:r w:rsidRPr="002060B2">
        <w:rPr>
          <w:spacing w:val="-2"/>
        </w:rPr>
        <w:t>The</w:t>
      </w:r>
      <w:proofErr w:type="spellEnd"/>
      <w:r w:rsidRPr="002060B2">
        <w:rPr>
          <w:spacing w:val="-2"/>
        </w:rPr>
        <w:t xml:space="preserve"> </w:t>
      </w:r>
      <w:proofErr w:type="spellStart"/>
      <w:r w:rsidRPr="002060B2">
        <w:rPr>
          <w:spacing w:val="-2"/>
        </w:rPr>
        <w:t>Cyber</w:t>
      </w:r>
      <w:proofErr w:type="spellEnd"/>
      <w:r w:rsidRPr="002060B2">
        <w:rPr>
          <w:spacing w:val="-2"/>
        </w:rPr>
        <w:t xml:space="preserve"> </w:t>
      </w:r>
      <w:proofErr w:type="spellStart"/>
      <w:r w:rsidRPr="002060B2">
        <w:rPr>
          <w:spacing w:val="-2"/>
        </w:rPr>
        <w:t>Institute</w:t>
      </w:r>
      <w:proofErr w:type="spellEnd"/>
      <w:r w:rsidR="00D508E6" w:rsidRPr="002060B2">
        <w:rPr>
          <w:spacing w:val="-2"/>
        </w:rPr>
        <w:t xml:space="preserve"> </w:t>
      </w:r>
      <w:r w:rsidRPr="002060B2">
        <w:rPr>
          <w:spacing w:val="-2"/>
        </w:rPr>
        <w:t xml:space="preserve">es una ONG internacional sin fines de lucro con sede en Nueva York que se dedica a promover la ciberpolítica, la cibereducación y el desarrollo cibernético de la fuerza de trabajo. </w:t>
      </w:r>
      <w:r w:rsidR="001D55B1" w:rsidRPr="002060B2">
        <w:rPr>
          <w:spacing w:val="-2"/>
        </w:rPr>
        <w:t xml:space="preserve">Cuenta con miembros institucionales de seis países y miembros particulares de más de 20 países de diferentes regiones. </w:t>
      </w:r>
      <w:r w:rsidRPr="002060B2">
        <w:rPr>
          <w:spacing w:val="-2"/>
        </w:rPr>
        <w:t xml:space="preserve">En opinión de la Secretaría, esta entidad cumple los criterios establecidos por el Consejo para la exoneración de pago de la cuota de afiliación al </w:t>
      </w:r>
      <w:r w:rsidR="001D55B1" w:rsidRPr="002060B2">
        <w:rPr>
          <w:spacing w:val="-2"/>
        </w:rPr>
        <w:t xml:space="preserve">UIT-D. Sin embargo, no se han demostrado beneficios recíprocos suficientes para el </w:t>
      </w:r>
      <w:r w:rsidRPr="002060B2">
        <w:rPr>
          <w:spacing w:val="-2"/>
        </w:rPr>
        <w:t>UIT-</w:t>
      </w:r>
      <w:r w:rsidR="001D55B1" w:rsidRPr="002060B2">
        <w:rPr>
          <w:spacing w:val="-2"/>
        </w:rPr>
        <w:t>R</w:t>
      </w:r>
      <w:r w:rsidRPr="002060B2">
        <w:rPr>
          <w:spacing w:val="-2"/>
        </w:rPr>
        <w:t xml:space="preserve"> y </w:t>
      </w:r>
      <w:r w:rsidR="0032208D" w:rsidRPr="002060B2">
        <w:rPr>
          <w:spacing w:val="-2"/>
        </w:rPr>
        <w:t xml:space="preserve">el </w:t>
      </w:r>
      <w:r w:rsidRPr="002060B2">
        <w:rPr>
          <w:spacing w:val="-2"/>
        </w:rPr>
        <w:t>UIT-</w:t>
      </w:r>
      <w:r w:rsidR="001D55B1" w:rsidRPr="002060B2">
        <w:rPr>
          <w:spacing w:val="-2"/>
        </w:rPr>
        <w:t>T</w:t>
      </w:r>
      <w:r w:rsidRPr="002060B2">
        <w:rPr>
          <w:spacing w:val="-2"/>
        </w:rPr>
        <w:t>.</w:t>
      </w:r>
    </w:p>
    <w:p w14:paraId="206B7174" w14:textId="77777777" w:rsidR="004E7E70" w:rsidRPr="004E7E70" w:rsidRDefault="004E7E70" w:rsidP="003272F1">
      <w:pPr>
        <w:pStyle w:val="Headingb"/>
        <w:spacing w:after="120"/>
      </w:pPr>
      <w:r w:rsidRPr="004E7E70">
        <w:rPr>
          <w:bCs/>
        </w:rPr>
        <w:t>2.4</w:t>
      </w:r>
    </w:p>
    <w:tbl>
      <w:tblPr>
        <w:tblStyle w:val="TableGrid"/>
        <w:tblW w:w="0" w:type="auto"/>
        <w:tblLayout w:type="fixed"/>
        <w:tblLook w:val="04A0" w:firstRow="1" w:lastRow="0" w:firstColumn="1" w:lastColumn="0" w:noHBand="0" w:noVBand="1"/>
      </w:tblPr>
      <w:tblGrid>
        <w:gridCol w:w="3964"/>
        <w:gridCol w:w="2548"/>
        <w:gridCol w:w="2549"/>
      </w:tblGrid>
      <w:tr w:rsidR="004E7E70" w:rsidRPr="004E7E70" w14:paraId="2F9BB387" w14:textId="77777777" w:rsidTr="00B3656F">
        <w:tc>
          <w:tcPr>
            <w:tcW w:w="3964" w:type="dxa"/>
          </w:tcPr>
          <w:p w14:paraId="54EC442F" w14:textId="77777777" w:rsidR="004E7E70" w:rsidRPr="004E7E70" w:rsidRDefault="004E7E70" w:rsidP="00B3656F">
            <w:pPr>
              <w:pStyle w:val="Tablehead"/>
            </w:pPr>
            <w:r w:rsidRPr="004E7E70">
              <w:rPr>
                <w:bCs/>
                <w:color w:val="000000"/>
              </w:rPr>
              <w:t>Organización</w:t>
            </w:r>
          </w:p>
        </w:tc>
        <w:tc>
          <w:tcPr>
            <w:tcW w:w="2548" w:type="dxa"/>
          </w:tcPr>
          <w:p w14:paraId="07009F23" w14:textId="77777777" w:rsidR="004E7E70" w:rsidRPr="004E7E70" w:rsidRDefault="004E7E70" w:rsidP="00B3656F">
            <w:pPr>
              <w:pStyle w:val="Tablehead"/>
            </w:pPr>
            <w:r w:rsidRPr="004E7E70">
              <w:rPr>
                <w:bCs/>
                <w:color w:val="000000"/>
              </w:rPr>
              <w:t>Sector</w:t>
            </w:r>
          </w:p>
        </w:tc>
        <w:tc>
          <w:tcPr>
            <w:tcW w:w="2549" w:type="dxa"/>
          </w:tcPr>
          <w:p w14:paraId="3DE5AFF2" w14:textId="77777777" w:rsidR="004E7E70" w:rsidRPr="004E7E70" w:rsidRDefault="004E7E70" w:rsidP="00B3656F">
            <w:pPr>
              <w:pStyle w:val="Tablehead"/>
            </w:pPr>
            <w:r w:rsidRPr="004E7E70">
              <w:rPr>
                <w:bCs/>
                <w:color w:val="000000"/>
              </w:rPr>
              <w:t>Recomendación</w:t>
            </w:r>
          </w:p>
        </w:tc>
      </w:tr>
      <w:tr w:rsidR="004E7E70" w:rsidRPr="004E7E70" w14:paraId="286C7AEC" w14:textId="77777777" w:rsidTr="00B3656F">
        <w:tc>
          <w:tcPr>
            <w:tcW w:w="3964" w:type="dxa"/>
            <w:vAlign w:val="center"/>
          </w:tcPr>
          <w:p w14:paraId="03430901" w14:textId="77777777" w:rsidR="004E7E70" w:rsidRPr="004E7E70" w:rsidRDefault="004E7E70" w:rsidP="004E7E70">
            <w:pPr>
              <w:pStyle w:val="Tabletext"/>
              <w:jc w:val="center"/>
              <w:rPr>
                <w:b/>
                <w:bCs/>
              </w:rPr>
            </w:pPr>
            <w:r w:rsidRPr="004E7E70">
              <w:rPr>
                <w:b/>
                <w:bCs/>
              </w:rPr>
              <w:t>Organización del Mundo Islámico para la Educación, la Ciencia y la Cultura (ICESCO)</w:t>
            </w:r>
          </w:p>
        </w:tc>
        <w:tc>
          <w:tcPr>
            <w:tcW w:w="2548" w:type="dxa"/>
            <w:vAlign w:val="center"/>
          </w:tcPr>
          <w:p w14:paraId="3DBD1F5D" w14:textId="77777777" w:rsidR="004E7E70" w:rsidRPr="004E7E70" w:rsidRDefault="004E7E70" w:rsidP="004E7E70">
            <w:pPr>
              <w:pStyle w:val="Tabletext"/>
              <w:jc w:val="center"/>
            </w:pPr>
            <w:r w:rsidRPr="004E7E70">
              <w:t>UIT-D</w:t>
            </w:r>
          </w:p>
        </w:tc>
        <w:tc>
          <w:tcPr>
            <w:tcW w:w="2549" w:type="dxa"/>
            <w:vAlign w:val="center"/>
          </w:tcPr>
          <w:p w14:paraId="1B690EE0" w14:textId="77777777" w:rsidR="004E7E70" w:rsidRPr="004E7E70" w:rsidRDefault="004E7E70" w:rsidP="004E7E70">
            <w:pPr>
              <w:pStyle w:val="Tabletext"/>
              <w:jc w:val="center"/>
            </w:pPr>
            <w:r w:rsidRPr="004E7E70">
              <w:t>Sí</w:t>
            </w:r>
          </w:p>
        </w:tc>
      </w:tr>
    </w:tbl>
    <w:p w14:paraId="5CEBCE59" w14:textId="77777777" w:rsidR="00025E76" w:rsidRDefault="00025E76" w:rsidP="00025E76">
      <w:pPr>
        <w:pStyle w:val="Tablefin"/>
      </w:pPr>
    </w:p>
    <w:p w14:paraId="64B47784" w14:textId="77777777" w:rsidR="004E7E70" w:rsidRPr="004E7E70" w:rsidRDefault="004E7E70" w:rsidP="00025E76">
      <w:pPr>
        <w:jc w:val="both"/>
        <w:rPr>
          <w:rFonts w:eastAsia="Calibri" w:cs="Calibri"/>
          <w:color w:val="000000" w:themeColor="text1"/>
          <w:szCs w:val="24"/>
        </w:rPr>
      </w:pPr>
      <w:r w:rsidRPr="004E7E70">
        <w:t>La Organización Mundial Islámica para la Educación, la Ciencia y la Cultura (ICESCO) es una organización especializada formada por 53 Estados miembros que funciona bajo los auspicios de la Organización de Cooperación Islámica (OCI) y se ocupa de las esferas de la educación, la ciencia, la cultura y la comunicación en los países islámicos para respaldar y fortalecer las relaciones entre los Estados miembros. La sede de la Organización se encuentra en Rabat. Como organización internacional de Estados miembros, la Secretaría considera que esta entidad cumple los criterios establecidos por el Consejo para la exoneración de pago de la cuota de afiliación.</w:t>
      </w:r>
    </w:p>
    <w:p w14:paraId="7A59DD3D" w14:textId="77777777" w:rsidR="004E7E70" w:rsidRPr="004E7E70" w:rsidRDefault="004E7E70" w:rsidP="003272F1">
      <w:pPr>
        <w:pStyle w:val="Headingb"/>
        <w:spacing w:after="120"/>
      </w:pPr>
      <w:r w:rsidRPr="004E7E70">
        <w:rPr>
          <w:bCs/>
        </w:rPr>
        <w:lastRenderedPageBreak/>
        <w:t>2.5</w:t>
      </w:r>
    </w:p>
    <w:tbl>
      <w:tblPr>
        <w:tblStyle w:val="TableGrid"/>
        <w:tblW w:w="0" w:type="auto"/>
        <w:tblLayout w:type="fixed"/>
        <w:tblLook w:val="04A0" w:firstRow="1" w:lastRow="0" w:firstColumn="1" w:lastColumn="0" w:noHBand="0" w:noVBand="1"/>
      </w:tblPr>
      <w:tblGrid>
        <w:gridCol w:w="3964"/>
        <w:gridCol w:w="2548"/>
        <w:gridCol w:w="2549"/>
      </w:tblGrid>
      <w:tr w:rsidR="004E7E70" w:rsidRPr="004E7E70" w14:paraId="5A2C49A4" w14:textId="77777777" w:rsidTr="00B3656F">
        <w:tc>
          <w:tcPr>
            <w:tcW w:w="3964" w:type="dxa"/>
          </w:tcPr>
          <w:p w14:paraId="648968A4" w14:textId="77777777" w:rsidR="004E7E70" w:rsidRPr="004E7E70" w:rsidRDefault="004E7E70" w:rsidP="00B3656F">
            <w:pPr>
              <w:pStyle w:val="Tablehead"/>
            </w:pPr>
            <w:r w:rsidRPr="004E7E70">
              <w:rPr>
                <w:bCs/>
                <w:color w:val="000000"/>
              </w:rPr>
              <w:t>Organización</w:t>
            </w:r>
          </w:p>
        </w:tc>
        <w:tc>
          <w:tcPr>
            <w:tcW w:w="2548" w:type="dxa"/>
          </w:tcPr>
          <w:p w14:paraId="0680429C" w14:textId="77777777" w:rsidR="004E7E70" w:rsidRPr="004E7E70" w:rsidRDefault="004E7E70" w:rsidP="00B3656F">
            <w:pPr>
              <w:pStyle w:val="Tablehead"/>
            </w:pPr>
            <w:r w:rsidRPr="004E7E70">
              <w:rPr>
                <w:bCs/>
                <w:color w:val="000000"/>
              </w:rPr>
              <w:t>Sector</w:t>
            </w:r>
          </w:p>
        </w:tc>
        <w:tc>
          <w:tcPr>
            <w:tcW w:w="2549" w:type="dxa"/>
          </w:tcPr>
          <w:p w14:paraId="018804C9" w14:textId="77777777" w:rsidR="004E7E70" w:rsidRPr="004E7E70" w:rsidRDefault="004E7E70" w:rsidP="00B3656F">
            <w:pPr>
              <w:pStyle w:val="Tablehead"/>
            </w:pPr>
            <w:r w:rsidRPr="004E7E70">
              <w:rPr>
                <w:bCs/>
                <w:color w:val="000000"/>
              </w:rPr>
              <w:t>Recomendación</w:t>
            </w:r>
          </w:p>
        </w:tc>
      </w:tr>
      <w:tr w:rsidR="004E7E70" w:rsidRPr="004E7E70" w14:paraId="04AF943B" w14:textId="77777777" w:rsidTr="00B3656F">
        <w:tc>
          <w:tcPr>
            <w:tcW w:w="3964" w:type="dxa"/>
            <w:vAlign w:val="center"/>
          </w:tcPr>
          <w:p w14:paraId="70120260" w14:textId="77777777" w:rsidR="004E7E70" w:rsidRPr="004E7E70" w:rsidRDefault="004E7E70" w:rsidP="004E7E70">
            <w:pPr>
              <w:pStyle w:val="Tabletext"/>
              <w:jc w:val="center"/>
              <w:rPr>
                <w:b/>
                <w:bCs/>
                <w:lang w:val="en-GB"/>
              </w:rPr>
            </w:pPr>
            <w:r w:rsidRPr="004E7E70">
              <w:rPr>
                <w:b/>
                <w:bCs/>
                <w:lang w:val="en-GB"/>
              </w:rPr>
              <w:t xml:space="preserve">South Asian Regional Standards Organization </w:t>
            </w:r>
            <w:r w:rsidRPr="004E7E70">
              <w:rPr>
                <w:b/>
                <w:bCs/>
                <w:color w:val="000000"/>
                <w:lang w:val="en-GB"/>
              </w:rPr>
              <w:t>(SARSO)</w:t>
            </w:r>
          </w:p>
        </w:tc>
        <w:tc>
          <w:tcPr>
            <w:tcW w:w="2548" w:type="dxa"/>
            <w:vAlign w:val="center"/>
          </w:tcPr>
          <w:p w14:paraId="7DF21475" w14:textId="77777777" w:rsidR="004E7E70" w:rsidRPr="004E7E70" w:rsidRDefault="004E7E70" w:rsidP="004E7E70">
            <w:pPr>
              <w:pStyle w:val="Tabletext"/>
              <w:jc w:val="center"/>
            </w:pPr>
            <w:r w:rsidRPr="004E7E70">
              <w:rPr>
                <w:color w:val="000000"/>
              </w:rPr>
              <w:t>UIT-T</w:t>
            </w:r>
          </w:p>
        </w:tc>
        <w:tc>
          <w:tcPr>
            <w:tcW w:w="2549" w:type="dxa"/>
            <w:vAlign w:val="center"/>
          </w:tcPr>
          <w:p w14:paraId="4B07C8CF" w14:textId="77777777" w:rsidR="004E7E70" w:rsidRPr="004E7E70" w:rsidRDefault="004E7E70" w:rsidP="004E7E70">
            <w:pPr>
              <w:pStyle w:val="Tabletext"/>
              <w:jc w:val="center"/>
            </w:pPr>
            <w:r w:rsidRPr="004E7E70">
              <w:rPr>
                <w:color w:val="000000"/>
              </w:rPr>
              <w:t>Sí</w:t>
            </w:r>
          </w:p>
        </w:tc>
      </w:tr>
    </w:tbl>
    <w:p w14:paraId="5D58086B" w14:textId="77777777" w:rsidR="00025E76" w:rsidRDefault="00025E76" w:rsidP="00025E76">
      <w:pPr>
        <w:pStyle w:val="Tablefin"/>
      </w:pPr>
    </w:p>
    <w:p w14:paraId="5ED6458B" w14:textId="77777777" w:rsidR="004E7E70" w:rsidRPr="004E7E70" w:rsidRDefault="004E7E70" w:rsidP="00025E76">
      <w:pPr>
        <w:jc w:val="both"/>
        <w:rPr>
          <w:rFonts w:eastAsia="Calibri" w:cs="Calibri"/>
          <w:color w:val="000000" w:themeColor="text1"/>
          <w:szCs w:val="24"/>
        </w:rPr>
      </w:pPr>
      <w:r w:rsidRPr="004E7E70">
        <w:t>La Organización Regional de Normalización de Asia Meridional (South Asian Regional Standards Organization, SARSO) es un órgano especializado de la Asociación de Asia Meridional para la Cooperación Regional (SAARC). La SARSO se creó con el objetivo de hacer realidad y mejorar la coordinación y cooperación entre los países miembros de la SAARC en los ámbitos de la normalización y la evaluación de la conformidad. Como organización regional de Estados Miembros, la Secretaría considera que esta entidad cumple los criterios establecidos por el Consejo para la exoneración de pago de la cuota de afiliación.</w:t>
      </w:r>
    </w:p>
    <w:p w14:paraId="5D36C27B" w14:textId="77777777" w:rsidR="004E7E70" w:rsidRPr="004E7E70" w:rsidRDefault="004E7E70" w:rsidP="003272F1">
      <w:pPr>
        <w:pStyle w:val="Headingb"/>
        <w:spacing w:after="120"/>
      </w:pPr>
      <w:r w:rsidRPr="004E7E70">
        <w:rPr>
          <w:bCs/>
        </w:rPr>
        <w:t>2.6</w:t>
      </w:r>
    </w:p>
    <w:tbl>
      <w:tblPr>
        <w:tblStyle w:val="TableGrid"/>
        <w:tblW w:w="0" w:type="auto"/>
        <w:tblLayout w:type="fixed"/>
        <w:tblLook w:val="04A0" w:firstRow="1" w:lastRow="0" w:firstColumn="1" w:lastColumn="0" w:noHBand="0" w:noVBand="1"/>
      </w:tblPr>
      <w:tblGrid>
        <w:gridCol w:w="3964"/>
        <w:gridCol w:w="2548"/>
        <w:gridCol w:w="2549"/>
      </w:tblGrid>
      <w:tr w:rsidR="004E7E70" w:rsidRPr="004E7E70" w14:paraId="7D25738E" w14:textId="77777777" w:rsidTr="00B3656F">
        <w:tc>
          <w:tcPr>
            <w:tcW w:w="3964" w:type="dxa"/>
          </w:tcPr>
          <w:p w14:paraId="18CFD27C" w14:textId="77777777" w:rsidR="004E7E70" w:rsidRPr="004E7E70" w:rsidRDefault="004E7E70" w:rsidP="00B3656F">
            <w:pPr>
              <w:pStyle w:val="Tablehead"/>
            </w:pPr>
            <w:r w:rsidRPr="004E7E70">
              <w:rPr>
                <w:bCs/>
                <w:color w:val="000000"/>
              </w:rPr>
              <w:t>Organización</w:t>
            </w:r>
          </w:p>
        </w:tc>
        <w:tc>
          <w:tcPr>
            <w:tcW w:w="2548" w:type="dxa"/>
          </w:tcPr>
          <w:p w14:paraId="77CAA4CD" w14:textId="77777777" w:rsidR="004E7E70" w:rsidRPr="004E7E70" w:rsidRDefault="004E7E70" w:rsidP="00B3656F">
            <w:pPr>
              <w:pStyle w:val="Tablehead"/>
            </w:pPr>
            <w:r w:rsidRPr="004E7E70">
              <w:rPr>
                <w:bCs/>
                <w:color w:val="000000"/>
              </w:rPr>
              <w:t>Sector</w:t>
            </w:r>
          </w:p>
        </w:tc>
        <w:tc>
          <w:tcPr>
            <w:tcW w:w="2549" w:type="dxa"/>
          </w:tcPr>
          <w:p w14:paraId="342150CC" w14:textId="77777777" w:rsidR="004E7E70" w:rsidRPr="004E7E70" w:rsidRDefault="004E7E70" w:rsidP="00B3656F">
            <w:pPr>
              <w:pStyle w:val="Tablehead"/>
            </w:pPr>
            <w:r w:rsidRPr="004E7E70">
              <w:rPr>
                <w:bCs/>
                <w:color w:val="000000"/>
              </w:rPr>
              <w:t>Recomendación</w:t>
            </w:r>
          </w:p>
        </w:tc>
      </w:tr>
      <w:tr w:rsidR="004E7E70" w:rsidRPr="004E7E70" w14:paraId="1532B734" w14:textId="77777777" w:rsidTr="00B3656F">
        <w:tc>
          <w:tcPr>
            <w:tcW w:w="3964" w:type="dxa"/>
            <w:vAlign w:val="center"/>
          </w:tcPr>
          <w:p w14:paraId="20CEF970" w14:textId="77777777" w:rsidR="004E7E70" w:rsidRPr="004E7E70" w:rsidRDefault="004E7E70" w:rsidP="004E7E70">
            <w:pPr>
              <w:pStyle w:val="Tabletext"/>
              <w:jc w:val="center"/>
              <w:rPr>
                <w:b/>
                <w:bCs/>
              </w:rPr>
            </w:pPr>
            <w:r w:rsidRPr="004E7E70">
              <w:rPr>
                <w:b/>
                <w:bCs/>
              </w:rPr>
              <w:t>Space Generation Advisory Council</w:t>
            </w:r>
          </w:p>
        </w:tc>
        <w:tc>
          <w:tcPr>
            <w:tcW w:w="2548" w:type="dxa"/>
            <w:vAlign w:val="center"/>
          </w:tcPr>
          <w:p w14:paraId="3F43F210" w14:textId="77777777" w:rsidR="004E7E70" w:rsidRPr="00314826" w:rsidRDefault="004E7E70" w:rsidP="004E7E70">
            <w:pPr>
              <w:pStyle w:val="Tabletext"/>
              <w:jc w:val="center"/>
              <w:rPr>
                <w:rFonts w:asciiTheme="minorHAnsi" w:eastAsia="SimSun" w:hAnsiTheme="minorHAnsi" w:cstheme="minorHAnsi"/>
                <w:szCs w:val="24"/>
                <w:lang w:val="fr-FR"/>
              </w:rPr>
            </w:pPr>
            <w:r w:rsidRPr="00314826">
              <w:rPr>
                <w:lang w:val="fr-FR"/>
              </w:rPr>
              <w:t>UIT-R</w:t>
            </w:r>
          </w:p>
          <w:p w14:paraId="2CAA2861" w14:textId="77777777" w:rsidR="004E7E70" w:rsidRPr="00314826" w:rsidRDefault="004E7E70" w:rsidP="004E7E70">
            <w:pPr>
              <w:pStyle w:val="Tabletext"/>
              <w:jc w:val="center"/>
              <w:rPr>
                <w:rFonts w:asciiTheme="minorHAnsi" w:eastAsia="SimSun" w:hAnsiTheme="minorHAnsi" w:cstheme="minorHAnsi"/>
                <w:szCs w:val="24"/>
                <w:lang w:val="fr-FR"/>
              </w:rPr>
            </w:pPr>
            <w:r w:rsidRPr="00314826">
              <w:rPr>
                <w:lang w:val="fr-FR"/>
              </w:rPr>
              <w:t>UIT-T</w:t>
            </w:r>
          </w:p>
          <w:p w14:paraId="16DBDF8B" w14:textId="77777777" w:rsidR="004E7E70" w:rsidRPr="00314826" w:rsidRDefault="004E7E70" w:rsidP="004E7E70">
            <w:pPr>
              <w:pStyle w:val="Tabletext"/>
              <w:jc w:val="center"/>
              <w:rPr>
                <w:lang w:val="fr-FR"/>
              </w:rPr>
            </w:pPr>
            <w:r w:rsidRPr="00314826">
              <w:rPr>
                <w:lang w:val="fr-FR"/>
              </w:rPr>
              <w:t>UIT-D</w:t>
            </w:r>
          </w:p>
        </w:tc>
        <w:tc>
          <w:tcPr>
            <w:tcW w:w="2549" w:type="dxa"/>
            <w:vAlign w:val="center"/>
          </w:tcPr>
          <w:p w14:paraId="0C1B83DB" w14:textId="77777777" w:rsidR="004E7E70" w:rsidRPr="004E7E70" w:rsidRDefault="004E7E70" w:rsidP="004E7E70">
            <w:pPr>
              <w:pStyle w:val="Tabletext"/>
              <w:jc w:val="center"/>
              <w:rPr>
                <w:rFonts w:asciiTheme="minorHAnsi" w:eastAsia="SimSun" w:hAnsiTheme="minorHAnsi"/>
                <w:color w:val="000000" w:themeColor="text1"/>
              </w:rPr>
            </w:pPr>
            <w:r w:rsidRPr="004E7E70">
              <w:t>Sí</w:t>
            </w:r>
          </w:p>
          <w:p w14:paraId="169E306B" w14:textId="41D8DB65" w:rsidR="004E7E70" w:rsidRPr="004E7E70" w:rsidRDefault="001D55B1" w:rsidP="004E7E70">
            <w:pPr>
              <w:pStyle w:val="Tabletext"/>
              <w:jc w:val="center"/>
              <w:rPr>
                <w:rFonts w:asciiTheme="minorHAnsi" w:eastAsia="SimSun" w:hAnsiTheme="minorHAnsi"/>
                <w:color w:val="000000" w:themeColor="text1"/>
              </w:rPr>
            </w:pPr>
            <w:r>
              <w:t>No</w:t>
            </w:r>
          </w:p>
          <w:p w14:paraId="4DB433C4" w14:textId="77777777" w:rsidR="004E7E70" w:rsidRPr="004E7E70" w:rsidRDefault="004E7E70" w:rsidP="004E7E70">
            <w:pPr>
              <w:pStyle w:val="Tabletext"/>
              <w:jc w:val="center"/>
            </w:pPr>
            <w:r w:rsidRPr="004E7E70">
              <w:t>Sí</w:t>
            </w:r>
          </w:p>
        </w:tc>
      </w:tr>
    </w:tbl>
    <w:p w14:paraId="1547D3C8" w14:textId="77777777" w:rsidR="00025E76" w:rsidRDefault="00025E76" w:rsidP="00025E76">
      <w:pPr>
        <w:pStyle w:val="Tablefin"/>
      </w:pPr>
    </w:p>
    <w:p w14:paraId="55AB06ED" w14:textId="09C637A3" w:rsidR="004E7E70" w:rsidRDefault="004E7E70" w:rsidP="00025E76">
      <w:pPr>
        <w:jc w:val="both"/>
      </w:pPr>
      <w:r w:rsidRPr="004E7E70">
        <w:t>El Consejo Consultivo de la Generación Espacial (Space Generation Advisory Council, SGAC) se creó en apoyo del Programa de las Naciones Unidas de Aplicaciones de la Tecnología Espacial. Es una organización no gubernamental sin ánimo de lucro y de una red de estudiantes, jóvenes profesionales y antiguos alumnos de la industria espacial que actualmente representa a más de 27 000 miembros de 165 países. El SGAC es socio oficial de la Federación Astronáutica Internacional (IAF). En opinión de la Secretaría, esta entidad cumple los criterios establecidos por el Consejo para la exoneración de pago de la cuota de afiliación al UIT-R y UIT-D.</w:t>
      </w:r>
      <w:r w:rsidR="001D55B1">
        <w:t xml:space="preserve"> Sin embargo, no se han demostrado beneficios recíprocos suficientes para el UIT-T.</w:t>
      </w:r>
    </w:p>
    <w:p w14:paraId="7DCED272" w14:textId="77777777" w:rsidR="002060B2" w:rsidRPr="004E7E70" w:rsidRDefault="002060B2" w:rsidP="00025E76">
      <w:pPr>
        <w:jc w:val="both"/>
        <w:rPr>
          <w:rFonts w:eastAsia="Calibri" w:cs="Calibri"/>
          <w:color w:val="000000" w:themeColor="text1"/>
          <w:szCs w:val="24"/>
        </w:rPr>
      </w:pPr>
    </w:p>
    <w:p w14:paraId="2C80A718" w14:textId="77777777" w:rsidR="00F92BED" w:rsidRPr="004E7E70" w:rsidRDefault="00F92BED" w:rsidP="00F92BED">
      <w:pPr>
        <w:jc w:val="center"/>
      </w:pPr>
      <w:r w:rsidRPr="004E7E70">
        <w:t>______________</w:t>
      </w:r>
    </w:p>
    <w:sectPr w:rsidR="00F92BED" w:rsidRPr="004E7E70"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4335B" w14:textId="77777777" w:rsidR="00515D0B" w:rsidRDefault="00515D0B">
      <w:r>
        <w:separator/>
      </w:r>
    </w:p>
  </w:endnote>
  <w:endnote w:type="continuationSeparator" w:id="0">
    <w:p w14:paraId="04C42792" w14:textId="77777777" w:rsidR="00515D0B" w:rsidRDefault="0051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E8D6F52" w14:textId="77777777" w:rsidTr="00E31DCE">
      <w:trPr>
        <w:jc w:val="center"/>
      </w:trPr>
      <w:tc>
        <w:tcPr>
          <w:tcW w:w="1803" w:type="dxa"/>
          <w:vAlign w:val="center"/>
        </w:tcPr>
        <w:p w14:paraId="057D7728" w14:textId="2AB68542" w:rsidR="003273A4" w:rsidRDefault="004E7E70" w:rsidP="003273A4">
          <w:pPr>
            <w:pStyle w:val="Header"/>
            <w:jc w:val="left"/>
            <w:rPr>
              <w:noProof/>
            </w:rPr>
          </w:pPr>
          <w:r>
            <w:rPr>
              <w:noProof/>
            </w:rPr>
            <w:t>2501100</w:t>
          </w:r>
        </w:p>
      </w:tc>
      <w:tc>
        <w:tcPr>
          <w:tcW w:w="8261" w:type="dxa"/>
        </w:tcPr>
        <w:p w14:paraId="3950DF25" w14:textId="293BB08B"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4E7E70">
            <w:rPr>
              <w:bCs/>
            </w:rPr>
            <w:t>65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2F497AC"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91C5D4E" w14:textId="77777777" w:rsidTr="00E31DCE">
      <w:trPr>
        <w:jc w:val="center"/>
      </w:trPr>
      <w:tc>
        <w:tcPr>
          <w:tcW w:w="1803" w:type="dxa"/>
          <w:vAlign w:val="center"/>
        </w:tcPr>
        <w:p w14:paraId="6E8B7722"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776642C4" w14:textId="6B40D7AE"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4E7E70">
            <w:rPr>
              <w:bCs/>
            </w:rPr>
            <w:t>65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03435CE"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19CAD" w14:textId="77777777" w:rsidR="00515D0B" w:rsidRDefault="00515D0B">
      <w:r>
        <w:t>____________________</w:t>
      </w:r>
    </w:p>
  </w:footnote>
  <w:footnote w:type="continuationSeparator" w:id="0">
    <w:p w14:paraId="4A001F3B" w14:textId="77777777" w:rsidR="00515D0B" w:rsidRDefault="00515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4D56F0DE" w14:textId="77777777" w:rsidTr="00666D09">
      <w:trPr>
        <w:trHeight w:val="1104"/>
        <w:jc w:val="center"/>
      </w:trPr>
      <w:tc>
        <w:tcPr>
          <w:tcW w:w="5998" w:type="dxa"/>
          <w:vAlign w:val="center"/>
        </w:tcPr>
        <w:p w14:paraId="01C5F812"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56A33FF" wp14:editId="265988CB">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2CA7E2B" w14:textId="77777777" w:rsidR="00666D09" w:rsidRDefault="00666D09" w:rsidP="001559F5">
          <w:pPr>
            <w:pStyle w:val="Header"/>
            <w:jc w:val="right"/>
            <w:rPr>
              <w:rFonts w:ascii="Arial" w:hAnsi="Arial" w:cs="Arial"/>
              <w:b/>
              <w:bCs/>
              <w:color w:val="009CD6"/>
              <w:szCs w:val="18"/>
            </w:rPr>
          </w:pPr>
        </w:p>
      </w:tc>
    </w:tr>
  </w:tbl>
  <w:p w14:paraId="1B635CCD"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3E18E57" wp14:editId="0F1E7B19">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8083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70"/>
    <w:rsid w:val="000007D1"/>
    <w:rsid w:val="00025E76"/>
    <w:rsid w:val="0006007D"/>
    <w:rsid w:val="00093EEB"/>
    <w:rsid w:val="000B0D00"/>
    <w:rsid w:val="000B7C15"/>
    <w:rsid w:val="000D1D0F"/>
    <w:rsid w:val="000E3F07"/>
    <w:rsid w:val="000E58FB"/>
    <w:rsid w:val="000F5290"/>
    <w:rsid w:val="0010165C"/>
    <w:rsid w:val="00146BFB"/>
    <w:rsid w:val="001559F5"/>
    <w:rsid w:val="00157AC4"/>
    <w:rsid w:val="0016169C"/>
    <w:rsid w:val="001B6E2B"/>
    <w:rsid w:val="001D2C93"/>
    <w:rsid w:val="001D55B1"/>
    <w:rsid w:val="001F14A2"/>
    <w:rsid w:val="002060B2"/>
    <w:rsid w:val="00235F95"/>
    <w:rsid w:val="002801AA"/>
    <w:rsid w:val="002946E2"/>
    <w:rsid w:val="002C3EE9"/>
    <w:rsid w:val="002C3F32"/>
    <w:rsid w:val="002C4676"/>
    <w:rsid w:val="002C70B0"/>
    <w:rsid w:val="002F3CC4"/>
    <w:rsid w:val="003032E2"/>
    <w:rsid w:val="0031300A"/>
    <w:rsid w:val="00314826"/>
    <w:rsid w:val="0032208D"/>
    <w:rsid w:val="003272F1"/>
    <w:rsid w:val="003273A4"/>
    <w:rsid w:val="0034796E"/>
    <w:rsid w:val="00473962"/>
    <w:rsid w:val="004B5D49"/>
    <w:rsid w:val="004D3A3C"/>
    <w:rsid w:val="004E7E70"/>
    <w:rsid w:val="00513630"/>
    <w:rsid w:val="00515D0B"/>
    <w:rsid w:val="00560125"/>
    <w:rsid w:val="00585553"/>
    <w:rsid w:val="005B34D9"/>
    <w:rsid w:val="005B5542"/>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955DA"/>
    <w:rsid w:val="007E5DD3"/>
    <w:rsid w:val="007F350B"/>
    <w:rsid w:val="00820BE4"/>
    <w:rsid w:val="008451E8"/>
    <w:rsid w:val="008F6ABC"/>
    <w:rsid w:val="00913B9C"/>
    <w:rsid w:val="00927F93"/>
    <w:rsid w:val="00956E77"/>
    <w:rsid w:val="009A338E"/>
    <w:rsid w:val="009F4811"/>
    <w:rsid w:val="00A94438"/>
    <w:rsid w:val="00AA390C"/>
    <w:rsid w:val="00B0200A"/>
    <w:rsid w:val="00B060DF"/>
    <w:rsid w:val="00B574DB"/>
    <w:rsid w:val="00B826C2"/>
    <w:rsid w:val="00B8298E"/>
    <w:rsid w:val="00BB6FD8"/>
    <w:rsid w:val="00BD0723"/>
    <w:rsid w:val="00BD2518"/>
    <w:rsid w:val="00BF1D1C"/>
    <w:rsid w:val="00C20C59"/>
    <w:rsid w:val="00C2727F"/>
    <w:rsid w:val="00C538FC"/>
    <w:rsid w:val="00C55B1F"/>
    <w:rsid w:val="00CF1A67"/>
    <w:rsid w:val="00D2750E"/>
    <w:rsid w:val="00D375E0"/>
    <w:rsid w:val="00D508E6"/>
    <w:rsid w:val="00D50A36"/>
    <w:rsid w:val="00D62446"/>
    <w:rsid w:val="00DA4EA2"/>
    <w:rsid w:val="00DC3D3E"/>
    <w:rsid w:val="00DE2C90"/>
    <w:rsid w:val="00DE3B24"/>
    <w:rsid w:val="00E06947"/>
    <w:rsid w:val="00E11319"/>
    <w:rsid w:val="00E21444"/>
    <w:rsid w:val="00E34072"/>
    <w:rsid w:val="00E3592D"/>
    <w:rsid w:val="00E50D76"/>
    <w:rsid w:val="00E74BC2"/>
    <w:rsid w:val="00E8018B"/>
    <w:rsid w:val="00E92DE8"/>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862AFB"/>
  <w15:docId w15:val="{1FE857DE-DD1A-4E58-A216-E3F136CC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25E76"/>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2060B2"/>
    <w:pPr>
      <w:keepNext/>
      <w:keepLines/>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customStyle="1" w:styleId="TabletextAsianBodyCalibri">
    <w:name w:val="Table_text + (Asian) +Body (Calibri)"/>
    <w:aliases w:val="(Complex) +Body CS (Arial),(Complex) 1..."/>
    <w:basedOn w:val="Tabletext"/>
    <w:rsid w:val="004E7E70"/>
    <w:rPr>
      <w:rFonts w:eastAsiaTheme="minorHAnsi" w:cstheme="minorBidi"/>
      <w:bCs/>
      <w:iCs/>
      <w:szCs w:val="22"/>
      <w:lang w:val="en-GB"/>
    </w:rPr>
  </w:style>
  <w:style w:type="paragraph" w:styleId="Revision">
    <w:name w:val="Revision"/>
    <w:hidden/>
    <w:uiPriority w:val="99"/>
    <w:semiHidden/>
    <w:rsid w:val="00D508E6"/>
    <w:rPr>
      <w:rFonts w:ascii="Calibri" w:hAnsi="Calibri"/>
      <w:sz w:val="24"/>
      <w:lang w:val="es-ES_tradnl" w:eastAsia="en-US"/>
    </w:rPr>
  </w:style>
  <w:style w:type="character" w:customStyle="1" w:styleId="StyleHyperlink11ptItalic">
    <w:name w:val="Style Hyperlink + 11 pt Italic"/>
    <w:basedOn w:val="Hyperlink"/>
    <w:rsid w:val="00025E76"/>
    <w:rPr>
      <w:i/>
      <w:iCs/>
      <w:color w:val="0070C0"/>
      <w:sz w:val="22"/>
      <w:szCs w:val="22"/>
      <w:u w:val="single"/>
    </w:rPr>
  </w:style>
  <w:style w:type="paragraph" w:customStyle="1" w:styleId="Tablefin">
    <w:name w:val="Table_fin"/>
    <w:basedOn w:val="Tabletext"/>
    <w:rsid w:val="00025E76"/>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hub/membership/our-members/exempted-entitie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S19-CL-C-0141/es"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itudoc/gs/council/c00/docs/28rev1-es.html" TargetMode="External"/><Relationship Id="rId11" Type="http://schemas.openxmlformats.org/officeDocument/2006/relationships/hyperlink" Target="https://www.itu.int/hub/membership/our-members/exempted-entities/exemption-criteri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md/S19-CL-C-0141/es" TargetMode="External"/><Relationship Id="rId4" Type="http://schemas.openxmlformats.org/officeDocument/2006/relationships/footnotes" Target="footnotes.xml"/><Relationship Id="rId9" Type="http://schemas.openxmlformats.org/officeDocument/2006/relationships/hyperlink" Target="https://www.itu.int/itudoc/gs/council/c00/docs/28rev1-es.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4</Pages>
  <Words>1133</Words>
  <Characters>6365</Characters>
  <Application>Microsoft Office Word</Application>
  <DocSecurity>0</DocSecurity>
  <Lines>162</Lines>
  <Paragraphs>82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7416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Nuevas solicitudes de exoneración de pago de la cuota de organizaciones internacionales</dc:title>
  <dc:subject>Consejo 2025 de la UIT</dc:subject>
  <cp:keywords>C2025, C25, Council-25</cp:keywords>
  <dc:description/>
  <cp:lastPrinted>2006-03-24T09:51:00Z</cp:lastPrinted>
  <dcterms:created xsi:type="dcterms:W3CDTF">2025-05-23T09:33:00Z</dcterms:created>
  <dcterms:modified xsi:type="dcterms:W3CDTF">2025-05-23T09:33:00Z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