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text" w:tblpY="1"/>
        <w:tblOverlap w:val="never"/>
        <w:tblW w:w="9214" w:type="dxa"/>
        <w:tblLayout w:type="fixed"/>
        <w:tblLook w:val="0000" w:firstRow="0" w:lastRow="0" w:firstColumn="0" w:lastColumn="0" w:noHBand="0" w:noVBand="0"/>
      </w:tblPr>
      <w:tblGrid>
        <w:gridCol w:w="3969"/>
        <w:gridCol w:w="5245"/>
      </w:tblGrid>
      <w:tr w:rsidR="00796BD3" w:rsidRPr="00FA3E42" w14:paraId="7EDC4E9F" w14:textId="77777777" w:rsidTr="00DA770A">
        <w:trPr>
          <w:cantSplit/>
          <w:trHeight w:val="23"/>
        </w:trPr>
        <w:tc>
          <w:tcPr>
            <w:tcW w:w="3969" w:type="dxa"/>
            <w:vMerge w:val="restart"/>
            <w:tcMar>
              <w:left w:w="0" w:type="dxa"/>
            </w:tcMar>
          </w:tcPr>
          <w:p w14:paraId="4FB8C082" w14:textId="7820D60D" w:rsidR="00796BD3" w:rsidRPr="00FA3E42" w:rsidRDefault="0033025A" w:rsidP="00DA770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FA3E42">
              <w:rPr>
                <w:b/>
                <w:lang w:val="ru-RU"/>
              </w:rPr>
              <w:t>Пункт повестки дня:</w:t>
            </w:r>
            <w:r w:rsidR="00FA3E42" w:rsidRPr="00FA3E42">
              <w:rPr>
                <w:b/>
                <w:bCs/>
                <w:color w:val="000000"/>
                <w:lang w:val="ru-RU"/>
              </w:rPr>
              <w:t xml:space="preserve"> ADM 1</w:t>
            </w:r>
          </w:p>
        </w:tc>
        <w:tc>
          <w:tcPr>
            <w:tcW w:w="5245" w:type="dxa"/>
          </w:tcPr>
          <w:p w14:paraId="7DBE0BEC" w14:textId="7BDCEFD3" w:rsidR="00796BD3" w:rsidRPr="00FA3E42" w:rsidRDefault="0033025A" w:rsidP="00DA770A">
            <w:pPr>
              <w:tabs>
                <w:tab w:val="left" w:pos="851"/>
              </w:tabs>
              <w:spacing w:before="0" w:line="240" w:lineRule="atLeast"/>
              <w:jc w:val="right"/>
              <w:rPr>
                <w:b/>
                <w:lang w:val="ru-RU"/>
              </w:rPr>
            </w:pPr>
            <w:r w:rsidRPr="00FA3E42">
              <w:rPr>
                <w:b/>
                <w:lang w:val="ru-RU"/>
              </w:rPr>
              <w:t xml:space="preserve">Документ </w:t>
            </w:r>
            <w:r w:rsidR="00796BD3" w:rsidRPr="00FA3E42">
              <w:rPr>
                <w:b/>
                <w:lang w:val="ru-RU"/>
              </w:rPr>
              <w:t>C2</w:t>
            </w:r>
            <w:r w:rsidR="00D631AA" w:rsidRPr="00FA3E42">
              <w:rPr>
                <w:b/>
                <w:lang w:val="ru-RU"/>
              </w:rPr>
              <w:t>5</w:t>
            </w:r>
            <w:r w:rsidR="00796BD3" w:rsidRPr="00FA3E42">
              <w:rPr>
                <w:b/>
                <w:lang w:val="ru-RU"/>
              </w:rPr>
              <w:t>/</w:t>
            </w:r>
            <w:r w:rsidR="00FA3E42" w:rsidRPr="00FA3E42">
              <w:rPr>
                <w:b/>
                <w:lang w:val="ru-RU"/>
              </w:rPr>
              <w:t>65</w:t>
            </w:r>
            <w:r w:rsidR="00796BD3" w:rsidRPr="00FA3E42">
              <w:rPr>
                <w:b/>
                <w:lang w:val="ru-RU"/>
              </w:rPr>
              <w:t>-R</w:t>
            </w:r>
          </w:p>
        </w:tc>
      </w:tr>
      <w:tr w:rsidR="00796BD3" w:rsidRPr="00FA3E42" w14:paraId="5CF9956E" w14:textId="77777777" w:rsidTr="00DA770A">
        <w:trPr>
          <w:cantSplit/>
        </w:trPr>
        <w:tc>
          <w:tcPr>
            <w:tcW w:w="3969" w:type="dxa"/>
            <w:vMerge/>
          </w:tcPr>
          <w:p w14:paraId="64C12D8F" w14:textId="77777777" w:rsidR="00796BD3" w:rsidRPr="00FA3E42" w:rsidRDefault="00796BD3" w:rsidP="00DA770A">
            <w:pPr>
              <w:tabs>
                <w:tab w:val="left" w:pos="851"/>
              </w:tabs>
              <w:spacing w:line="240" w:lineRule="atLeast"/>
              <w:rPr>
                <w:b/>
                <w:lang w:val="ru-RU"/>
              </w:rPr>
            </w:pPr>
            <w:bookmarkStart w:id="3" w:name="ddate" w:colFirst="1" w:colLast="1"/>
            <w:bookmarkEnd w:id="0"/>
            <w:bookmarkEnd w:id="1"/>
          </w:p>
        </w:tc>
        <w:tc>
          <w:tcPr>
            <w:tcW w:w="5245" w:type="dxa"/>
          </w:tcPr>
          <w:p w14:paraId="61FDB445" w14:textId="77316AFE" w:rsidR="00796BD3" w:rsidRPr="00FA3E42" w:rsidRDefault="003D1F10" w:rsidP="00DA770A">
            <w:pPr>
              <w:tabs>
                <w:tab w:val="left" w:pos="851"/>
              </w:tabs>
              <w:spacing w:before="0"/>
              <w:jc w:val="right"/>
              <w:rPr>
                <w:b/>
                <w:lang w:val="ru-RU"/>
              </w:rPr>
            </w:pPr>
            <w:r>
              <w:rPr>
                <w:b/>
                <w:lang w:val="en-US"/>
              </w:rPr>
              <w:t>16</w:t>
            </w:r>
            <w:r w:rsidR="00FA3E42" w:rsidRPr="00FA3E42">
              <w:rPr>
                <w:b/>
                <w:lang w:val="ru-RU"/>
              </w:rPr>
              <w:t xml:space="preserve"> мая 2025 года</w:t>
            </w:r>
          </w:p>
        </w:tc>
      </w:tr>
      <w:tr w:rsidR="00796BD3" w:rsidRPr="00FA3E42" w14:paraId="55B0958D" w14:textId="77777777" w:rsidTr="00DA770A">
        <w:trPr>
          <w:cantSplit/>
          <w:trHeight w:val="23"/>
        </w:trPr>
        <w:tc>
          <w:tcPr>
            <w:tcW w:w="3969" w:type="dxa"/>
            <w:vMerge/>
          </w:tcPr>
          <w:p w14:paraId="6DE6790C" w14:textId="77777777" w:rsidR="00796BD3" w:rsidRPr="00FA3E42" w:rsidRDefault="00796BD3" w:rsidP="00DA770A">
            <w:pPr>
              <w:tabs>
                <w:tab w:val="left" w:pos="851"/>
              </w:tabs>
              <w:spacing w:line="240" w:lineRule="atLeast"/>
              <w:rPr>
                <w:b/>
                <w:lang w:val="ru-RU"/>
              </w:rPr>
            </w:pPr>
            <w:bookmarkStart w:id="4" w:name="dorlang" w:colFirst="1" w:colLast="1"/>
            <w:bookmarkEnd w:id="3"/>
          </w:p>
        </w:tc>
        <w:tc>
          <w:tcPr>
            <w:tcW w:w="5245" w:type="dxa"/>
          </w:tcPr>
          <w:p w14:paraId="3DBEA444" w14:textId="77777777" w:rsidR="00796BD3" w:rsidRPr="00FA3E42" w:rsidRDefault="0033025A" w:rsidP="00DA770A">
            <w:pPr>
              <w:tabs>
                <w:tab w:val="left" w:pos="851"/>
              </w:tabs>
              <w:spacing w:before="0" w:line="240" w:lineRule="atLeast"/>
              <w:jc w:val="right"/>
              <w:rPr>
                <w:b/>
                <w:lang w:val="ru-RU"/>
              </w:rPr>
            </w:pPr>
            <w:r w:rsidRPr="00FA3E42">
              <w:rPr>
                <w:b/>
                <w:lang w:val="ru-RU"/>
              </w:rPr>
              <w:t>Оригинал: английский</w:t>
            </w:r>
          </w:p>
        </w:tc>
      </w:tr>
      <w:tr w:rsidR="00796BD3" w:rsidRPr="00FA3E42" w14:paraId="2348540F" w14:textId="77777777" w:rsidTr="00DA770A">
        <w:trPr>
          <w:cantSplit/>
          <w:trHeight w:val="23"/>
        </w:trPr>
        <w:tc>
          <w:tcPr>
            <w:tcW w:w="3969" w:type="dxa"/>
          </w:tcPr>
          <w:p w14:paraId="72661BAF" w14:textId="77777777" w:rsidR="00796BD3" w:rsidRPr="00FA3E42" w:rsidRDefault="00796BD3" w:rsidP="00DA770A">
            <w:pPr>
              <w:tabs>
                <w:tab w:val="left" w:pos="851"/>
              </w:tabs>
              <w:spacing w:line="240" w:lineRule="atLeast"/>
              <w:rPr>
                <w:b/>
                <w:lang w:val="ru-RU"/>
              </w:rPr>
            </w:pPr>
          </w:p>
        </w:tc>
        <w:tc>
          <w:tcPr>
            <w:tcW w:w="5245" w:type="dxa"/>
          </w:tcPr>
          <w:p w14:paraId="52410421" w14:textId="77777777" w:rsidR="00796BD3" w:rsidRPr="00FA3E42" w:rsidRDefault="00796BD3" w:rsidP="00DA770A">
            <w:pPr>
              <w:tabs>
                <w:tab w:val="left" w:pos="851"/>
              </w:tabs>
              <w:spacing w:before="0" w:line="240" w:lineRule="atLeast"/>
              <w:jc w:val="right"/>
              <w:rPr>
                <w:b/>
                <w:lang w:val="ru-RU"/>
              </w:rPr>
            </w:pPr>
          </w:p>
        </w:tc>
      </w:tr>
      <w:tr w:rsidR="00796BD3" w:rsidRPr="00FA3E42" w14:paraId="721DDCCE" w14:textId="77777777" w:rsidTr="00DA770A">
        <w:trPr>
          <w:cantSplit/>
        </w:trPr>
        <w:tc>
          <w:tcPr>
            <w:tcW w:w="9214" w:type="dxa"/>
            <w:gridSpan w:val="2"/>
            <w:tcMar>
              <w:left w:w="0" w:type="dxa"/>
            </w:tcMar>
          </w:tcPr>
          <w:p w14:paraId="28CD96C5" w14:textId="77777777" w:rsidR="00796BD3" w:rsidRPr="00FA3E42" w:rsidRDefault="0033025A" w:rsidP="00DA770A">
            <w:pPr>
              <w:pStyle w:val="Source"/>
              <w:jc w:val="left"/>
              <w:rPr>
                <w:sz w:val="32"/>
                <w:szCs w:val="32"/>
                <w:lang w:val="ru-RU"/>
              </w:rPr>
            </w:pPr>
            <w:bookmarkStart w:id="5" w:name="dsource" w:colFirst="0" w:colLast="0"/>
            <w:bookmarkEnd w:id="4"/>
            <w:r w:rsidRPr="00FA3E42">
              <w:rPr>
                <w:rFonts w:cstheme="minorHAnsi"/>
                <w:sz w:val="32"/>
                <w:szCs w:val="32"/>
                <w:lang w:val="ru-RU"/>
              </w:rPr>
              <w:t>Отчет Генерального секретаря</w:t>
            </w:r>
          </w:p>
        </w:tc>
      </w:tr>
      <w:tr w:rsidR="00796BD3" w:rsidRPr="00FF4EB8" w14:paraId="4221DC8E" w14:textId="77777777" w:rsidTr="00DA770A">
        <w:trPr>
          <w:cantSplit/>
        </w:trPr>
        <w:tc>
          <w:tcPr>
            <w:tcW w:w="9214" w:type="dxa"/>
            <w:gridSpan w:val="2"/>
            <w:tcMar>
              <w:left w:w="0" w:type="dxa"/>
            </w:tcMar>
          </w:tcPr>
          <w:p w14:paraId="7EACB17C" w14:textId="5968DEE2" w:rsidR="00796BD3" w:rsidRPr="00FA3E42" w:rsidRDefault="00FA3E42" w:rsidP="00DA770A">
            <w:pPr>
              <w:pStyle w:val="Subtitle"/>
              <w:framePr w:hSpace="0" w:wrap="auto" w:hAnchor="text" w:xAlign="left" w:yAlign="inline"/>
              <w:rPr>
                <w:sz w:val="32"/>
                <w:szCs w:val="32"/>
                <w:lang w:val="ru-RU"/>
              </w:rPr>
            </w:pPr>
            <w:bookmarkStart w:id="6" w:name="dtitle1" w:colFirst="0" w:colLast="0"/>
            <w:bookmarkEnd w:id="5"/>
            <w:r w:rsidRPr="00FA3E42">
              <w:rPr>
                <w:rFonts w:cstheme="minorHAnsi"/>
                <w:sz w:val="32"/>
                <w:szCs w:val="32"/>
                <w:lang w:val="ru-RU"/>
              </w:rPr>
              <w:t>Новые заявки на предоставление освобождения от уплаты взносов организаций международного характера</w:t>
            </w:r>
          </w:p>
        </w:tc>
      </w:tr>
      <w:tr w:rsidR="00796BD3" w:rsidRPr="00FA3E42" w14:paraId="737657EF" w14:textId="77777777" w:rsidTr="00DA770A">
        <w:trPr>
          <w:cantSplit/>
        </w:trPr>
        <w:tc>
          <w:tcPr>
            <w:tcW w:w="9214" w:type="dxa"/>
            <w:gridSpan w:val="2"/>
            <w:tcBorders>
              <w:top w:val="single" w:sz="4" w:space="0" w:color="auto"/>
              <w:bottom w:val="single" w:sz="4" w:space="0" w:color="auto"/>
            </w:tcBorders>
            <w:tcMar>
              <w:left w:w="0" w:type="dxa"/>
            </w:tcMar>
          </w:tcPr>
          <w:p w14:paraId="28170CD4" w14:textId="77777777" w:rsidR="00796BD3" w:rsidRPr="00FA3E42" w:rsidRDefault="0033025A" w:rsidP="00DA770A">
            <w:pPr>
              <w:spacing w:before="160"/>
              <w:rPr>
                <w:b/>
                <w:bCs/>
                <w:sz w:val="24"/>
                <w:szCs w:val="24"/>
                <w:lang w:val="ru-RU"/>
              </w:rPr>
            </w:pPr>
            <w:r w:rsidRPr="00FA3E42">
              <w:rPr>
                <w:b/>
                <w:bCs/>
                <w:sz w:val="24"/>
                <w:szCs w:val="24"/>
                <w:lang w:val="ru-RU"/>
              </w:rPr>
              <w:t>Назначение</w:t>
            </w:r>
          </w:p>
          <w:p w14:paraId="1753E14F" w14:textId="6FD30A85" w:rsidR="00796BD3" w:rsidRPr="00FA3E42" w:rsidRDefault="00FA3E42" w:rsidP="00FF4EB8">
            <w:pPr>
              <w:jc w:val="both"/>
              <w:rPr>
                <w:lang w:val="ru-RU"/>
              </w:rPr>
            </w:pPr>
            <w:r w:rsidRPr="00FA3E42">
              <w:rPr>
                <w:lang w:val="ru-RU"/>
              </w:rPr>
              <w:t>Ежегодно МСЭ получает заявки от организаций международного характера, запрашивающих освобождение от уплаты членских взносов и других финансовых вкладов в Союз на основе принципа взаимности. Эти новые заявки рассматриваются Секретариатом в соответствии с критериями, установленными Советом.</w:t>
            </w:r>
          </w:p>
          <w:p w14:paraId="07F74156" w14:textId="77777777" w:rsidR="00796BD3" w:rsidRPr="00FA3E42" w:rsidRDefault="0033025A" w:rsidP="00DA770A">
            <w:pPr>
              <w:spacing w:before="160"/>
              <w:rPr>
                <w:b/>
                <w:bCs/>
                <w:sz w:val="24"/>
                <w:szCs w:val="24"/>
                <w:lang w:val="ru-RU"/>
              </w:rPr>
            </w:pPr>
            <w:r w:rsidRPr="00FA3E42">
              <w:rPr>
                <w:b/>
                <w:bCs/>
                <w:sz w:val="24"/>
                <w:szCs w:val="24"/>
                <w:lang w:val="ru-RU"/>
              </w:rPr>
              <w:t>Необходимые действия Совета</w:t>
            </w:r>
          </w:p>
          <w:p w14:paraId="3392251C" w14:textId="1356B701" w:rsidR="00796BD3" w:rsidRPr="00FA3E42" w:rsidRDefault="00FA3E42" w:rsidP="00DA770A">
            <w:pPr>
              <w:rPr>
                <w:lang w:val="ru-RU"/>
              </w:rPr>
            </w:pPr>
            <w:r w:rsidRPr="00FA3E42">
              <w:rPr>
                <w:lang w:val="ru-RU"/>
              </w:rPr>
              <w:t xml:space="preserve">Совету предлагается </w:t>
            </w:r>
            <w:r w:rsidRPr="00FA3E42">
              <w:rPr>
                <w:b/>
                <w:bCs/>
                <w:lang w:val="ru-RU"/>
              </w:rPr>
              <w:t>рассмотреть</w:t>
            </w:r>
            <w:r w:rsidRPr="00FA3E42">
              <w:rPr>
                <w:lang w:val="ru-RU"/>
              </w:rPr>
              <w:t xml:space="preserve"> рекомендации Генерального секретаря относительно новых заявок на освобождение от уплаты.</w:t>
            </w:r>
          </w:p>
          <w:p w14:paraId="08A664BD" w14:textId="77777777" w:rsidR="00796BD3" w:rsidRPr="00FA3E42" w:rsidRDefault="0033025A" w:rsidP="00DA770A">
            <w:pPr>
              <w:spacing w:before="160"/>
              <w:rPr>
                <w:b/>
                <w:bCs/>
                <w:sz w:val="24"/>
                <w:szCs w:val="24"/>
                <w:lang w:val="ru-RU"/>
              </w:rPr>
            </w:pPr>
            <w:r w:rsidRPr="00FA3E42">
              <w:rPr>
                <w:b/>
                <w:bCs/>
                <w:sz w:val="24"/>
                <w:szCs w:val="24"/>
                <w:lang w:val="ru-RU"/>
              </w:rPr>
              <w:t>Соответствующая увязка со Стратегическим планом</w:t>
            </w:r>
          </w:p>
          <w:p w14:paraId="727357A9" w14:textId="3736546E" w:rsidR="00796BD3" w:rsidRPr="00FA3E42" w:rsidRDefault="00FA3E42" w:rsidP="00DA770A">
            <w:pPr>
              <w:rPr>
                <w:lang w:val="ru-RU"/>
              </w:rPr>
            </w:pPr>
            <w:r w:rsidRPr="00FA3E42">
              <w:rPr>
                <w:color w:val="000000"/>
                <w:lang w:val="ru-RU"/>
              </w:rPr>
              <w:t>Партнерские отношения и международное сотрудничество.</w:t>
            </w:r>
          </w:p>
          <w:p w14:paraId="4DF6E6A7" w14:textId="77777777" w:rsidR="00796BD3" w:rsidRPr="00FA3E42" w:rsidRDefault="0033025A" w:rsidP="00DA770A">
            <w:pPr>
              <w:spacing w:before="160"/>
              <w:rPr>
                <w:b/>
                <w:bCs/>
                <w:sz w:val="24"/>
                <w:szCs w:val="24"/>
                <w:lang w:val="ru-RU"/>
              </w:rPr>
            </w:pPr>
            <w:r w:rsidRPr="00FA3E42">
              <w:rPr>
                <w:b/>
                <w:bCs/>
                <w:sz w:val="24"/>
                <w:szCs w:val="24"/>
                <w:lang w:val="ru-RU"/>
              </w:rPr>
              <w:t>Финансовые последствия</w:t>
            </w:r>
          </w:p>
          <w:p w14:paraId="13FB830A" w14:textId="7480ABEF" w:rsidR="00345D2A" w:rsidRPr="00FA3E42" w:rsidRDefault="00FA3E42" w:rsidP="00DA770A">
            <w:pPr>
              <w:spacing w:before="160"/>
              <w:rPr>
                <w:szCs w:val="22"/>
                <w:lang w:val="ru-RU"/>
              </w:rPr>
            </w:pPr>
            <w:r w:rsidRPr="00FA3E42">
              <w:rPr>
                <w:color w:val="000000"/>
                <w:lang w:val="ru-RU"/>
              </w:rPr>
              <w:t>Сумма членских взносов, не подлежащих уплате в результате освобождения, в размере 160</w:t>
            </w:r>
            <w:r w:rsidR="00F01C2D">
              <w:rPr>
                <w:color w:val="000000"/>
              </w:rPr>
              <w:t> </w:t>
            </w:r>
            <w:r w:rsidRPr="00FA3E42">
              <w:rPr>
                <w:color w:val="000000"/>
                <w:lang w:val="ru-RU"/>
              </w:rPr>
              <w:t>тыс. швейцарских франков в год.</w:t>
            </w:r>
          </w:p>
          <w:p w14:paraId="32DEDF77" w14:textId="77777777" w:rsidR="00796BD3" w:rsidRPr="00FA3E42" w:rsidRDefault="00796BD3" w:rsidP="00DA770A">
            <w:pPr>
              <w:spacing w:before="160"/>
              <w:rPr>
                <w:caps/>
                <w:sz w:val="20"/>
                <w:szCs w:val="18"/>
                <w:lang w:val="ru-RU"/>
              </w:rPr>
            </w:pPr>
            <w:r w:rsidRPr="00FA3E42">
              <w:rPr>
                <w:sz w:val="20"/>
                <w:szCs w:val="18"/>
                <w:lang w:val="ru-RU"/>
              </w:rPr>
              <w:t>__________________</w:t>
            </w:r>
          </w:p>
          <w:p w14:paraId="2B2FA0FD" w14:textId="77777777" w:rsidR="00796BD3" w:rsidRPr="00FA3E42" w:rsidRDefault="0033025A" w:rsidP="00DA770A">
            <w:pPr>
              <w:spacing w:before="160"/>
              <w:rPr>
                <w:b/>
                <w:bCs/>
                <w:sz w:val="26"/>
                <w:szCs w:val="26"/>
                <w:lang w:val="ru-RU"/>
              </w:rPr>
            </w:pPr>
            <w:r w:rsidRPr="00FA3E42">
              <w:rPr>
                <w:b/>
                <w:bCs/>
                <w:sz w:val="24"/>
                <w:szCs w:val="24"/>
                <w:lang w:val="ru-RU"/>
              </w:rPr>
              <w:t>Справочные материалы</w:t>
            </w:r>
          </w:p>
          <w:p w14:paraId="5D3FCBB2" w14:textId="0800FB60" w:rsidR="00796BD3" w:rsidRPr="00FA3E42" w:rsidRDefault="00FA3E42" w:rsidP="00DA770A">
            <w:pPr>
              <w:spacing w:after="160"/>
              <w:rPr>
                <w:i/>
                <w:iCs/>
                <w:lang w:val="ru-RU"/>
              </w:rPr>
            </w:pPr>
            <w:r w:rsidRPr="00FA3E42">
              <w:rPr>
                <w:i/>
                <w:iCs/>
                <w:color w:val="000000"/>
                <w:lang w:val="ru-RU"/>
              </w:rPr>
              <w:t xml:space="preserve">Документ </w:t>
            </w:r>
            <w:hyperlink r:id="rId7" w:history="1">
              <w:r w:rsidRPr="00FF4EB8">
                <w:rPr>
                  <w:rStyle w:val="StyleHyperlinkAsianCalibriComplexCalibriComplex11"/>
                </w:rPr>
                <w:t>C</w:t>
              </w:r>
              <w:r w:rsidRPr="00FF4EB8">
                <w:rPr>
                  <w:rStyle w:val="StyleHyperlinkAsianCalibriComplexCalibriComplex11"/>
                  <w:lang w:val="ru-RU"/>
                </w:rPr>
                <w:t>2000/28(</w:t>
              </w:r>
              <w:r w:rsidRPr="00FF4EB8">
                <w:rPr>
                  <w:rStyle w:val="StyleHyperlinkAsianCalibriComplexCalibriComplex11"/>
                </w:rPr>
                <w:t>Rev</w:t>
              </w:r>
              <w:r w:rsidRPr="00FF4EB8">
                <w:rPr>
                  <w:rStyle w:val="StyleHyperlinkAsianCalibriComplexCalibriComplex11"/>
                  <w:lang w:val="ru-RU"/>
                </w:rPr>
                <w:t>.1)</w:t>
              </w:r>
            </w:hyperlink>
            <w:r w:rsidRPr="00FA3E42">
              <w:rPr>
                <w:i/>
                <w:iCs/>
                <w:color w:val="000000"/>
                <w:lang w:val="ru-RU"/>
              </w:rPr>
              <w:t xml:space="preserve">, </w:t>
            </w:r>
            <w:hyperlink r:id="rId8" w:history="1">
              <w:r w:rsidRPr="00FF4EB8">
                <w:rPr>
                  <w:rStyle w:val="StyleHyperlinkItalic"/>
                  <w:lang w:val="ru-RU"/>
                </w:rPr>
                <w:t>Резолюция 925 Совета</w:t>
              </w:r>
            </w:hyperlink>
            <w:r w:rsidRPr="00FA3E42">
              <w:rPr>
                <w:i/>
                <w:iCs/>
                <w:color w:val="000000"/>
                <w:lang w:val="ru-RU"/>
              </w:rPr>
              <w:t xml:space="preserve">, </w:t>
            </w:r>
            <w:hyperlink r:id="rId9" w:history="1">
              <w:r w:rsidRPr="00FF4EB8">
                <w:rPr>
                  <w:rStyle w:val="StyleHyperlinkItalic"/>
                  <w:lang w:val="ru-RU"/>
                </w:rPr>
                <w:t>Критерии Совета для освобождения (</w:t>
              </w:r>
              <w:proofErr w:type="spellStart"/>
              <w:r w:rsidRPr="00FF4EB8">
                <w:rPr>
                  <w:rStyle w:val="StyleHyperlinkItalic"/>
                  <w:lang w:val="ru-RU"/>
                </w:rPr>
                <w:t>Пересм</w:t>
              </w:r>
              <w:proofErr w:type="spellEnd"/>
              <w:r w:rsidRPr="00FF4EB8">
                <w:rPr>
                  <w:rStyle w:val="StyleHyperlinkItalic"/>
                  <w:lang w:val="ru-RU"/>
                </w:rPr>
                <w:t xml:space="preserve">. </w:t>
              </w:r>
              <w:r w:rsidRPr="00FF4EB8">
                <w:rPr>
                  <w:rStyle w:val="StyleHyperlinkItalic"/>
                </w:rPr>
                <w:t>2017 г.)</w:t>
              </w:r>
            </w:hyperlink>
          </w:p>
        </w:tc>
      </w:tr>
      <w:bookmarkEnd w:id="2"/>
      <w:bookmarkEnd w:id="6"/>
    </w:tbl>
    <w:p w14:paraId="1E1857B9" w14:textId="77777777" w:rsidR="00796BD3" w:rsidRPr="00FA3E42" w:rsidRDefault="00796BD3" w:rsidP="00796BD3">
      <w:pPr>
        <w:rPr>
          <w:lang w:val="ru-RU"/>
        </w:rPr>
      </w:pPr>
    </w:p>
    <w:p w14:paraId="26EA1D44" w14:textId="77777777" w:rsidR="00165D06" w:rsidRPr="00F01C2D" w:rsidRDefault="00165D06">
      <w:pPr>
        <w:tabs>
          <w:tab w:val="clear" w:pos="794"/>
          <w:tab w:val="clear" w:pos="1191"/>
          <w:tab w:val="clear" w:pos="1588"/>
          <w:tab w:val="clear" w:pos="1985"/>
        </w:tabs>
        <w:overflowPunct/>
        <w:autoSpaceDE/>
        <w:autoSpaceDN/>
        <w:adjustRightInd/>
        <w:spacing w:before="0"/>
        <w:textAlignment w:val="auto"/>
      </w:pPr>
      <w:r w:rsidRPr="00FA3E42">
        <w:rPr>
          <w:lang w:val="ru-RU"/>
        </w:rPr>
        <w:br w:type="page"/>
      </w:r>
    </w:p>
    <w:p w14:paraId="1C45A7D7" w14:textId="77777777" w:rsidR="00FA3E42" w:rsidRPr="00FA3E42" w:rsidRDefault="00FA3E42" w:rsidP="00FA3E42">
      <w:pPr>
        <w:pStyle w:val="Heading1"/>
        <w:rPr>
          <w:lang w:val="ru-RU"/>
        </w:rPr>
      </w:pPr>
      <w:r w:rsidRPr="00FA3E42">
        <w:rPr>
          <w:bCs/>
          <w:lang w:val="ru-RU"/>
        </w:rPr>
        <w:lastRenderedPageBreak/>
        <w:t>1</w:t>
      </w:r>
      <w:r w:rsidRPr="00FA3E42">
        <w:rPr>
          <w:lang w:val="ru-RU"/>
        </w:rPr>
        <w:tab/>
      </w:r>
      <w:r w:rsidRPr="00FA3E42">
        <w:rPr>
          <w:bCs/>
          <w:lang w:val="ru-RU"/>
        </w:rPr>
        <w:t>Базовая информация</w:t>
      </w:r>
    </w:p>
    <w:p w14:paraId="37449562" w14:textId="229ED17C" w:rsidR="00FA3E42" w:rsidRPr="00CF2F49" w:rsidRDefault="00FA3E42" w:rsidP="00FF4EB8">
      <w:pPr>
        <w:jc w:val="both"/>
        <w:rPr>
          <w:lang w:val="ru-RU"/>
        </w:rPr>
      </w:pPr>
      <w:r w:rsidRPr="00FA3E42">
        <w:rPr>
          <w:lang w:val="ru-RU"/>
        </w:rPr>
        <w:t>1.1</w:t>
      </w:r>
      <w:r w:rsidRPr="00FA3E42">
        <w:rPr>
          <w:lang w:val="ru-RU"/>
        </w:rPr>
        <w:tab/>
        <w:t xml:space="preserve">Ежегодно МСЭ получает заявки от организаций международного характера, запрашивающих освобождение от уплаты членских взносов и других финансовых вкладов в Союз. Эти заявки рассматриваются в соответствии с процедурой, установленной на сессии Совета в 2000 году (Документ </w:t>
      </w:r>
      <w:hyperlink r:id="rId10" w:history="1">
        <w:r w:rsidRPr="00FF4EB8">
          <w:rPr>
            <w:rStyle w:val="Hyperlink"/>
          </w:rPr>
          <w:t>C</w:t>
        </w:r>
        <w:r w:rsidRPr="00FF4EB8">
          <w:rPr>
            <w:rStyle w:val="Hyperlink"/>
            <w:lang w:val="ru-RU"/>
          </w:rPr>
          <w:t>2000/28(</w:t>
        </w:r>
        <w:r w:rsidRPr="00FF4EB8">
          <w:rPr>
            <w:rStyle w:val="Hyperlink"/>
          </w:rPr>
          <w:t>Rev</w:t>
        </w:r>
        <w:r w:rsidRPr="00FF4EB8">
          <w:rPr>
            <w:rStyle w:val="Hyperlink"/>
            <w:lang w:val="ru-RU"/>
          </w:rPr>
          <w:t>.1)</w:t>
        </w:r>
      </w:hyperlink>
      <w:r w:rsidRPr="00FA3E42">
        <w:rPr>
          <w:lang w:val="ru-RU"/>
        </w:rPr>
        <w:t xml:space="preserve">), а также в соответствии с п. 476 Конвенции, </w:t>
      </w:r>
      <w:hyperlink r:id="rId11" w:history="1">
        <w:r w:rsidRPr="00FF4EB8">
          <w:rPr>
            <w:rStyle w:val="Hyperlink"/>
            <w:lang w:val="ru-RU"/>
          </w:rPr>
          <w:t>Резолюцией 925 Совета</w:t>
        </w:r>
      </w:hyperlink>
      <w:r w:rsidRPr="00FA3E42">
        <w:rPr>
          <w:lang w:val="ru-RU"/>
        </w:rPr>
        <w:t xml:space="preserve"> и критериями, установленными Советом, пересмотренными в 2017</w:t>
      </w:r>
      <w:r w:rsidR="00F01C2D">
        <w:t> </w:t>
      </w:r>
      <w:r w:rsidRPr="00FA3E42">
        <w:rPr>
          <w:lang w:val="ru-RU"/>
        </w:rPr>
        <w:t>году (см. пункт 1.5, ниже).</w:t>
      </w:r>
    </w:p>
    <w:p w14:paraId="5D23A5DE" w14:textId="067B82FD" w:rsidR="00FA3E42" w:rsidRPr="00FA3E42" w:rsidRDefault="00FA3E42" w:rsidP="00FF4EB8">
      <w:pPr>
        <w:jc w:val="both"/>
        <w:rPr>
          <w:lang w:val="ru-RU"/>
        </w:rPr>
      </w:pPr>
      <w:r w:rsidRPr="00FA3E42">
        <w:rPr>
          <w:lang w:val="ru-RU"/>
        </w:rPr>
        <w:t>1.2</w:t>
      </w:r>
      <w:r w:rsidRPr="00FA3E42">
        <w:rPr>
          <w:lang w:val="ru-RU"/>
        </w:rPr>
        <w:tab/>
        <w:t>Освобождение от уплаты взносов предоставляется Советом после анализа соответствующих Бюро и по рекомендации Генерального секретаря. В случае утверждения организации становятся Членами Секторов или Ассоциированными членами согласно п. 231 Конвенции.</w:t>
      </w:r>
    </w:p>
    <w:p w14:paraId="3B9F2A9D" w14:textId="77777777" w:rsidR="00FA3E42" w:rsidRPr="00FA3E42" w:rsidRDefault="00FA3E42" w:rsidP="00FF4EB8">
      <w:pPr>
        <w:jc w:val="both"/>
        <w:rPr>
          <w:lang w:val="ru-RU"/>
        </w:rPr>
      </w:pPr>
      <w:r w:rsidRPr="00FA3E42">
        <w:rPr>
          <w:lang w:val="ru-RU"/>
        </w:rPr>
        <w:t>1.3</w:t>
      </w:r>
      <w:r w:rsidRPr="00FA3E42">
        <w:rPr>
          <w:lang w:val="ru-RU"/>
        </w:rPr>
        <w:tab/>
        <w:t>В настоящее время от уплаты освобождены 137 организаций международного характера. Полный список доступен здесь.</w:t>
      </w:r>
    </w:p>
    <w:p w14:paraId="64329144" w14:textId="77777777" w:rsidR="00FA3E42" w:rsidRPr="00FA3E42" w:rsidRDefault="00FA3E42" w:rsidP="00FF4EB8">
      <w:pPr>
        <w:jc w:val="both"/>
        <w:rPr>
          <w:lang w:val="ru-RU"/>
        </w:rPr>
      </w:pPr>
      <w:r w:rsidRPr="00FA3E42">
        <w:rPr>
          <w:lang w:val="ru-RU"/>
        </w:rPr>
        <w:t>1.4</w:t>
      </w:r>
      <w:r w:rsidRPr="00FA3E42">
        <w:rPr>
          <w:lang w:val="ru-RU"/>
        </w:rPr>
        <w:tab/>
        <w:t xml:space="preserve">Полномочная конференция 2014 года в своей Резолюции 187 (Пусан, 2014 г.) поручила Совету "рассмотреть практику и критерии освобождения объединений от членских сборов и при необходимости внести изменения, направленные на ужесточение критериев соответствия условиям, чтобы содействовать большей ясности, последовательности и справедливости в отношении платящих и не платящих взносы членов и сократить общее количество освобожденных объединений". </w:t>
      </w:r>
    </w:p>
    <w:p w14:paraId="02FBBB71" w14:textId="3F55D342" w:rsidR="00FA3E42" w:rsidRPr="00FA3E42" w:rsidRDefault="00FA3E42" w:rsidP="00FF4EB8">
      <w:pPr>
        <w:jc w:val="both"/>
        <w:rPr>
          <w:lang w:val="ru-RU"/>
        </w:rPr>
      </w:pPr>
      <w:r w:rsidRPr="00FA3E42">
        <w:rPr>
          <w:lang w:val="ru-RU"/>
        </w:rPr>
        <w:t>1.5</w:t>
      </w:r>
      <w:r w:rsidRPr="00FA3E42">
        <w:rPr>
          <w:lang w:val="ru-RU"/>
        </w:rPr>
        <w:tab/>
        <w:t xml:space="preserve">Совет 2017 года утвердил пересмотренные критерии, представленные </w:t>
      </w:r>
      <w:hyperlink r:id="rId12" w:history="1">
        <w:r w:rsidRPr="00FF4EB8">
          <w:rPr>
            <w:rStyle w:val="Hyperlink"/>
            <w:lang w:val="ru-RU"/>
          </w:rPr>
          <w:t>здесь</w:t>
        </w:r>
      </w:hyperlink>
      <w:r w:rsidRPr="00FA3E42">
        <w:rPr>
          <w:lang w:val="ru-RU"/>
        </w:rPr>
        <w:t xml:space="preserve">. С этого времени на каждой сессии Совет рассматривает новые заявки в соответствии с этими критериями. </w:t>
      </w:r>
    </w:p>
    <w:p w14:paraId="0E529A72" w14:textId="77777777" w:rsidR="00FA3E42" w:rsidRPr="00FA3E42" w:rsidRDefault="00FA3E42" w:rsidP="00FF4EB8">
      <w:pPr>
        <w:jc w:val="both"/>
        <w:rPr>
          <w:lang w:val="ru-RU"/>
        </w:rPr>
      </w:pPr>
      <w:r w:rsidRPr="00FA3E42">
        <w:rPr>
          <w:lang w:val="ru-RU"/>
        </w:rPr>
        <w:t>1.6</w:t>
      </w:r>
      <w:r w:rsidRPr="00FA3E42">
        <w:rPr>
          <w:lang w:val="ru-RU"/>
        </w:rPr>
        <w:tab/>
        <w:t>В настоящем документе рассматриваются только новые заявки на освобождение от уплаты взносов за период после прошлой сессии Совета.</w:t>
      </w:r>
    </w:p>
    <w:p w14:paraId="11FBCA55" w14:textId="77777777" w:rsidR="00FA3E42" w:rsidRPr="00FA3E42" w:rsidRDefault="00FA3E42" w:rsidP="00FA3E42">
      <w:pPr>
        <w:pStyle w:val="Heading1"/>
        <w:rPr>
          <w:lang w:val="ru-RU"/>
        </w:rPr>
      </w:pPr>
      <w:r w:rsidRPr="00FA3E42">
        <w:rPr>
          <w:bCs/>
          <w:lang w:val="ru-RU"/>
        </w:rPr>
        <w:t>2</w:t>
      </w:r>
      <w:r w:rsidRPr="00FA3E42">
        <w:rPr>
          <w:lang w:val="ru-RU"/>
        </w:rPr>
        <w:tab/>
      </w:r>
      <w:r w:rsidRPr="00FA3E42">
        <w:rPr>
          <w:bCs/>
          <w:lang w:val="ru-RU"/>
        </w:rPr>
        <w:t>Новые заявки и рекомендации</w:t>
      </w:r>
    </w:p>
    <w:p w14:paraId="038DCADE" w14:textId="77777777" w:rsidR="00FA3E42" w:rsidRPr="00FA3E42" w:rsidRDefault="00FA3E42" w:rsidP="00F01C2D">
      <w:pPr>
        <w:pStyle w:val="Headingb"/>
        <w:spacing w:after="120"/>
        <w:rPr>
          <w:lang w:val="ru-RU"/>
        </w:rPr>
      </w:pPr>
      <w:r w:rsidRPr="00FA3E42">
        <w:rPr>
          <w:bCs/>
          <w:lang w:val="ru-RU"/>
        </w:rPr>
        <w:t>2.1</w:t>
      </w:r>
    </w:p>
    <w:tbl>
      <w:tblPr>
        <w:tblStyle w:val="TableGrid"/>
        <w:tblW w:w="0" w:type="auto"/>
        <w:tblLayout w:type="fixed"/>
        <w:tblLook w:val="04A0" w:firstRow="1" w:lastRow="0" w:firstColumn="1" w:lastColumn="0" w:noHBand="0" w:noVBand="1"/>
      </w:tblPr>
      <w:tblGrid>
        <w:gridCol w:w="3964"/>
        <w:gridCol w:w="2552"/>
        <w:gridCol w:w="2545"/>
      </w:tblGrid>
      <w:tr w:rsidR="00FA3E42" w:rsidRPr="00FA3E42" w14:paraId="00CE670A" w14:textId="77777777" w:rsidTr="00F01C2D">
        <w:tc>
          <w:tcPr>
            <w:tcW w:w="3964" w:type="dxa"/>
          </w:tcPr>
          <w:p w14:paraId="71AC4BA9" w14:textId="77777777" w:rsidR="00FA3E42" w:rsidRPr="00FA3E42" w:rsidRDefault="00FA3E42" w:rsidP="00F61B2A">
            <w:pPr>
              <w:pStyle w:val="Tablehead"/>
              <w:rPr>
                <w:lang w:val="ru-RU"/>
              </w:rPr>
            </w:pPr>
            <w:r w:rsidRPr="00FA3E42">
              <w:rPr>
                <w:bCs/>
                <w:color w:val="000000"/>
                <w:lang w:val="ru-RU"/>
              </w:rPr>
              <w:t>Организация</w:t>
            </w:r>
          </w:p>
        </w:tc>
        <w:tc>
          <w:tcPr>
            <w:tcW w:w="2552" w:type="dxa"/>
          </w:tcPr>
          <w:p w14:paraId="79DF8841" w14:textId="77777777" w:rsidR="00FA3E42" w:rsidRPr="00FA3E42" w:rsidRDefault="00FA3E42" w:rsidP="00F61B2A">
            <w:pPr>
              <w:pStyle w:val="Tablehead"/>
              <w:rPr>
                <w:lang w:val="ru-RU"/>
              </w:rPr>
            </w:pPr>
            <w:r w:rsidRPr="00FA3E42">
              <w:rPr>
                <w:bCs/>
                <w:color w:val="000000"/>
                <w:lang w:val="ru-RU"/>
              </w:rPr>
              <w:t>Сектор</w:t>
            </w:r>
          </w:p>
        </w:tc>
        <w:tc>
          <w:tcPr>
            <w:tcW w:w="2545" w:type="dxa"/>
          </w:tcPr>
          <w:p w14:paraId="0F7B1B2E" w14:textId="77777777" w:rsidR="00FA3E42" w:rsidRPr="00FA3E42" w:rsidRDefault="00FA3E42" w:rsidP="00F61B2A">
            <w:pPr>
              <w:pStyle w:val="Tablehead"/>
              <w:rPr>
                <w:lang w:val="ru-RU"/>
              </w:rPr>
            </w:pPr>
            <w:r w:rsidRPr="00FA3E42">
              <w:rPr>
                <w:color w:val="000000"/>
                <w:lang w:val="ru-RU"/>
              </w:rPr>
              <w:t>Рекомендация</w:t>
            </w:r>
          </w:p>
        </w:tc>
      </w:tr>
      <w:tr w:rsidR="00FA3E42" w:rsidRPr="00F01C2D" w14:paraId="46D26A42" w14:textId="77777777" w:rsidTr="00F01C2D">
        <w:tc>
          <w:tcPr>
            <w:tcW w:w="3964" w:type="dxa"/>
            <w:vAlign w:val="center"/>
          </w:tcPr>
          <w:p w14:paraId="0953AE5F" w14:textId="58FC718B" w:rsidR="00FA3E42" w:rsidRPr="00F01C2D" w:rsidRDefault="00FD119B" w:rsidP="00F61B2A">
            <w:pPr>
              <w:pStyle w:val="TabletextAsianBodyCalibri"/>
              <w:jc w:val="center"/>
              <w:rPr>
                <w:b/>
                <w:bCs w:val="0"/>
                <w:sz w:val="20"/>
                <w:szCs w:val="20"/>
                <w:lang w:val="ru-RU"/>
              </w:rPr>
            </w:pPr>
            <w:r w:rsidRPr="00FD119B">
              <w:rPr>
                <w:b/>
                <w:color w:val="000000"/>
                <w:sz w:val="20"/>
                <w:szCs w:val="20"/>
                <w:lang w:val="ru-RU"/>
              </w:rPr>
              <w:t>Article19</w:t>
            </w:r>
          </w:p>
        </w:tc>
        <w:tc>
          <w:tcPr>
            <w:tcW w:w="2552" w:type="dxa"/>
            <w:vAlign w:val="center"/>
          </w:tcPr>
          <w:p w14:paraId="6A552DC7" w14:textId="77777777" w:rsidR="00FA3E42" w:rsidRPr="00F01C2D" w:rsidRDefault="00FA3E42" w:rsidP="00F61B2A">
            <w:pPr>
              <w:pStyle w:val="TabletextAsianBodyCalibri"/>
              <w:jc w:val="center"/>
              <w:rPr>
                <w:sz w:val="20"/>
                <w:szCs w:val="20"/>
                <w:lang w:val="ru-RU"/>
              </w:rPr>
            </w:pPr>
            <w:r w:rsidRPr="00F01C2D">
              <w:rPr>
                <w:color w:val="000000"/>
                <w:sz w:val="20"/>
                <w:szCs w:val="20"/>
                <w:lang w:val="ru-RU"/>
              </w:rPr>
              <w:t>МСЭ</w:t>
            </w:r>
            <w:r w:rsidRPr="00F01C2D">
              <w:rPr>
                <w:color w:val="000000"/>
                <w:sz w:val="20"/>
                <w:szCs w:val="20"/>
                <w:lang w:val="ru-RU"/>
              </w:rPr>
              <w:noBreakHyphen/>
              <w:t>R</w:t>
            </w:r>
          </w:p>
        </w:tc>
        <w:tc>
          <w:tcPr>
            <w:tcW w:w="2545" w:type="dxa"/>
            <w:vAlign w:val="center"/>
          </w:tcPr>
          <w:p w14:paraId="60CA2AA2" w14:textId="77777777" w:rsidR="00FA3E42" w:rsidRPr="00F01C2D" w:rsidRDefault="00FA3E42" w:rsidP="00F61B2A">
            <w:pPr>
              <w:pStyle w:val="TabletextAsianBodyCalibri"/>
              <w:jc w:val="center"/>
              <w:rPr>
                <w:sz w:val="20"/>
                <w:szCs w:val="20"/>
                <w:lang w:val="ru-RU"/>
              </w:rPr>
            </w:pPr>
            <w:r w:rsidRPr="00F01C2D">
              <w:rPr>
                <w:color w:val="000000"/>
                <w:sz w:val="20"/>
                <w:szCs w:val="20"/>
                <w:lang w:val="ru-RU"/>
              </w:rPr>
              <w:t>Нет</w:t>
            </w:r>
          </w:p>
        </w:tc>
      </w:tr>
    </w:tbl>
    <w:p w14:paraId="799FDE3E" w14:textId="77777777" w:rsidR="00FF4EB8" w:rsidRDefault="00FF4EB8" w:rsidP="00FF4EB8">
      <w:pPr>
        <w:pStyle w:val="Tablefin"/>
      </w:pPr>
    </w:p>
    <w:p w14:paraId="114344EA" w14:textId="5D67FE9E" w:rsidR="00FA3E42" w:rsidRPr="00FA3E42" w:rsidRDefault="00FA3E42" w:rsidP="00FF4EB8">
      <w:pPr>
        <w:jc w:val="both"/>
        <w:rPr>
          <w:lang w:val="ru-RU"/>
        </w:rPr>
      </w:pPr>
      <w:r w:rsidRPr="00FA3E42">
        <w:rPr>
          <w:lang w:val="ru-RU"/>
        </w:rPr>
        <w:t>"</w:t>
      </w:r>
      <w:proofErr w:type="spellStart"/>
      <w:r w:rsidRPr="00FA3E42">
        <w:rPr>
          <w:lang w:val="ru-RU"/>
        </w:rPr>
        <w:t>ARTICLE</w:t>
      </w:r>
      <w:proofErr w:type="spellEnd"/>
      <w:r w:rsidRPr="00FA3E42">
        <w:rPr>
          <w:lang w:val="ru-RU"/>
        </w:rPr>
        <w:t xml:space="preserve"> 19" – это благотворительная организация, зарегистрированная в Соединенном Королевстве. Это международное объединение организаций и частных лиц, деятельность которых связана со свободой выражения убеждений. По мнению Секретариата, это объединение не удовлетворяет критериям, установленным Советом для освобождения от уплаты взносов, поскольку оно не является организацией, основанной на членском составе.</w:t>
      </w:r>
    </w:p>
    <w:p w14:paraId="5CB77DCD" w14:textId="77777777" w:rsidR="00FA3E42" w:rsidRPr="00FA3E42" w:rsidRDefault="00FA3E42" w:rsidP="00F01C2D">
      <w:pPr>
        <w:pStyle w:val="Headingb"/>
        <w:spacing w:after="120"/>
        <w:rPr>
          <w:lang w:val="ru-RU"/>
        </w:rPr>
      </w:pPr>
      <w:r w:rsidRPr="00FA3E42">
        <w:rPr>
          <w:bCs/>
          <w:lang w:val="ru-RU"/>
        </w:rPr>
        <w:t>2.2</w:t>
      </w:r>
    </w:p>
    <w:tbl>
      <w:tblPr>
        <w:tblStyle w:val="TableGrid"/>
        <w:tblW w:w="0" w:type="auto"/>
        <w:tblLayout w:type="fixed"/>
        <w:tblLook w:val="04A0" w:firstRow="1" w:lastRow="0" w:firstColumn="1" w:lastColumn="0" w:noHBand="0" w:noVBand="1"/>
      </w:tblPr>
      <w:tblGrid>
        <w:gridCol w:w="3964"/>
        <w:gridCol w:w="2548"/>
        <w:gridCol w:w="2549"/>
      </w:tblGrid>
      <w:tr w:rsidR="00FA3E42" w:rsidRPr="00FA3E42" w14:paraId="67B34B34" w14:textId="77777777" w:rsidTr="00F61B2A">
        <w:tc>
          <w:tcPr>
            <w:tcW w:w="3964" w:type="dxa"/>
          </w:tcPr>
          <w:p w14:paraId="0662158A" w14:textId="77777777" w:rsidR="00FA3E42" w:rsidRPr="00FA3E42" w:rsidRDefault="00FA3E42" w:rsidP="00F61B2A">
            <w:pPr>
              <w:pStyle w:val="Tablehead"/>
              <w:rPr>
                <w:lang w:val="ru-RU"/>
              </w:rPr>
            </w:pPr>
            <w:r w:rsidRPr="00FA3E42">
              <w:rPr>
                <w:bCs/>
                <w:color w:val="000000"/>
                <w:lang w:val="ru-RU"/>
              </w:rPr>
              <w:t>Организация</w:t>
            </w:r>
          </w:p>
        </w:tc>
        <w:tc>
          <w:tcPr>
            <w:tcW w:w="2548" w:type="dxa"/>
          </w:tcPr>
          <w:p w14:paraId="7BE11078" w14:textId="77777777" w:rsidR="00FA3E42" w:rsidRPr="00FA3E42" w:rsidRDefault="00FA3E42" w:rsidP="00F61B2A">
            <w:pPr>
              <w:pStyle w:val="Tablehead"/>
              <w:rPr>
                <w:lang w:val="ru-RU"/>
              </w:rPr>
            </w:pPr>
            <w:r w:rsidRPr="00FA3E42">
              <w:rPr>
                <w:bCs/>
                <w:color w:val="000000"/>
                <w:lang w:val="ru-RU"/>
              </w:rPr>
              <w:t>Сектор</w:t>
            </w:r>
          </w:p>
        </w:tc>
        <w:tc>
          <w:tcPr>
            <w:tcW w:w="2549" w:type="dxa"/>
          </w:tcPr>
          <w:p w14:paraId="0441B46C" w14:textId="77777777" w:rsidR="00FA3E42" w:rsidRPr="00FA3E42" w:rsidRDefault="00FA3E42" w:rsidP="00F61B2A">
            <w:pPr>
              <w:pStyle w:val="Tablehead"/>
              <w:rPr>
                <w:lang w:val="ru-RU"/>
              </w:rPr>
            </w:pPr>
            <w:r w:rsidRPr="00FA3E42">
              <w:rPr>
                <w:bCs/>
                <w:color w:val="000000"/>
                <w:lang w:val="ru-RU"/>
              </w:rPr>
              <w:t>Рекомендация</w:t>
            </w:r>
          </w:p>
        </w:tc>
      </w:tr>
      <w:tr w:rsidR="00FA3E42" w:rsidRPr="00FA3E42" w14:paraId="3A96BD6D" w14:textId="77777777" w:rsidTr="00F61B2A">
        <w:tc>
          <w:tcPr>
            <w:tcW w:w="3964" w:type="dxa"/>
            <w:vAlign w:val="center"/>
          </w:tcPr>
          <w:p w14:paraId="6458FE07" w14:textId="77777777" w:rsidR="00FA3E42" w:rsidRPr="002E330D" w:rsidRDefault="00FA3E42" w:rsidP="00F61B2A">
            <w:pPr>
              <w:pStyle w:val="Tabletext"/>
              <w:jc w:val="center"/>
              <w:rPr>
                <w:b/>
                <w:bCs/>
              </w:rPr>
            </w:pPr>
            <w:r w:rsidRPr="002E330D">
              <w:rPr>
                <w:b/>
                <w:bCs/>
                <w:color w:val="000000"/>
              </w:rPr>
              <w:t>ATSC: The Broadcast Standards Association</w:t>
            </w:r>
          </w:p>
        </w:tc>
        <w:tc>
          <w:tcPr>
            <w:tcW w:w="2548" w:type="dxa"/>
            <w:vAlign w:val="center"/>
          </w:tcPr>
          <w:p w14:paraId="45164136" w14:textId="77777777" w:rsidR="00FA3E42" w:rsidRPr="00FA3E42" w:rsidRDefault="00FA3E42" w:rsidP="00F61B2A">
            <w:pPr>
              <w:pStyle w:val="Tabletext"/>
              <w:jc w:val="center"/>
              <w:rPr>
                <w:lang w:val="ru-RU"/>
              </w:rPr>
            </w:pPr>
            <w:r w:rsidRPr="00FA3E42">
              <w:rPr>
                <w:color w:val="000000"/>
                <w:lang w:val="ru-RU"/>
              </w:rPr>
              <w:t>МСЭ</w:t>
            </w:r>
            <w:r w:rsidRPr="00FA3E42">
              <w:rPr>
                <w:color w:val="000000"/>
                <w:lang w:val="ru-RU"/>
              </w:rPr>
              <w:noBreakHyphen/>
              <w:t>R</w:t>
            </w:r>
          </w:p>
        </w:tc>
        <w:tc>
          <w:tcPr>
            <w:tcW w:w="2549" w:type="dxa"/>
            <w:vAlign w:val="center"/>
          </w:tcPr>
          <w:p w14:paraId="01D09953" w14:textId="77777777" w:rsidR="00FA3E42" w:rsidRPr="00FA3E42" w:rsidRDefault="00FA3E42" w:rsidP="00F61B2A">
            <w:pPr>
              <w:pStyle w:val="Tabletext"/>
              <w:jc w:val="center"/>
              <w:rPr>
                <w:lang w:val="ru-RU"/>
              </w:rPr>
            </w:pPr>
            <w:r w:rsidRPr="00FA3E42">
              <w:rPr>
                <w:color w:val="000000"/>
                <w:lang w:val="ru-RU"/>
              </w:rPr>
              <w:t>Нет</w:t>
            </w:r>
          </w:p>
        </w:tc>
      </w:tr>
    </w:tbl>
    <w:p w14:paraId="512A1CDB" w14:textId="77777777" w:rsidR="00FF4EB8" w:rsidRDefault="00FF4EB8" w:rsidP="00FF4EB8">
      <w:pPr>
        <w:pStyle w:val="Tablefin"/>
      </w:pPr>
    </w:p>
    <w:p w14:paraId="43EDC1E3" w14:textId="77777777" w:rsidR="00FA3E42" w:rsidRPr="00FA3E42" w:rsidRDefault="00FA3E42" w:rsidP="00FF4EB8">
      <w:pPr>
        <w:jc w:val="both"/>
        <w:rPr>
          <w:rFonts w:eastAsia="Calibri" w:cs="Calibri"/>
          <w:color w:val="000000" w:themeColor="text1"/>
          <w:szCs w:val="24"/>
          <w:lang w:val="ru-RU"/>
        </w:rPr>
      </w:pPr>
      <w:proofErr w:type="spellStart"/>
      <w:r w:rsidRPr="00FA3E42">
        <w:rPr>
          <w:lang w:val="ru-RU"/>
        </w:rPr>
        <w:t>ATSC</w:t>
      </w:r>
      <w:proofErr w:type="spellEnd"/>
      <w:r w:rsidRPr="00FA3E42">
        <w:rPr>
          <w:lang w:val="ru-RU"/>
        </w:rPr>
        <w:t xml:space="preserve">: The </w:t>
      </w:r>
      <w:proofErr w:type="spellStart"/>
      <w:r w:rsidRPr="00FA3E42">
        <w:rPr>
          <w:lang w:val="ru-RU"/>
        </w:rPr>
        <w:t>Broadcast</w:t>
      </w:r>
      <w:proofErr w:type="spellEnd"/>
      <w:r w:rsidRPr="00FA3E42">
        <w:rPr>
          <w:lang w:val="ru-RU"/>
        </w:rPr>
        <w:t xml:space="preserve"> Standards Association является международной некоммерческой организацией, разрабатывающей добровольные стандарты и рекомендуемую практику в сфере мультимедийного радиовещания. ATSC обеспечивает бесшовную интеграцию стандартов радиовещания и электросвязи в целях развития отрасли. ATSC была образована в 1983 году </w:t>
      </w:r>
      <w:r w:rsidRPr="00FA3E42">
        <w:rPr>
          <w:lang w:val="ru-RU"/>
        </w:rPr>
        <w:lastRenderedPageBreak/>
        <w:t>организациями – членами Объединенного комитета по межобщественной координации (JCIC), а именно Ассоциацией потребительских технологий (CTA), Институтом инженеров по электротехнике и радиоэлектронике (IEEE), Национальной ассоциацией телерадиовещателей (NAB), Ассоциацией интернета и телевидения (NCTA) и Обществом инженеров кинематографии и телевидения (SMPTE). По мнению Секретариата, как международная деловая ассоциация, в состав которой входят в основном коммерческие организации, она не соответствует критериям, установленным Советом для освобождения от уплаты взносов.</w:t>
      </w:r>
    </w:p>
    <w:p w14:paraId="1333F04B" w14:textId="77777777" w:rsidR="00FA3E42" w:rsidRPr="00FA3E42" w:rsidRDefault="00FA3E42" w:rsidP="00F01C2D">
      <w:pPr>
        <w:pStyle w:val="Headingb"/>
        <w:spacing w:after="120"/>
        <w:rPr>
          <w:lang w:val="ru-RU"/>
        </w:rPr>
      </w:pPr>
      <w:r w:rsidRPr="00FA3E42">
        <w:rPr>
          <w:bCs/>
          <w:lang w:val="ru-RU"/>
        </w:rPr>
        <w:t>2.3</w:t>
      </w:r>
    </w:p>
    <w:tbl>
      <w:tblPr>
        <w:tblStyle w:val="TableGrid"/>
        <w:tblW w:w="0" w:type="auto"/>
        <w:tblLayout w:type="fixed"/>
        <w:tblLook w:val="04A0" w:firstRow="1" w:lastRow="0" w:firstColumn="1" w:lastColumn="0" w:noHBand="0" w:noVBand="1"/>
      </w:tblPr>
      <w:tblGrid>
        <w:gridCol w:w="3964"/>
        <w:gridCol w:w="2548"/>
        <w:gridCol w:w="2549"/>
      </w:tblGrid>
      <w:tr w:rsidR="00FA3E42" w:rsidRPr="00FA3E42" w14:paraId="4A453036" w14:textId="77777777" w:rsidTr="00F61B2A">
        <w:tc>
          <w:tcPr>
            <w:tcW w:w="3964" w:type="dxa"/>
          </w:tcPr>
          <w:p w14:paraId="4A962405" w14:textId="77777777" w:rsidR="00FA3E42" w:rsidRPr="00FA3E42" w:rsidRDefault="00FA3E42" w:rsidP="00F61B2A">
            <w:pPr>
              <w:pStyle w:val="Tablehead"/>
              <w:rPr>
                <w:lang w:val="ru-RU"/>
              </w:rPr>
            </w:pPr>
            <w:r w:rsidRPr="00FA3E42">
              <w:rPr>
                <w:bCs/>
                <w:color w:val="000000"/>
                <w:lang w:val="ru-RU"/>
              </w:rPr>
              <w:t>Организация</w:t>
            </w:r>
          </w:p>
        </w:tc>
        <w:tc>
          <w:tcPr>
            <w:tcW w:w="2548" w:type="dxa"/>
          </w:tcPr>
          <w:p w14:paraId="7CF0A52F" w14:textId="77777777" w:rsidR="00FA3E42" w:rsidRPr="00FA3E42" w:rsidRDefault="00FA3E42" w:rsidP="00F61B2A">
            <w:pPr>
              <w:pStyle w:val="Tablehead"/>
              <w:rPr>
                <w:lang w:val="ru-RU"/>
              </w:rPr>
            </w:pPr>
            <w:r w:rsidRPr="00FA3E42">
              <w:rPr>
                <w:bCs/>
                <w:color w:val="000000"/>
                <w:lang w:val="ru-RU"/>
              </w:rPr>
              <w:t>Сектор</w:t>
            </w:r>
          </w:p>
        </w:tc>
        <w:tc>
          <w:tcPr>
            <w:tcW w:w="2549" w:type="dxa"/>
          </w:tcPr>
          <w:p w14:paraId="36FE0651" w14:textId="77777777" w:rsidR="00FA3E42" w:rsidRPr="00FA3E42" w:rsidRDefault="00FA3E42" w:rsidP="00F61B2A">
            <w:pPr>
              <w:pStyle w:val="Tablehead"/>
              <w:rPr>
                <w:lang w:val="ru-RU"/>
              </w:rPr>
            </w:pPr>
            <w:r w:rsidRPr="00FA3E42">
              <w:rPr>
                <w:bCs/>
                <w:color w:val="000000"/>
                <w:lang w:val="ru-RU"/>
              </w:rPr>
              <w:t>Рекомендация</w:t>
            </w:r>
          </w:p>
        </w:tc>
      </w:tr>
      <w:tr w:rsidR="00FA3E42" w:rsidRPr="00FA3E42" w14:paraId="0EA398DA" w14:textId="77777777" w:rsidTr="00F61B2A">
        <w:tc>
          <w:tcPr>
            <w:tcW w:w="3964" w:type="dxa"/>
            <w:vAlign w:val="center"/>
          </w:tcPr>
          <w:p w14:paraId="5B5758D7" w14:textId="77777777" w:rsidR="00FA3E42" w:rsidRPr="00FA3E42" w:rsidRDefault="00FA3E42" w:rsidP="00F61B2A">
            <w:pPr>
              <w:pStyle w:val="Tabletext"/>
              <w:jc w:val="center"/>
              <w:rPr>
                <w:b/>
                <w:bCs/>
                <w:lang w:val="ru-RU"/>
              </w:rPr>
            </w:pPr>
            <w:r w:rsidRPr="00FA3E42">
              <w:rPr>
                <w:b/>
                <w:bCs/>
                <w:color w:val="000000"/>
                <w:lang w:val="ru-RU"/>
              </w:rPr>
              <w:t>Cyber Institute</w:t>
            </w:r>
            <w:bookmarkStart w:id="7" w:name="_Int_7Fbf24l4"/>
            <w:bookmarkEnd w:id="7"/>
          </w:p>
        </w:tc>
        <w:tc>
          <w:tcPr>
            <w:tcW w:w="2548" w:type="dxa"/>
            <w:vAlign w:val="center"/>
          </w:tcPr>
          <w:p w14:paraId="40F8060C" w14:textId="77777777" w:rsidR="00FA3E42" w:rsidRPr="00FA3E42" w:rsidRDefault="00FA3E42" w:rsidP="00F61B2A">
            <w:pPr>
              <w:pStyle w:val="Tabletext"/>
              <w:jc w:val="center"/>
              <w:rPr>
                <w:rFonts w:ascii="Times New Roman" w:hAnsi="Times New Roman"/>
                <w:lang w:val="ru-RU"/>
              </w:rPr>
            </w:pPr>
            <w:r w:rsidRPr="00FA3E42">
              <w:rPr>
                <w:color w:val="000000"/>
                <w:lang w:val="ru-RU"/>
              </w:rPr>
              <w:t>МСЭ</w:t>
            </w:r>
            <w:r w:rsidRPr="00FA3E42">
              <w:rPr>
                <w:color w:val="000000"/>
                <w:lang w:val="ru-RU"/>
              </w:rPr>
              <w:noBreakHyphen/>
              <w:t>R</w:t>
            </w:r>
          </w:p>
          <w:p w14:paraId="060CE151" w14:textId="77777777" w:rsidR="00FA3E42" w:rsidRPr="00FA3E42" w:rsidRDefault="00FA3E42" w:rsidP="00F61B2A">
            <w:pPr>
              <w:pStyle w:val="Tabletext"/>
              <w:jc w:val="center"/>
              <w:rPr>
                <w:lang w:val="ru-RU"/>
              </w:rPr>
            </w:pPr>
            <w:r w:rsidRPr="00FA3E42">
              <w:rPr>
                <w:color w:val="000000"/>
                <w:lang w:val="ru-RU"/>
              </w:rPr>
              <w:t>МСЭ-Т</w:t>
            </w:r>
          </w:p>
          <w:p w14:paraId="372C8391" w14:textId="77777777" w:rsidR="00FA3E42" w:rsidRPr="00FA3E42" w:rsidRDefault="00FA3E42" w:rsidP="00F61B2A">
            <w:pPr>
              <w:pStyle w:val="Tabletext"/>
              <w:jc w:val="center"/>
              <w:rPr>
                <w:lang w:val="ru-RU"/>
              </w:rPr>
            </w:pPr>
            <w:r w:rsidRPr="00FA3E42">
              <w:rPr>
                <w:color w:val="000000"/>
                <w:lang w:val="ru-RU"/>
              </w:rPr>
              <w:t>МСЭ-D</w:t>
            </w:r>
          </w:p>
        </w:tc>
        <w:tc>
          <w:tcPr>
            <w:tcW w:w="2549" w:type="dxa"/>
            <w:vAlign w:val="center"/>
          </w:tcPr>
          <w:p w14:paraId="41C032C8" w14:textId="4323A1A5" w:rsidR="00FA3E42" w:rsidRPr="00FA3E42" w:rsidRDefault="003D1F10" w:rsidP="00F61B2A">
            <w:pPr>
              <w:pStyle w:val="Tabletext"/>
              <w:jc w:val="center"/>
              <w:rPr>
                <w:rFonts w:cs="Calibri"/>
                <w:lang w:val="ru-RU"/>
              </w:rPr>
            </w:pPr>
            <w:r>
              <w:rPr>
                <w:color w:val="000000"/>
                <w:lang w:val="ru-RU"/>
              </w:rPr>
              <w:t>Нет</w:t>
            </w:r>
          </w:p>
          <w:p w14:paraId="05690C16" w14:textId="4DE2B8DF" w:rsidR="00FA3E42" w:rsidRPr="00FA3E42" w:rsidRDefault="003D1F10" w:rsidP="00F61B2A">
            <w:pPr>
              <w:pStyle w:val="Tabletext"/>
              <w:jc w:val="center"/>
              <w:rPr>
                <w:rFonts w:cs="Calibri"/>
                <w:lang w:val="ru-RU"/>
              </w:rPr>
            </w:pPr>
            <w:r w:rsidRPr="003D1F10">
              <w:rPr>
                <w:color w:val="000000"/>
                <w:lang w:val="ru-RU"/>
              </w:rPr>
              <w:t>Нет</w:t>
            </w:r>
          </w:p>
          <w:p w14:paraId="2A014AE9" w14:textId="77777777" w:rsidR="00FA3E42" w:rsidRPr="00FA3E42" w:rsidRDefault="00FA3E42" w:rsidP="00F61B2A">
            <w:pPr>
              <w:pStyle w:val="Tabletext"/>
              <w:jc w:val="center"/>
              <w:rPr>
                <w:lang w:val="ru-RU"/>
              </w:rPr>
            </w:pPr>
            <w:r w:rsidRPr="00FA3E42">
              <w:rPr>
                <w:color w:val="000000"/>
                <w:lang w:val="ru-RU"/>
              </w:rPr>
              <w:t>Да</w:t>
            </w:r>
          </w:p>
        </w:tc>
      </w:tr>
    </w:tbl>
    <w:p w14:paraId="57A1E93B" w14:textId="77777777" w:rsidR="00FF4EB8" w:rsidRDefault="00FF4EB8" w:rsidP="00FF4EB8">
      <w:pPr>
        <w:pStyle w:val="Tablefin"/>
      </w:pPr>
    </w:p>
    <w:p w14:paraId="352B8C42" w14:textId="4DBDC49C" w:rsidR="00FA3E42" w:rsidRPr="00FA3E42" w:rsidRDefault="003D1F10" w:rsidP="00FF4EB8">
      <w:pPr>
        <w:jc w:val="both"/>
        <w:rPr>
          <w:rFonts w:eastAsia="Calibri" w:cs="Calibri"/>
          <w:color w:val="000000" w:themeColor="text1"/>
          <w:szCs w:val="24"/>
          <w:lang w:val="ru-RU"/>
        </w:rPr>
      </w:pPr>
      <w:r w:rsidRPr="00FA3E42">
        <w:rPr>
          <w:lang w:val="ru-RU"/>
        </w:rPr>
        <w:t xml:space="preserve">Cyber Institute </w:t>
      </w:r>
      <w:proofErr w:type="gramStart"/>
      <w:r>
        <w:rPr>
          <w:lang w:val="ru-RU"/>
        </w:rPr>
        <w:t>− это</w:t>
      </w:r>
      <w:proofErr w:type="gramEnd"/>
      <w:r>
        <w:rPr>
          <w:lang w:val="ru-RU"/>
        </w:rPr>
        <w:t xml:space="preserve"> </w:t>
      </w:r>
      <w:r w:rsidR="00FA3E42" w:rsidRPr="00FA3E42">
        <w:rPr>
          <w:lang w:val="ru-RU"/>
        </w:rPr>
        <w:t>некоммерческая международная неправительственная организация со штаб-квартирой в Нью-Йорке</w:t>
      </w:r>
      <w:r>
        <w:rPr>
          <w:lang w:val="ru-RU"/>
        </w:rPr>
        <w:t xml:space="preserve">, которая </w:t>
      </w:r>
      <w:r w:rsidR="00FA3E42" w:rsidRPr="00FA3E42">
        <w:rPr>
          <w:lang w:val="ru-RU"/>
        </w:rPr>
        <w:t xml:space="preserve">занимается продвижением политики в области использования киберпространства, вопросами образования и развития трудовых ресурсов. </w:t>
      </w:r>
      <w:r>
        <w:rPr>
          <w:lang w:val="ru-RU"/>
        </w:rPr>
        <w:t xml:space="preserve">Членами </w:t>
      </w:r>
      <w:r w:rsidRPr="00FA3E42">
        <w:rPr>
          <w:lang w:val="ru-RU"/>
        </w:rPr>
        <w:t xml:space="preserve">Cyber Institute </w:t>
      </w:r>
      <w:r>
        <w:rPr>
          <w:lang w:val="ru-RU"/>
        </w:rPr>
        <w:t xml:space="preserve">являются организации из шести стран, а также физические лица более чем из 20 стран в нескольких регионах. </w:t>
      </w:r>
      <w:r w:rsidR="00FA3E42" w:rsidRPr="00FA3E42">
        <w:rPr>
          <w:lang w:val="ru-RU"/>
        </w:rPr>
        <w:t>По мнению Секретариата, это объединение соответствует критериям, установленным Советом для освобождения от уплаты взносов для МСЭ-D.</w:t>
      </w:r>
      <w:r>
        <w:rPr>
          <w:lang w:val="ru-RU"/>
        </w:rPr>
        <w:t xml:space="preserve"> В то же время</w:t>
      </w:r>
      <w:r w:rsidRPr="003D1F10">
        <w:rPr>
          <w:lang w:val="ru-RU"/>
        </w:rPr>
        <w:t xml:space="preserve"> </w:t>
      </w:r>
      <w:r>
        <w:rPr>
          <w:lang w:val="ru-RU"/>
        </w:rPr>
        <w:t xml:space="preserve">для </w:t>
      </w:r>
      <w:r w:rsidRPr="003D1F10">
        <w:rPr>
          <w:lang w:val="ru-RU"/>
        </w:rPr>
        <w:t xml:space="preserve">МСЭ-R </w:t>
      </w:r>
      <w:r>
        <w:rPr>
          <w:lang w:val="ru-RU"/>
        </w:rPr>
        <w:t>и МСЭ-</w:t>
      </w:r>
      <w:r>
        <w:rPr>
          <w:lang w:val="en-US"/>
        </w:rPr>
        <w:t>T</w:t>
      </w:r>
      <w:r w:rsidRPr="00CF2F49">
        <w:rPr>
          <w:lang w:val="ru-RU"/>
        </w:rPr>
        <w:t xml:space="preserve"> </w:t>
      </w:r>
      <w:r>
        <w:rPr>
          <w:lang w:val="ru-RU"/>
        </w:rPr>
        <w:t>уровень взаимной выгоды не является достаточным.</w:t>
      </w:r>
    </w:p>
    <w:p w14:paraId="62B08821" w14:textId="77777777" w:rsidR="00FA3E42" w:rsidRPr="00FA3E42" w:rsidRDefault="00FA3E42" w:rsidP="00FA3E42">
      <w:pPr>
        <w:pStyle w:val="Headingb"/>
        <w:spacing w:after="120"/>
        <w:rPr>
          <w:lang w:val="ru-RU"/>
        </w:rPr>
      </w:pPr>
      <w:r w:rsidRPr="00FA3E42">
        <w:rPr>
          <w:bCs/>
          <w:lang w:val="ru-RU"/>
        </w:rPr>
        <w:t>2.4</w:t>
      </w:r>
    </w:p>
    <w:tbl>
      <w:tblPr>
        <w:tblStyle w:val="TableGrid"/>
        <w:tblW w:w="0" w:type="auto"/>
        <w:tblLayout w:type="fixed"/>
        <w:tblLook w:val="04A0" w:firstRow="1" w:lastRow="0" w:firstColumn="1" w:lastColumn="0" w:noHBand="0" w:noVBand="1"/>
      </w:tblPr>
      <w:tblGrid>
        <w:gridCol w:w="3964"/>
        <w:gridCol w:w="2548"/>
        <w:gridCol w:w="2549"/>
      </w:tblGrid>
      <w:tr w:rsidR="00FA3E42" w:rsidRPr="00FA3E42" w14:paraId="5EBE6E3E" w14:textId="77777777" w:rsidTr="00F61B2A">
        <w:tc>
          <w:tcPr>
            <w:tcW w:w="3964" w:type="dxa"/>
          </w:tcPr>
          <w:p w14:paraId="2963571F" w14:textId="77777777" w:rsidR="00FA3E42" w:rsidRPr="00FA3E42" w:rsidRDefault="00FA3E42" w:rsidP="00F61B2A">
            <w:pPr>
              <w:pStyle w:val="Tablehead"/>
              <w:rPr>
                <w:lang w:val="ru-RU"/>
              </w:rPr>
            </w:pPr>
            <w:r w:rsidRPr="00FA3E42">
              <w:rPr>
                <w:bCs/>
                <w:color w:val="000000"/>
                <w:lang w:val="ru-RU"/>
              </w:rPr>
              <w:t>Организация</w:t>
            </w:r>
          </w:p>
        </w:tc>
        <w:tc>
          <w:tcPr>
            <w:tcW w:w="2548" w:type="dxa"/>
          </w:tcPr>
          <w:p w14:paraId="631200C6" w14:textId="77777777" w:rsidR="00FA3E42" w:rsidRPr="00FA3E42" w:rsidRDefault="00FA3E42" w:rsidP="00F61B2A">
            <w:pPr>
              <w:pStyle w:val="Tablehead"/>
              <w:rPr>
                <w:lang w:val="ru-RU"/>
              </w:rPr>
            </w:pPr>
            <w:r w:rsidRPr="00FA3E42">
              <w:rPr>
                <w:bCs/>
                <w:color w:val="000000"/>
                <w:lang w:val="ru-RU"/>
              </w:rPr>
              <w:t>Сектор</w:t>
            </w:r>
          </w:p>
        </w:tc>
        <w:tc>
          <w:tcPr>
            <w:tcW w:w="2549" w:type="dxa"/>
          </w:tcPr>
          <w:p w14:paraId="44B494D4" w14:textId="77777777" w:rsidR="00FA3E42" w:rsidRPr="00FA3E42" w:rsidRDefault="00FA3E42" w:rsidP="00F61B2A">
            <w:pPr>
              <w:pStyle w:val="Tablehead"/>
              <w:rPr>
                <w:lang w:val="ru-RU"/>
              </w:rPr>
            </w:pPr>
            <w:r w:rsidRPr="00FA3E42">
              <w:rPr>
                <w:color w:val="000000"/>
                <w:lang w:val="ru-RU"/>
              </w:rPr>
              <w:t>Рекомендация</w:t>
            </w:r>
          </w:p>
        </w:tc>
      </w:tr>
      <w:tr w:rsidR="00FA3E42" w:rsidRPr="00FA3E42" w14:paraId="53E90094" w14:textId="77777777" w:rsidTr="00F61B2A">
        <w:tc>
          <w:tcPr>
            <w:tcW w:w="3964" w:type="dxa"/>
            <w:vAlign w:val="center"/>
          </w:tcPr>
          <w:p w14:paraId="4A982993" w14:textId="77777777" w:rsidR="00FA3E42" w:rsidRPr="00FA3E42" w:rsidRDefault="00FA3E42" w:rsidP="00F61B2A">
            <w:pPr>
              <w:pStyle w:val="Tabletext"/>
              <w:jc w:val="center"/>
              <w:rPr>
                <w:b/>
                <w:bCs/>
                <w:lang w:val="ru-RU"/>
              </w:rPr>
            </w:pPr>
            <w:r w:rsidRPr="00FA3E42">
              <w:rPr>
                <w:b/>
                <w:bCs/>
                <w:color w:val="000000"/>
                <w:lang w:val="ru-RU"/>
              </w:rPr>
              <w:t>Исламская организация по вопросам образования, науки и культуры (ИСЕСКО)</w:t>
            </w:r>
          </w:p>
        </w:tc>
        <w:tc>
          <w:tcPr>
            <w:tcW w:w="2548" w:type="dxa"/>
            <w:vAlign w:val="center"/>
          </w:tcPr>
          <w:p w14:paraId="4A7FB934" w14:textId="77777777" w:rsidR="00FA3E42" w:rsidRPr="00FA3E42" w:rsidRDefault="00FA3E42" w:rsidP="00F61B2A">
            <w:pPr>
              <w:pStyle w:val="Tabletext"/>
              <w:jc w:val="center"/>
              <w:rPr>
                <w:lang w:val="ru-RU"/>
              </w:rPr>
            </w:pPr>
            <w:r w:rsidRPr="00FA3E42">
              <w:rPr>
                <w:color w:val="000000"/>
                <w:lang w:val="ru-RU"/>
              </w:rPr>
              <w:t>МСЭ-D</w:t>
            </w:r>
          </w:p>
        </w:tc>
        <w:tc>
          <w:tcPr>
            <w:tcW w:w="2549" w:type="dxa"/>
            <w:vAlign w:val="center"/>
          </w:tcPr>
          <w:p w14:paraId="20F0E0B3" w14:textId="77777777" w:rsidR="00FA3E42" w:rsidRPr="00FA3E42" w:rsidRDefault="00FA3E42" w:rsidP="00F61B2A">
            <w:pPr>
              <w:pStyle w:val="Tabletext"/>
              <w:jc w:val="center"/>
              <w:rPr>
                <w:lang w:val="ru-RU"/>
              </w:rPr>
            </w:pPr>
            <w:r w:rsidRPr="00FA3E42">
              <w:rPr>
                <w:color w:val="000000"/>
                <w:lang w:val="ru-RU"/>
              </w:rPr>
              <w:t>Да</w:t>
            </w:r>
          </w:p>
        </w:tc>
      </w:tr>
    </w:tbl>
    <w:p w14:paraId="797D56F2" w14:textId="77777777" w:rsidR="00FF4EB8" w:rsidRDefault="00FF4EB8" w:rsidP="00FF4EB8">
      <w:pPr>
        <w:pStyle w:val="Tablefin"/>
      </w:pPr>
    </w:p>
    <w:p w14:paraId="2CC80788" w14:textId="77777777" w:rsidR="00FA3E42" w:rsidRPr="00FA3E42" w:rsidRDefault="00FA3E42" w:rsidP="00FF4EB8">
      <w:pPr>
        <w:jc w:val="both"/>
        <w:rPr>
          <w:rFonts w:eastAsia="Calibri" w:cs="Calibri"/>
          <w:color w:val="000000" w:themeColor="text1"/>
          <w:szCs w:val="24"/>
          <w:lang w:val="ru-RU"/>
        </w:rPr>
      </w:pPr>
      <w:r w:rsidRPr="00FA3E42">
        <w:rPr>
          <w:lang w:val="ru-RU"/>
        </w:rPr>
        <w:t>Исламская организация по вопросам образования, науки и культуры (ИСЕСКО), насчитывающая 53 государства-члена, является специализированной организацией, действующей под эгидой Организации исламского сотрудничества (ОИС) и занимающейся сферами образования, науки, культуры и коммуникации в исламских странах в целях поддержки и укрепления отношений между государствами-членами. Штаб-квартира Организации находится в Рабате. По мнению Секретариата, это объединение как международная организация, в состав которой входят Государства-Члены, отвечает критериям, установленным Советом для освобождения от уплаты взносов.</w:t>
      </w:r>
    </w:p>
    <w:p w14:paraId="10D5B71D" w14:textId="77777777" w:rsidR="00FA3E42" w:rsidRPr="00FA3E42" w:rsidRDefault="00FA3E42" w:rsidP="00FA3E42">
      <w:pPr>
        <w:pStyle w:val="Headingb"/>
        <w:spacing w:after="120"/>
        <w:rPr>
          <w:lang w:val="ru-RU"/>
        </w:rPr>
      </w:pPr>
      <w:r w:rsidRPr="00FA3E42">
        <w:rPr>
          <w:bCs/>
          <w:lang w:val="ru-RU"/>
        </w:rPr>
        <w:t>2.5</w:t>
      </w:r>
    </w:p>
    <w:tbl>
      <w:tblPr>
        <w:tblStyle w:val="TableGrid"/>
        <w:tblW w:w="0" w:type="auto"/>
        <w:tblLayout w:type="fixed"/>
        <w:tblLook w:val="04A0" w:firstRow="1" w:lastRow="0" w:firstColumn="1" w:lastColumn="0" w:noHBand="0" w:noVBand="1"/>
      </w:tblPr>
      <w:tblGrid>
        <w:gridCol w:w="3964"/>
        <w:gridCol w:w="2548"/>
        <w:gridCol w:w="2549"/>
      </w:tblGrid>
      <w:tr w:rsidR="00FA3E42" w:rsidRPr="00FA3E42" w14:paraId="76177077" w14:textId="77777777" w:rsidTr="00F61B2A">
        <w:tc>
          <w:tcPr>
            <w:tcW w:w="3964" w:type="dxa"/>
          </w:tcPr>
          <w:p w14:paraId="71DE8AAE" w14:textId="77777777" w:rsidR="00FA3E42" w:rsidRPr="00FA3E42" w:rsidRDefault="00FA3E42" w:rsidP="00FA3E42">
            <w:pPr>
              <w:pStyle w:val="Tablehead"/>
              <w:rPr>
                <w:lang w:val="ru-RU"/>
              </w:rPr>
            </w:pPr>
            <w:r w:rsidRPr="00FA3E42">
              <w:rPr>
                <w:lang w:val="ru-RU"/>
              </w:rPr>
              <w:t>Организация</w:t>
            </w:r>
          </w:p>
        </w:tc>
        <w:tc>
          <w:tcPr>
            <w:tcW w:w="2548" w:type="dxa"/>
          </w:tcPr>
          <w:p w14:paraId="017B296E" w14:textId="77777777" w:rsidR="00FA3E42" w:rsidRPr="00FA3E42" w:rsidRDefault="00FA3E42" w:rsidP="00FA3E42">
            <w:pPr>
              <w:pStyle w:val="Tablehead"/>
              <w:rPr>
                <w:lang w:val="ru-RU"/>
              </w:rPr>
            </w:pPr>
            <w:r w:rsidRPr="00FA3E42">
              <w:rPr>
                <w:lang w:val="ru-RU"/>
              </w:rPr>
              <w:t>Сектор</w:t>
            </w:r>
          </w:p>
        </w:tc>
        <w:tc>
          <w:tcPr>
            <w:tcW w:w="2549" w:type="dxa"/>
          </w:tcPr>
          <w:p w14:paraId="6CF109F2" w14:textId="77777777" w:rsidR="00FA3E42" w:rsidRPr="00FA3E42" w:rsidRDefault="00FA3E42" w:rsidP="00FA3E42">
            <w:pPr>
              <w:pStyle w:val="Tablehead"/>
              <w:rPr>
                <w:lang w:val="ru-RU"/>
              </w:rPr>
            </w:pPr>
            <w:r w:rsidRPr="00FA3E42">
              <w:rPr>
                <w:lang w:val="ru-RU"/>
              </w:rPr>
              <w:t>Рекомендация</w:t>
            </w:r>
          </w:p>
        </w:tc>
      </w:tr>
      <w:tr w:rsidR="00FA3E42" w:rsidRPr="00FA3E42" w14:paraId="69F312C7" w14:textId="77777777" w:rsidTr="00F61B2A">
        <w:tc>
          <w:tcPr>
            <w:tcW w:w="3964" w:type="dxa"/>
            <w:vAlign w:val="center"/>
          </w:tcPr>
          <w:p w14:paraId="7C426BA7" w14:textId="77777777" w:rsidR="00FA3E42" w:rsidRPr="00FA3E42" w:rsidRDefault="00FA3E42" w:rsidP="00F61B2A">
            <w:pPr>
              <w:pStyle w:val="Tabletext"/>
              <w:jc w:val="center"/>
              <w:rPr>
                <w:b/>
                <w:bCs/>
                <w:lang w:val="ru-RU"/>
              </w:rPr>
            </w:pPr>
            <w:r w:rsidRPr="00FA3E42">
              <w:rPr>
                <w:b/>
                <w:bCs/>
                <w:color w:val="000000"/>
                <w:lang w:val="ru-RU"/>
              </w:rPr>
              <w:t>Южноазиатская региональная организация по стандартизации (SARSO)</w:t>
            </w:r>
          </w:p>
        </w:tc>
        <w:tc>
          <w:tcPr>
            <w:tcW w:w="2548" w:type="dxa"/>
            <w:vAlign w:val="center"/>
          </w:tcPr>
          <w:p w14:paraId="1B28F190" w14:textId="77777777" w:rsidR="00FA3E42" w:rsidRPr="00FA3E42" w:rsidRDefault="00FA3E42" w:rsidP="00F61B2A">
            <w:pPr>
              <w:pStyle w:val="Tabletext"/>
              <w:jc w:val="center"/>
              <w:rPr>
                <w:lang w:val="ru-RU"/>
              </w:rPr>
            </w:pPr>
            <w:r w:rsidRPr="00FA3E42">
              <w:rPr>
                <w:color w:val="000000"/>
                <w:lang w:val="ru-RU"/>
              </w:rPr>
              <w:t>МСЭ-Т</w:t>
            </w:r>
          </w:p>
        </w:tc>
        <w:tc>
          <w:tcPr>
            <w:tcW w:w="2549" w:type="dxa"/>
            <w:vAlign w:val="center"/>
          </w:tcPr>
          <w:p w14:paraId="0CC7D996" w14:textId="77777777" w:rsidR="00FA3E42" w:rsidRPr="00FA3E42" w:rsidRDefault="00FA3E42" w:rsidP="00F61B2A">
            <w:pPr>
              <w:pStyle w:val="Tabletext"/>
              <w:jc w:val="center"/>
              <w:rPr>
                <w:lang w:val="ru-RU"/>
              </w:rPr>
            </w:pPr>
            <w:r w:rsidRPr="00FA3E42">
              <w:rPr>
                <w:color w:val="000000"/>
                <w:lang w:val="ru-RU"/>
              </w:rPr>
              <w:t>Да</w:t>
            </w:r>
          </w:p>
        </w:tc>
      </w:tr>
    </w:tbl>
    <w:p w14:paraId="587D6BF0" w14:textId="77777777" w:rsidR="00FF4EB8" w:rsidRDefault="00FF4EB8" w:rsidP="00FF4EB8">
      <w:pPr>
        <w:pStyle w:val="Tablefin"/>
      </w:pPr>
    </w:p>
    <w:p w14:paraId="2D243A7B" w14:textId="2ED20732" w:rsidR="00FA3E42" w:rsidRPr="00FA3E42" w:rsidRDefault="00FA3E42" w:rsidP="00FF4EB8">
      <w:pPr>
        <w:jc w:val="both"/>
        <w:rPr>
          <w:rFonts w:eastAsia="Calibri" w:cs="Calibri"/>
          <w:color w:val="000000" w:themeColor="text1"/>
          <w:szCs w:val="24"/>
          <w:lang w:val="ru-RU"/>
        </w:rPr>
      </w:pPr>
      <w:r w:rsidRPr="00FA3E42">
        <w:rPr>
          <w:lang w:val="ru-RU"/>
        </w:rPr>
        <w:t>Южноазиатская региональная организация по стандартизации (SARSO) является специализированным органом Ассоциации регионального сотрудничества стран Южной Азии (СААРК). SARSO была создана для достижения и укрепления координации и сотрудничества между странами – членами СААРК в области стандартизации и оценки соответствия. По мнению Секретариата, это объединение как региональная организация, в состав которой входят Государства-Члены, отвечает критериям, установленным Советом для освобождения от уплаты взносов.</w:t>
      </w:r>
    </w:p>
    <w:p w14:paraId="61E44085" w14:textId="77777777" w:rsidR="00FA3E42" w:rsidRPr="00FA3E42" w:rsidRDefault="00FA3E42" w:rsidP="00FA3E42">
      <w:pPr>
        <w:pStyle w:val="Headingb"/>
        <w:spacing w:after="120"/>
        <w:rPr>
          <w:lang w:val="ru-RU"/>
        </w:rPr>
      </w:pPr>
      <w:r w:rsidRPr="00FA3E42">
        <w:rPr>
          <w:bCs/>
          <w:lang w:val="ru-RU"/>
        </w:rPr>
        <w:lastRenderedPageBreak/>
        <w:t>2.6</w:t>
      </w:r>
    </w:p>
    <w:tbl>
      <w:tblPr>
        <w:tblStyle w:val="TableGrid"/>
        <w:tblW w:w="0" w:type="auto"/>
        <w:tblLayout w:type="fixed"/>
        <w:tblLook w:val="04A0" w:firstRow="1" w:lastRow="0" w:firstColumn="1" w:lastColumn="0" w:noHBand="0" w:noVBand="1"/>
      </w:tblPr>
      <w:tblGrid>
        <w:gridCol w:w="3964"/>
        <w:gridCol w:w="2548"/>
        <w:gridCol w:w="2549"/>
      </w:tblGrid>
      <w:tr w:rsidR="00FA3E42" w:rsidRPr="00FA3E42" w14:paraId="13EA3322" w14:textId="77777777" w:rsidTr="00FA3E42">
        <w:trPr>
          <w:cantSplit/>
        </w:trPr>
        <w:tc>
          <w:tcPr>
            <w:tcW w:w="3964" w:type="dxa"/>
          </w:tcPr>
          <w:p w14:paraId="0C8C253B" w14:textId="77777777" w:rsidR="00FA3E42" w:rsidRPr="00FA3E42" w:rsidRDefault="00FA3E42" w:rsidP="00F61B2A">
            <w:pPr>
              <w:pStyle w:val="Tablehead"/>
              <w:rPr>
                <w:lang w:val="ru-RU"/>
              </w:rPr>
            </w:pPr>
            <w:r w:rsidRPr="00FA3E42">
              <w:rPr>
                <w:bCs/>
                <w:color w:val="000000"/>
                <w:lang w:val="ru-RU"/>
              </w:rPr>
              <w:t>Организация</w:t>
            </w:r>
          </w:p>
        </w:tc>
        <w:tc>
          <w:tcPr>
            <w:tcW w:w="2548" w:type="dxa"/>
          </w:tcPr>
          <w:p w14:paraId="777D0606" w14:textId="77777777" w:rsidR="00FA3E42" w:rsidRPr="00FA3E42" w:rsidRDefault="00FA3E42" w:rsidP="00F61B2A">
            <w:pPr>
              <w:pStyle w:val="Tablehead"/>
              <w:rPr>
                <w:lang w:val="ru-RU"/>
              </w:rPr>
            </w:pPr>
            <w:r w:rsidRPr="00FA3E42">
              <w:rPr>
                <w:bCs/>
                <w:color w:val="000000"/>
                <w:lang w:val="ru-RU"/>
              </w:rPr>
              <w:t>Сектор</w:t>
            </w:r>
          </w:p>
        </w:tc>
        <w:tc>
          <w:tcPr>
            <w:tcW w:w="2549" w:type="dxa"/>
          </w:tcPr>
          <w:p w14:paraId="125CF9DC" w14:textId="77777777" w:rsidR="00FA3E42" w:rsidRPr="00FA3E42" w:rsidRDefault="00FA3E42" w:rsidP="00F61B2A">
            <w:pPr>
              <w:pStyle w:val="Tablehead"/>
              <w:rPr>
                <w:lang w:val="ru-RU"/>
              </w:rPr>
            </w:pPr>
            <w:r w:rsidRPr="00FA3E42">
              <w:rPr>
                <w:color w:val="000000"/>
                <w:lang w:val="ru-RU"/>
              </w:rPr>
              <w:t>Рекомендация</w:t>
            </w:r>
          </w:p>
        </w:tc>
      </w:tr>
      <w:tr w:rsidR="00FA3E42" w:rsidRPr="00FA3E42" w14:paraId="67CD9E07" w14:textId="77777777" w:rsidTr="00FA3E42">
        <w:trPr>
          <w:cantSplit/>
        </w:trPr>
        <w:tc>
          <w:tcPr>
            <w:tcW w:w="3964" w:type="dxa"/>
            <w:vAlign w:val="center"/>
          </w:tcPr>
          <w:p w14:paraId="1AB85A66" w14:textId="77777777" w:rsidR="00FA3E42" w:rsidRPr="00FA3E42" w:rsidRDefault="00FA3E42" w:rsidP="00F61B2A">
            <w:pPr>
              <w:pStyle w:val="Tabletext"/>
              <w:jc w:val="center"/>
              <w:rPr>
                <w:b/>
                <w:bCs/>
                <w:lang w:val="ru-RU"/>
              </w:rPr>
            </w:pPr>
            <w:r w:rsidRPr="00FA3E42">
              <w:rPr>
                <w:b/>
                <w:bCs/>
                <w:color w:val="000000"/>
                <w:lang w:val="ru-RU"/>
              </w:rPr>
              <w:t>Консультативный совет представителей космического поколения</w:t>
            </w:r>
          </w:p>
        </w:tc>
        <w:tc>
          <w:tcPr>
            <w:tcW w:w="2548" w:type="dxa"/>
            <w:vAlign w:val="center"/>
          </w:tcPr>
          <w:p w14:paraId="2D70B3A1" w14:textId="77777777" w:rsidR="00FA3E42" w:rsidRPr="00FA3E42" w:rsidRDefault="00FA3E42" w:rsidP="00FA3E42">
            <w:pPr>
              <w:pStyle w:val="Tabletext"/>
              <w:jc w:val="center"/>
              <w:rPr>
                <w:rFonts w:asciiTheme="minorHAnsi" w:eastAsia="SimSun" w:hAnsiTheme="minorHAnsi" w:cstheme="minorHAnsi"/>
                <w:szCs w:val="24"/>
                <w:lang w:val="ru-RU"/>
              </w:rPr>
            </w:pPr>
            <w:r w:rsidRPr="00FA3E42">
              <w:rPr>
                <w:lang w:val="ru-RU"/>
              </w:rPr>
              <w:t>МСЭ</w:t>
            </w:r>
            <w:r w:rsidRPr="00FA3E42">
              <w:rPr>
                <w:lang w:val="ru-RU"/>
              </w:rPr>
              <w:noBreakHyphen/>
              <w:t>R</w:t>
            </w:r>
          </w:p>
          <w:p w14:paraId="57A7E048" w14:textId="77777777" w:rsidR="00FA3E42" w:rsidRPr="00FA3E42" w:rsidRDefault="00FA3E42" w:rsidP="00FA3E42">
            <w:pPr>
              <w:pStyle w:val="Tabletext"/>
              <w:jc w:val="center"/>
              <w:rPr>
                <w:rFonts w:asciiTheme="minorHAnsi" w:eastAsia="SimSun" w:hAnsiTheme="minorHAnsi" w:cstheme="minorHAnsi"/>
                <w:szCs w:val="24"/>
                <w:lang w:val="ru-RU"/>
              </w:rPr>
            </w:pPr>
            <w:r w:rsidRPr="00FA3E42">
              <w:rPr>
                <w:lang w:val="ru-RU"/>
              </w:rPr>
              <w:t>МСЭ-Т</w:t>
            </w:r>
          </w:p>
          <w:p w14:paraId="5E541E38" w14:textId="77777777" w:rsidR="00FA3E42" w:rsidRPr="00FA3E42" w:rsidRDefault="00FA3E42" w:rsidP="00FA3E42">
            <w:pPr>
              <w:pStyle w:val="Tabletext"/>
              <w:jc w:val="center"/>
              <w:rPr>
                <w:lang w:val="ru-RU"/>
              </w:rPr>
            </w:pPr>
            <w:r w:rsidRPr="00FA3E42">
              <w:rPr>
                <w:lang w:val="ru-RU"/>
              </w:rPr>
              <w:t>МСЭ-D</w:t>
            </w:r>
          </w:p>
        </w:tc>
        <w:tc>
          <w:tcPr>
            <w:tcW w:w="2549" w:type="dxa"/>
            <w:vAlign w:val="center"/>
          </w:tcPr>
          <w:p w14:paraId="5C18320B" w14:textId="4A6AD2D1" w:rsidR="00FA3E42" w:rsidRDefault="00FA3E42" w:rsidP="00FA3E42">
            <w:pPr>
              <w:pStyle w:val="Tabletext"/>
              <w:jc w:val="center"/>
              <w:rPr>
                <w:lang w:val="ru-RU"/>
              </w:rPr>
            </w:pPr>
            <w:r w:rsidRPr="00FA3E42">
              <w:rPr>
                <w:lang w:val="ru-RU"/>
              </w:rPr>
              <w:t>Да</w:t>
            </w:r>
          </w:p>
          <w:p w14:paraId="7F268AF7" w14:textId="7866B1CB" w:rsidR="003D1F10" w:rsidRPr="00FA3E42" w:rsidRDefault="003D1F10" w:rsidP="00FA3E42">
            <w:pPr>
              <w:pStyle w:val="Tabletext"/>
              <w:jc w:val="center"/>
              <w:rPr>
                <w:rFonts w:asciiTheme="minorHAnsi" w:eastAsia="SimSun" w:hAnsiTheme="minorHAnsi"/>
                <w:color w:val="000000" w:themeColor="text1"/>
                <w:lang w:val="ru-RU"/>
              </w:rPr>
            </w:pPr>
            <w:r>
              <w:rPr>
                <w:lang w:val="ru-RU"/>
              </w:rPr>
              <w:t>Нет</w:t>
            </w:r>
          </w:p>
          <w:p w14:paraId="12732E8D" w14:textId="77777777" w:rsidR="00FA3E42" w:rsidRPr="00FA3E42" w:rsidRDefault="00FA3E42" w:rsidP="00FA3E42">
            <w:pPr>
              <w:pStyle w:val="Tabletext"/>
              <w:jc w:val="center"/>
              <w:rPr>
                <w:lang w:val="ru-RU"/>
              </w:rPr>
            </w:pPr>
            <w:r w:rsidRPr="00FA3E42">
              <w:rPr>
                <w:lang w:val="ru-RU"/>
              </w:rPr>
              <w:t>Да</w:t>
            </w:r>
          </w:p>
        </w:tc>
      </w:tr>
    </w:tbl>
    <w:p w14:paraId="5EA2B0ED" w14:textId="77777777" w:rsidR="00FF4EB8" w:rsidRDefault="00FF4EB8" w:rsidP="00FF4EB8">
      <w:pPr>
        <w:pStyle w:val="Tablefin"/>
      </w:pPr>
    </w:p>
    <w:p w14:paraId="56346555" w14:textId="52FC9D1C" w:rsidR="00FA3E42" w:rsidRPr="00FA3E42" w:rsidRDefault="00FA3E42" w:rsidP="00FF4EB8">
      <w:pPr>
        <w:jc w:val="both"/>
        <w:rPr>
          <w:rFonts w:eastAsia="Calibri" w:cs="Calibri"/>
          <w:color w:val="000000" w:themeColor="text1"/>
          <w:szCs w:val="24"/>
          <w:lang w:val="ru-RU"/>
        </w:rPr>
      </w:pPr>
      <w:r w:rsidRPr="00FA3E42">
        <w:rPr>
          <w:lang w:val="ru-RU"/>
        </w:rPr>
        <w:t xml:space="preserve">Консультативный совет представителей космического поколения (SGAC) был создан для оказания поддержки Программе Организации Объединенных Наций по применению космической техники. Это неправительственная некоммерческая организация и сеть студентов, молодых специалистов и выпускников по специальностям, связанным с космической отраслью, и в настоящее время она представляет более 27 тыс. членов из 165 стран. SGAC является официальным партнером Международной </w:t>
      </w:r>
      <w:proofErr w:type="spellStart"/>
      <w:r w:rsidRPr="00FA3E42">
        <w:rPr>
          <w:lang w:val="ru-RU"/>
        </w:rPr>
        <w:t>астронавтической</w:t>
      </w:r>
      <w:proofErr w:type="spellEnd"/>
      <w:r w:rsidRPr="00FA3E42">
        <w:rPr>
          <w:lang w:val="ru-RU"/>
        </w:rPr>
        <w:t xml:space="preserve"> федерации (</w:t>
      </w:r>
      <w:proofErr w:type="spellStart"/>
      <w:r w:rsidRPr="00FA3E42">
        <w:rPr>
          <w:lang w:val="ru-RU"/>
        </w:rPr>
        <w:t>МАФ</w:t>
      </w:r>
      <w:proofErr w:type="spellEnd"/>
      <w:r w:rsidRPr="00FA3E42">
        <w:rPr>
          <w:lang w:val="ru-RU"/>
        </w:rPr>
        <w:t>). По мнению Секретариата, это объединение соответствует критериям, установленным Советом для освобождения от уплаты взносов для МСЭ-R и МСЭ-D.</w:t>
      </w:r>
      <w:r w:rsidR="003D1F10">
        <w:rPr>
          <w:lang w:val="ru-RU"/>
        </w:rPr>
        <w:t xml:space="preserve"> В то же время для МСЭ-</w:t>
      </w:r>
      <w:r w:rsidR="003D1F10">
        <w:rPr>
          <w:lang w:val="en-US"/>
        </w:rPr>
        <w:t>T</w:t>
      </w:r>
      <w:r w:rsidR="003D1F10" w:rsidRPr="00CF2F49">
        <w:rPr>
          <w:lang w:val="ru-RU"/>
        </w:rPr>
        <w:t xml:space="preserve"> </w:t>
      </w:r>
      <w:r w:rsidR="003D1F10">
        <w:rPr>
          <w:lang w:val="ru-RU"/>
        </w:rPr>
        <w:t>уровень взаимной выгоды не является достаточным.</w:t>
      </w:r>
    </w:p>
    <w:p w14:paraId="2DD7547E" w14:textId="77777777" w:rsidR="00796BD3" w:rsidRPr="00FA3E42" w:rsidRDefault="00C462C5" w:rsidP="00FA3E42">
      <w:pPr>
        <w:spacing w:before="480"/>
        <w:jc w:val="center"/>
        <w:rPr>
          <w:lang w:val="ru-RU"/>
        </w:rPr>
      </w:pPr>
      <w:r w:rsidRPr="00FA3E42">
        <w:rPr>
          <w:lang w:val="ru-RU"/>
        </w:rPr>
        <w:t>______________</w:t>
      </w:r>
    </w:p>
    <w:sectPr w:rsidR="00796BD3" w:rsidRPr="00FA3E42" w:rsidSect="00796BD3">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51779" w14:textId="77777777" w:rsidR="00BC6DA1" w:rsidRDefault="00BC6DA1">
      <w:r>
        <w:separator/>
      </w:r>
    </w:p>
  </w:endnote>
  <w:endnote w:type="continuationSeparator" w:id="0">
    <w:p w14:paraId="4CA04EC9" w14:textId="77777777" w:rsidR="00BC6DA1" w:rsidRDefault="00BC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2BF9ABB3" w14:textId="77777777" w:rsidTr="00E31DCE">
      <w:trPr>
        <w:jc w:val="center"/>
      </w:trPr>
      <w:tc>
        <w:tcPr>
          <w:tcW w:w="1803" w:type="dxa"/>
          <w:vAlign w:val="center"/>
        </w:tcPr>
        <w:p w14:paraId="7A729C61" w14:textId="6EB0BF4F" w:rsidR="00672F8A" w:rsidRPr="00FA3E42" w:rsidRDefault="00672F8A" w:rsidP="00672F8A">
          <w:pPr>
            <w:pStyle w:val="Header"/>
            <w:jc w:val="left"/>
            <w:rPr>
              <w:noProof/>
              <w:lang w:val="ru-RU"/>
            </w:rPr>
          </w:pPr>
        </w:p>
      </w:tc>
      <w:tc>
        <w:tcPr>
          <w:tcW w:w="8261" w:type="dxa"/>
        </w:tcPr>
        <w:p w14:paraId="19E61D2B" w14:textId="797120D4"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FA3E42">
            <w:rPr>
              <w:bCs/>
              <w:lang w:val="ru-RU"/>
            </w:rPr>
            <w:t>65</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243CCAE5"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309C942E" w14:textId="77777777" w:rsidTr="00E31DCE">
      <w:trPr>
        <w:jc w:val="center"/>
      </w:trPr>
      <w:tc>
        <w:tcPr>
          <w:tcW w:w="1803" w:type="dxa"/>
          <w:vAlign w:val="center"/>
        </w:tcPr>
        <w:p w14:paraId="017B9D0E" w14:textId="77777777" w:rsidR="00672F8A" w:rsidRDefault="00D631AA" w:rsidP="00672F8A">
          <w:pPr>
            <w:pStyle w:val="Header"/>
            <w:jc w:val="left"/>
            <w:rPr>
              <w:noProof/>
            </w:rPr>
          </w:pPr>
          <w:r w:rsidRPr="00D631AA">
            <w:rPr>
              <w:color w:val="0563C1"/>
              <w:szCs w:val="14"/>
            </w:rPr>
            <w:t>council.itu.int/2025</w:t>
          </w:r>
        </w:p>
      </w:tc>
      <w:tc>
        <w:tcPr>
          <w:tcW w:w="8261" w:type="dxa"/>
        </w:tcPr>
        <w:p w14:paraId="7E44CDEA" w14:textId="400CC68B"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FA3E42">
            <w:rPr>
              <w:bCs/>
              <w:lang w:val="ru-RU"/>
            </w:rPr>
            <w:t>65</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01ED65A2"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C858E" w14:textId="77777777" w:rsidR="00BC6DA1" w:rsidRDefault="00BC6DA1">
      <w:r>
        <w:t>____________________</w:t>
      </w:r>
    </w:p>
  </w:footnote>
  <w:footnote w:type="continuationSeparator" w:id="0">
    <w:p w14:paraId="0D12E82E" w14:textId="77777777" w:rsidR="00BC6DA1" w:rsidRDefault="00BC6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9"/>
      <w:gridCol w:w="3661"/>
    </w:tblGrid>
    <w:tr w:rsidR="00156890" w:rsidRPr="00784011" w14:paraId="10922126" w14:textId="77777777" w:rsidTr="00156890">
      <w:trPr>
        <w:trHeight w:val="1104"/>
        <w:jc w:val="center"/>
      </w:trPr>
      <w:tc>
        <w:tcPr>
          <w:tcW w:w="6359" w:type="dxa"/>
          <w:vAlign w:val="center"/>
        </w:tcPr>
        <w:p w14:paraId="0322239B" w14:textId="77777777" w:rsidR="00156890" w:rsidRDefault="00156890" w:rsidP="00796BD3">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2AF51915" wp14:editId="17CFFEB4">
                <wp:extent cx="3901233" cy="612000"/>
                <wp:effectExtent l="0" t="0" r="0" b="0"/>
                <wp:docPr id="1838873251" name="Picture 2"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73251" name="Picture 2" descr="A black background with blue letters and numb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01233" cy="612000"/>
                        </a:xfrm>
                        <a:prstGeom prst="rect">
                          <a:avLst/>
                        </a:prstGeom>
                      </pic:spPr>
                    </pic:pic>
                  </a:graphicData>
                </a:graphic>
              </wp:inline>
            </w:drawing>
          </w:r>
        </w:p>
      </w:tc>
      <w:tc>
        <w:tcPr>
          <w:tcW w:w="3661" w:type="dxa"/>
        </w:tcPr>
        <w:p w14:paraId="4FBC944D" w14:textId="77777777" w:rsidR="00156890" w:rsidRDefault="00156890" w:rsidP="00796BD3">
          <w:pPr>
            <w:pStyle w:val="Header"/>
            <w:jc w:val="right"/>
            <w:rPr>
              <w:rFonts w:ascii="Arial" w:hAnsi="Arial" w:cs="Arial"/>
              <w:b/>
              <w:bCs/>
              <w:color w:val="009CD6"/>
              <w:szCs w:val="18"/>
            </w:rPr>
          </w:pPr>
        </w:p>
      </w:tc>
    </w:tr>
  </w:tbl>
  <w:p w14:paraId="510E6ABF" w14:textId="77777777" w:rsidR="0014229E" w:rsidRDefault="00796BD3" w:rsidP="0014229E">
    <w:pPr>
      <w:pStyle w:val="Header"/>
      <w:spacing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16B06D6" wp14:editId="21F20DDB">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B569D"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03469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E42"/>
    <w:rsid w:val="00005BE0"/>
    <w:rsid w:val="0002183E"/>
    <w:rsid w:val="00041D5D"/>
    <w:rsid w:val="000569B4"/>
    <w:rsid w:val="0006007D"/>
    <w:rsid w:val="00080E82"/>
    <w:rsid w:val="000B2DE7"/>
    <w:rsid w:val="000E568E"/>
    <w:rsid w:val="0014229E"/>
    <w:rsid w:val="0014734F"/>
    <w:rsid w:val="00156890"/>
    <w:rsid w:val="0015710D"/>
    <w:rsid w:val="00163A32"/>
    <w:rsid w:val="00165D06"/>
    <w:rsid w:val="00192B41"/>
    <w:rsid w:val="001B7B09"/>
    <w:rsid w:val="001E6719"/>
    <w:rsid w:val="001E7F50"/>
    <w:rsid w:val="00225368"/>
    <w:rsid w:val="00227FF0"/>
    <w:rsid w:val="00291EB6"/>
    <w:rsid w:val="002C3F32"/>
    <w:rsid w:val="002D2F57"/>
    <w:rsid w:val="002D48C5"/>
    <w:rsid w:val="002E330D"/>
    <w:rsid w:val="0033025A"/>
    <w:rsid w:val="00345D2A"/>
    <w:rsid w:val="003A32CD"/>
    <w:rsid w:val="003D1F10"/>
    <w:rsid w:val="003F099E"/>
    <w:rsid w:val="003F235E"/>
    <w:rsid w:val="00401FD7"/>
    <w:rsid w:val="004023E0"/>
    <w:rsid w:val="00403DD8"/>
    <w:rsid w:val="00442515"/>
    <w:rsid w:val="0045686C"/>
    <w:rsid w:val="004918C4"/>
    <w:rsid w:val="00497703"/>
    <w:rsid w:val="004A0374"/>
    <w:rsid w:val="004A45B5"/>
    <w:rsid w:val="004D0129"/>
    <w:rsid w:val="00515795"/>
    <w:rsid w:val="005A64D5"/>
    <w:rsid w:val="005B3DEC"/>
    <w:rsid w:val="00601994"/>
    <w:rsid w:val="00660449"/>
    <w:rsid w:val="00672E5C"/>
    <w:rsid w:val="00672F8A"/>
    <w:rsid w:val="006E2D42"/>
    <w:rsid w:val="00703676"/>
    <w:rsid w:val="00707304"/>
    <w:rsid w:val="00732269"/>
    <w:rsid w:val="007621BE"/>
    <w:rsid w:val="00762555"/>
    <w:rsid w:val="0077110E"/>
    <w:rsid w:val="00771B12"/>
    <w:rsid w:val="00785ABD"/>
    <w:rsid w:val="00796BD3"/>
    <w:rsid w:val="007A2DD4"/>
    <w:rsid w:val="007D38B5"/>
    <w:rsid w:val="007E7EA0"/>
    <w:rsid w:val="00807255"/>
    <w:rsid w:val="0081023E"/>
    <w:rsid w:val="008173AA"/>
    <w:rsid w:val="00840A14"/>
    <w:rsid w:val="00856666"/>
    <w:rsid w:val="008B62B4"/>
    <w:rsid w:val="008D2D7B"/>
    <w:rsid w:val="008E0737"/>
    <w:rsid w:val="008F7C2C"/>
    <w:rsid w:val="00940E96"/>
    <w:rsid w:val="00950A82"/>
    <w:rsid w:val="009B0BAE"/>
    <w:rsid w:val="009C1C89"/>
    <w:rsid w:val="009F3448"/>
    <w:rsid w:val="00A01CF9"/>
    <w:rsid w:val="00A20B63"/>
    <w:rsid w:val="00A71773"/>
    <w:rsid w:val="00AE2C85"/>
    <w:rsid w:val="00B0107F"/>
    <w:rsid w:val="00B12A37"/>
    <w:rsid w:val="00B41837"/>
    <w:rsid w:val="00B63EF2"/>
    <w:rsid w:val="00BA7D89"/>
    <w:rsid w:val="00BC0D39"/>
    <w:rsid w:val="00BC6DA1"/>
    <w:rsid w:val="00BC7BC0"/>
    <w:rsid w:val="00BD57B7"/>
    <w:rsid w:val="00BE63E2"/>
    <w:rsid w:val="00C462C5"/>
    <w:rsid w:val="00CD2009"/>
    <w:rsid w:val="00CF2F49"/>
    <w:rsid w:val="00CF629C"/>
    <w:rsid w:val="00D631AA"/>
    <w:rsid w:val="00D92EEA"/>
    <w:rsid w:val="00DA5D4E"/>
    <w:rsid w:val="00DA770A"/>
    <w:rsid w:val="00E05752"/>
    <w:rsid w:val="00E176BA"/>
    <w:rsid w:val="00E423EC"/>
    <w:rsid w:val="00E55121"/>
    <w:rsid w:val="00E74BC2"/>
    <w:rsid w:val="00EB4FCB"/>
    <w:rsid w:val="00EC6BC5"/>
    <w:rsid w:val="00F01C2D"/>
    <w:rsid w:val="00F348D0"/>
    <w:rsid w:val="00F35898"/>
    <w:rsid w:val="00F37977"/>
    <w:rsid w:val="00F5225B"/>
    <w:rsid w:val="00FA3E42"/>
    <w:rsid w:val="00FD119B"/>
    <w:rsid w:val="00FE5701"/>
    <w:rsid w:val="00FF4E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E7F9"/>
  <w15:docId w15:val="{9DA16113-C16A-4A43-B63F-3BB2CF18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FF4EB8"/>
    <w:rPr>
      <w:color w:val="0070C0"/>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styleId="PlaceholderText">
    <w:name w:val="Placeholder Text"/>
    <w:basedOn w:val="DefaultParagraphFont"/>
    <w:uiPriority w:val="99"/>
    <w:semiHidden/>
    <w:rsid w:val="00D631AA"/>
    <w:rPr>
      <w:color w:val="666666"/>
    </w:rPr>
  </w:style>
  <w:style w:type="paragraph" w:customStyle="1" w:styleId="TabletextAsianBodyCalibri">
    <w:name w:val="Table_text + (Asian) +Body (Calibri)"/>
    <w:aliases w:val="(Complex) +Body CS (Arial),(Complex) 1..."/>
    <w:basedOn w:val="Tabletext"/>
    <w:rsid w:val="00FA3E42"/>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pPr>
    <w:rPr>
      <w:rFonts w:eastAsiaTheme="minorHAnsi" w:cstheme="minorBidi"/>
      <w:bCs/>
      <w:iCs/>
      <w:sz w:val="22"/>
      <w:szCs w:val="22"/>
    </w:rPr>
  </w:style>
  <w:style w:type="character" w:styleId="UnresolvedMention">
    <w:name w:val="Unresolved Mention"/>
    <w:basedOn w:val="DefaultParagraphFont"/>
    <w:uiPriority w:val="99"/>
    <w:semiHidden/>
    <w:unhideWhenUsed/>
    <w:rsid w:val="003D1F10"/>
    <w:rPr>
      <w:color w:val="605E5C"/>
      <w:shd w:val="clear" w:color="auto" w:fill="E1DFDD"/>
    </w:rPr>
  </w:style>
  <w:style w:type="character" w:customStyle="1" w:styleId="StyleHyperlinkAsianCalibriComplexCalibriComplex11">
    <w:name w:val="Style Hyperlink + (Asian) Calibri (Complex) Calibri (Complex) 11 ..."/>
    <w:basedOn w:val="Hyperlink"/>
    <w:rsid w:val="00FF4EB8"/>
    <w:rPr>
      <w:rFonts w:eastAsia="Calibri" w:cs="Calibri"/>
      <w:i/>
      <w:iCs/>
      <w:color w:val="0070C0"/>
      <w:szCs w:val="22"/>
      <w:u w:val="single"/>
    </w:rPr>
  </w:style>
  <w:style w:type="character" w:customStyle="1" w:styleId="StyleHyperlinkItalic">
    <w:name w:val="Style Hyperlink + Italic"/>
    <w:basedOn w:val="Hyperlink"/>
    <w:rsid w:val="00FF4EB8"/>
    <w:rPr>
      <w:i/>
      <w:iCs/>
      <w:color w:val="0070C0"/>
      <w:u w:val="single"/>
    </w:rPr>
  </w:style>
  <w:style w:type="paragraph" w:customStyle="1" w:styleId="Tablefin">
    <w:name w:val="Table_fin"/>
    <w:basedOn w:val="Tabletext"/>
    <w:rsid w:val="00FF4EB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141/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tu.int/itudoc/gs/council/c00/docs/28rev1.html" TargetMode="External"/><Relationship Id="rId12" Type="http://schemas.openxmlformats.org/officeDocument/2006/relationships/hyperlink" Target="https://www.itu.int/hub/membership/our-members/exempted-entities/exemption-criter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9-CL-C-0141/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itudoc/gs/council/c00/docs/28rev1.html" TargetMode="External"/><Relationship Id="rId4" Type="http://schemas.openxmlformats.org/officeDocument/2006/relationships/webSettings" Target="webSettings.xml"/><Relationship Id="rId9" Type="http://schemas.openxmlformats.org/officeDocument/2006/relationships/hyperlink" Target="https://www.itu.int/hub/membership/our-members/exempted-entiti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GS\PR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PR_Council25.dotx</Template>
  <TotalTime>0</TotalTime>
  <Pages>4</Pages>
  <Words>843</Words>
  <Characters>6158</Characters>
  <Application>Microsoft Office Word</Application>
  <DocSecurity>0</DocSecurity>
  <Lines>162</Lines>
  <Paragraphs>82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6924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requests for exemption from fees for organizations of an international character</dc:title>
  <dc:subject>ITU Council 2025</dc:subject>
  <cp:keywords>C2025, C25, Council-25</cp:keywords>
  <dc:description/>
  <cp:lastPrinted>2006-03-28T16:12:00Z</cp:lastPrinted>
  <dcterms:created xsi:type="dcterms:W3CDTF">2025-05-23T09:28:00Z</dcterms:created>
  <dcterms:modified xsi:type="dcterms:W3CDTF">2025-05-23T09:28:00Z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GrammarlyDocumentId">
    <vt:lpwstr>9788a1e2cff90a8b0a0b89c964e56f6e6a612f9769bc84c067c7d1a91603ee22</vt:lpwstr>
  </property>
</Properties>
</file>