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247AC9E1" w14:textId="77777777" w:rsidTr="00D72F49">
        <w:trPr>
          <w:cantSplit/>
          <w:trHeight w:val="23"/>
        </w:trPr>
        <w:tc>
          <w:tcPr>
            <w:tcW w:w="3969" w:type="dxa"/>
            <w:vMerge w:val="restart"/>
            <w:tcMar>
              <w:left w:w="0" w:type="dxa"/>
            </w:tcMar>
          </w:tcPr>
          <w:p w14:paraId="10A29FB5" w14:textId="0C982240" w:rsidR="00D72F49" w:rsidRPr="00E85629" w:rsidRDefault="00D72F49" w:rsidP="00D72F49">
            <w:pPr>
              <w:tabs>
                <w:tab w:val="left" w:pos="851"/>
              </w:tabs>
              <w:spacing w:before="0" w:line="240" w:lineRule="atLeast"/>
              <w:rPr>
                <w:b/>
              </w:rPr>
            </w:pPr>
            <w:r w:rsidRPr="00122CE1">
              <w:rPr>
                <w:b/>
              </w:rPr>
              <w:t>Point de l'ordre du jour</w:t>
            </w:r>
            <w:r>
              <w:rPr>
                <w:b/>
              </w:rPr>
              <w:t>:</w:t>
            </w:r>
            <w:r w:rsidR="00423DB8">
              <w:rPr>
                <w:b/>
              </w:rPr>
              <w:t xml:space="preserve"> ADM 1</w:t>
            </w:r>
          </w:p>
        </w:tc>
        <w:tc>
          <w:tcPr>
            <w:tcW w:w="5245" w:type="dxa"/>
          </w:tcPr>
          <w:p w14:paraId="49D5A72A" w14:textId="660BFFA9" w:rsidR="00D72F49" w:rsidRPr="00E85629" w:rsidRDefault="00D72F49" w:rsidP="00D72F49">
            <w:pPr>
              <w:tabs>
                <w:tab w:val="left" w:pos="851"/>
              </w:tabs>
              <w:spacing w:before="0" w:line="240" w:lineRule="atLeast"/>
              <w:jc w:val="right"/>
              <w:rPr>
                <w:b/>
              </w:rPr>
            </w:pPr>
            <w:r>
              <w:rPr>
                <w:b/>
              </w:rPr>
              <w:t>Document C2</w:t>
            </w:r>
            <w:r w:rsidR="00FC6D7D">
              <w:rPr>
                <w:b/>
              </w:rPr>
              <w:t>5</w:t>
            </w:r>
            <w:r>
              <w:rPr>
                <w:b/>
              </w:rPr>
              <w:t>/</w:t>
            </w:r>
            <w:r w:rsidR="00423DB8">
              <w:rPr>
                <w:b/>
              </w:rPr>
              <w:t>65</w:t>
            </w:r>
            <w:r>
              <w:rPr>
                <w:b/>
              </w:rPr>
              <w:t>-F</w:t>
            </w:r>
          </w:p>
        </w:tc>
      </w:tr>
      <w:tr w:rsidR="00D72F49" w:rsidRPr="00C049D7" w14:paraId="1E03D343" w14:textId="77777777" w:rsidTr="00D72F49">
        <w:trPr>
          <w:cantSplit/>
        </w:trPr>
        <w:tc>
          <w:tcPr>
            <w:tcW w:w="3969" w:type="dxa"/>
            <w:vMerge/>
          </w:tcPr>
          <w:p w14:paraId="159F8B7E" w14:textId="77777777" w:rsidR="00D72F49" w:rsidRPr="00813E5E" w:rsidRDefault="00D72F49" w:rsidP="00D72F49">
            <w:pPr>
              <w:tabs>
                <w:tab w:val="left" w:pos="851"/>
              </w:tabs>
              <w:spacing w:line="240" w:lineRule="atLeast"/>
              <w:rPr>
                <w:b/>
              </w:rPr>
            </w:pPr>
          </w:p>
        </w:tc>
        <w:tc>
          <w:tcPr>
            <w:tcW w:w="5245" w:type="dxa"/>
          </w:tcPr>
          <w:p w14:paraId="24B71094" w14:textId="403DE05E" w:rsidR="00D72F49" w:rsidRPr="00FC6D7D" w:rsidRDefault="00293C74" w:rsidP="00D72F49">
            <w:pPr>
              <w:tabs>
                <w:tab w:val="left" w:pos="851"/>
              </w:tabs>
              <w:spacing w:before="0"/>
              <w:jc w:val="right"/>
              <w:rPr>
                <w:b/>
                <w:lang w:val="en-GB"/>
              </w:rPr>
            </w:pPr>
            <w:r>
              <w:rPr>
                <w:b/>
              </w:rPr>
              <w:t>16</w:t>
            </w:r>
            <w:r w:rsidR="00423DB8">
              <w:rPr>
                <w:b/>
              </w:rPr>
              <w:t xml:space="preserve"> mai 2025</w:t>
            </w:r>
          </w:p>
        </w:tc>
      </w:tr>
      <w:tr w:rsidR="00D72F49" w:rsidRPr="00813E5E" w14:paraId="26285DDE" w14:textId="77777777" w:rsidTr="00D72F49">
        <w:trPr>
          <w:cantSplit/>
          <w:trHeight w:val="23"/>
        </w:trPr>
        <w:tc>
          <w:tcPr>
            <w:tcW w:w="3969" w:type="dxa"/>
            <w:vMerge/>
          </w:tcPr>
          <w:p w14:paraId="13CC6E7C" w14:textId="77777777" w:rsidR="00D72F49" w:rsidRPr="00FC6D7D" w:rsidRDefault="00D72F49" w:rsidP="00D72F49">
            <w:pPr>
              <w:tabs>
                <w:tab w:val="left" w:pos="851"/>
              </w:tabs>
              <w:spacing w:line="240" w:lineRule="atLeast"/>
              <w:rPr>
                <w:b/>
                <w:lang w:val="en-GB"/>
              </w:rPr>
            </w:pPr>
          </w:p>
        </w:tc>
        <w:tc>
          <w:tcPr>
            <w:tcW w:w="5245" w:type="dxa"/>
          </w:tcPr>
          <w:p w14:paraId="24B746EB" w14:textId="77777777" w:rsidR="00D72F49" w:rsidRPr="00E85629" w:rsidRDefault="00D72F49" w:rsidP="00D72F49">
            <w:pPr>
              <w:tabs>
                <w:tab w:val="left" w:pos="851"/>
              </w:tabs>
              <w:spacing w:before="0" w:line="240" w:lineRule="atLeast"/>
              <w:jc w:val="right"/>
              <w:rPr>
                <w:b/>
              </w:rPr>
            </w:pPr>
            <w:r w:rsidRPr="00122CE1">
              <w:rPr>
                <w:b/>
                <w:lang w:val="fr-CH"/>
              </w:rPr>
              <w:t>Original: anglais</w:t>
            </w:r>
          </w:p>
        </w:tc>
      </w:tr>
      <w:tr w:rsidR="00D72F49" w:rsidRPr="00813E5E" w14:paraId="5E347D6C" w14:textId="77777777" w:rsidTr="00D72F49">
        <w:trPr>
          <w:cantSplit/>
          <w:trHeight w:val="23"/>
        </w:trPr>
        <w:tc>
          <w:tcPr>
            <w:tcW w:w="3969" w:type="dxa"/>
          </w:tcPr>
          <w:p w14:paraId="75A5E5D6" w14:textId="77777777" w:rsidR="00D72F49" w:rsidRPr="00813E5E" w:rsidRDefault="00D72F49" w:rsidP="00D72F49">
            <w:pPr>
              <w:tabs>
                <w:tab w:val="left" w:pos="851"/>
              </w:tabs>
              <w:spacing w:line="240" w:lineRule="atLeast"/>
              <w:rPr>
                <w:b/>
              </w:rPr>
            </w:pPr>
          </w:p>
        </w:tc>
        <w:tc>
          <w:tcPr>
            <w:tcW w:w="5245" w:type="dxa"/>
          </w:tcPr>
          <w:p w14:paraId="786F3AED" w14:textId="77777777" w:rsidR="00D72F49" w:rsidRDefault="00D72F49" w:rsidP="00D72F49">
            <w:pPr>
              <w:tabs>
                <w:tab w:val="left" w:pos="851"/>
              </w:tabs>
              <w:spacing w:before="0" w:line="240" w:lineRule="atLeast"/>
              <w:jc w:val="right"/>
              <w:rPr>
                <w:b/>
              </w:rPr>
            </w:pPr>
          </w:p>
        </w:tc>
      </w:tr>
      <w:tr w:rsidR="00D72F49" w:rsidRPr="00122CE1" w14:paraId="4139F480" w14:textId="77777777" w:rsidTr="00D72F49">
        <w:trPr>
          <w:cantSplit/>
        </w:trPr>
        <w:tc>
          <w:tcPr>
            <w:tcW w:w="9214" w:type="dxa"/>
            <w:gridSpan w:val="2"/>
            <w:tcMar>
              <w:left w:w="0" w:type="dxa"/>
            </w:tcMar>
          </w:tcPr>
          <w:p w14:paraId="1EBC84A8" w14:textId="77777777" w:rsidR="00D72F49" w:rsidRPr="00C42437" w:rsidRDefault="00D72F49" w:rsidP="00D72F49">
            <w:pPr>
              <w:pStyle w:val="Source"/>
              <w:jc w:val="left"/>
              <w:rPr>
                <w:sz w:val="34"/>
                <w:szCs w:val="34"/>
                <w:lang w:val="fr-CH"/>
              </w:rPr>
            </w:pPr>
            <w:r w:rsidRPr="00D72F49">
              <w:rPr>
                <w:rFonts w:cstheme="minorHAnsi"/>
                <w:color w:val="000000"/>
                <w:sz w:val="34"/>
                <w:szCs w:val="34"/>
              </w:rPr>
              <w:t xml:space="preserve">Rapport </w:t>
            </w:r>
            <w:r w:rsidR="00E95647">
              <w:rPr>
                <w:rFonts w:cstheme="minorHAnsi"/>
                <w:color w:val="000000"/>
                <w:sz w:val="34"/>
                <w:szCs w:val="34"/>
              </w:rPr>
              <w:t xml:space="preserve">de la </w:t>
            </w:r>
            <w:r w:rsidRPr="00D72F49">
              <w:rPr>
                <w:rFonts w:cstheme="minorHAnsi"/>
                <w:color w:val="000000"/>
                <w:sz w:val="34"/>
                <w:szCs w:val="34"/>
              </w:rPr>
              <w:t>Secrétaire général</w:t>
            </w:r>
            <w:r w:rsidR="00E95647">
              <w:rPr>
                <w:rFonts w:cstheme="minorHAnsi"/>
                <w:color w:val="000000"/>
                <w:sz w:val="34"/>
                <w:szCs w:val="34"/>
              </w:rPr>
              <w:t>e</w:t>
            </w:r>
          </w:p>
        </w:tc>
      </w:tr>
      <w:tr w:rsidR="00D72F49" w:rsidRPr="00813E5E" w14:paraId="44910042" w14:textId="77777777" w:rsidTr="00D72F49">
        <w:trPr>
          <w:cantSplit/>
        </w:trPr>
        <w:tc>
          <w:tcPr>
            <w:tcW w:w="9214" w:type="dxa"/>
            <w:gridSpan w:val="2"/>
            <w:tcMar>
              <w:left w:w="0" w:type="dxa"/>
            </w:tcMar>
          </w:tcPr>
          <w:p w14:paraId="6765B9AD" w14:textId="236E229D" w:rsidR="00D72F49" w:rsidRPr="00423DB8" w:rsidRDefault="00F621F5" w:rsidP="00D72F49">
            <w:pPr>
              <w:pStyle w:val="Subtitle"/>
              <w:framePr w:hSpace="0" w:wrap="auto" w:hAnchor="text" w:xAlign="left" w:yAlign="inline"/>
              <w:rPr>
                <w:sz w:val="32"/>
                <w:szCs w:val="32"/>
                <w:lang w:val="fr-FR"/>
              </w:rPr>
            </w:pPr>
            <w:r w:rsidRPr="00423DB8">
              <w:rPr>
                <w:rFonts w:cstheme="minorHAnsi"/>
                <w:sz w:val="32"/>
                <w:szCs w:val="32"/>
                <w:lang w:val="fr-FR"/>
              </w:rPr>
              <w:t>NOUVELLES DEMANDES D'EXONÉRATION DU PAIEMENT DE DROITS POUR LES ORGANISATIONS AYANT UN CARACTÈRE INTERNATIONAL</w:t>
            </w:r>
          </w:p>
        </w:tc>
      </w:tr>
      <w:tr w:rsidR="00D72F49" w:rsidRPr="00813E5E" w14:paraId="2A21D1F2" w14:textId="77777777" w:rsidTr="00D72F49">
        <w:trPr>
          <w:cantSplit/>
        </w:trPr>
        <w:tc>
          <w:tcPr>
            <w:tcW w:w="9214" w:type="dxa"/>
            <w:gridSpan w:val="2"/>
            <w:tcBorders>
              <w:top w:val="single" w:sz="4" w:space="0" w:color="auto"/>
              <w:bottom w:val="single" w:sz="4" w:space="0" w:color="auto"/>
            </w:tcBorders>
            <w:tcMar>
              <w:left w:w="0" w:type="dxa"/>
            </w:tcMar>
          </w:tcPr>
          <w:p w14:paraId="09C3B8B9" w14:textId="77777777" w:rsidR="00D72F49" w:rsidRPr="0099485B" w:rsidRDefault="00F37FE5" w:rsidP="00D72F49">
            <w:pPr>
              <w:spacing w:before="160"/>
              <w:rPr>
                <w:b/>
                <w:bCs/>
                <w:sz w:val="26"/>
                <w:szCs w:val="26"/>
                <w:lang w:val="fr-CH"/>
              </w:rPr>
            </w:pPr>
            <w:r>
              <w:rPr>
                <w:b/>
                <w:bCs/>
                <w:sz w:val="26"/>
                <w:szCs w:val="26"/>
                <w:lang w:val="fr-CH"/>
              </w:rPr>
              <w:t>Objet</w:t>
            </w:r>
          </w:p>
          <w:p w14:paraId="34925565" w14:textId="25F8BD1F" w:rsidR="00D72F49" w:rsidRPr="0099485B" w:rsidRDefault="00423DB8" w:rsidP="00F621F5">
            <w:pPr>
              <w:jc w:val="both"/>
              <w:rPr>
                <w:lang w:val="fr-CH"/>
              </w:rPr>
            </w:pPr>
            <w:r w:rsidRPr="00423DB8">
              <w:rPr>
                <w:lang w:val="fr-CH"/>
              </w:rPr>
              <w:t>Chaque année, l'UIT reçoit des demandes d'organisations ayant un caractère international sollicitant l'exonération du paiement des droits de membre et d'autres contributions financières à l'Union sur la base de la réciprocité. Ces nouvelles demandes sont examinées par le Secrétariat d'après les critères établis par le Conseil.</w:t>
            </w:r>
          </w:p>
          <w:p w14:paraId="6CE2C267" w14:textId="77777777" w:rsidR="00D72F49" w:rsidRPr="00122CE1" w:rsidRDefault="00D72F49" w:rsidP="00D72F49">
            <w:pPr>
              <w:spacing w:before="160"/>
              <w:rPr>
                <w:b/>
                <w:bCs/>
                <w:sz w:val="26"/>
                <w:szCs w:val="26"/>
                <w:lang w:val="fr-CH"/>
              </w:rPr>
            </w:pPr>
            <w:r w:rsidRPr="00122CE1">
              <w:rPr>
                <w:b/>
                <w:bCs/>
                <w:sz w:val="26"/>
                <w:szCs w:val="26"/>
                <w:lang w:val="fr-CH"/>
              </w:rPr>
              <w:t>Suite à donner par le Conseil</w:t>
            </w:r>
          </w:p>
          <w:p w14:paraId="5248EAE5" w14:textId="1C6A50B8" w:rsidR="00D72F49" w:rsidRPr="00122CE1" w:rsidRDefault="00423DB8" w:rsidP="00F621F5">
            <w:pPr>
              <w:jc w:val="both"/>
              <w:rPr>
                <w:lang w:val="fr-CH"/>
              </w:rPr>
            </w:pPr>
            <w:r w:rsidRPr="00423DB8">
              <w:rPr>
                <w:lang w:val="fr-CH"/>
              </w:rPr>
              <w:t xml:space="preserve">Le Conseil est invité à </w:t>
            </w:r>
            <w:r w:rsidRPr="00423DB8">
              <w:rPr>
                <w:b/>
                <w:bCs/>
                <w:lang w:val="fr-CH"/>
              </w:rPr>
              <w:t>examiner</w:t>
            </w:r>
            <w:r w:rsidRPr="00423DB8">
              <w:rPr>
                <w:lang w:val="fr-CH"/>
              </w:rPr>
              <w:t xml:space="preserve"> les recommandations de la Secrétaire générale concernant les nouvelles demandes d'exonération.</w:t>
            </w:r>
          </w:p>
          <w:p w14:paraId="5268283C" w14:textId="13ED1232" w:rsidR="00D72F49" w:rsidRPr="00122CE1" w:rsidRDefault="00D72F49" w:rsidP="00D72F49">
            <w:pPr>
              <w:spacing w:before="160"/>
              <w:rPr>
                <w:b/>
                <w:bCs/>
                <w:sz w:val="26"/>
                <w:szCs w:val="26"/>
                <w:lang w:val="fr-CH"/>
              </w:rPr>
            </w:pPr>
            <w:r w:rsidRPr="00122CE1">
              <w:rPr>
                <w:b/>
                <w:bCs/>
                <w:sz w:val="26"/>
                <w:szCs w:val="26"/>
                <w:lang w:val="fr-CH"/>
              </w:rPr>
              <w:t xml:space="preserve">Liens pertinents avec le </w:t>
            </w:r>
            <w:r w:rsidR="00F37FE5">
              <w:rPr>
                <w:b/>
                <w:bCs/>
                <w:sz w:val="26"/>
                <w:szCs w:val="26"/>
                <w:lang w:val="fr-CH"/>
              </w:rPr>
              <w:t>p</w:t>
            </w:r>
            <w:r w:rsidRPr="00122CE1">
              <w:rPr>
                <w:b/>
                <w:bCs/>
                <w:sz w:val="26"/>
                <w:szCs w:val="26"/>
                <w:lang w:val="fr-CH"/>
              </w:rPr>
              <w:t>lan stratégique</w:t>
            </w:r>
          </w:p>
          <w:p w14:paraId="00DC65DC" w14:textId="694EB21B" w:rsidR="00D72F49" w:rsidRPr="00122CE1" w:rsidRDefault="00423DB8" w:rsidP="00D72F49">
            <w:pPr>
              <w:rPr>
                <w:lang w:val="fr-CH"/>
              </w:rPr>
            </w:pPr>
            <w:r w:rsidRPr="00423DB8">
              <w:rPr>
                <w:lang w:val="fr-CH"/>
              </w:rPr>
              <w:t>Partenariats et coopération internationale.</w:t>
            </w:r>
          </w:p>
          <w:p w14:paraId="223C5728" w14:textId="77777777" w:rsidR="00E95647" w:rsidRDefault="00D72F49" w:rsidP="00D72F49">
            <w:pPr>
              <w:spacing w:before="160"/>
              <w:rPr>
                <w:b/>
                <w:bCs/>
                <w:sz w:val="26"/>
                <w:szCs w:val="26"/>
                <w:lang w:val="fr-CH"/>
              </w:rPr>
            </w:pPr>
            <w:r w:rsidRPr="00122CE1">
              <w:rPr>
                <w:b/>
                <w:bCs/>
                <w:sz w:val="26"/>
                <w:szCs w:val="26"/>
                <w:lang w:val="fr-CH"/>
              </w:rPr>
              <w:t>Incidences financières</w:t>
            </w:r>
          </w:p>
          <w:p w14:paraId="7FE84FC7" w14:textId="2765F141" w:rsidR="00D72F49" w:rsidRPr="00882919" w:rsidRDefault="00423DB8" w:rsidP="00882919">
            <w:pPr>
              <w:rPr>
                <w:szCs w:val="24"/>
              </w:rPr>
            </w:pPr>
            <w:r w:rsidRPr="00423DB8">
              <w:rPr>
                <w:szCs w:val="24"/>
              </w:rPr>
              <w:t>Le montant des exonérations de paiement des droits s'élève à 160 000 CHF par an.</w:t>
            </w:r>
          </w:p>
          <w:p w14:paraId="0E497E1E" w14:textId="77777777" w:rsidR="00D72F49" w:rsidRPr="00813E5E" w:rsidRDefault="00D72F49" w:rsidP="00D72F49">
            <w:pPr>
              <w:spacing w:before="160"/>
              <w:rPr>
                <w:caps/>
                <w:sz w:val="22"/>
              </w:rPr>
            </w:pPr>
            <w:r w:rsidRPr="00813E5E">
              <w:rPr>
                <w:sz w:val="22"/>
              </w:rPr>
              <w:t>____________</w:t>
            </w:r>
            <w:r>
              <w:rPr>
                <w:sz w:val="22"/>
              </w:rPr>
              <w:t>______</w:t>
            </w:r>
          </w:p>
          <w:p w14:paraId="347807A9" w14:textId="77777777" w:rsidR="00D72F49" w:rsidRDefault="00D72F49" w:rsidP="00D72F49">
            <w:pPr>
              <w:spacing w:before="160"/>
              <w:rPr>
                <w:b/>
                <w:bCs/>
                <w:sz w:val="26"/>
                <w:szCs w:val="26"/>
              </w:rPr>
            </w:pPr>
            <w:r w:rsidRPr="00F16BAB">
              <w:rPr>
                <w:b/>
                <w:bCs/>
                <w:sz w:val="26"/>
                <w:szCs w:val="26"/>
              </w:rPr>
              <w:t>Références</w:t>
            </w:r>
          </w:p>
          <w:p w14:paraId="7BCAB229" w14:textId="3EBF5E89" w:rsidR="00D72F49" w:rsidRPr="00F621F5" w:rsidRDefault="00423DB8" w:rsidP="00D72F49">
            <w:pPr>
              <w:spacing w:after="160"/>
              <w:rPr>
                <w:i/>
                <w:iCs/>
                <w:sz w:val="22"/>
                <w:szCs w:val="22"/>
              </w:rPr>
            </w:pPr>
            <w:hyperlink r:id="rId6" w:history="1">
              <w:r w:rsidRPr="00F621F5">
                <w:rPr>
                  <w:rStyle w:val="Hyperlink"/>
                  <w:rFonts w:eastAsia="Times New Roman" w:cs="Times New Roman"/>
                  <w:i/>
                  <w:iCs/>
                  <w:sz w:val="22"/>
                </w:rPr>
                <w:t>Document C2000/28(Rév.1)</w:t>
              </w:r>
            </w:hyperlink>
            <w:r w:rsidRPr="00F621F5">
              <w:rPr>
                <w:i/>
                <w:iCs/>
                <w:sz w:val="22"/>
                <w:szCs w:val="22"/>
              </w:rPr>
              <w:t xml:space="preserve">; </w:t>
            </w:r>
            <w:hyperlink r:id="rId7" w:history="1">
              <w:r w:rsidRPr="00F621F5">
                <w:rPr>
                  <w:rStyle w:val="Hyperlink"/>
                  <w:rFonts w:eastAsia="Times New Roman" w:cs="Times New Roman"/>
                  <w:i/>
                  <w:iCs/>
                  <w:sz w:val="22"/>
                </w:rPr>
                <w:t>Résolution 925</w:t>
              </w:r>
            </w:hyperlink>
            <w:r w:rsidRPr="00F621F5">
              <w:rPr>
                <w:i/>
                <w:iCs/>
                <w:sz w:val="22"/>
                <w:szCs w:val="22"/>
              </w:rPr>
              <w:t xml:space="preserve"> du Conseil; </w:t>
            </w:r>
            <w:hyperlink r:id="rId8" w:anchor="/fr" w:history="1">
              <w:r w:rsidRPr="00F621F5">
                <w:rPr>
                  <w:rStyle w:val="Hyperlink"/>
                  <w:rFonts w:eastAsia="Times New Roman" w:cs="Times New Roman"/>
                  <w:i/>
                  <w:iCs/>
                  <w:sz w:val="22"/>
                </w:rPr>
                <w:t>Critères d'exonération établis par le Conseil</w:t>
              </w:r>
              <w:r w:rsidRPr="00F621F5">
                <w:rPr>
                  <w:sz w:val="22"/>
                  <w:szCs w:val="22"/>
                </w:rPr>
                <w:t xml:space="preserve"> </w:t>
              </w:r>
              <w:r w:rsidRPr="00F621F5">
                <w:rPr>
                  <w:i/>
                  <w:iCs/>
                  <w:sz w:val="22"/>
                  <w:szCs w:val="22"/>
                </w:rPr>
                <w:t>(Rév.2017)</w:t>
              </w:r>
            </w:hyperlink>
          </w:p>
        </w:tc>
      </w:tr>
    </w:tbl>
    <w:p w14:paraId="6E7FFEE9" w14:textId="77777777" w:rsidR="00A51849" w:rsidRDefault="00A51849">
      <w:pPr>
        <w:rPr>
          <w:lang w:val="fr-CH"/>
        </w:rPr>
      </w:pPr>
    </w:p>
    <w:p w14:paraId="3F633438" w14:textId="77777777" w:rsidR="00A51849" w:rsidRDefault="00A51849">
      <w:pPr>
        <w:tabs>
          <w:tab w:val="clear" w:pos="567"/>
          <w:tab w:val="clear" w:pos="1134"/>
          <w:tab w:val="clear" w:pos="1701"/>
          <w:tab w:val="clear" w:pos="2268"/>
          <w:tab w:val="clear" w:pos="2835"/>
        </w:tabs>
        <w:overflowPunct/>
        <w:autoSpaceDE/>
        <w:autoSpaceDN/>
        <w:adjustRightInd/>
        <w:spacing w:before="0"/>
        <w:textAlignment w:val="auto"/>
      </w:pPr>
      <w:r>
        <w:br w:type="page"/>
      </w:r>
    </w:p>
    <w:p w14:paraId="09660796" w14:textId="77777777" w:rsidR="002E16F6" w:rsidRDefault="002E16F6" w:rsidP="002E16F6">
      <w:pPr>
        <w:pStyle w:val="Heading1"/>
      </w:pPr>
      <w:r>
        <w:lastRenderedPageBreak/>
        <w:t>1</w:t>
      </w:r>
      <w:r>
        <w:tab/>
        <w:t>Considérations générales</w:t>
      </w:r>
    </w:p>
    <w:p w14:paraId="2A3DBF30" w14:textId="6639124C" w:rsidR="002E16F6" w:rsidRDefault="002E16F6" w:rsidP="00F621F5">
      <w:pPr>
        <w:jc w:val="both"/>
      </w:pPr>
      <w:r>
        <w:t>1.1</w:t>
      </w:r>
      <w:r>
        <w:tab/>
        <w:t xml:space="preserve">Chaque année, l'UIT reçoit des demandes d'organisations ayant un caractère international sollicitant l'exonération du paiement des droits de membre et d'autres contributions financières à l'Union. Ces demandes sont examinées conformément à la procédure établie par le Conseil de l'UIT à sa session de 2000 (voir le </w:t>
      </w:r>
      <w:hyperlink r:id="rId9" w:history="1">
        <w:r w:rsidRPr="0008258D">
          <w:rPr>
            <w:rStyle w:val="Hyperlink"/>
            <w:rFonts w:eastAsia="Times New Roman" w:cs="Times New Roman"/>
            <w:szCs w:val="20"/>
          </w:rPr>
          <w:t>Document</w:t>
        </w:r>
        <w:r w:rsidR="0008258D" w:rsidRPr="0008258D">
          <w:rPr>
            <w:rStyle w:val="Hyperlink"/>
            <w:rFonts w:eastAsia="Times New Roman" w:cs="Times New Roman"/>
            <w:szCs w:val="20"/>
          </w:rPr>
          <w:t> </w:t>
        </w:r>
        <w:r w:rsidRPr="0008258D">
          <w:rPr>
            <w:rStyle w:val="Hyperlink"/>
            <w:rFonts w:eastAsia="Times New Roman" w:cs="Times New Roman"/>
            <w:szCs w:val="20"/>
          </w:rPr>
          <w:t>C2000/28(Rév.1)</w:t>
        </w:r>
      </w:hyperlink>
      <w:r>
        <w:t xml:space="preserve">), au numéro 476 de la Convention de l'UIT et à la </w:t>
      </w:r>
      <w:hyperlink r:id="rId10" w:history="1">
        <w:r w:rsidRPr="0008258D">
          <w:rPr>
            <w:rStyle w:val="Hyperlink"/>
            <w:rFonts w:eastAsia="Times New Roman" w:cs="Times New Roman"/>
            <w:szCs w:val="20"/>
          </w:rPr>
          <w:t>Résolution 925</w:t>
        </w:r>
      </w:hyperlink>
      <w:r>
        <w:t xml:space="preserve"> du Conseil, ainsi qu'aux critères établis par le Conseil et révisés à sa session de 2017 (voir le point 1.5 ci-dessous).</w:t>
      </w:r>
    </w:p>
    <w:p w14:paraId="1DDC6909" w14:textId="60D3C446" w:rsidR="002E16F6" w:rsidRDefault="002E16F6" w:rsidP="00F621F5">
      <w:pPr>
        <w:jc w:val="both"/>
      </w:pPr>
      <w:r>
        <w:t>1.2</w:t>
      </w:r>
      <w:r>
        <w:tab/>
        <w:t>Les exonérations de paiement des droits sont accordées par le Conseil à la suite d'une analyse des Bureaux concernés et d'une recommandation de la Secrétaire générale. Si leur demande est approuvée, les entités concernées deviennent des Membres de Secteur ou des</w:t>
      </w:r>
      <w:r w:rsidR="0008258D">
        <w:t> </w:t>
      </w:r>
      <w:r>
        <w:t>Associés au titre du numéro 231 de la Convention.</w:t>
      </w:r>
    </w:p>
    <w:p w14:paraId="2BB63485" w14:textId="0C22830C" w:rsidR="002E16F6" w:rsidRDefault="002E16F6" w:rsidP="00F621F5">
      <w:pPr>
        <w:jc w:val="both"/>
      </w:pPr>
      <w:r>
        <w:t>1.3</w:t>
      </w:r>
      <w:r>
        <w:tab/>
        <w:t xml:space="preserve">Actuellement, 137 organisations ayant un caractère international sont exonérées de droits. La liste complète est disponible </w:t>
      </w:r>
      <w:hyperlink r:id="rId11" w:anchor="/fr" w:history="1">
        <w:r w:rsidRPr="00293C74">
          <w:rPr>
            <w:rStyle w:val="Hyperlink"/>
            <w:rFonts w:eastAsia="Times New Roman" w:cs="Times New Roman"/>
            <w:szCs w:val="20"/>
          </w:rPr>
          <w:t>ici</w:t>
        </w:r>
      </w:hyperlink>
      <w:r w:rsidRPr="00293C74">
        <w:t>.</w:t>
      </w:r>
    </w:p>
    <w:p w14:paraId="08099947" w14:textId="18D4A7C5" w:rsidR="002E16F6" w:rsidRDefault="002E16F6" w:rsidP="00F621F5">
      <w:pPr>
        <w:jc w:val="both"/>
      </w:pPr>
      <w:r>
        <w:t>1.4</w:t>
      </w:r>
      <w:r>
        <w:tab/>
        <w:t xml:space="preserve">Par sa Résolution 187 (Busan, 2014), la Conférence de plénipotentiaires de 2014 a chargé le Conseil de "revoir la pratique et les critères relatifs à l'exonération de certaines entités du paiement des droits de membre et d'apporter, le cas échéant, des modifications, afin de rendre les critères d'admissibilité plus stricts pour contribuer à améliorer la clarté, l'homogénéité et l'équité entre les </w:t>
      </w:r>
      <w:r w:rsidR="00ED40A7">
        <w:t>m</w:t>
      </w:r>
      <w:r>
        <w:t>embres qui paient des contributions et ceux qui n'en acquittent aucune et réduire le nombre total d'entités exonérées".</w:t>
      </w:r>
    </w:p>
    <w:p w14:paraId="7349ECCA" w14:textId="77777777" w:rsidR="002E16F6" w:rsidRDefault="002E16F6" w:rsidP="00F621F5">
      <w:pPr>
        <w:jc w:val="both"/>
      </w:pPr>
      <w:r>
        <w:t>1.5</w:t>
      </w:r>
      <w:r>
        <w:tab/>
        <w:t>À sa session de 2017, le Conseil a approuvé des critères révisés, qui peuvent être consultés ici. Chaque session du Conseil examine depuis lors les nouvelles demandes selon ces critères.</w:t>
      </w:r>
    </w:p>
    <w:p w14:paraId="760E03D4" w14:textId="77777777" w:rsidR="002E16F6" w:rsidRDefault="002E16F6" w:rsidP="00F621F5">
      <w:pPr>
        <w:jc w:val="both"/>
      </w:pPr>
      <w:r>
        <w:t>1.6</w:t>
      </w:r>
      <w:r>
        <w:tab/>
        <w:t>Le présent document traite uniquement des nouvelles demandes d'exonération du paiement des droits soumises depuis la dernière session du Conseil.</w:t>
      </w:r>
    </w:p>
    <w:p w14:paraId="12B5E55D" w14:textId="77777777" w:rsidR="002E16F6" w:rsidRDefault="002E16F6" w:rsidP="002E16F6">
      <w:pPr>
        <w:pStyle w:val="Heading1"/>
      </w:pPr>
      <w:r>
        <w:t>2</w:t>
      </w:r>
      <w:r>
        <w:tab/>
        <w:t>Nouvelles demandes et recommandations</w:t>
      </w:r>
    </w:p>
    <w:p w14:paraId="670DB955" w14:textId="672CD250" w:rsidR="006A11AE" w:rsidRPr="002E16F6" w:rsidRDefault="002E16F6" w:rsidP="00AE1D5D">
      <w:pPr>
        <w:pStyle w:val="Headingb"/>
        <w:spacing w:after="120"/>
      </w:pPr>
      <w:r w:rsidRPr="004760C0">
        <w:t>2.1</w:t>
      </w:r>
    </w:p>
    <w:tbl>
      <w:tblPr>
        <w:tblW w:w="8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930"/>
        <w:gridCol w:w="2930"/>
        <w:gridCol w:w="2930"/>
      </w:tblGrid>
      <w:tr w:rsidR="002E16F6" w:rsidRPr="003832B3" w14:paraId="338172A4" w14:textId="77777777" w:rsidTr="002E16F6">
        <w:trPr>
          <w:cantSplit/>
          <w:jc w:val="center"/>
        </w:trPr>
        <w:tc>
          <w:tcPr>
            <w:tcW w:w="2930" w:type="dxa"/>
          </w:tcPr>
          <w:p w14:paraId="498787C9" w14:textId="77777777" w:rsidR="002E16F6" w:rsidRPr="003832B3" w:rsidRDefault="002E16F6" w:rsidP="0066543C">
            <w:pPr>
              <w:pStyle w:val="Tablehead"/>
              <w:rPr>
                <w:rFonts w:eastAsia="SimSun"/>
              </w:rPr>
            </w:pPr>
            <w:r w:rsidRPr="003832B3">
              <w:rPr>
                <w:rFonts w:eastAsia="SimSun"/>
              </w:rPr>
              <w:t>Organisation</w:t>
            </w:r>
          </w:p>
        </w:tc>
        <w:tc>
          <w:tcPr>
            <w:tcW w:w="2930" w:type="dxa"/>
          </w:tcPr>
          <w:p w14:paraId="6F710534" w14:textId="77777777" w:rsidR="002E16F6" w:rsidRPr="003832B3" w:rsidRDefault="002E16F6" w:rsidP="0066543C">
            <w:pPr>
              <w:pStyle w:val="Tablehead"/>
              <w:rPr>
                <w:rFonts w:eastAsia="SimSun"/>
              </w:rPr>
            </w:pPr>
            <w:r w:rsidRPr="003832B3">
              <w:rPr>
                <w:rFonts w:eastAsia="SimSun"/>
              </w:rPr>
              <w:t>Secteur</w:t>
            </w:r>
          </w:p>
        </w:tc>
        <w:tc>
          <w:tcPr>
            <w:tcW w:w="2930" w:type="dxa"/>
          </w:tcPr>
          <w:p w14:paraId="5DE19E44" w14:textId="77777777" w:rsidR="002E16F6" w:rsidRPr="003832B3" w:rsidRDefault="002E16F6" w:rsidP="0066543C">
            <w:pPr>
              <w:pStyle w:val="Tablehead"/>
              <w:rPr>
                <w:rFonts w:eastAsia="SimSun" w:cstheme="minorBidi"/>
              </w:rPr>
            </w:pPr>
            <w:r w:rsidRPr="003832B3">
              <w:rPr>
                <w:rFonts w:eastAsia="SimSun" w:cstheme="minorBidi"/>
              </w:rPr>
              <w:t>Recommandation</w:t>
            </w:r>
          </w:p>
        </w:tc>
      </w:tr>
      <w:tr w:rsidR="002E16F6" w:rsidRPr="003832B3" w14:paraId="59C0AB82" w14:textId="77777777" w:rsidTr="002E16F6">
        <w:trPr>
          <w:cantSplit/>
          <w:trHeight w:val="504"/>
          <w:jc w:val="center"/>
        </w:trPr>
        <w:tc>
          <w:tcPr>
            <w:tcW w:w="2930" w:type="dxa"/>
            <w:vAlign w:val="center"/>
          </w:tcPr>
          <w:p w14:paraId="0817D28D" w14:textId="54B00333" w:rsidR="002E16F6" w:rsidRPr="001740FF" w:rsidRDefault="002E16F6" w:rsidP="0066543C">
            <w:pPr>
              <w:pStyle w:val="Tabletext"/>
              <w:jc w:val="center"/>
              <w:rPr>
                <w:rFonts w:eastAsia="SimSun"/>
                <w:b/>
                <w:bCs/>
                <w:lang w:val="en-GB"/>
              </w:rPr>
            </w:pPr>
            <w:r>
              <w:rPr>
                <w:rFonts w:eastAsia="SimSun"/>
                <w:b/>
                <w:bCs/>
                <w:lang w:val="en-GB"/>
              </w:rPr>
              <w:t>A</w:t>
            </w:r>
            <w:r w:rsidR="007075E8">
              <w:rPr>
                <w:rFonts w:eastAsia="SimSun"/>
                <w:b/>
                <w:bCs/>
                <w:lang w:val="en-GB"/>
              </w:rPr>
              <w:t>RTICLE</w:t>
            </w:r>
            <w:r>
              <w:rPr>
                <w:rFonts w:eastAsia="SimSun"/>
                <w:b/>
                <w:bCs/>
                <w:lang w:val="en-GB"/>
              </w:rPr>
              <w:t xml:space="preserve"> 19</w:t>
            </w:r>
          </w:p>
        </w:tc>
        <w:tc>
          <w:tcPr>
            <w:tcW w:w="2930" w:type="dxa"/>
            <w:vAlign w:val="center"/>
          </w:tcPr>
          <w:p w14:paraId="14F51DF4" w14:textId="77777777" w:rsidR="002E16F6" w:rsidRPr="003832B3" w:rsidRDefault="002E16F6" w:rsidP="0066543C">
            <w:pPr>
              <w:pStyle w:val="Tabletext"/>
              <w:jc w:val="center"/>
              <w:rPr>
                <w:rFonts w:eastAsia="SimSun"/>
                <w:szCs w:val="24"/>
              </w:rPr>
            </w:pPr>
            <w:r w:rsidRPr="003832B3">
              <w:rPr>
                <w:rFonts w:eastAsia="SimSun"/>
                <w:szCs w:val="24"/>
              </w:rPr>
              <w:t>UIT-</w:t>
            </w:r>
            <w:r>
              <w:rPr>
                <w:rFonts w:eastAsia="SimSun"/>
                <w:szCs w:val="24"/>
              </w:rPr>
              <w:t>R</w:t>
            </w:r>
          </w:p>
        </w:tc>
        <w:tc>
          <w:tcPr>
            <w:tcW w:w="2930" w:type="dxa"/>
            <w:vAlign w:val="center"/>
          </w:tcPr>
          <w:p w14:paraId="1A8ACBFF" w14:textId="77777777" w:rsidR="002E16F6" w:rsidRPr="003832B3" w:rsidRDefault="002E16F6" w:rsidP="0066543C">
            <w:pPr>
              <w:pStyle w:val="Tabletext"/>
              <w:jc w:val="center"/>
              <w:rPr>
                <w:rFonts w:eastAsia="SimSun"/>
                <w:szCs w:val="24"/>
              </w:rPr>
            </w:pPr>
            <w:r>
              <w:rPr>
                <w:rFonts w:eastAsia="SimSun" w:cstheme="minorBidi"/>
                <w:color w:val="000000" w:themeColor="text1"/>
              </w:rPr>
              <w:t>Non</w:t>
            </w:r>
          </w:p>
        </w:tc>
      </w:tr>
    </w:tbl>
    <w:p w14:paraId="5F8E83CB" w14:textId="77777777" w:rsidR="00F621F5" w:rsidRDefault="00F621F5" w:rsidP="00F621F5">
      <w:pPr>
        <w:pStyle w:val="Tablefin"/>
      </w:pPr>
    </w:p>
    <w:p w14:paraId="6A92EB52" w14:textId="0661588B" w:rsidR="002E16F6" w:rsidRDefault="002E16F6" w:rsidP="00F621F5">
      <w:pPr>
        <w:jc w:val="both"/>
      </w:pPr>
      <w:r w:rsidRPr="002E16F6">
        <w:t>"A</w:t>
      </w:r>
      <w:r w:rsidR="007075E8" w:rsidRPr="002E16F6">
        <w:t>RTICLE</w:t>
      </w:r>
      <w:r w:rsidRPr="002E16F6">
        <w:t xml:space="preserve"> 19" est une entité caritative enregistrée au Royaume-Uni. Il s'agit d'une association internationale composée d'organisations et d'individus et axée sur la liberté d'expression. Le Secrétariat estime que cette entité ne remplit pas les critères d'exonération du paiement des droits relatifs aux membres établis par le Conseil, car il ne s'agit pas d'une organisation gérée par ses membres.</w:t>
      </w:r>
    </w:p>
    <w:p w14:paraId="35BD7B85" w14:textId="47230899" w:rsidR="002E16F6" w:rsidRPr="002E16F6" w:rsidRDefault="002E16F6" w:rsidP="00AE1D5D">
      <w:pPr>
        <w:pStyle w:val="Headingb"/>
        <w:spacing w:after="120"/>
      </w:pPr>
      <w:r w:rsidRPr="002E16F6">
        <w:lastRenderedPageBreak/>
        <w:t>2.2</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071"/>
        <w:gridCol w:w="3072"/>
        <w:gridCol w:w="3072"/>
      </w:tblGrid>
      <w:tr w:rsidR="002E16F6" w:rsidRPr="003832B3" w14:paraId="024F30BB" w14:textId="77777777" w:rsidTr="002E16F6">
        <w:trPr>
          <w:cantSplit/>
          <w:jc w:val="center"/>
        </w:trPr>
        <w:tc>
          <w:tcPr>
            <w:tcW w:w="3071" w:type="dxa"/>
          </w:tcPr>
          <w:p w14:paraId="1AA64FE6" w14:textId="230A09CD" w:rsidR="002E16F6" w:rsidRPr="00293C74" w:rsidRDefault="002E16F6" w:rsidP="00F621F5">
            <w:pPr>
              <w:pStyle w:val="Tablehead"/>
              <w:keepNext/>
              <w:keepLines/>
              <w:rPr>
                <w:bCs/>
                <w:shd w:val="clear" w:color="auto" w:fill="FFFFFF"/>
                <w:lang w:val="en-GB"/>
              </w:rPr>
            </w:pPr>
            <w:r w:rsidRPr="003832B3">
              <w:rPr>
                <w:rFonts w:eastAsia="SimSun"/>
              </w:rPr>
              <w:t>Organisation</w:t>
            </w:r>
          </w:p>
        </w:tc>
        <w:tc>
          <w:tcPr>
            <w:tcW w:w="3072" w:type="dxa"/>
          </w:tcPr>
          <w:p w14:paraId="7953F2EF" w14:textId="77777777" w:rsidR="002E16F6" w:rsidRPr="003832B3" w:rsidRDefault="002E16F6" w:rsidP="00F621F5">
            <w:pPr>
              <w:pStyle w:val="Tablehead"/>
              <w:keepNext/>
              <w:keepLines/>
              <w:rPr>
                <w:rFonts w:eastAsia="SimSun"/>
              </w:rPr>
            </w:pPr>
            <w:r w:rsidRPr="003832B3">
              <w:rPr>
                <w:rFonts w:eastAsia="SimSun"/>
              </w:rPr>
              <w:t>Secteur</w:t>
            </w:r>
          </w:p>
        </w:tc>
        <w:tc>
          <w:tcPr>
            <w:tcW w:w="3072" w:type="dxa"/>
          </w:tcPr>
          <w:p w14:paraId="249BA680" w14:textId="77777777" w:rsidR="002E16F6" w:rsidRPr="003832B3" w:rsidRDefault="002E16F6" w:rsidP="00F621F5">
            <w:pPr>
              <w:pStyle w:val="Tablehead"/>
              <w:keepNext/>
              <w:keepLines/>
              <w:rPr>
                <w:rFonts w:eastAsia="SimSun"/>
              </w:rPr>
            </w:pPr>
            <w:r w:rsidRPr="003832B3">
              <w:rPr>
                <w:rFonts w:eastAsia="SimSun"/>
              </w:rPr>
              <w:t>Recommandation</w:t>
            </w:r>
          </w:p>
        </w:tc>
      </w:tr>
      <w:tr w:rsidR="002E16F6" w:rsidRPr="003832B3" w14:paraId="1142F1CA" w14:textId="77777777" w:rsidTr="002E16F6">
        <w:trPr>
          <w:cantSplit/>
          <w:jc w:val="center"/>
        </w:trPr>
        <w:tc>
          <w:tcPr>
            <w:tcW w:w="3071" w:type="dxa"/>
            <w:vAlign w:val="center"/>
          </w:tcPr>
          <w:p w14:paraId="330D1A33" w14:textId="204FC01C" w:rsidR="002E16F6" w:rsidRPr="002E16F6" w:rsidRDefault="002E16F6" w:rsidP="002E16F6">
            <w:pPr>
              <w:pStyle w:val="Tabletext"/>
              <w:jc w:val="center"/>
              <w:rPr>
                <w:b/>
                <w:bCs/>
                <w:shd w:val="clear" w:color="auto" w:fill="FFFFFF"/>
                <w:lang w:val="en-GB"/>
              </w:rPr>
            </w:pPr>
            <w:r w:rsidRPr="002964E6">
              <w:rPr>
                <w:b/>
                <w:bCs/>
                <w:shd w:val="clear" w:color="auto" w:fill="FFFFFF"/>
                <w:lang w:val="en-GB"/>
              </w:rPr>
              <w:t>ATSC The Broadcast Standards Association</w:t>
            </w:r>
          </w:p>
        </w:tc>
        <w:tc>
          <w:tcPr>
            <w:tcW w:w="3072" w:type="dxa"/>
            <w:vAlign w:val="center"/>
          </w:tcPr>
          <w:p w14:paraId="18B2ED13" w14:textId="77777777" w:rsidR="002E16F6" w:rsidRPr="003832B3" w:rsidRDefault="002E16F6" w:rsidP="0066543C">
            <w:pPr>
              <w:pStyle w:val="Tabletext"/>
              <w:jc w:val="center"/>
              <w:rPr>
                <w:rFonts w:eastAsia="SimSun"/>
              </w:rPr>
            </w:pPr>
            <w:r w:rsidRPr="003832B3">
              <w:rPr>
                <w:rFonts w:eastAsia="SimSun"/>
              </w:rPr>
              <w:t>UIT-</w:t>
            </w:r>
            <w:r>
              <w:rPr>
                <w:rFonts w:eastAsia="SimSun"/>
              </w:rPr>
              <w:t>R</w:t>
            </w:r>
          </w:p>
        </w:tc>
        <w:tc>
          <w:tcPr>
            <w:tcW w:w="3072" w:type="dxa"/>
            <w:vAlign w:val="center"/>
          </w:tcPr>
          <w:p w14:paraId="233DB484" w14:textId="77777777" w:rsidR="002E16F6" w:rsidRPr="003832B3" w:rsidRDefault="002E16F6" w:rsidP="0066543C">
            <w:pPr>
              <w:pStyle w:val="Tabletext"/>
              <w:jc w:val="center"/>
              <w:rPr>
                <w:rFonts w:eastAsia="SimSun"/>
              </w:rPr>
            </w:pPr>
            <w:r>
              <w:rPr>
                <w:rFonts w:eastAsia="SimSun"/>
              </w:rPr>
              <w:t>Non</w:t>
            </w:r>
          </w:p>
        </w:tc>
      </w:tr>
    </w:tbl>
    <w:p w14:paraId="36371F71" w14:textId="77777777" w:rsidR="00F621F5" w:rsidRDefault="00F621F5" w:rsidP="00F621F5">
      <w:pPr>
        <w:pStyle w:val="Tablefin"/>
      </w:pPr>
    </w:p>
    <w:p w14:paraId="62748671" w14:textId="44FB72BF" w:rsidR="002E16F6" w:rsidRDefault="002E16F6" w:rsidP="00F621F5">
      <w:pPr>
        <w:jc w:val="both"/>
      </w:pPr>
      <w:r>
        <w:t>L'Association des normes relatives à la radiodiffusion (</w:t>
      </w:r>
      <w:r w:rsidRPr="00AE1D5D">
        <w:rPr>
          <w:i/>
          <w:iCs/>
        </w:rPr>
        <w:t>Broadcast Standards Association, ATSC</w:t>
      </w:r>
      <w:r>
        <w:t>) est une organisation internationale à but non lucratif qui élabore des normes volontaires et des pratiques recommandées applicables à la radiodiffusion multimédia. L'ATSC guide l'intégration transparente des normes de radiodiffusion et de télécommunication pour faire progresser le secteur. L'ATSC a été créée en 1983 par les organisations membres du Comité mixte pour la coordination inter-sociétés (</w:t>
      </w:r>
      <w:r w:rsidRPr="00AE1D5D">
        <w:rPr>
          <w:i/>
          <w:iCs/>
        </w:rPr>
        <w:t>Joint</w:t>
      </w:r>
      <w:r w:rsidR="0008258D" w:rsidRPr="00AE1D5D">
        <w:rPr>
          <w:i/>
          <w:iCs/>
        </w:rPr>
        <w:t> </w:t>
      </w:r>
      <w:r w:rsidRPr="00AE1D5D">
        <w:rPr>
          <w:i/>
          <w:iCs/>
        </w:rPr>
        <w:t>Committee on Inter-society Coordination, JCIC</w:t>
      </w:r>
      <w:r>
        <w:t>), à savoir l'Association des technologies grand public (</w:t>
      </w:r>
      <w:r w:rsidRPr="00AE1D5D">
        <w:rPr>
          <w:i/>
          <w:iCs/>
        </w:rPr>
        <w:t>Consumer Technology Association, CTA</w:t>
      </w:r>
      <w:r>
        <w:t>), l'Institut des ingénieurs en électricité et en électronique (</w:t>
      </w:r>
      <w:r w:rsidRPr="00AE1D5D">
        <w:rPr>
          <w:i/>
          <w:iCs/>
        </w:rPr>
        <w:t>Institute of Electrical and Electronics Engineers, IEEE</w:t>
      </w:r>
      <w:r>
        <w:t>), l'Association nationale des organismes de radiodiffusion (</w:t>
      </w:r>
      <w:r w:rsidRPr="00AE1D5D">
        <w:rPr>
          <w:i/>
          <w:iCs/>
        </w:rPr>
        <w:t>National Association of Broadcasters, NAB</w:t>
      </w:r>
      <w:r>
        <w:t xml:space="preserve">), l'Association pour l'Internet et la </w:t>
      </w:r>
      <w:r w:rsidR="00AE1D5D">
        <w:t>t</w:t>
      </w:r>
      <w:r>
        <w:t>élévision (</w:t>
      </w:r>
      <w:r w:rsidRPr="00AE1D5D">
        <w:rPr>
          <w:i/>
          <w:iCs/>
        </w:rPr>
        <w:t>Internet &amp; Television Association, NCTA</w:t>
      </w:r>
      <w:r>
        <w:t>)) et la Société des ingénieurs en images animées et télévision (</w:t>
      </w:r>
      <w:r w:rsidRPr="00AE1D5D">
        <w:rPr>
          <w:i/>
          <w:iCs/>
        </w:rPr>
        <w:t>Society of Motion Picture and Television Engineers, SMPTE</w:t>
      </w:r>
      <w:r>
        <w:t>). Dans la mesure où il s'agit d'une association professionnelle internationale composée principalement de membres exerçant des activités à but lucratif, le</w:t>
      </w:r>
      <w:r w:rsidR="00ED40A7">
        <w:t> </w:t>
      </w:r>
      <w:r>
        <w:t>Secrétariat estime que cette entité ne remplit pas les critères d'exonération du paiement des droits relatifs aux membres établis par le Conseil.</w:t>
      </w:r>
    </w:p>
    <w:p w14:paraId="736EF22A" w14:textId="2B569769" w:rsidR="002E16F6" w:rsidRDefault="002E16F6" w:rsidP="00AE1D5D">
      <w:pPr>
        <w:pStyle w:val="Headingb"/>
        <w:spacing w:after="120"/>
      </w:pPr>
      <w:r w:rsidRPr="002E16F6">
        <w:t>2.3</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071"/>
        <w:gridCol w:w="3072"/>
        <w:gridCol w:w="3072"/>
      </w:tblGrid>
      <w:tr w:rsidR="002E16F6" w:rsidRPr="003832B3" w14:paraId="57FD1F33" w14:textId="77777777" w:rsidTr="002E16F6">
        <w:trPr>
          <w:cantSplit/>
          <w:jc w:val="center"/>
        </w:trPr>
        <w:tc>
          <w:tcPr>
            <w:tcW w:w="3071" w:type="dxa"/>
          </w:tcPr>
          <w:p w14:paraId="7DA506AE" w14:textId="77777777" w:rsidR="002E16F6" w:rsidRPr="003832B3" w:rsidRDefault="002E16F6" w:rsidP="0066543C">
            <w:pPr>
              <w:pStyle w:val="Tablehead"/>
              <w:rPr>
                <w:rFonts w:eastAsia="SimSun"/>
              </w:rPr>
            </w:pPr>
            <w:r w:rsidRPr="003832B3">
              <w:rPr>
                <w:rFonts w:eastAsia="SimSun"/>
              </w:rPr>
              <w:t>Organisation</w:t>
            </w:r>
          </w:p>
        </w:tc>
        <w:tc>
          <w:tcPr>
            <w:tcW w:w="3072" w:type="dxa"/>
          </w:tcPr>
          <w:p w14:paraId="3EFE428A" w14:textId="77777777" w:rsidR="002E16F6" w:rsidRPr="003832B3" w:rsidRDefault="002E16F6" w:rsidP="0066543C">
            <w:pPr>
              <w:pStyle w:val="Tablehead"/>
              <w:rPr>
                <w:rFonts w:eastAsia="SimSun"/>
              </w:rPr>
            </w:pPr>
            <w:r w:rsidRPr="003832B3">
              <w:rPr>
                <w:rFonts w:eastAsia="SimSun"/>
              </w:rPr>
              <w:t>Secteur</w:t>
            </w:r>
          </w:p>
        </w:tc>
        <w:tc>
          <w:tcPr>
            <w:tcW w:w="3072" w:type="dxa"/>
          </w:tcPr>
          <w:p w14:paraId="3B4B6F64" w14:textId="77777777" w:rsidR="002E16F6" w:rsidRPr="003832B3" w:rsidRDefault="002E16F6" w:rsidP="0066543C">
            <w:pPr>
              <w:pStyle w:val="Tablehead"/>
              <w:rPr>
                <w:rFonts w:eastAsia="SimSun"/>
              </w:rPr>
            </w:pPr>
            <w:r w:rsidRPr="003832B3">
              <w:rPr>
                <w:rFonts w:eastAsia="SimSun"/>
              </w:rPr>
              <w:t>Recommandation</w:t>
            </w:r>
          </w:p>
        </w:tc>
      </w:tr>
      <w:tr w:rsidR="002E16F6" w:rsidRPr="003832B3" w14:paraId="22E353BB" w14:textId="77777777" w:rsidTr="002E16F6">
        <w:trPr>
          <w:cantSplit/>
          <w:trHeight w:val="212"/>
          <w:jc w:val="center"/>
        </w:trPr>
        <w:tc>
          <w:tcPr>
            <w:tcW w:w="3071" w:type="dxa"/>
            <w:vAlign w:val="center"/>
          </w:tcPr>
          <w:p w14:paraId="24A2D97F" w14:textId="77777777" w:rsidR="002E16F6" w:rsidRPr="003832B3" w:rsidRDefault="002E16F6" w:rsidP="0066543C">
            <w:pPr>
              <w:pStyle w:val="Tabletext"/>
              <w:jc w:val="center"/>
              <w:rPr>
                <w:rFonts w:eastAsia="SimSun"/>
                <w:b/>
                <w:bCs/>
              </w:rPr>
            </w:pPr>
            <w:r w:rsidRPr="00B033F5">
              <w:rPr>
                <w:b/>
                <w:bCs/>
              </w:rPr>
              <w:t xml:space="preserve">Cyber </w:t>
            </w:r>
            <w:bookmarkStart w:id="0" w:name="_Int_7Fbf24l4"/>
            <w:r w:rsidRPr="00B033F5">
              <w:rPr>
                <w:b/>
                <w:bCs/>
              </w:rPr>
              <w:t>Institute</w:t>
            </w:r>
            <w:bookmarkEnd w:id="0"/>
          </w:p>
        </w:tc>
        <w:tc>
          <w:tcPr>
            <w:tcW w:w="3072" w:type="dxa"/>
            <w:vAlign w:val="center"/>
          </w:tcPr>
          <w:p w14:paraId="167E9B2E" w14:textId="77777777" w:rsidR="002E16F6" w:rsidRPr="003832B3" w:rsidRDefault="002E16F6" w:rsidP="0066543C">
            <w:pPr>
              <w:pStyle w:val="Tabletext"/>
              <w:jc w:val="center"/>
              <w:rPr>
                <w:rFonts w:eastAsia="SimSun"/>
              </w:rPr>
            </w:pPr>
            <w:r>
              <w:rPr>
                <w:rFonts w:eastAsia="SimSun"/>
              </w:rPr>
              <w:t>UIT-R</w:t>
            </w:r>
            <w:r>
              <w:rPr>
                <w:rFonts w:eastAsia="SimSun"/>
              </w:rPr>
              <w:br/>
              <w:t>UIT-T</w:t>
            </w:r>
            <w:r>
              <w:rPr>
                <w:rFonts w:eastAsia="SimSun"/>
              </w:rPr>
              <w:br/>
              <w:t>UIT-D</w:t>
            </w:r>
          </w:p>
        </w:tc>
        <w:tc>
          <w:tcPr>
            <w:tcW w:w="3072" w:type="dxa"/>
            <w:vAlign w:val="center"/>
          </w:tcPr>
          <w:p w14:paraId="1213F67A" w14:textId="339D628C" w:rsidR="002E16F6" w:rsidRPr="003832B3" w:rsidRDefault="00293C74" w:rsidP="0066543C">
            <w:pPr>
              <w:pStyle w:val="Tabletext"/>
              <w:jc w:val="center"/>
              <w:rPr>
                <w:rFonts w:eastAsia="SimSun"/>
              </w:rPr>
            </w:pPr>
            <w:r>
              <w:rPr>
                <w:rFonts w:eastAsia="SimSun"/>
              </w:rPr>
              <w:t>Non</w:t>
            </w:r>
            <w:r w:rsidR="002E16F6">
              <w:rPr>
                <w:rFonts w:eastAsia="SimSun"/>
              </w:rPr>
              <w:br/>
            </w:r>
            <w:r>
              <w:rPr>
                <w:rFonts w:eastAsia="SimSun"/>
              </w:rPr>
              <w:t>Non</w:t>
            </w:r>
            <w:r w:rsidR="002E16F6">
              <w:rPr>
                <w:rFonts w:eastAsia="SimSun"/>
              </w:rPr>
              <w:br/>
              <w:t>Oui</w:t>
            </w:r>
          </w:p>
        </w:tc>
      </w:tr>
    </w:tbl>
    <w:p w14:paraId="02EB65A8" w14:textId="77777777" w:rsidR="00F621F5" w:rsidRDefault="00F621F5" w:rsidP="00F621F5">
      <w:pPr>
        <w:pStyle w:val="Tablefin"/>
      </w:pPr>
    </w:p>
    <w:p w14:paraId="4DF9BE70" w14:textId="3CB35B98" w:rsidR="002E16F6" w:rsidRDefault="007B7CA1" w:rsidP="00F621F5">
      <w:pPr>
        <w:jc w:val="both"/>
      </w:pPr>
      <w:r>
        <w:t xml:space="preserve">Le </w:t>
      </w:r>
      <w:r w:rsidR="002E16F6" w:rsidRPr="002E16F6">
        <w:t>Cyber Institute</w:t>
      </w:r>
      <w:r w:rsidR="00C74EDC">
        <w:t xml:space="preserve">, </w:t>
      </w:r>
      <w:r w:rsidR="002E16F6" w:rsidRPr="002E16F6">
        <w:t>organisation non gouvernementale (ONG) internationale à but non lucratif dont le siège se trouve à New York</w:t>
      </w:r>
      <w:r w:rsidR="00C74EDC">
        <w:t>,</w:t>
      </w:r>
      <w:r w:rsidR="002E16F6" w:rsidRPr="002E16F6">
        <w:t xml:space="preserve"> est engagé à faire progresser les politiques, l'éducation et le développement de la main</w:t>
      </w:r>
      <w:r w:rsidR="00AE1D5D">
        <w:noBreakHyphen/>
      </w:r>
      <w:r w:rsidR="002E16F6" w:rsidRPr="002E16F6">
        <w:t xml:space="preserve">d'œuvre </w:t>
      </w:r>
      <w:r w:rsidR="004E2CF7">
        <w:t>dans le domaine de la</w:t>
      </w:r>
      <w:r w:rsidR="002E16F6" w:rsidRPr="002E16F6">
        <w:t xml:space="preserve"> cybersécurité. </w:t>
      </w:r>
      <w:r w:rsidR="00C74EDC">
        <w:t>L'Institut compte des membres issus d'organisations dans six pays et des membres individuels dans plus de 20</w:t>
      </w:r>
      <w:r w:rsidR="009C0857">
        <w:t> </w:t>
      </w:r>
      <w:r w:rsidR="00C74EDC">
        <w:t xml:space="preserve">pays de diverses régions. </w:t>
      </w:r>
      <w:r w:rsidR="002E16F6" w:rsidRPr="002E16F6">
        <w:t>Le Secrétariat estime que cette entité remplit les critères d'exonération du paiement des droits relatifs aux membres établis par le</w:t>
      </w:r>
      <w:r w:rsidR="00873702">
        <w:t> </w:t>
      </w:r>
      <w:r w:rsidR="002E16F6" w:rsidRPr="002E16F6">
        <w:t>Conseil pour l'UIT-D.</w:t>
      </w:r>
      <w:r w:rsidR="00C74EDC">
        <w:t xml:space="preserve"> Néanmoins, </w:t>
      </w:r>
      <w:r w:rsidR="00287BF1">
        <w:t xml:space="preserve">il n'y a pas suffisamment </w:t>
      </w:r>
      <w:r w:rsidR="00F0687F">
        <w:t>d'avantages</w:t>
      </w:r>
      <w:r w:rsidR="00287BF1">
        <w:t xml:space="preserve"> réciproques pour</w:t>
      </w:r>
      <w:r w:rsidR="000E0C47">
        <w:t> </w:t>
      </w:r>
      <w:r w:rsidR="00287BF1">
        <w:t>l'UIT-R et l'UIT-T.</w:t>
      </w:r>
    </w:p>
    <w:p w14:paraId="07B78901" w14:textId="28C22C05" w:rsidR="002E16F6" w:rsidRPr="0008258D" w:rsidRDefault="002E16F6" w:rsidP="00AE1D5D">
      <w:pPr>
        <w:pStyle w:val="Headingb"/>
        <w:spacing w:after="120"/>
      </w:pPr>
      <w:r w:rsidRPr="0008258D">
        <w:t>2.4</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071"/>
        <w:gridCol w:w="3072"/>
        <w:gridCol w:w="3072"/>
      </w:tblGrid>
      <w:tr w:rsidR="002E16F6" w:rsidRPr="003832B3" w14:paraId="10FE301F" w14:textId="77777777" w:rsidTr="002E16F6">
        <w:trPr>
          <w:cantSplit/>
          <w:jc w:val="center"/>
        </w:trPr>
        <w:tc>
          <w:tcPr>
            <w:tcW w:w="3071" w:type="dxa"/>
          </w:tcPr>
          <w:p w14:paraId="1B76AA7C" w14:textId="77777777" w:rsidR="002E16F6" w:rsidRPr="003832B3" w:rsidRDefault="002E16F6" w:rsidP="0066543C">
            <w:pPr>
              <w:pStyle w:val="Tablehead"/>
              <w:rPr>
                <w:rFonts w:eastAsia="SimSun" w:cstheme="minorHAnsi"/>
              </w:rPr>
            </w:pPr>
            <w:r w:rsidRPr="003832B3">
              <w:rPr>
                <w:rFonts w:eastAsia="SimSun"/>
              </w:rPr>
              <w:t>Organisation</w:t>
            </w:r>
          </w:p>
        </w:tc>
        <w:tc>
          <w:tcPr>
            <w:tcW w:w="3072" w:type="dxa"/>
          </w:tcPr>
          <w:p w14:paraId="32770BDF" w14:textId="77777777" w:rsidR="002E16F6" w:rsidRPr="003832B3" w:rsidRDefault="002E16F6" w:rsidP="0066543C">
            <w:pPr>
              <w:pStyle w:val="Tablehead"/>
              <w:rPr>
                <w:rFonts w:eastAsia="SimSun" w:cstheme="minorHAnsi"/>
              </w:rPr>
            </w:pPr>
            <w:r w:rsidRPr="003832B3">
              <w:rPr>
                <w:rFonts w:eastAsia="SimSun"/>
              </w:rPr>
              <w:t>Secteur</w:t>
            </w:r>
          </w:p>
        </w:tc>
        <w:tc>
          <w:tcPr>
            <w:tcW w:w="3072" w:type="dxa"/>
          </w:tcPr>
          <w:p w14:paraId="1C0F4607" w14:textId="77777777" w:rsidR="002E16F6" w:rsidRPr="003832B3" w:rsidRDefault="002E16F6" w:rsidP="0066543C">
            <w:pPr>
              <w:pStyle w:val="Tablehead"/>
              <w:rPr>
                <w:rFonts w:eastAsia="SimSun" w:cstheme="minorBidi"/>
              </w:rPr>
            </w:pPr>
            <w:r w:rsidRPr="003832B3">
              <w:rPr>
                <w:rFonts w:eastAsia="SimSun" w:cstheme="minorBidi"/>
              </w:rPr>
              <w:t>Recommandation</w:t>
            </w:r>
          </w:p>
        </w:tc>
      </w:tr>
      <w:tr w:rsidR="002E16F6" w:rsidRPr="003832B3" w14:paraId="3913891E" w14:textId="77777777" w:rsidTr="002E16F6">
        <w:trPr>
          <w:cantSplit/>
          <w:trHeight w:val="57"/>
          <w:jc w:val="center"/>
        </w:trPr>
        <w:tc>
          <w:tcPr>
            <w:tcW w:w="3071" w:type="dxa"/>
            <w:vAlign w:val="center"/>
          </w:tcPr>
          <w:p w14:paraId="0288C3DF" w14:textId="77777777" w:rsidR="002E16F6" w:rsidRPr="00C432BA" w:rsidRDefault="002E16F6" w:rsidP="0066543C">
            <w:pPr>
              <w:pStyle w:val="Tabletext"/>
              <w:jc w:val="center"/>
              <w:rPr>
                <w:rFonts w:eastAsia="SimSun"/>
                <w:b/>
                <w:bCs/>
                <w:lang w:val="en-GB"/>
              </w:rPr>
            </w:pPr>
            <w:r w:rsidRPr="00C432BA">
              <w:rPr>
                <w:rFonts w:asciiTheme="minorHAnsi" w:eastAsia="SimSun" w:hAnsiTheme="minorHAnsi"/>
                <w:b/>
                <w:bCs/>
                <w:lang w:val="en-GB"/>
              </w:rPr>
              <w:t>Islamic World Educational, Scientific and Cultural Organization (ICESCO)</w:t>
            </w:r>
          </w:p>
        </w:tc>
        <w:tc>
          <w:tcPr>
            <w:tcW w:w="3072" w:type="dxa"/>
            <w:vAlign w:val="center"/>
          </w:tcPr>
          <w:p w14:paraId="53CEF4BD" w14:textId="77777777" w:rsidR="002E16F6" w:rsidRPr="003832B3" w:rsidRDefault="002E16F6" w:rsidP="0066543C">
            <w:pPr>
              <w:pStyle w:val="Tabletext"/>
              <w:jc w:val="center"/>
              <w:rPr>
                <w:rFonts w:eastAsia="SimSun"/>
              </w:rPr>
            </w:pPr>
            <w:r w:rsidRPr="003832B3">
              <w:rPr>
                <w:rFonts w:eastAsia="SimSun"/>
              </w:rPr>
              <w:t>UIT-D</w:t>
            </w:r>
          </w:p>
        </w:tc>
        <w:tc>
          <w:tcPr>
            <w:tcW w:w="3072" w:type="dxa"/>
            <w:vAlign w:val="center"/>
          </w:tcPr>
          <w:p w14:paraId="458FCF61" w14:textId="77777777" w:rsidR="002E16F6" w:rsidRPr="003832B3" w:rsidRDefault="002E16F6" w:rsidP="0066543C">
            <w:pPr>
              <w:pStyle w:val="Tabletext"/>
              <w:jc w:val="center"/>
              <w:rPr>
                <w:rFonts w:eastAsia="SimSun"/>
              </w:rPr>
            </w:pPr>
            <w:r>
              <w:rPr>
                <w:rFonts w:eastAsia="SimSun"/>
              </w:rPr>
              <w:t>Oui</w:t>
            </w:r>
          </w:p>
        </w:tc>
      </w:tr>
    </w:tbl>
    <w:p w14:paraId="7BBDF6E8" w14:textId="77777777" w:rsidR="00F621F5" w:rsidRDefault="00F621F5" w:rsidP="00F621F5">
      <w:pPr>
        <w:pStyle w:val="Tablefin"/>
      </w:pPr>
    </w:p>
    <w:p w14:paraId="201C7DF8" w14:textId="04C17CBF" w:rsidR="002E16F6" w:rsidRDefault="002E16F6" w:rsidP="00F621F5">
      <w:pPr>
        <w:jc w:val="both"/>
      </w:pPr>
      <w:r w:rsidRPr="002E16F6">
        <w:t xml:space="preserve">Composée de 53 États </w:t>
      </w:r>
      <w:r w:rsidR="0049546C">
        <w:t>M</w:t>
      </w:r>
      <w:r w:rsidRPr="002E16F6">
        <w:t>embres, l'Organisation du monde islamique pour l'éducation, les sciences et la culture (</w:t>
      </w:r>
      <w:r w:rsidRPr="0049546C">
        <w:rPr>
          <w:i/>
          <w:iCs/>
        </w:rPr>
        <w:t>Islamic World Educational, Scientific and Cultural Organization, ICESCO</w:t>
      </w:r>
      <w:r w:rsidRPr="002E16F6">
        <w:t xml:space="preserve">) </w:t>
      </w:r>
      <w:r w:rsidRPr="002E16F6">
        <w:lastRenderedPageBreak/>
        <w:t xml:space="preserve">est une organisation spécialisée placée sous l'égide de l'Organisation de la coopération islamique (OCI), qui s'intéresse aux domaines de l'éducation, de la science, de la culture et de la communication dans les pays islamiques, afin de soutenir et de renforcer les relations entre les États </w:t>
      </w:r>
      <w:r w:rsidR="0008258D">
        <w:t>M</w:t>
      </w:r>
      <w:r w:rsidRPr="002E16F6">
        <w:t xml:space="preserve">embres. Le siège de l'Organisation se situe à Rabat. Dans la mesure où il s'agit d'une association internationale comptant des États </w:t>
      </w:r>
      <w:r w:rsidR="0008258D">
        <w:t>M</w:t>
      </w:r>
      <w:r w:rsidRPr="002E16F6">
        <w:t>embres, le Secrétariat estime que cette entité remplit les critères d'exonération du paiement des droits établis par le Conseil.</w:t>
      </w:r>
    </w:p>
    <w:p w14:paraId="2190EF34" w14:textId="1BCFFF81" w:rsidR="002E16F6" w:rsidRPr="0008258D" w:rsidRDefault="002E16F6" w:rsidP="0049546C">
      <w:pPr>
        <w:pStyle w:val="Headingb"/>
        <w:spacing w:after="120"/>
      </w:pPr>
      <w:r w:rsidRPr="0008258D">
        <w:t>2.5</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071"/>
        <w:gridCol w:w="3072"/>
        <w:gridCol w:w="3072"/>
      </w:tblGrid>
      <w:tr w:rsidR="002E16F6" w:rsidRPr="003832B3" w14:paraId="118FE981" w14:textId="77777777" w:rsidTr="002E16F6">
        <w:trPr>
          <w:cantSplit/>
          <w:jc w:val="center"/>
        </w:trPr>
        <w:tc>
          <w:tcPr>
            <w:tcW w:w="3071" w:type="dxa"/>
          </w:tcPr>
          <w:p w14:paraId="3B61FECB" w14:textId="77777777" w:rsidR="002E16F6" w:rsidRPr="003832B3" w:rsidRDefault="002E16F6" w:rsidP="0066543C">
            <w:pPr>
              <w:pStyle w:val="Tablehead"/>
              <w:rPr>
                <w:rFonts w:eastAsia="SimSun"/>
              </w:rPr>
            </w:pPr>
            <w:r w:rsidRPr="003832B3">
              <w:rPr>
                <w:rFonts w:eastAsia="SimSun"/>
              </w:rPr>
              <w:t>Organisation</w:t>
            </w:r>
          </w:p>
        </w:tc>
        <w:tc>
          <w:tcPr>
            <w:tcW w:w="3072" w:type="dxa"/>
          </w:tcPr>
          <w:p w14:paraId="397880B9" w14:textId="77777777" w:rsidR="002E16F6" w:rsidRPr="003832B3" w:rsidRDefault="002E16F6" w:rsidP="0066543C">
            <w:pPr>
              <w:pStyle w:val="Tablehead"/>
              <w:rPr>
                <w:rFonts w:eastAsia="SimSun"/>
              </w:rPr>
            </w:pPr>
            <w:r w:rsidRPr="003832B3">
              <w:rPr>
                <w:rFonts w:eastAsia="SimSun"/>
              </w:rPr>
              <w:t>Secteur</w:t>
            </w:r>
          </w:p>
        </w:tc>
        <w:tc>
          <w:tcPr>
            <w:tcW w:w="3072" w:type="dxa"/>
          </w:tcPr>
          <w:p w14:paraId="5EEEFDEA" w14:textId="77777777" w:rsidR="002E16F6" w:rsidRPr="003832B3" w:rsidRDefault="002E16F6" w:rsidP="0066543C">
            <w:pPr>
              <w:pStyle w:val="Tablehead"/>
              <w:rPr>
                <w:rFonts w:eastAsia="SimSun"/>
              </w:rPr>
            </w:pPr>
            <w:r w:rsidRPr="003832B3">
              <w:rPr>
                <w:rFonts w:eastAsia="SimSun"/>
              </w:rPr>
              <w:t>Recommandation</w:t>
            </w:r>
          </w:p>
        </w:tc>
      </w:tr>
      <w:tr w:rsidR="002E16F6" w:rsidRPr="003832B3" w14:paraId="102FB380" w14:textId="77777777" w:rsidTr="002E16F6">
        <w:trPr>
          <w:cantSplit/>
          <w:jc w:val="center"/>
        </w:trPr>
        <w:tc>
          <w:tcPr>
            <w:tcW w:w="3071" w:type="dxa"/>
            <w:vAlign w:val="center"/>
          </w:tcPr>
          <w:p w14:paraId="58FDB821" w14:textId="77777777" w:rsidR="002E16F6" w:rsidRPr="00F30CD7" w:rsidRDefault="002E16F6" w:rsidP="0066543C">
            <w:pPr>
              <w:pStyle w:val="Tabletext"/>
              <w:jc w:val="center"/>
              <w:rPr>
                <w:rFonts w:eastAsia="SimSun"/>
                <w:b/>
                <w:bCs/>
                <w:lang w:val="en-GB"/>
              </w:rPr>
            </w:pPr>
            <w:r w:rsidRPr="00F30CD7">
              <w:rPr>
                <w:rFonts w:asciiTheme="minorHAnsi" w:eastAsia="SimSun" w:hAnsiTheme="minorHAnsi"/>
                <w:b/>
                <w:bCs/>
                <w:lang w:val="en-GB"/>
              </w:rPr>
              <w:t>South Asian Regional Standards Organization (SARSO)</w:t>
            </w:r>
          </w:p>
        </w:tc>
        <w:tc>
          <w:tcPr>
            <w:tcW w:w="3072" w:type="dxa"/>
            <w:vAlign w:val="center"/>
          </w:tcPr>
          <w:p w14:paraId="188DA1A8" w14:textId="77777777" w:rsidR="002E16F6" w:rsidRPr="003832B3" w:rsidRDefault="002E16F6" w:rsidP="0066543C">
            <w:pPr>
              <w:pStyle w:val="Tabletext"/>
              <w:jc w:val="center"/>
              <w:rPr>
                <w:rFonts w:eastAsia="SimSun"/>
              </w:rPr>
            </w:pPr>
            <w:r w:rsidRPr="003832B3">
              <w:rPr>
                <w:rFonts w:eastAsia="SimSun"/>
              </w:rPr>
              <w:t>UIT-</w:t>
            </w:r>
            <w:r>
              <w:rPr>
                <w:rFonts w:eastAsia="SimSun"/>
              </w:rPr>
              <w:t>T</w:t>
            </w:r>
          </w:p>
        </w:tc>
        <w:tc>
          <w:tcPr>
            <w:tcW w:w="3072" w:type="dxa"/>
            <w:vAlign w:val="center"/>
          </w:tcPr>
          <w:p w14:paraId="0C7F7171" w14:textId="77777777" w:rsidR="002E16F6" w:rsidRPr="003832B3" w:rsidRDefault="002E16F6" w:rsidP="0066543C">
            <w:pPr>
              <w:pStyle w:val="Tabletext"/>
              <w:jc w:val="center"/>
              <w:rPr>
                <w:rFonts w:eastAsia="SimSun"/>
              </w:rPr>
            </w:pPr>
            <w:r>
              <w:rPr>
                <w:rFonts w:eastAsia="SimSun"/>
              </w:rPr>
              <w:t>Oui</w:t>
            </w:r>
          </w:p>
        </w:tc>
      </w:tr>
    </w:tbl>
    <w:p w14:paraId="41B61FB6" w14:textId="77777777" w:rsidR="00F621F5" w:rsidRDefault="00F621F5" w:rsidP="00F621F5">
      <w:pPr>
        <w:pStyle w:val="Tablefin"/>
      </w:pPr>
    </w:p>
    <w:p w14:paraId="5FC0C048" w14:textId="6683967D" w:rsidR="002E16F6" w:rsidRDefault="002E16F6" w:rsidP="00F621F5">
      <w:pPr>
        <w:jc w:val="both"/>
      </w:pPr>
      <w:r w:rsidRPr="002E16F6">
        <w:t>L'Organisation sud-asiatique de normalisation régionale (</w:t>
      </w:r>
      <w:r w:rsidRPr="0049546C">
        <w:rPr>
          <w:i/>
          <w:iCs/>
        </w:rPr>
        <w:t>South Asian Regional Standards Organization, SARSO</w:t>
      </w:r>
      <w:r w:rsidRPr="002E16F6">
        <w:t>) est un organe spécialisé de l'Association sud-asiatique de coopération régionale (</w:t>
      </w:r>
      <w:r w:rsidRPr="0049546C">
        <w:rPr>
          <w:i/>
          <w:iCs/>
        </w:rPr>
        <w:t>South Asian Association for Regional Cooperation, SAARC</w:t>
      </w:r>
      <w:r w:rsidRPr="002E16F6">
        <w:t>). La SARSO a été créée pour réaliser et renforcer la coordination et la coopération entre les pays membres de la</w:t>
      </w:r>
      <w:r w:rsidR="0008258D">
        <w:t> </w:t>
      </w:r>
      <w:r w:rsidRPr="002E16F6">
        <w:t xml:space="preserve">SAARC dans les domaines de la normalisation et de l'évaluation de la conformité. Dans la mesure où il s'agit d'une organisation régionale comptant des États </w:t>
      </w:r>
      <w:r w:rsidR="004760C0">
        <w:t>M</w:t>
      </w:r>
      <w:r w:rsidRPr="002E16F6">
        <w:t>embres, le Secrétariat estime que cette entité remplit les critères d'exonération du paiement des droits établis par le Conseil.</w:t>
      </w:r>
    </w:p>
    <w:p w14:paraId="50C135A5" w14:textId="2F7405F2" w:rsidR="002E16F6" w:rsidRPr="0008258D" w:rsidRDefault="002E16F6" w:rsidP="0049546C">
      <w:pPr>
        <w:pStyle w:val="Headingb"/>
        <w:spacing w:after="120"/>
      </w:pPr>
      <w:r w:rsidRPr="0008258D">
        <w:t>2.6</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071"/>
        <w:gridCol w:w="3072"/>
        <w:gridCol w:w="3072"/>
      </w:tblGrid>
      <w:tr w:rsidR="002E16F6" w:rsidRPr="003832B3" w14:paraId="441DCAD5" w14:textId="77777777" w:rsidTr="002E16F6">
        <w:trPr>
          <w:cantSplit/>
          <w:jc w:val="center"/>
        </w:trPr>
        <w:tc>
          <w:tcPr>
            <w:tcW w:w="3071" w:type="dxa"/>
          </w:tcPr>
          <w:p w14:paraId="04F91B6F" w14:textId="77777777" w:rsidR="002E16F6" w:rsidRPr="003832B3" w:rsidRDefault="002E16F6" w:rsidP="0066543C">
            <w:pPr>
              <w:pStyle w:val="Tablehead"/>
              <w:rPr>
                <w:rFonts w:eastAsia="SimSun"/>
              </w:rPr>
            </w:pPr>
            <w:r w:rsidRPr="003832B3">
              <w:rPr>
                <w:rFonts w:eastAsia="SimSun"/>
              </w:rPr>
              <w:t>Organisation</w:t>
            </w:r>
          </w:p>
        </w:tc>
        <w:tc>
          <w:tcPr>
            <w:tcW w:w="3072" w:type="dxa"/>
          </w:tcPr>
          <w:p w14:paraId="639E24CC" w14:textId="77777777" w:rsidR="002E16F6" w:rsidRPr="003832B3" w:rsidRDefault="002E16F6" w:rsidP="0066543C">
            <w:pPr>
              <w:pStyle w:val="Tablehead"/>
              <w:rPr>
                <w:rFonts w:eastAsia="SimSun"/>
              </w:rPr>
            </w:pPr>
            <w:r w:rsidRPr="003832B3">
              <w:rPr>
                <w:rFonts w:eastAsia="SimSun"/>
              </w:rPr>
              <w:t>Secteur</w:t>
            </w:r>
          </w:p>
        </w:tc>
        <w:tc>
          <w:tcPr>
            <w:tcW w:w="3072" w:type="dxa"/>
          </w:tcPr>
          <w:p w14:paraId="44F69E25" w14:textId="77777777" w:rsidR="002E16F6" w:rsidRPr="003832B3" w:rsidRDefault="002E16F6" w:rsidP="0066543C">
            <w:pPr>
              <w:pStyle w:val="Tablehead"/>
              <w:rPr>
                <w:rFonts w:eastAsia="SimSun"/>
              </w:rPr>
            </w:pPr>
            <w:r w:rsidRPr="003832B3">
              <w:rPr>
                <w:rFonts w:eastAsia="SimSun"/>
              </w:rPr>
              <w:t>Recommandation</w:t>
            </w:r>
          </w:p>
        </w:tc>
      </w:tr>
      <w:tr w:rsidR="002E16F6" w:rsidRPr="003832B3" w14:paraId="5EAC3043" w14:textId="77777777" w:rsidTr="002E16F6">
        <w:trPr>
          <w:cantSplit/>
          <w:jc w:val="center"/>
        </w:trPr>
        <w:tc>
          <w:tcPr>
            <w:tcW w:w="3071" w:type="dxa"/>
            <w:vAlign w:val="center"/>
          </w:tcPr>
          <w:p w14:paraId="45FB1B9B" w14:textId="77777777" w:rsidR="002E16F6" w:rsidRPr="009A5E62" w:rsidRDefault="002E16F6" w:rsidP="0066543C">
            <w:pPr>
              <w:pStyle w:val="Tabletext"/>
              <w:jc w:val="center"/>
              <w:rPr>
                <w:rFonts w:eastAsia="SimSun"/>
                <w:b/>
                <w:bCs/>
              </w:rPr>
            </w:pPr>
            <w:r w:rsidRPr="00B033F5">
              <w:rPr>
                <w:rFonts w:asciiTheme="minorHAnsi" w:eastAsia="SimSun" w:hAnsiTheme="minorHAnsi" w:cstheme="minorHAnsi"/>
                <w:b/>
                <w:iCs/>
                <w:szCs w:val="24"/>
              </w:rPr>
              <w:t>Space Generation Advisory Council</w:t>
            </w:r>
          </w:p>
        </w:tc>
        <w:tc>
          <w:tcPr>
            <w:tcW w:w="3072" w:type="dxa"/>
            <w:vAlign w:val="center"/>
          </w:tcPr>
          <w:p w14:paraId="4D5ED510" w14:textId="77777777" w:rsidR="002E16F6" w:rsidRPr="003832B3" w:rsidRDefault="002E16F6" w:rsidP="0066543C">
            <w:pPr>
              <w:pStyle w:val="Tabletext"/>
              <w:jc w:val="center"/>
              <w:rPr>
                <w:rFonts w:eastAsia="SimSun"/>
              </w:rPr>
            </w:pPr>
            <w:r>
              <w:rPr>
                <w:rFonts w:eastAsia="SimSun"/>
              </w:rPr>
              <w:t>UIT-R</w:t>
            </w:r>
            <w:r>
              <w:rPr>
                <w:rFonts w:eastAsia="SimSun"/>
              </w:rPr>
              <w:br/>
              <w:t>UIT-T</w:t>
            </w:r>
            <w:r>
              <w:rPr>
                <w:rFonts w:eastAsia="SimSun"/>
              </w:rPr>
              <w:br/>
              <w:t>UIT-D</w:t>
            </w:r>
          </w:p>
        </w:tc>
        <w:tc>
          <w:tcPr>
            <w:tcW w:w="3072" w:type="dxa"/>
            <w:vAlign w:val="center"/>
          </w:tcPr>
          <w:p w14:paraId="4A2092CA" w14:textId="4B99B422" w:rsidR="002E16F6" w:rsidRPr="003832B3" w:rsidRDefault="002E16F6" w:rsidP="0066543C">
            <w:pPr>
              <w:pStyle w:val="Tabletext"/>
              <w:jc w:val="center"/>
              <w:rPr>
                <w:rFonts w:eastAsia="SimSun"/>
              </w:rPr>
            </w:pPr>
            <w:r>
              <w:rPr>
                <w:rFonts w:eastAsia="SimSun"/>
              </w:rPr>
              <w:t>Oui</w:t>
            </w:r>
            <w:r>
              <w:rPr>
                <w:rFonts w:eastAsia="SimSun"/>
              </w:rPr>
              <w:br/>
            </w:r>
            <w:r w:rsidR="008F24C7">
              <w:rPr>
                <w:rFonts w:eastAsia="SimSun"/>
              </w:rPr>
              <w:t>Non</w:t>
            </w:r>
            <w:r>
              <w:rPr>
                <w:rFonts w:eastAsia="SimSun"/>
              </w:rPr>
              <w:br/>
              <w:t>Oui</w:t>
            </w:r>
          </w:p>
        </w:tc>
      </w:tr>
    </w:tbl>
    <w:p w14:paraId="1BA79E06" w14:textId="77777777" w:rsidR="00F621F5" w:rsidRDefault="00F621F5" w:rsidP="00F621F5">
      <w:pPr>
        <w:pStyle w:val="Tablefin"/>
      </w:pPr>
    </w:p>
    <w:p w14:paraId="6B96AE18" w14:textId="524AE2E3" w:rsidR="002E16F6" w:rsidRDefault="002E16F6" w:rsidP="00F621F5">
      <w:pPr>
        <w:jc w:val="both"/>
      </w:pPr>
      <w:r w:rsidRPr="002E16F6">
        <w:t xml:space="preserve">Le Conseil consultatif de la génération spatiale </w:t>
      </w:r>
      <w:r w:rsidRPr="0049546C">
        <w:rPr>
          <w:i/>
          <w:iCs/>
        </w:rPr>
        <w:t>(Space Generation Advisory Council, SGAC</w:t>
      </w:r>
      <w:r w:rsidRPr="002E16F6">
        <w:t>) a été mis sur pied pour soutenir le Programme des Nations Unies pour les applications spatiales. Il s'agit d'une ONG à but non lucratif, composée d'un réseau d'étudiants, de jeunes professionnels et d'anciens élèves de l'industrie spatiale, qui représente actuellement plus de 27</w:t>
      </w:r>
      <w:r w:rsidR="00F621F5">
        <w:t> </w:t>
      </w:r>
      <w:r w:rsidRPr="002E16F6">
        <w:t>000 membres dans 165 pays. Le SGAC est un partenaire officiel de la Fédération internationale d'astronautique (IAF). Le Secrétariat estime que cette entité remplit les critères d'exonération du paiement des droits relatifs aux membres établis par le Conseil pour l'UIT-R et l'UIT-D.</w:t>
      </w:r>
      <w:r w:rsidR="00DF4802">
        <w:t xml:space="preserve"> Néanmoins, il n'y a pas suffisamment d'avantages réciproques pour</w:t>
      </w:r>
      <w:r w:rsidR="000E0C47">
        <w:t> </w:t>
      </w:r>
      <w:r w:rsidR="00DF4802">
        <w:t>l'UIT-T.</w:t>
      </w:r>
    </w:p>
    <w:p w14:paraId="4CBFF0B0" w14:textId="77777777" w:rsidR="00F621F5" w:rsidRPr="002E16F6" w:rsidRDefault="00F621F5" w:rsidP="00F621F5">
      <w:pPr>
        <w:jc w:val="both"/>
      </w:pPr>
    </w:p>
    <w:p w14:paraId="148BD0F7" w14:textId="77777777" w:rsidR="00897553" w:rsidRDefault="006A11AE" w:rsidP="000E0C47">
      <w:pPr>
        <w:spacing w:before="0"/>
        <w:jc w:val="center"/>
      </w:pPr>
      <w:r>
        <w:t>______________</w:t>
      </w:r>
    </w:p>
    <w:sectPr w:rsidR="00897553" w:rsidSect="00D72F49">
      <w:headerReference w:type="even" r:id="rId12"/>
      <w:footerReference w:type="even" r:id="rId13"/>
      <w:footerReference w:type="default" r:id="rId14"/>
      <w:headerReference w:type="first" r:id="rId15"/>
      <w:footerReference w:type="first" r:id="rId1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EF41F" w14:textId="77777777" w:rsidR="00524BB2" w:rsidRDefault="00524BB2">
      <w:r>
        <w:separator/>
      </w:r>
    </w:p>
  </w:endnote>
  <w:endnote w:type="continuationSeparator" w:id="0">
    <w:p w14:paraId="0857F6CD" w14:textId="77777777" w:rsidR="00524BB2" w:rsidRDefault="0052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A9EDA" w14:textId="77B01750" w:rsidR="00732045" w:rsidRPr="007B7CA1" w:rsidRDefault="004E2CF7">
    <w:pPr>
      <w:pStyle w:val="Footer"/>
      <w:rPr>
        <w:lang w:val="it-IT"/>
      </w:rPr>
    </w:pPr>
    <w:r>
      <w:fldChar w:fldCharType="begin"/>
    </w:r>
    <w:r w:rsidRPr="007B7CA1">
      <w:rPr>
        <w:lang w:val="it-IT"/>
      </w:rPr>
      <w:instrText xml:space="preserve"> FILENAME \p \* MERGEFORMAT </w:instrText>
    </w:r>
    <w:r>
      <w:fldChar w:fldCharType="separate"/>
    </w:r>
    <w:r w:rsidR="000E0C47">
      <w:rPr>
        <w:lang w:val="it-IT"/>
      </w:rPr>
      <w:t>P:\FRA\gDoc\SG\C25\2501100F.docx</w:t>
    </w:r>
    <w:r>
      <w:fldChar w:fldCharType="end"/>
    </w:r>
    <w:r w:rsidR="00732045" w:rsidRPr="007B7CA1">
      <w:rPr>
        <w:lang w:val="it-IT"/>
      </w:rPr>
      <w:tab/>
    </w:r>
    <w:r w:rsidR="002F1B76">
      <w:fldChar w:fldCharType="begin"/>
    </w:r>
    <w:r w:rsidR="00732045">
      <w:instrText xml:space="preserve"> savedate \@ dd.MM.yy </w:instrText>
    </w:r>
    <w:r w:rsidR="002F1B76">
      <w:fldChar w:fldCharType="separate"/>
    </w:r>
    <w:r w:rsidR="00F621F5">
      <w:t>20.05.25</w:t>
    </w:r>
    <w:r w:rsidR="002F1B76">
      <w:fldChar w:fldCharType="end"/>
    </w:r>
    <w:r w:rsidR="00732045" w:rsidRPr="007B7CA1">
      <w:rPr>
        <w:lang w:val="it-IT"/>
      </w:rPr>
      <w:tab/>
    </w:r>
    <w:r w:rsidR="002F1B76">
      <w:fldChar w:fldCharType="begin"/>
    </w:r>
    <w:r w:rsidR="00732045">
      <w:instrText xml:space="preserve"> printdate \@ dd.MM.yy </w:instrText>
    </w:r>
    <w:r w:rsidR="002F1B76">
      <w:fldChar w:fldCharType="separate"/>
    </w:r>
    <w:r w:rsidR="000E0C4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6183BF5" w14:textId="77777777" w:rsidTr="00E31DCE">
      <w:trPr>
        <w:jc w:val="center"/>
      </w:trPr>
      <w:tc>
        <w:tcPr>
          <w:tcW w:w="1803" w:type="dxa"/>
          <w:vAlign w:val="center"/>
        </w:tcPr>
        <w:p w14:paraId="225C9D9A" w14:textId="7DE8C050" w:rsidR="00A51849" w:rsidRDefault="002E16F6" w:rsidP="00A51849">
          <w:pPr>
            <w:pStyle w:val="Header"/>
            <w:jc w:val="left"/>
            <w:rPr>
              <w:noProof/>
            </w:rPr>
          </w:pPr>
          <w:r>
            <w:rPr>
              <w:noProof/>
            </w:rPr>
            <w:t>2501100</w:t>
          </w:r>
        </w:p>
      </w:tc>
      <w:tc>
        <w:tcPr>
          <w:tcW w:w="8261" w:type="dxa"/>
        </w:tcPr>
        <w:p w14:paraId="5616DC8F" w14:textId="0ACB2535"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2E16F6">
            <w:rPr>
              <w:bCs/>
            </w:rPr>
            <w:t>65</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2AC0EFF6"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ACC963F" w14:textId="77777777" w:rsidTr="00E31DCE">
      <w:trPr>
        <w:jc w:val="center"/>
      </w:trPr>
      <w:tc>
        <w:tcPr>
          <w:tcW w:w="1803" w:type="dxa"/>
          <w:vAlign w:val="center"/>
        </w:tcPr>
        <w:p w14:paraId="45BD9E80"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16767E00" w14:textId="4D3EFCED"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423DB8">
            <w:rPr>
              <w:bCs/>
            </w:rPr>
            <w:t>65</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75ACDD54"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5E463" w14:textId="77777777" w:rsidR="00524BB2" w:rsidRDefault="00524BB2">
      <w:r>
        <w:t>____________________</w:t>
      </w:r>
    </w:p>
  </w:footnote>
  <w:footnote w:type="continuationSeparator" w:id="0">
    <w:p w14:paraId="0768F9CE" w14:textId="77777777" w:rsidR="00524BB2" w:rsidRDefault="00524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292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96F9F8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58A2BBD0" w14:textId="77777777" w:rsidTr="00D37B53">
      <w:trPr>
        <w:trHeight w:val="1104"/>
        <w:jc w:val="center"/>
      </w:trPr>
      <w:tc>
        <w:tcPr>
          <w:tcW w:w="5317" w:type="dxa"/>
          <w:vAlign w:val="center"/>
        </w:tcPr>
        <w:p w14:paraId="2C1834A6"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53A97EDD" wp14:editId="2874C8EA">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37A88FD5" w14:textId="77777777" w:rsidR="00524E8D" w:rsidRDefault="00524E8D" w:rsidP="00A51849">
          <w:pPr>
            <w:pStyle w:val="Header"/>
            <w:jc w:val="right"/>
            <w:rPr>
              <w:rFonts w:ascii="Arial" w:hAnsi="Arial" w:cs="Arial"/>
              <w:b/>
              <w:bCs/>
              <w:color w:val="009CD6"/>
              <w:szCs w:val="18"/>
            </w:rPr>
          </w:pPr>
        </w:p>
      </w:tc>
    </w:tr>
  </w:tbl>
  <w:p w14:paraId="760C07CE"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34C90AD" wp14:editId="4B570441">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62E75"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B2"/>
    <w:rsid w:val="00076A2C"/>
    <w:rsid w:val="0008258D"/>
    <w:rsid w:val="000D0D0A"/>
    <w:rsid w:val="000E0C47"/>
    <w:rsid w:val="00103163"/>
    <w:rsid w:val="00106B19"/>
    <w:rsid w:val="001133EF"/>
    <w:rsid w:val="00115D93"/>
    <w:rsid w:val="001247A8"/>
    <w:rsid w:val="001370B2"/>
    <w:rsid w:val="001378C0"/>
    <w:rsid w:val="0018694A"/>
    <w:rsid w:val="001A3287"/>
    <w:rsid w:val="001A6508"/>
    <w:rsid w:val="001D4C31"/>
    <w:rsid w:val="001E4D21"/>
    <w:rsid w:val="00207CD1"/>
    <w:rsid w:val="00226657"/>
    <w:rsid w:val="002477A2"/>
    <w:rsid w:val="00263A51"/>
    <w:rsid w:val="00267E02"/>
    <w:rsid w:val="00287BF1"/>
    <w:rsid w:val="00293C74"/>
    <w:rsid w:val="002A5D44"/>
    <w:rsid w:val="002C3F32"/>
    <w:rsid w:val="002C4E3D"/>
    <w:rsid w:val="002E0BC4"/>
    <w:rsid w:val="002E16F6"/>
    <w:rsid w:val="002F1B76"/>
    <w:rsid w:val="0033568E"/>
    <w:rsid w:val="00355FF5"/>
    <w:rsid w:val="00361350"/>
    <w:rsid w:val="003C3FAE"/>
    <w:rsid w:val="004038CB"/>
    <w:rsid w:val="0040546F"/>
    <w:rsid w:val="004177BD"/>
    <w:rsid w:val="00423DB8"/>
    <w:rsid w:val="0042404A"/>
    <w:rsid w:val="0044618F"/>
    <w:rsid w:val="0046769A"/>
    <w:rsid w:val="00475FB3"/>
    <w:rsid w:val="004760C0"/>
    <w:rsid w:val="0049546C"/>
    <w:rsid w:val="004C37A9"/>
    <w:rsid w:val="004D1D50"/>
    <w:rsid w:val="004E2CF7"/>
    <w:rsid w:val="004F259E"/>
    <w:rsid w:val="00511F1D"/>
    <w:rsid w:val="00520F36"/>
    <w:rsid w:val="00524BB2"/>
    <w:rsid w:val="00524E8D"/>
    <w:rsid w:val="00534E13"/>
    <w:rsid w:val="00540615"/>
    <w:rsid w:val="00540A6D"/>
    <w:rsid w:val="00566679"/>
    <w:rsid w:val="0057088C"/>
    <w:rsid w:val="00571EEA"/>
    <w:rsid w:val="00575417"/>
    <w:rsid w:val="005768E1"/>
    <w:rsid w:val="005B1938"/>
    <w:rsid w:val="005C3890"/>
    <w:rsid w:val="005F7BFE"/>
    <w:rsid w:val="00600017"/>
    <w:rsid w:val="006235CA"/>
    <w:rsid w:val="0062366E"/>
    <w:rsid w:val="006643AB"/>
    <w:rsid w:val="006A11AE"/>
    <w:rsid w:val="006A67A5"/>
    <w:rsid w:val="006F0A53"/>
    <w:rsid w:val="007075E8"/>
    <w:rsid w:val="007210CD"/>
    <w:rsid w:val="00732045"/>
    <w:rsid w:val="0073275D"/>
    <w:rsid w:val="007369DB"/>
    <w:rsid w:val="0077110E"/>
    <w:rsid w:val="007956C2"/>
    <w:rsid w:val="007A187E"/>
    <w:rsid w:val="007B7CA1"/>
    <w:rsid w:val="007C72C2"/>
    <w:rsid w:val="007D4436"/>
    <w:rsid w:val="007F257A"/>
    <w:rsid w:val="007F3665"/>
    <w:rsid w:val="00800037"/>
    <w:rsid w:val="0082299A"/>
    <w:rsid w:val="0083391C"/>
    <w:rsid w:val="00861D73"/>
    <w:rsid w:val="00873702"/>
    <w:rsid w:val="00882919"/>
    <w:rsid w:val="00897553"/>
    <w:rsid w:val="008A4E87"/>
    <w:rsid w:val="008D76E6"/>
    <w:rsid w:val="008F24C7"/>
    <w:rsid w:val="0092392D"/>
    <w:rsid w:val="0093234A"/>
    <w:rsid w:val="00956A78"/>
    <w:rsid w:val="0097363B"/>
    <w:rsid w:val="00973F53"/>
    <w:rsid w:val="009A1761"/>
    <w:rsid w:val="009A6BAA"/>
    <w:rsid w:val="009C0857"/>
    <w:rsid w:val="009C307F"/>
    <w:rsid w:val="009C353C"/>
    <w:rsid w:val="009F0FB8"/>
    <w:rsid w:val="00A2113E"/>
    <w:rsid w:val="00A23A51"/>
    <w:rsid w:val="00A24607"/>
    <w:rsid w:val="00A25CD3"/>
    <w:rsid w:val="00A51849"/>
    <w:rsid w:val="00A709FE"/>
    <w:rsid w:val="00A73C60"/>
    <w:rsid w:val="00A82767"/>
    <w:rsid w:val="00AA332F"/>
    <w:rsid w:val="00AA7BBB"/>
    <w:rsid w:val="00AB64A8"/>
    <w:rsid w:val="00AC0266"/>
    <w:rsid w:val="00AD24EC"/>
    <w:rsid w:val="00AE1D5D"/>
    <w:rsid w:val="00B27B00"/>
    <w:rsid w:val="00B309F9"/>
    <w:rsid w:val="00B32B60"/>
    <w:rsid w:val="00B51005"/>
    <w:rsid w:val="00B61619"/>
    <w:rsid w:val="00BB4545"/>
    <w:rsid w:val="00BD5873"/>
    <w:rsid w:val="00BF4B60"/>
    <w:rsid w:val="00C049D7"/>
    <w:rsid w:val="00C04BE3"/>
    <w:rsid w:val="00C22489"/>
    <w:rsid w:val="00C25D29"/>
    <w:rsid w:val="00C27A7C"/>
    <w:rsid w:val="00C42437"/>
    <w:rsid w:val="00C74EDC"/>
    <w:rsid w:val="00CA08ED"/>
    <w:rsid w:val="00CC6EAA"/>
    <w:rsid w:val="00CF183B"/>
    <w:rsid w:val="00D375CD"/>
    <w:rsid w:val="00D37B53"/>
    <w:rsid w:val="00D553A2"/>
    <w:rsid w:val="00D72F49"/>
    <w:rsid w:val="00D774D3"/>
    <w:rsid w:val="00D904E8"/>
    <w:rsid w:val="00DA08C3"/>
    <w:rsid w:val="00DB5A3E"/>
    <w:rsid w:val="00DC22AA"/>
    <w:rsid w:val="00DD1A99"/>
    <w:rsid w:val="00DD5B5C"/>
    <w:rsid w:val="00DF4802"/>
    <w:rsid w:val="00DF74DD"/>
    <w:rsid w:val="00E25AD0"/>
    <w:rsid w:val="00E4428F"/>
    <w:rsid w:val="00E47427"/>
    <w:rsid w:val="00E74BC2"/>
    <w:rsid w:val="00E93668"/>
    <w:rsid w:val="00E95647"/>
    <w:rsid w:val="00EB6350"/>
    <w:rsid w:val="00ED40A7"/>
    <w:rsid w:val="00F0687F"/>
    <w:rsid w:val="00F15B57"/>
    <w:rsid w:val="00F35EF4"/>
    <w:rsid w:val="00F37FE5"/>
    <w:rsid w:val="00F427DB"/>
    <w:rsid w:val="00F621F5"/>
    <w:rsid w:val="00FA5EB1"/>
    <w:rsid w:val="00FA7439"/>
    <w:rsid w:val="00FC4EC0"/>
    <w:rsid w:val="00FC6D7D"/>
    <w:rsid w:val="00FE44D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51B29"/>
  <w15:docId w15:val="{53DBC545-6263-4104-A306-42A117FA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paragraph" w:customStyle="1" w:styleId="Tablefin">
    <w:name w:val="Table_fin"/>
    <w:basedOn w:val="Tabletext"/>
    <w:rsid w:val="00F621F5"/>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hub/membership/our-members/exempted-entiti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S19-CL-C-0141/fr"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itu.int/itudoc/gs/council/c00/docs/28rev1-fr.html" TargetMode="External"/><Relationship Id="rId11" Type="http://schemas.openxmlformats.org/officeDocument/2006/relationships/hyperlink" Target="https://www.itu.int/hub/membership/our-members/exempted-entities/exemption-criteria/"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itu.int/md/S19-CL-C-0141/fr" TargetMode="External"/><Relationship Id="rId4" Type="http://schemas.openxmlformats.org/officeDocument/2006/relationships/footnotes" Target="footnotes.xml"/><Relationship Id="rId9" Type="http://schemas.openxmlformats.org/officeDocument/2006/relationships/hyperlink" Target="https://www.itu.int/itudoc/gs/council/c00/docs/28rev1-fr.htm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0</TotalTime>
  <Pages>4</Pages>
  <Words>1152</Words>
  <Characters>7416</Characters>
  <Application>Microsoft Office Word</Application>
  <DocSecurity>0</DocSecurity>
  <Lines>180</Lines>
  <Paragraphs>91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8477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Nouvelles demandes d'exonération du paiement de droits pour les organisations ayant un caractère international</dc:title>
  <dc:subject>Conseil 2025 de l'UIT</dc:subject>
  <cp:keywords>C2025, C25, Council-25</cp:keywords>
  <dc:description/>
  <cp:lastPrinted>2000-07-18T08:55:00Z</cp:lastPrinted>
  <dcterms:created xsi:type="dcterms:W3CDTF">2025-05-23T09:24:00Z</dcterms:created>
  <dcterms:modified xsi:type="dcterms:W3CDTF">2025-05-23T09:24:00Z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