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033F5" w14:paraId="016DF53D" w14:textId="77777777" w:rsidTr="14202014">
        <w:trPr>
          <w:cantSplit/>
          <w:trHeight w:val="23"/>
        </w:trPr>
        <w:tc>
          <w:tcPr>
            <w:tcW w:w="3969" w:type="dxa"/>
            <w:vMerge w:val="restart"/>
            <w:tcMar>
              <w:left w:w="0" w:type="dxa"/>
            </w:tcMar>
          </w:tcPr>
          <w:p w14:paraId="4B393551" w14:textId="099BB0D9" w:rsidR="00AD3606" w:rsidRPr="00B033F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B033F5">
              <w:rPr>
                <w:b/>
              </w:rPr>
              <w:t xml:space="preserve">Agenda item: </w:t>
            </w:r>
            <w:r w:rsidR="00BF22D2" w:rsidRPr="00B033F5">
              <w:rPr>
                <w:b/>
              </w:rPr>
              <w:t>ADM 1</w:t>
            </w:r>
          </w:p>
        </w:tc>
        <w:tc>
          <w:tcPr>
            <w:tcW w:w="5245" w:type="dxa"/>
          </w:tcPr>
          <w:p w14:paraId="6CBF495A" w14:textId="7619E844" w:rsidR="00AD3606" w:rsidRPr="00B033F5" w:rsidRDefault="00AD3606" w:rsidP="14202014">
            <w:pPr>
              <w:tabs>
                <w:tab w:val="left" w:pos="851"/>
              </w:tabs>
              <w:spacing w:before="0" w:line="240" w:lineRule="atLeast"/>
              <w:jc w:val="right"/>
              <w:rPr>
                <w:b/>
                <w:bCs/>
              </w:rPr>
            </w:pPr>
            <w:r w:rsidRPr="14202014">
              <w:rPr>
                <w:b/>
                <w:bCs/>
              </w:rPr>
              <w:t>Document C2</w:t>
            </w:r>
            <w:r w:rsidR="00BF1FDE" w:rsidRPr="14202014">
              <w:rPr>
                <w:b/>
                <w:bCs/>
              </w:rPr>
              <w:t>5</w:t>
            </w:r>
            <w:r w:rsidRPr="14202014">
              <w:rPr>
                <w:b/>
                <w:bCs/>
              </w:rPr>
              <w:t>/</w:t>
            </w:r>
            <w:r w:rsidR="4562B447" w:rsidRPr="14202014">
              <w:rPr>
                <w:b/>
                <w:bCs/>
              </w:rPr>
              <w:t>65</w:t>
            </w:r>
            <w:r w:rsidRPr="14202014">
              <w:rPr>
                <w:b/>
                <w:bCs/>
              </w:rPr>
              <w:t>-E</w:t>
            </w:r>
          </w:p>
        </w:tc>
      </w:tr>
      <w:tr w:rsidR="00AD3606" w:rsidRPr="00B033F5" w14:paraId="568CE225" w14:textId="77777777" w:rsidTr="14202014">
        <w:trPr>
          <w:cantSplit/>
        </w:trPr>
        <w:tc>
          <w:tcPr>
            <w:tcW w:w="3969" w:type="dxa"/>
            <w:vMerge/>
          </w:tcPr>
          <w:p w14:paraId="7265DC3B" w14:textId="77777777" w:rsidR="00AD3606" w:rsidRPr="00B033F5" w:rsidRDefault="00AD3606" w:rsidP="00AD3606">
            <w:pPr>
              <w:tabs>
                <w:tab w:val="left" w:pos="851"/>
              </w:tabs>
              <w:spacing w:line="240" w:lineRule="atLeast"/>
              <w:rPr>
                <w:b/>
              </w:rPr>
            </w:pPr>
            <w:bookmarkStart w:id="6" w:name="ddate" w:colFirst="1" w:colLast="1"/>
            <w:bookmarkEnd w:id="0"/>
            <w:bookmarkEnd w:id="1"/>
          </w:p>
        </w:tc>
        <w:tc>
          <w:tcPr>
            <w:tcW w:w="5245" w:type="dxa"/>
          </w:tcPr>
          <w:p w14:paraId="48BEB0AE" w14:textId="3AA76A09" w:rsidR="00AD3606" w:rsidRPr="00B033F5" w:rsidRDefault="00F71022" w:rsidP="00AD3606">
            <w:pPr>
              <w:tabs>
                <w:tab w:val="left" w:pos="851"/>
              </w:tabs>
              <w:spacing w:before="0"/>
              <w:jc w:val="right"/>
              <w:rPr>
                <w:b/>
              </w:rPr>
            </w:pPr>
            <w:r>
              <w:rPr>
                <w:b/>
              </w:rPr>
              <w:t>16</w:t>
            </w:r>
            <w:r w:rsidR="00BF22D2" w:rsidRPr="00B033F5">
              <w:rPr>
                <w:b/>
              </w:rPr>
              <w:t xml:space="preserve"> May 2025</w:t>
            </w:r>
          </w:p>
        </w:tc>
      </w:tr>
      <w:tr w:rsidR="00AD3606" w:rsidRPr="00B033F5" w14:paraId="419C02B8" w14:textId="77777777" w:rsidTr="14202014">
        <w:trPr>
          <w:cantSplit/>
          <w:trHeight w:val="23"/>
        </w:trPr>
        <w:tc>
          <w:tcPr>
            <w:tcW w:w="3969" w:type="dxa"/>
            <w:vMerge/>
          </w:tcPr>
          <w:p w14:paraId="75CC8499" w14:textId="77777777" w:rsidR="00AD3606" w:rsidRPr="00B033F5" w:rsidRDefault="00AD3606" w:rsidP="00AD3606">
            <w:pPr>
              <w:tabs>
                <w:tab w:val="left" w:pos="851"/>
              </w:tabs>
              <w:spacing w:line="240" w:lineRule="atLeast"/>
              <w:rPr>
                <w:b/>
              </w:rPr>
            </w:pPr>
            <w:bookmarkStart w:id="7" w:name="dorlang" w:colFirst="1" w:colLast="1"/>
            <w:bookmarkEnd w:id="6"/>
          </w:p>
        </w:tc>
        <w:tc>
          <w:tcPr>
            <w:tcW w:w="5245" w:type="dxa"/>
          </w:tcPr>
          <w:p w14:paraId="4207D5A5" w14:textId="77777777" w:rsidR="00AD3606" w:rsidRPr="00B033F5" w:rsidRDefault="00AD3606" w:rsidP="00AD3606">
            <w:pPr>
              <w:tabs>
                <w:tab w:val="left" w:pos="851"/>
              </w:tabs>
              <w:spacing w:before="0" w:line="240" w:lineRule="atLeast"/>
              <w:jc w:val="right"/>
              <w:rPr>
                <w:b/>
              </w:rPr>
            </w:pPr>
            <w:r w:rsidRPr="00B033F5">
              <w:rPr>
                <w:b/>
              </w:rPr>
              <w:t>Original: English</w:t>
            </w:r>
          </w:p>
        </w:tc>
      </w:tr>
      <w:tr w:rsidR="00472BAD" w:rsidRPr="00B033F5" w14:paraId="7BBF8938" w14:textId="77777777" w:rsidTr="14202014">
        <w:trPr>
          <w:cantSplit/>
          <w:trHeight w:val="23"/>
        </w:trPr>
        <w:tc>
          <w:tcPr>
            <w:tcW w:w="3969" w:type="dxa"/>
          </w:tcPr>
          <w:p w14:paraId="19211647" w14:textId="77777777" w:rsidR="00472BAD" w:rsidRPr="00B033F5" w:rsidRDefault="00472BAD" w:rsidP="00AD3606">
            <w:pPr>
              <w:tabs>
                <w:tab w:val="left" w:pos="851"/>
              </w:tabs>
              <w:spacing w:line="240" w:lineRule="atLeast"/>
              <w:rPr>
                <w:b/>
              </w:rPr>
            </w:pPr>
          </w:p>
        </w:tc>
        <w:tc>
          <w:tcPr>
            <w:tcW w:w="5245" w:type="dxa"/>
          </w:tcPr>
          <w:p w14:paraId="25605592" w14:textId="77777777" w:rsidR="00472BAD" w:rsidRPr="00B033F5" w:rsidRDefault="00472BAD" w:rsidP="00AD3606">
            <w:pPr>
              <w:tabs>
                <w:tab w:val="left" w:pos="851"/>
              </w:tabs>
              <w:spacing w:before="0" w:line="240" w:lineRule="atLeast"/>
              <w:jc w:val="right"/>
              <w:rPr>
                <w:b/>
              </w:rPr>
            </w:pPr>
          </w:p>
        </w:tc>
      </w:tr>
      <w:tr w:rsidR="00AD3606" w:rsidRPr="00B033F5" w14:paraId="64BD0ED5" w14:textId="77777777" w:rsidTr="14202014">
        <w:trPr>
          <w:cantSplit/>
        </w:trPr>
        <w:tc>
          <w:tcPr>
            <w:tcW w:w="9214" w:type="dxa"/>
            <w:gridSpan w:val="2"/>
            <w:tcMar>
              <w:left w:w="0" w:type="dxa"/>
            </w:tcMar>
          </w:tcPr>
          <w:p w14:paraId="7E00189C" w14:textId="77777777" w:rsidR="00AD3606" w:rsidRPr="00B033F5" w:rsidRDefault="00AD3606" w:rsidP="00AD3606">
            <w:pPr>
              <w:pStyle w:val="Source"/>
              <w:framePr w:hSpace="0" w:wrap="auto" w:vAnchor="margin" w:hAnchor="text" w:yAlign="inline"/>
            </w:pPr>
            <w:bookmarkStart w:id="8" w:name="dsource" w:colFirst="0" w:colLast="0"/>
            <w:bookmarkEnd w:id="7"/>
            <w:r w:rsidRPr="00B033F5">
              <w:t>Report by the Secretary-General</w:t>
            </w:r>
          </w:p>
        </w:tc>
      </w:tr>
      <w:tr w:rsidR="00AD3606" w:rsidRPr="00B033F5" w14:paraId="3FF1E745" w14:textId="77777777" w:rsidTr="14202014">
        <w:trPr>
          <w:cantSplit/>
        </w:trPr>
        <w:tc>
          <w:tcPr>
            <w:tcW w:w="9214" w:type="dxa"/>
            <w:gridSpan w:val="2"/>
            <w:tcMar>
              <w:left w:w="0" w:type="dxa"/>
            </w:tcMar>
          </w:tcPr>
          <w:p w14:paraId="43EEEC74" w14:textId="386B1F59" w:rsidR="00AD3606" w:rsidRPr="00B033F5" w:rsidRDefault="00D00C10" w:rsidP="00176F47">
            <w:pPr>
              <w:pStyle w:val="Subtitle"/>
              <w:framePr w:hSpace="0" w:wrap="auto" w:hAnchor="text" w:xAlign="left" w:yAlign="inline"/>
            </w:pPr>
            <w:bookmarkStart w:id="9" w:name="dtitle1" w:colFirst="0" w:colLast="0"/>
            <w:bookmarkEnd w:id="8"/>
            <w:r w:rsidRPr="00B033F5">
              <w:t>NEW REQUESTS FOR EXEMPTION FROM FEES FOR ORGANIZATIONS OF AN INTERNATIONAL CHARACTER</w:t>
            </w:r>
          </w:p>
        </w:tc>
      </w:tr>
      <w:tr w:rsidR="00AD3606" w:rsidRPr="00B033F5" w14:paraId="1CC954A2" w14:textId="77777777" w:rsidTr="14202014">
        <w:trPr>
          <w:cantSplit/>
        </w:trPr>
        <w:tc>
          <w:tcPr>
            <w:tcW w:w="9214" w:type="dxa"/>
            <w:gridSpan w:val="2"/>
            <w:tcBorders>
              <w:top w:val="single" w:sz="4" w:space="0" w:color="auto"/>
              <w:bottom w:val="single" w:sz="4" w:space="0" w:color="auto"/>
            </w:tcBorders>
            <w:tcMar>
              <w:left w:w="0" w:type="dxa"/>
            </w:tcMar>
          </w:tcPr>
          <w:p w14:paraId="3E4226B2" w14:textId="77777777" w:rsidR="00AD3606" w:rsidRPr="00B033F5" w:rsidRDefault="00F16BAB" w:rsidP="00F16BAB">
            <w:pPr>
              <w:spacing w:before="160"/>
              <w:rPr>
                <w:b/>
                <w:bCs/>
                <w:sz w:val="26"/>
                <w:szCs w:val="26"/>
              </w:rPr>
            </w:pPr>
            <w:r w:rsidRPr="00B033F5">
              <w:rPr>
                <w:b/>
                <w:bCs/>
                <w:sz w:val="26"/>
                <w:szCs w:val="26"/>
              </w:rPr>
              <w:t>Purpose</w:t>
            </w:r>
          </w:p>
          <w:p w14:paraId="0AD35255" w14:textId="58A59D8E" w:rsidR="00AD3606" w:rsidRPr="00B033F5" w:rsidRDefault="00BF22D2" w:rsidP="00D00C10">
            <w:pPr>
              <w:jc w:val="both"/>
            </w:pPr>
            <w:r w:rsidRPr="00B033F5">
              <w:t>Each year, ITU receives requests from organizations of an international character seeking exemption from membership fees and other financial contributions to the Union based on reciprocity. These new requests are reviewed by the secretariat according to criteria established by the Council.</w:t>
            </w:r>
          </w:p>
          <w:p w14:paraId="680A4E49" w14:textId="77777777" w:rsidR="00AD3606" w:rsidRPr="00B033F5" w:rsidRDefault="00AD3606" w:rsidP="00D00C10">
            <w:pPr>
              <w:spacing w:before="160"/>
              <w:jc w:val="both"/>
              <w:rPr>
                <w:b/>
                <w:bCs/>
                <w:sz w:val="26"/>
                <w:szCs w:val="26"/>
              </w:rPr>
            </w:pPr>
            <w:r w:rsidRPr="00B033F5">
              <w:rPr>
                <w:b/>
                <w:bCs/>
                <w:sz w:val="26"/>
                <w:szCs w:val="26"/>
              </w:rPr>
              <w:t>Action required</w:t>
            </w:r>
            <w:r w:rsidR="00F16BAB" w:rsidRPr="00B033F5">
              <w:rPr>
                <w:b/>
                <w:bCs/>
                <w:sz w:val="26"/>
                <w:szCs w:val="26"/>
              </w:rPr>
              <w:t xml:space="preserve"> by the Council</w:t>
            </w:r>
          </w:p>
          <w:p w14:paraId="6E6A2454" w14:textId="5A2A1B2E" w:rsidR="00722551" w:rsidRPr="00B033F5" w:rsidRDefault="00BF22D2" w:rsidP="00D00C10">
            <w:pPr>
              <w:jc w:val="both"/>
            </w:pPr>
            <w:r w:rsidRPr="00B033F5">
              <w:t xml:space="preserve">The Council is invited to </w:t>
            </w:r>
            <w:r w:rsidRPr="00B033F5">
              <w:rPr>
                <w:b/>
                <w:bCs/>
              </w:rPr>
              <w:t>consider</w:t>
            </w:r>
            <w:r w:rsidRPr="00B033F5">
              <w:t xml:space="preserve"> the recommendations of the Secretary-General regarding new requests for exemption.</w:t>
            </w:r>
          </w:p>
          <w:p w14:paraId="7900943C" w14:textId="77777777" w:rsidR="00722551" w:rsidRPr="00B033F5" w:rsidRDefault="00722551" w:rsidP="00D00C10">
            <w:pPr>
              <w:spacing w:before="160"/>
              <w:jc w:val="both"/>
              <w:rPr>
                <w:b/>
                <w:bCs/>
                <w:sz w:val="26"/>
                <w:szCs w:val="26"/>
              </w:rPr>
            </w:pPr>
            <w:r w:rsidRPr="00B033F5">
              <w:rPr>
                <w:b/>
                <w:bCs/>
                <w:sz w:val="26"/>
                <w:szCs w:val="26"/>
              </w:rPr>
              <w:t>Relevant link</w:t>
            </w:r>
            <w:r w:rsidR="00176F47" w:rsidRPr="00B033F5">
              <w:rPr>
                <w:b/>
                <w:bCs/>
                <w:sz w:val="26"/>
                <w:szCs w:val="26"/>
              </w:rPr>
              <w:t>(s)</w:t>
            </w:r>
            <w:r w:rsidRPr="00B033F5">
              <w:rPr>
                <w:b/>
                <w:bCs/>
                <w:sz w:val="26"/>
                <w:szCs w:val="26"/>
              </w:rPr>
              <w:t xml:space="preserve"> with the Strategic Plan</w:t>
            </w:r>
          </w:p>
          <w:p w14:paraId="2643CD64" w14:textId="6AA95DB9" w:rsidR="00722551" w:rsidRPr="00B033F5" w:rsidRDefault="00BF22D2" w:rsidP="00D00C10">
            <w:pPr>
              <w:jc w:val="both"/>
            </w:pPr>
            <w:r w:rsidRPr="00B033F5">
              <w:t>Partnerships and international cooperation.</w:t>
            </w:r>
          </w:p>
          <w:p w14:paraId="122B3818" w14:textId="77777777" w:rsidR="00722551" w:rsidRPr="00B033F5" w:rsidRDefault="00722551" w:rsidP="00D00C10">
            <w:pPr>
              <w:spacing w:before="160"/>
              <w:jc w:val="both"/>
              <w:rPr>
                <w:b/>
                <w:bCs/>
                <w:sz w:val="26"/>
                <w:szCs w:val="26"/>
              </w:rPr>
            </w:pPr>
            <w:r w:rsidRPr="00B033F5">
              <w:rPr>
                <w:b/>
                <w:bCs/>
                <w:sz w:val="26"/>
                <w:szCs w:val="26"/>
              </w:rPr>
              <w:t>Financial implications</w:t>
            </w:r>
          </w:p>
          <w:p w14:paraId="1F139E21" w14:textId="56F886A5" w:rsidR="00453079" w:rsidRPr="00B033F5" w:rsidRDefault="00BF22D2" w:rsidP="00D00C10">
            <w:pPr>
              <w:spacing w:before="160"/>
              <w:jc w:val="both"/>
              <w:rPr>
                <w:szCs w:val="24"/>
              </w:rPr>
            </w:pPr>
            <w:r w:rsidRPr="00B033F5">
              <w:rPr>
                <w:szCs w:val="24"/>
              </w:rPr>
              <w:t>CHF</w:t>
            </w:r>
            <w:r w:rsidR="00907570">
              <w:rPr>
                <w:szCs w:val="24"/>
              </w:rPr>
              <w:t> </w:t>
            </w:r>
            <w:r w:rsidRPr="00B033F5">
              <w:rPr>
                <w:szCs w:val="24"/>
              </w:rPr>
              <w:t>160K per year in exempted membership fees.</w:t>
            </w:r>
          </w:p>
          <w:p w14:paraId="4EA60E50" w14:textId="77777777" w:rsidR="00C0458D" w:rsidRPr="00B033F5" w:rsidRDefault="00C0458D">
            <w:r w:rsidRPr="00B033F5">
              <w:t>_______________</w:t>
            </w:r>
          </w:p>
          <w:p w14:paraId="537FE0FD" w14:textId="77777777" w:rsidR="00AD3606" w:rsidRPr="00B033F5" w:rsidRDefault="00AD3606" w:rsidP="00F16BAB">
            <w:pPr>
              <w:spacing w:before="160"/>
              <w:rPr>
                <w:b/>
                <w:bCs/>
                <w:sz w:val="26"/>
                <w:szCs w:val="26"/>
              </w:rPr>
            </w:pPr>
            <w:r w:rsidRPr="00B033F5">
              <w:rPr>
                <w:b/>
                <w:bCs/>
                <w:sz w:val="26"/>
                <w:szCs w:val="26"/>
              </w:rPr>
              <w:t>References</w:t>
            </w:r>
          </w:p>
          <w:p w14:paraId="6BE72026" w14:textId="20F3160F" w:rsidR="00AD3606" w:rsidRPr="00907570" w:rsidRDefault="00BF22D2" w:rsidP="00F16BAB">
            <w:pPr>
              <w:spacing w:after="160"/>
              <w:rPr>
                <w:i/>
                <w:iCs/>
                <w:sz w:val="22"/>
                <w:szCs w:val="22"/>
              </w:rPr>
            </w:pPr>
            <w:r w:rsidRPr="00907570">
              <w:rPr>
                <w:i/>
                <w:iCs/>
                <w:sz w:val="22"/>
                <w:szCs w:val="22"/>
              </w:rPr>
              <w:t xml:space="preserve">Document </w:t>
            </w:r>
            <w:hyperlink r:id="rId11" w:history="1">
              <w:r w:rsidRPr="00907570">
                <w:rPr>
                  <w:rStyle w:val="Hyperlink"/>
                  <w:rFonts w:eastAsia="Calibri" w:cs="Calibri"/>
                  <w:i/>
                  <w:iCs/>
                  <w:sz w:val="22"/>
                  <w:szCs w:val="22"/>
                </w:rPr>
                <w:t>C2000/28(Rev.1)</w:t>
              </w:r>
            </w:hyperlink>
            <w:r w:rsidRPr="00907570">
              <w:rPr>
                <w:rFonts w:eastAsia="Calibri" w:cs="Calibri"/>
                <w:i/>
                <w:iCs/>
                <w:sz w:val="22"/>
                <w:szCs w:val="22"/>
              </w:rPr>
              <w:t xml:space="preserve">, </w:t>
            </w:r>
            <w:hyperlink r:id="rId12" w:history="1">
              <w:r w:rsidRPr="00907570">
                <w:rPr>
                  <w:rStyle w:val="Hyperlink"/>
                  <w:rFonts w:eastAsia="Calibri" w:cs="Calibri"/>
                  <w:i/>
                  <w:iCs/>
                  <w:sz w:val="22"/>
                  <w:szCs w:val="22"/>
                </w:rPr>
                <w:t>Council Resolution 925</w:t>
              </w:r>
            </w:hyperlink>
            <w:r w:rsidRPr="00907570">
              <w:rPr>
                <w:rFonts w:eastAsia="Calibri" w:cs="Calibri"/>
                <w:i/>
                <w:iCs/>
                <w:sz w:val="22"/>
                <w:szCs w:val="22"/>
              </w:rPr>
              <w:t xml:space="preserve">, </w:t>
            </w:r>
            <w:hyperlink r:id="rId13" w:history="1">
              <w:r w:rsidRPr="00907570">
                <w:rPr>
                  <w:rStyle w:val="Hyperlink"/>
                  <w:rFonts w:eastAsia="Calibri" w:cs="Calibri"/>
                  <w:i/>
                  <w:iCs/>
                  <w:sz w:val="22"/>
                  <w:szCs w:val="22"/>
                </w:rPr>
                <w:t>Council Criteria for Exemptions (Rev. 2017)</w:t>
              </w:r>
            </w:hyperlink>
          </w:p>
        </w:tc>
      </w:tr>
    </w:tbl>
    <w:p w14:paraId="72C08405" w14:textId="77777777" w:rsidR="00E227F3" w:rsidRPr="00B033F5"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E95A45B" w14:textId="77777777" w:rsidR="0090147A" w:rsidRPr="00B033F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B033F5">
        <w:br w:type="page"/>
      </w:r>
    </w:p>
    <w:bookmarkEnd w:id="5"/>
    <w:bookmarkEnd w:id="10"/>
    <w:p w14:paraId="6E26D7A2" w14:textId="77777777" w:rsidR="00BF22D2" w:rsidRPr="00B033F5" w:rsidRDefault="00BF22D2" w:rsidP="00B033F5">
      <w:pPr>
        <w:pStyle w:val="Heading1"/>
      </w:pPr>
      <w:r w:rsidRPr="00B033F5">
        <w:lastRenderedPageBreak/>
        <w:t>1</w:t>
      </w:r>
      <w:r w:rsidRPr="00B033F5">
        <w:tab/>
        <w:t>Background</w:t>
      </w:r>
    </w:p>
    <w:p w14:paraId="632B50BC" w14:textId="014D0C2B" w:rsidR="00BF22D2" w:rsidRPr="00B033F5" w:rsidRDefault="00BF22D2" w:rsidP="00B033F5">
      <w:pPr>
        <w:jc w:val="both"/>
      </w:pPr>
      <w:r w:rsidRPr="00B033F5">
        <w:t>1.1</w:t>
      </w:r>
      <w:r w:rsidRPr="00B033F5">
        <w:tab/>
        <w:t>Each year, ITU receives requests from organizations of an international character seeking exemption from membership fees and other financial contributions to the Union. These requests are considered as per the procedure established by the Council at its 2000 session (</w:t>
      </w:r>
      <w:r w:rsidR="00B033F5">
        <w:t xml:space="preserve">Document </w:t>
      </w:r>
      <w:hyperlink r:id="rId14" w:history="1">
        <w:r w:rsidRPr="00B033F5">
          <w:rPr>
            <w:rStyle w:val="Hyperlink"/>
          </w:rPr>
          <w:t>C2000/28(Rev.1)</w:t>
        </w:r>
      </w:hyperlink>
      <w:r w:rsidRPr="00B033F5">
        <w:t xml:space="preserve">) and in accordance with No. 476 of the Convention and </w:t>
      </w:r>
      <w:hyperlink r:id="rId15" w:history="1">
        <w:r w:rsidRPr="0055570F">
          <w:rPr>
            <w:rStyle w:val="Hyperlink"/>
          </w:rPr>
          <w:t>Council Resolution 925</w:t>
        </w:r>
      </w:hyperlink>
      <w:r w:rsidRPr="00B033F5">
        <w:t>, as well as criteria established by the Council, revised in 2017 (see point</w:t>
      </w:r>
      <w:r w:rsidR="0055570F">
        <w:t> </w:t>
      </w:r>
      <w:r w:rsidRPr="00B033F5">
        <w:t xml:space="preserve">1.5 below). </w:t>
      </w:r>
    </w:p>
    <w:p w14:paraId="0FC526C6" w14:textId="77777777" w:rsidR="00BF22D2" w:rsidRPr="00B033F5" w:rsidRDefault="00BF22D2" w:rsidP="00B033F5">
      <w:pPr>
        <w:jc w:val="both"/>
      </w:pPr>
      <w:r w:rsidRPr="00B033F5">
        <w:t>1.2</w:t>
      </w:r>
      <w:r w:rsidRPr="00B033F5">
        <w:tab/>
        <w:t xml:space="preserve">Exemption from fees is granted by the Council following an analysis of the relevant Bureaux and a recommendation by the Secretary-General. If approved, they become Sector Members or Associates under the terms of No. 231 of the Convention. </w:t>
      </w:r>
    </w:p>
    <w:p w14:paraId="196D31AE" w14:textId="77777777" w:rsidR="00BF22D2" w:rsidRPr="00B033F5" w:rsidRDefault="00BF22D2" w:rsidP="00B033F5">
      <w:pPr>
        <w:jc w:val="both"/>
      </w:pPr>
      <w:r w:rsidRPr="00B033F5">
        <w:t>1.3</w:t>
      </w:r>
      <w:r w:rsidRPr="00B033F5">
        <w:tab/>
        <w:t>Currently, there are 137 exempted organizations of an international character. A full list is available here.</w:t>
      </w:r>
    </w:p>
    <w:p w14:paraId="0D179916" w14:textId="77777777" w:rsidR="00BF22D2" w:rsidRPr="00B033F5" w:rsidRDefault="00BF22D2" w:rsidP="00B033F5">
      <w:pPr>
        <w:jc w:val="both"/>
      </w:pPr>
      <w:r w:rsidRPr="00B033F5">
        <w:t>1.4</w:t>
      </w:r>
      <w:r w:rsidRPr="00B033F5">
        <w:tab/>
        <w:t xml:space="preserve">In Resolution 187 (Busan, 2014), the 2014 Plenipotentiary Conference instructed the Council to “review the practice and criteria for exempting entities from membership fees and, if necessary, make changes to tighten the criteria to help bring greater clarity, consistency and fairness between paying and non-paying members and to reduce the total of exempted entities.” </w:t>
      </w:r>
    </w:p>
    <w:p w14:paraId="5D588F4C" w14:textId="1B908025" w:rsidR="00BF22D2" w:rsidRPr="00B033F5" w:rsidRDefault="00BF22D2" w:rsidP="00B033F5">
      <w:pPr>
        <w:jc w:val="both"/>
      </w:pPr>
      <w:r w:rsidRPr="00B033F5">
        <w:t>1.5</w:t>
      </w:r>
      <w:r w:rsidRPr="00B033F5">
        <w:tab/>
        <w:t xml:space="preserve">Council-17 approved revised criteria, </w:t>
      </w:r>
      <w:r w:rsidRPr="00976B31">
        <w:t xml:space="preserve">available </w:t>
      </w:r>
      <w:hyperlink r:id="rId16" w:history="1">
        <w:r w:rsidRPr="00976B31">
          <w:rPr>
            <w:rStyle w:val="Hyperlink"/>
          </w:rPr>
          <w:t>here</w:t>
        </w:r>
      </w:hyperlink>
      <w:r w:rsidRPr="00976B31">
        <w:t>.</w:t>
      </w:r>
      <w:r w:rsidRPr="00B033F5">
        <w:t xml:space="preserve"> Since then, each Council has reviewed new applications according to these criteria. </w:t>
      </w:r>
    </w:p>
    <w:p w14:paraId="008AE266" w14:textId="297E3A31" w:rsidR="007A3FCD" w:rsidRPr="00B033F5" w:rsidRDefault="00BF22D2" w:rsidP="00B033F5">
      <w:pPr>
        <w:jc w:val="both"/>
      </w:pPr>
      <w:r w:rsidRPr="00B033F5">
        <w:t>1.6</w:t>
      </w:r>
      <w:r w:rsidRPr="00B033F5">
        <w:tab/>
        <w:t>This document addresses only new requests for fee exemption since the last Council.</w:t>
      </w:r>
    </w:p>
    <w:p w14:paraId="70644E51" w14:textId="4EBC2146" w:rsidR="00BF22D2" w:rsidRPr="00B033F5" w:rsidRDefault="00BF22D2" w:rsidP="00B033F5">
      <w:pPr>
        <w:pStyle w:val="Heading1"/>
      </w:pPr>
      <w:r w:rsidRPr="00B033F5">
        <w:t>2</w:t>
      </w:r>
      <w:r w:rsidRPr="00B033F5">
        <w:tab/>
        <w:t xml:space="preserve">New </w:t>
      </w:r>
      <w:r w:rsidR="0055570F" w:rsidRPr="00B033F5">
        <w:t xml:space="preserve">requests </w:t>
      </w:r>
      <w:r w:rsidRPr="00B033F5">
        <w:t xml:space="preserve">and </w:t>
      </w:r>
      <w:r w:rsidR="0055570F" w:rsidRPr="00B033F5">
        <w:t>recommendations</w:t>
      </w:r>
    </w:p>
    <w:p w14:paraId="747D73F5" w14:textId="0BD67FDC" w:rsidR="00BF22D2" w:rsidRPr="00B033F5" w:rsidRDefault="00BF22D2" w:rsidP="00B033F5">
      <w:pPr>
        <w:pStyle w:val="Headingb"/>
      </w:pPr>
      <w:r w:rsidRPr="00B033F5">
        <w:t>2.1</w:t>
      </w:r>
    </w:p>
    <w:tbl>
      <w:tblPr>
        <w:tblStyle w:val="TableGrid"/>
        <w:tblW w:w="0" w:type="auto"/>
        <w:tblLook w:val="04A0" w:firstRow="1" w:lastRow="0" w:firstColumn="1" w:lastColumn="0" w:noHBand="0" w:noVBand="1"/>
      </w:tblPr>
      <w:tblGrid>
        <w:gridCol w:w="3020"/>
        <w:gridCol w:w="3020"/>
        <w:gridCol w:w="3021"/>
      </w:tblGrid>
      <w:tr w:rsidR="00BF22D2" w:rsidRPr="00B033F5" w14:paraId="300F98EB" w14:textId="77777777" w:rsidTr="00BF22D2">
        <w:tc>
          <w:tcPr>
            <w:tcW w:w="3020" w:type="dxa"/>
          </w:tcPr>
          <w:p w14:paraId="64850F7A" w14:textId="6D3F2FEB" w:rsidR="00BF22D2" w:rsidRPr="00B033F5" w:rsidRDefault="00BF22D2" w:rsidP="00BF22D2">
            <w:pPr>
              <w:pStyle w:val="Tablehead"/>
            </w:pPr>
            <w:r w:rsidRPr="00B033F5">
              <w:t>Organization</w:t>
            </w:r>
          </w:p>
        </w:tc>
        <w:tc>
          <w:tcPr>
            <w:tcW w:w="3020" w:type="dxa"/>
          </w:tcPr>
          <w:p w14:paraId="5FAFA199" w14:textId="2C1E4B8D" w:rsidR="00BF22D2" w:rsidRPr="00B033F5" w:rsidRDefault="00BF22D2" w:rsidP="00BF22D2">
            <w:pPr>
              <w:pStyle w:val="Tablehead"/>
            </w:pPr>
            <w:r w:rsidRPr="00B033F5">
              <w:t>Sector</w:t>
            </w:r>
          </w:p>
        </w:tc>
        <w:tc>
          <w:tcPr>
            <w:tcW w:w="3021" w:type="dxa"/>
          </w:tcPr>
          <w:p w14:paraId="6FD74218" w14:textId="55417BFE" w:rsidR="00BF22D2" w:rsidRPr="00B033F5" w:rsidRDefault="00BF22D2" w:rsidP="00BF22D2">
            <w:pPr>
              <w:pStyle w:val="Tablehead"/>
            </w:pPr>
            <w:r w:rsidRPr="00B033F5">
              <w:t>Recommendation</w:t>
            </w:r>
          </w:p>
        </w:tc>
      </w:tr>
      <w:tr w:rsidR="00BF22D2" w:rsidRPr="00B033F5" w14:paraId="2A37D318" w14:textId="77777777" w:rsidTr="005D191F">
        <w:tc>
          <w:tcPr>
            <w:tcW w:w="3020" w:type="dxa"/>
            <w:vAlign w:val="center"/>
          </w:tcPr>
          <w:p w14:paraId="616A2F22" w14:textId="744BA3F8" w:rsidR="00BF22D2" w:rsidRPr="00B033F5" w:rsidRDefault="00BF22D2" w:rsidP="00BF22D2">
            <w:pPr>
              <w:pStyle w:val="TabletextAsianBodyCalibri"/>
              <w:jc w:val="center"/>
              <w:rPr>
                <w:b/>
                <w:bCs w:val="0"/>
              </w:rPr>
            </w:pPr>
            <w:r w:rsidRPr="00B033F5">
              <w:rPr>
                <w:b/>
                <w:bCs w:val="0"/>
              </w:rPr>
              <w:t>Article19</w:t>
            </w:r>
          </w:p>
        </w:tc>
        <w:tc>
          <w:tcPr>
            <w:tcW w:w="3020" w:type="dxa"/>
            <w:vAlign w:val="center"/>
          </w:tcPr>
          <w:p w14:paraId="419F1B4B" w14:textId="14DE4CC5" w:rsidR="00BF22D2" w:rsidRPr="00B033F5" w:rsidRDefault="00BF22D2" w:rsidP="00BF22D2">
            <w:pPr>
              <w:pStyle w:val="TabletextAsianBodyCalibri"/>
              <w:jc w:val="center"/>
            </w:pPr>
            <w:r w:rsidRPr="00B033F5">
              <w:t>ITU-R</w:t>
            </w:r>
          </w:p>
        </w:tc>
        <w:tc>
          <w:tcPr>
            <w:tcW w:w="3021" w:type="dxa"/>
            <w:vAlign w:val="center"/>
          </w:tcPr>
          <w:p w14:paraId="0FE6F453" w14:textId="2F33D5CB" w:rsidR="00BF22D2" w:rsidRPr="00B033F5" w:rsidRDefault="00BF22D2" w:rsidP="00BF22D2">
            <w:pPr>
              <w:pStyle w:val="TabletextAsianBodyCalibri"/>
              <w:jc w:val="center"/>
            </w:pPr>
            <w:r w:rsidRPr="00B033F5">
              <w:rPr>
                <w:color w:val="000000" w:themeColor="text1"/>
              </w:rPr>
              <w:t>No</w:t>
            </w:r>
          </w:p>
        </w:tc>
      </w:tr>
    </w:tbl>
    <w:p w14:paraId="783C43F3" w14:textId="2BF6394E" w:rsidR="00BF22D2" w:rsidRPr="00B033F5" w:rsidRDefault="00BF22D2" w:rsidP="00BF22D2">
      <w:pPr>
        <w:jc w:val="both"/>
      </w:pPr>
      <w:r w:rsidRPr="00B033F5">
        <w:t xml:space="preserve">“ARTICLE 19” is a charitable entity registered in the United Kingdom. They are an international association of organizations and individuals focused on freedom of expression. In the view of the secretariat, this entity does not meet the criteria established by </w:t>
      </w:r>
      <w:r w:rsidR="00B033F5">
        <w:t xml:space="preserve">the </w:t>
      </w:r>
      <w:r w:rsidRPr="00B033F5">
        <w:t>Council for fee exemption, as they are not a membership-based organization.</w:t>
      </w:r>
    </w:p>
    <w:p w14:paraId="0761AB3F" w14:textId="195BE6A7" w:rsidR="00B033F5" w:rsidRPr="00B033F5" w:rsidRDefault="00B033F5" w:rsidP="00B033F5">
      <w:pPr>
        <w:pStyle w:val="Headingb"/>
      </w:pPr>
      <w:r w:rsidRPr="00B033F5">
        <w:t>2.2</w:t>
      </w:r>
    </w:p>
    <w:tbl>
      <w:tblPr>
        <w:tblStyle w:val="TableGrid"/>
        <w:tblW w:w="0" w:type="auto"/>
        <w:tblLook w:val="04A0" w:firstRow="1" w:lastRow="0" w:firstColumn="1" w:lastColumn="0" w:noHBand="0" w:noVBand="1"/>
      </w:tblPr>
      <w:tblGrid>
        <w:gridCol w:w="3964"/>
        <w:gridCol w:w="2548"/>
        <w:gridCol w:w="2549"/>
      </w:tblGrid>
      <w:tr w:rsidR="00B033F5" w:rsidRPr="00B033F5" w14:paraId="0C031498" w14:textId="77777777" w:rsidTr="00B033F5">
        <w:tc>
          <w:tcPr>
            <w:tcW w:w="3964" w:type="dxa"/>
          </w:tcPr>
          <w:p w14:paraId="72EB61C8" w14:textId="77777777" w:rsidR="00B033F5" w:rsidRPr="00B033F5" w:rsidRDefault="00B033F5" w:rsidP="005D191F">
            <w:pPr>
              <w:pStyle w:val="Tablehead"/>
            </w:pPr>
            <w:r w:rsidRPr="00B033F5">
              <w:t>Organization</w:t>
            </w:r>
          </w:p>
        </w:tc>
        <w:tc>
          <w:tcPr>
            <w:tcW w:w="2548" w:type="dxa"/>
          </w:tcPr>
          <w:p w14:paraId="4B131E7B" w14:textId="77777777" w:rsidR="00B033F5" w:rsidRPr="00B033F5" w:rsidRDefault="00B033F5" w:rsidP="005D191F">
            <w:pPr>
              <w:pStyle w:val="Tablehead"/>
            </w:pPr>
            <w:r w:rsidRPr="00B033F5">
              <w:t>Sector</w:t>
            </w:r>
          </w:p>
        </w:tc>
        <w:tc>
          <w:tcPr>
            <w:tcW w:w="2549" w:type="dxa"/>
          </w:tcPr>
          <w:p w14:paraId="37853305" w14:textId="77777777" w:rsidR="00B033F5" w:rsidRPr="00B033F5" w:rsidRDefault="00B033F5" w:rsidP="005D191F">
            <w:pPr>
              <w:pStyle w:val="Tablehead"/>
            </w:pPr>
            <w:r w:rsidRPr="00B033F5">
              <w:t>Recommendation</w:t>
            </w:r>
          </w:p>
        </w:tc>
      </w:tr>
      <w:tr w:rsidR="00B033F5" w:rsidRPr="00B033F5" w14:paraId="2EDE1D72" w14:textId="77777777" w:rsidTr="00B033F5">
        <w:tc>
          <w:tcPr>
            <w:tcW w:w="3964" w:type="dxa"/>
            <w:vAlign w:val="center"/>
          </w:tcPr>
          <w:p w14:paraId="6D39D386" w14:textId="1BA67E0C" w:rsidR="00B033F5" w:rsidRPr="00B033F5" w:rsidRDefault="00B033F5" w:rsidP="00B033F5">
            <w:pPr>
              <w:pStyle w:val="Tabletext"/>
              <w:jc w:val="center"/>
              <w:rPr>
                <w:b/>
                <w:bCs/>
              </w:rPr>
            </w:pPr>
            <w:r w:rsidRPr="00B033F5">
              <w:rPr>
                <w:b/>
                <w:bCs/>
                <w:shd w:val="clear" w:color="auto" w:fill="FFFFFF"/>
              </w:rPr>
              <w:t>ATSC The Broadcast Standards Association</w:t>
            </w:r>
          </w:p>
        </w:tc>
        <w:tc>
          <w:tcPr>
            <w:tcW w:w="2548" w:type="dxa"/>
            <w:vAlign w:val="center"/>
          </w:tcPr>
          <w:p w14:paraId="5E74A062" w14:textId="3AD01FFB" w:rsidR="00B033F5" w:rsidRPr="00B033F5" w:rsidRDefault="00B033F5" w:rsidP="00B033F5">
            <w:pPr>
              <w:pStyle w:val="Tabletext"/>
              <w:jc w:val="center"/>
            </w:pPr>
            <w:r w:rsidRPr="00B033F5">
              <w:rPr>
                <w:rFonts w:cs="Calibri"/>
                <w:szCs w:val="24"/>
              </w:rPr>
              <w:t>ITU-R</w:t>
            </w:r>
          </w:p>
        </w:tc>
        <w:tc>
          <w:tcPr>
            <w:tcW w:w="2549" w:type="dxa"/>
            <w:vAlign w:val="center"/>
          </w:tcPr>
          <w:p w14:paraId="3B39AE3D" w14:textId="6F6F48D0" w:rsidR="00B033F5" w:rsidRPr="00B033F5" w:rsidRDefault="00B033F5" w:rsidP="00B033F5">
            <w:pPr>
              <w:pStyle w:val="Tabletext"/>
              <w:jc w:val="center"/>
            </w:pPr>
            <w:r w:rsidRPr="00B033F5">
              <w:rPr>
                <w:rFonts w:cs="Calibri"/>
              </w:rPr>
              <w:t>No</w:t>
            </w:r>
          </w:p>
        </w:tc>
      </w:tr>
    </w:tbl>
    <w:p w14:paraId="6FBCC990" w14:textId="50E943F6" w:rsidR="00B033F5" w:rsidRPr="00B033F5" w:rsidRDefault="00B033F5" w:rsidP="00BF22D2">
      <w:pPr>
        <w:jc w:val="both"/>
        <w:rPr>
          <w:rFonts w:eastAsia="Calibri" w:cs="Calibri"/>
          <w:color w:val="000000" w:themeColor="text1"/>
          <w:szCs w:val="24"/>
        </w:rPr>
      </w:pPr>
      <w:r w:rsidRPr="00B033F5">
        <w:rPr>
          <w:rFonts w:asciiTheme="minorHAnsi" w:eastAsia="SimSun" w:hAnsiTheme="minorHAnsi" w:cstheme="minorBidi"/>
          <w:color w:val="000000" w:themeColor="text1"/>
        </w:rPr>
        <w:t xml:space="preserve">ATSC, the Broadcast Standards Association, is an international, non-profit organization developing voluntary standards and recommended practices for multimedia broadcasting. ATSC guides the seamless integration of broadcast and telecom standards to drive the industry forward. ATSC was formed in 1983 by the member organizations of the Joint Committee on Inter-society Coordination (JCIC): the Consumer Technology Association (CTA), the Institute of Electrical and Electronics Engineers (IEEE), the National Association of Broadcasters (NAB), the </w:t>
      </w:r>
      <w:r w:rsidRPr="00B033F5">
        <w:rPr>
          <w:rFonts w:asciiTheme="minorHAnsi" w:eastAsia="SimSun" w:hAnsiTheme="minorHAnsi" w:cstheme="minorBidi"/>
          <w:color w:val="000000" w:themeColor="text1"/>
        </w:rPr>
        <w:lastRenderedPageBreak/>
        <w:t>Internet &amp; Television Association (NCTA), and the Society of Motion Picture and Television Engineers (SMPTE). As an international business association with primarily for-profit members, in</w:t>
      </w:r>
      <w:r w:rsidRPr="00B033F5">
        <w:rPr>
          <w:rFonts w:eastAsia="Calibri" w:cs="Calibri"/>
          <w:szCs w:val="24"/>
        </w:rPr>
        <w:t xml:space="preserve"> the view of the </w:t>
      </w:r>
      <w:r w:rsidRPr="00B033F5">
        <w:rPr>
          <w:rFonts w:eastAsia="Calibri" w:cs="Calibri"/>
          <w:color w:val="000000" w:themeColor="text1"/>
          <w:szCs w:val="24"/>
        </w:rPr>
        <w:t xml:space="preserve">secretariat, this entity does not meet the criteria established by </w:t>
      </w:r>
      <w:r>
        <w:rPr>
          <w:rFonts w:eastAsia="Calibri" w:cs="Calibri"/>
          <w:color w:val="000000" w:themeColor="text1"/>
          <w:szCs w:val="24"/>
        </w:rPr>
        <w:t xml:space="preserve">the </w:t>
      </w:r>
      <w:r w:rsidRPr="00B033F5">
        <w:rPr>
          <w:rFonts w:eastAsia="Calibri" w:cs="Calibri"/>
          <w:color w:val="000000" w:themeColor="text1"/>
          <w:szCs w:val="24"/>
        </w:rPr>
        <w:t>Council for fee exemption.</w:t>
      </w:r>
    </w:p>
    <w:p w14:paraId="66B6F517" w14:textId="40E3C1BD" w:rsidR="00B033F5" w:rsidRPr="00B033F5" w:rsidRDefault="00B033F5" w:rsidP="00B033F5">
      <w:pPr>
        <w:pStyle w:val="Headingb"/>
      </w:pPr>
      <w:r w:rsidRPr="00B033F5">
        <w:t>2.3</w:t>
      </w:r>
    </w:p>
    <w:tbl>
      <w:tblPr>
        <w:tblStyle w:val="TableGrid"/>
        <w:tblW w:w="0" w:type="auto"/>
        <w:tblLook w:val="04A0" w:firstRow="1" w:lastRow="0" w:firstColumn="1" w:lastColumn="0" w:noHBand="0" w:noVBand="1"/>
      </w:tblPr>
      <w:tblGrid>
        <w:gridCol w:w="3964"/>
        <w:gridCol w:w="2548"/>
        <w:gridCol w:w="2549"/>
      </w:tblGrid>
      <w:tr w:rsidR="00B033F5" w:rsidRPr="00B033F5" w14:paraId="59DE86C8" w14:textId="77777777" w:rsidTr="00B033F5">
        <w:tc>
          <w:tcPr>
            <w:tcW w:w="3964" w:type="dxa"/>
          </w:tcPr>
          <w:p w14:paraId="5F792494" w14:textId="77777777" w:rsidR="00B033F5" w:rsidRPr="00B033F5" w:rsidRDefault="00B033F5" w:rsidP="005D191F">
            <w:pPr>
              <w:pStyle w:val="Tablehead"/>
            </w:pPr>
            <w:r w:rsidRPr="00B033F5">
              <w:t>Organization</w:t>
            </w:r>
          </w:p>
        </w:tc>
        <w:tc>
          <w:tcPr>
            <w:tcW w:w="2548" w:type="dxa"/>
          </w:tcPr>
          <w:p w14:paraId="457D292B" w14:textId="77777777" w:rsidR="00B033F5" w:rsidRPr="00B033F5" w:rsidRDefault="00B033F5" w:rsidP="005D191F">
            <w:pPr>
              <w:pStyle w:val="Tablehead"/>
            </w:pPr>
            <w:r w:rsidRPr="00B033F5">
              <w:t>Sector</w:t>
            </w:r>
          </w:p>
        </w:tc>
        <w:tc>
          <w:tcPr>
            <w:tcW w:w="2549" w:type="dxa"/>
          </w:tcPr>
          <w:p w14:paraId="6DA12392" w14:textId="77777777" w:rsidR="00B033F5" w:rsidRPr="00B033F5" w:rsidRDefault="00B033F5" w:rsidP="005D191F">
            <w:pPr>
              <w:pStyle w:val="Tablehead"/>
            </w:pPr>
            <w:r w:rsidRPr="00B033F5">
              <w:t>Recommendation</w:t>
            </w:r>
          </w:p>
        </w:tc>
      </w:tr>
      <w:tr w:rsidR="00B033F5" w:rsidRPr="00B033F5" w14:paraId="034426C0" w14:textId="77777777" w:rsidTr="00B033F5">
        <w:tc>
          <w:tcPr>
            <w:tcW w:w="3964" w:type="dxa"/>
            <w:vAlign w:val="center"/>
          </w:tcPr>
          <w:p w14:paraId="48E5927A" w14:textId="1EE57106" w:rsidR="00B033F5" w:rsidRPr="00B033F5" w:rsidRDefault="00B033F5" w:rsidP="00B033F5">
            <w:pPr>
              <w:pStyle w:val="Tabletext"/>
              <w:jc w:val="center"/>
              <w:rPr>
                <w:b/>
                <w:bCs/>
              </w:rPr>
            </w:pPr>
            <w:r w:rsidRPr="00B033F5">
              <w:rPr>
                <w:b/>
                <w:bCs/>
              </w:rPr>
              <w:t xml:space="preserve">The Cyber </w:t>
            </w:r>
            <w:bookmarkStart w:id="11" w:name="_Int_7Fbf24l4"/>
            <w:r w:rsidRPr="00B033F5">
              <w:rPr>
                <w:b/>
                <w:bCs/>
              </w:rPr>
              <w:t>Institute</w:t>
            </w:r>
            <w:bookmarkEnd w:id="11"/>
          </w:p>
        </w:tc>
        <w:tc>
          <w:tcPr>
            <w:tcW w:w="2548" w:type="dxa"/>
            <w:vAlign w:val="center"/>
          </w:tcPr>
          <w:p w14:paraId="6BF8989A" w14:textId="77777777" w:rsidR="00B033F5" w:rsidRPr="00D00C10" w:rsidRDefault="00B033F5" w:rsidP="00B033F5">
            <w:pPr>
              <w:pStyle w:val="Tabletext"/>
              <w:jc w:val="center"/>
              <w:rPr>
                <w:rFonts w:ascii="Times New Roman" w:hAnsi="Times New Roman"/>
                <w:lang w:val="fr-CH"/>
              </w:rPr>
            </w:pPr>
            <w:r w:rsidRPr="00D00C10">
              <w:rPr>
                <w:lang w:val="fr-CH"/>
              </w:rPr>
              <w:t>ITU-R</w:t>
            </w:r>
          </w:p>
          <w:p w14:paraId="36B77B6E" w14:textId="77777777" w:rsidR="00B033F5" w:rsidRPr="00D00C10" w:rsidRDefault="00B033F5" w:rsidP="00B033F5">
            <w:pPr>
              <w:pStyle w:val="Tabletext"/>
              <w:jc w:val="center"/>
              <w:rPr>
                <w:lang w:val="fr-CH"/>
              </w:rPr>
            </w:pPr>
            <w:r w:rsidRPr="00D00C10">
              <w:rPr>
                <w:lang w:val="fr-CH"/>
              </w:rPr>
              <w:t>ITU-T</w:t>
            </w:r>
          </w:p>
          <w:p w14:paraId="2A313AC6" w14:textId="7C594BCB" w:rsidR="00B033F5" w:rsidRPr="00D00C10" w:rsidRDefault="00B033F5" w:rsidP="00B033F5">
            <w:pPr>
              <w:pStyle w:val="Tabletext"/>
              <w:jc w:val="center"/>
              <w:rPr>
                <w:lang w:val="fr-CH"/>
              </w:rPr>
            </w:pPr>
            <w:r w:rsidRPr="00D00C10">
              <w:rPr>
                <w:lang w:val="fr-CH"/>
              </w:rPr>
              <w:t>ITU-D</w:t>
            </w:r>
          </w:p>
        </w:tc>
        <w:tc>
          <w:tcPr>
            <w:tcW w:w="2549" w:type="dxa"/>
            <w:vAlign w:val="center"/>
          </w:tcPr>
          <w:p w14:paraId="1FBC0A7A" w14:textId="7431CE18" w:rsidR="00B033F5" w:rsidRPr="00B033F5" w:rsidRDefault="54307D8C" w:rsidP="00B033F5">
            <w:pPr>
              <w:pStyle w:val="Tabletext"/>
              <w:jc w:val="center"/>
              <w:rPr>
                <w:rFonts w:cs="Calibri"/>
              </w:rPr>
            </w:pPr>
            <w:r w:rsidRPr="6F00ECFF">
              <w:rPr>
                <w:rFonts w:cs="Calibri"/>
              </w:rPr>
              <w:t>No</w:t>
            </w:r>
          </w:p>
          <w:p w14:paraId="0BEAB361" w14:textId="7FB8A43F" w:rsidR="00B033F5" w:rsidRPr="00B033F5" w:rsidRDefault="54307D8C" w:rsidP="00B033F5">
            <w:pPr>
              <w:pStyle w:val="Tabletext"/>
              <w:jc w:val="center"/>
              <w:rPr>
                <w:rFonts w:cs="Calibri"/>
              </w:rPr>
            </w:pPr>
            <w:r w:rsidRPr="6F00ECFF">
              <w:rPr>
                <w:rFonts w:cs="Calibri"/>
              </w:rPr>
              <w:t>No</w:t>
            </w:r>
          </w:p>
          <w:p w14:paraId="3DA87959" w14:textId="45F04789" w:rsidR="00B033F5" w:rsidRPr="00B033F5" w:rsidRDefault="00B033F5" w:rsidP="00B033F5">
            <w:pPr>
              <w:pStyle w:val="Tabletext"/>
              <w:jc w:val="center"/>
            </w:pPr>
            <w:r w:rsidRPr="00B033F5">
              <w:rPr>
                <w:rFonts w:cs="Calibri"/>
              </w:rPr>
              <w:t>Yes</w:t>
            </w:r>
          </w:p>
        </w:tc>
      </w:tr>
    </w:tbl>
    <w:p w14:paraId="29CD6920" w14:textId="41F1CE9B" w:rsidR="00B033F5" w:rsidRPr="00B033F5" w:rsidRDefault="668C6241" w:rsidP="181A7263">
      <w:pPr>
        <w:jc w:val="both"/>
        <w:rPr>
          <w:rFonts w:asciiTheme="minorHAnsi" w:eastAsiaTheme="minorEastAsia" w:hAnsiTheme="minorHAnsi" w:cstheme="minorBidi"/>
        </w:rPr>
      </w:pPr>
      <w:r w:rsidRPr="181A7263">
        <w:rPr>
          <w:rFonts w:asciiTheme="minorHAnsi" w:eastAsiaTheme="minorEastAsia" w:hAnsiTheme="minorHAnsi" w:cstheme="minorBidi"/>
        </w:rPr>
        <w:t>The</w:t>
      </w:r>
      <w:r w:rsidR="00B033F5" w:rsidRPr="181A7263">
        <w:rPr>
          <w:rFonts w:asciiTheme="minorHAnsi" w:eastAsiaTheme="minorEastAsia" w:hAnsiTheme="minorHAnsi" w:cstheme="minorBidi"/>
        </w:rPr>
        <w:t xml:space="preserve"> Cyber Institute</w:t>
      </w:r>
      <w:r w:rsidR="65097F05" w:rsidRPr="181A7263">
        <w:rPr>
          <w:rFonts w:asciiTheme="minorHAnsi" w:eastAsiaTheme="minorEastAsia" w:hAnsiTheme="minorHAnsi" w:cstheme="minorBidi"/>
        </w:rPr>
        <w:t xml:space="preserve"> is</w:t>
      </w:r>
      <w:r w:rsidR="00B033F5" w:rsidRPr="181A7263">
        <w:rPr>
          <w:rFonts w:asciiTheme="minorHAnsi" w:eastAsiaTheme="minorEastAsia" w:hAnsiTheme="minorHAnsi" w:cstheme="minorBidi"/>
        </w:rPr>
        <w:t xml:space="preserve"> a nonprofit</w:t>
      </w:r>
      <w:r w:rsidR="137D70AA" w:rsidRPr="6F00ECFF">
        <w:rPr>
          <w:rFonts w:asciiTheme="minorHAnsi" w:eastAsiaTheme="minorEastAsia" w:hAnsiTheme="minorHAnsi" w:cstheme="minorBidi"/>
        </w:rPr>
        <w:t>,</w:t>
      </w:r>
      <w:r w:rsidR="00B033F5" w:rsidRPr="181A7263">
        <w:rPr>
          <w:rFonts w:asciiTheme="minorHAnsi" w:eastAsiaTheme="minorEastAsia" w:hAnsiTheme="minorHAnsi" w:cstheme="minorBidi"/>
        </w:rPr>
        <w:t xml:space="preserve"> international NGO</w:t>
      </w:r>
      <w:r w:rsidR="00B033F5" w:rsidRPr="181A7263">
        <w:rPr>
          <w:rFonts w:asciiTheme="minorHAnsi" w:eastAsiaTheme="minorEastAsia" w:hAnsiTheme="minorHAnsi" w:cstheme="minorBidi"/>
          <w:b/>
          <w:bCs/>
        </w:rPr>
        <w:t xml:space="preserve"> </w:t>
      </w:r>
      <w:r w:rsidR="00B033F5" w:rsidRPr="181A7263">
        <w:rPr>
          <w:rFonts w:asciiTheme="minorHAnsi" w:eastAsiaTheme="minorEastAsia" w:hAnsiTheme="minorHAnsi" w:cstheme="minorBidi"/>
        </w:rPr>
        <w:t xml:space="preserve">headquartered in New York dedicated to advancing cyber policy, education, and workforce development. </w:t>
      </w:r>
      <w:r w:rsidR="42917AA2" w:rsidRPr="181A7263">
        <w:rPr>
          <w:rFonts w:asciiTheme="minorHAnsi" w:eastAsiaTheme="minorEastAsia" w:hAnsiTheme="minorHAnsi" w:cstheme="minorBidi"/>
        </w:rPr>
        <w:t xml:space="preserve">The Cyber Institute has organizational members in six countries and individual members in more than 20 countries across several regions. </w:t>
      </w:r>
      <w:r w:rsidR="00B033F5" w:rsidRPr="181A7263">
        <w:rPr>
          <w:rFonts w:asciiTheme="minorHAnsi" w:eastAsiaTheme="minorEastAsia" w:hAnsiTheme="minorHAnsi" w:cstheme="minorBidi"/>
        </w:rPr>
        <w:t>In the view of the secretariat, this entity meets the criteria established by Council for fee exemption for ITU-</w:t>
      </w:r>
      <w:r w:rsidR="00B033F5" w:rsidRPr="6F00ECFF">
        <w:rPr>
          <w:rFonts w:asciiTheme="minorHAnsi" w:eastAsiaTheme="minorEastAsia" w:hAnsiTheme="minorHAnsi" w:cstheme="minorBidi"/>
        </w:rPr>
        <w:t>D</w:t>
      </w:r>
      <w:r w:rsidR="3B8B54B9" w:rsidRPr="6F00ECFF">
        <w:rPr>
          <w:rFonts w:asciiTheme="minorHAnsi" w:eastAsiaTheme="minorEastAsia" w:hAnsiTheme="minorHAnsi" w:cstheme="minorBidi"/>
        </w:rPr>
        <w:t xml:space="preserve">. </w:t>
      </w:r>
      <w:r w:rsidR="10F61C74" w:rsidRPr="6F00ECFF">
        <w:rPr>
          <w:rFonts w:asciiTheme="minorHAnsi" w:eastAsiaTheme="minorEastAsia" w:hAnsiTheme="minorHAnsi" w:cstheme="minorBidi"/>
        </w:rPr>
        <w:t>However, t</w:t>
      </w:r>
      <w:r w:rsidR="3B8B54B9" w:rsidRPr="6F00ECFF">
        <w:rPr>
          <w:rFonts w:asciiTheme="minorHAnsi" w:eastAsiaTheme="minorEastAsia" w:hAnsiTheme="minorHAnsi" w:cstheme="minorBidi"/>
        </w:rPr>
        <w:t xml:space="preserve">here is insufficient reciprocity benefit </w:t>
      </w:r>
      <w:r w:rsidR="34B44418" w:rsidRPr="6F00ECFF">
        <w:rPr>
          <w:rFonts w:asciiTheme="minorHAnsi" w:eastAsiaTheme="minorEastAsia" w:hAnsiTheme="minorHAnsi" w:cstheme="minorBidi"/>
        </w:rPr>
        <w:t xml:space="preserve">demonstrated </w:t>
      </w:r>
      <w:r w:rsidR="3B8B54B9" w:rsidRPr="6F00ECFF">
        <w:rPr>
          <w:rFonts w:asciiTheme="minorHAnsi" w:eastAsiaTheme="minorEastAsia" w:hAnsiTheme="minorHAnsi" w:cstheme="minorBidi"/>
        </w:rPr>
        <w:t>for ITU-</w:t>
      </w:r>
      <w:r w:rsidR="00B033F5" w:rsidRPr="181A7263">
        <w:rPr>
          <w:rFonts w:asciiTheme="minorHAnsi" w:eastAsiaTheme="minorEastAsia" w:hAnsiTheme="minorHAnsi" w:cstheme="minorBidi"/>
        </w:rPr>
        <w:t>R</w:t>
      </w:r>
      <w:r w:rsidR="00B033F5" w:rsidRPr="6F00ECFF">
        <w:rPr>
          <w:rFonts w:asciiTheme="minorHAnsi" w:eastAsiaTheme="minorEastAsia" w:hAnsiTheme="minorHAnsi" w:cstheme="minorBidi"/>
        </w:rPr>
        <w:t xml:space="preserve"> </w:t>
      </w:r>
      <w:r w:rsidR="00B033F5" w:rsidRPr="181A7263">
        <w:rPr>
          <w:rFonts w:asciiTheme="minorHAnsi" w:eastAsiaTheme="minorEastAsia" w:hAnsiTheme="minorHAnsi" w:cstheme="minorBidi"/>
        </w:rPr>
        <w:t>and ITU-</w:t>
      </w:r>
      <w:r w:rsidR="3B8B54B9" w:rsidRPr="6F00ECFF">
        <w:rPr>
          <w:rFonts w:asciiTheme="minorHAnsi" w:eastAsiaTheme="minorEastAsia" w:hAnsiTheme="minorHAnsi" w:cstheme="minorBidi"/>
        </w:rPr>
        <w:t>T</w:t>
      </w:r>
      <w:r w:rsidR="00B033F5" w:rsidRPr="181A7263">
        <w:rPr>
          <w:rFonts w:asciiTheme="minorHAnsi" w:eastAsiaTheme="minorEastAsia" w:hAnsiTheme="minorHAnsi" w:cstheme="minorBidi"/>
        </w:rPr>
        <w:t>.</w:t>
      </w:r>
    </w:p>
    <w:p w14:paraId="5FDD7CAD" w14:textId="03E984A0" w:rsidR="00B033F5" w:rsidRPr="00B033F5" w:rsidRDefault="00B033F5" w:rsidP="00B033F5">
      <w:pPr>
        <w:pStyle w:val="Headingb"/>
      </w:pPr>
      <w:r w:rsidRPr="00B033F5">
        <w:t>2.4</w:t>
      </w:r>
    </w:p>
    <w:tbl>
      <w:tblPr>
        <w:tblStyle w:val="TableGrid"/>
        <w:tblW w:w="0" w:type="auto"/>
        <w:tblLook w:val="04A0" w:firstRow="1" w:lastRow="0" w:firstColumn="1" w:lastColumn="0" w:noHBand="0" w:noVBand="1"/>
      </w:tblPr>
      <w:tblGrid>
        <w:gridCol w:w="3964"/>
        <w:gridCol w:w="2548"/>
        <w:gridCol w:w="2549"/>
      </w:tblGrid>
      <w:tr w:rsidR="00B033F5" w:rsidRPr="00B033F5" w14:paraId="05148DAA" w14:textId="77777777" w:rsidTr="00B033F5">
        <w:tc>
          <w:tcPr>
            <w:tcW w:w="3964" w:type="dxa"/>
          </w:tcPr>
          <w:p w14:paraId="3020681F" w14:textId="77777777" w:rsidR="00B033F5" w:rsidRPr="00B033F5" w:rsidRDefault="00B033F5" w:rsidP="005D191F">
            <w:pPr>
              <w:pStyle w:val="Tablehead"/>
            </w:pPr>
            <w:r w:rsidRPr="00B033F5">
              <w:t>Organization</w:t>
            </w:r>
          </w:p>
        </w:tc>
        <w:tc>
          <w:tcPr>
            <w:tcW w:w="2548" w:type="dxa"/>
          </w:tcPr>
          <w:p w14:paraId="66473F4E" w14:textId="77777777" w:rsidR="00B033F5" w:rsidRPr="00B033F5" w:rsidRDefault="00B033F5" w:rsidP="005D191F">
            <w:pPr>
              <w:pStyle w:val="Tablehead"/>
            </w:pPr>
            <w:r w:rsidRPr="00B033F5">
              <w:t>Sector</w:t>
            </w:r>
          </w:p>
        </w:tc>
        <w:tc>
          <w:tcPr>
            <w:tcW w:w="2549" w:type="dxa"/>
          </w:tcPr>
          <w:p w14:paraId="56548F91" w14:textId="77777777" w:rsidR="00B033F5" w:rsidRPr="00B033F5" w:rsidRDefault="00B033F5" w:rsidP="005D191F">
            <w:pPr>
              <w:pStyle w:val="Tablehead"/>
            </w:pPr>
            <w:r w:rsidRPr="00B033F5">
              <w:t>Recommendation</w:t>
            </w:r>
          </w:p>
        </w:tc>
      </w:tr>
      <w:tr w:rsidR="00B033F5" w:rsidRPr="00B033F5" w14:paraId="55B5688F" w14:textId="77777777" w:rsidTr="00B033F5">
        <w:tc>
          <w:tcPr>
            <w:tcW w:w="3964" w:type="dxa"/>
            <w:vAlign w:val="center"/>
          </w:tcPr>
          <w:p w14:paraId="008B5A06" w14:textId="32A07F10" w:rsidR="00B033F5" w:rsidRPr="00B033F5" w:rsidRDefault="00B033F5" w:rsidP="00B033F5">
            <w:pPr>
              <w:pStyle w:val="Tabletext"/>
              <w:jc w:val="center"/>
              <w:rPr>
                <w:b/>
                <w:bCs/>
              </w:rPr>
            </w:pPr>
            <w:r w:rsidRPr="00B033F5">
              <w:rPr>
                <w:rFonts w:asciiTheme="minorHAnsi" w:eastAsia="SimSun" w:hAnsiTheme="minorHAnsi"/>
                <w:b/>
                <w:bCs/>
              </w:rPr>
              <w:t>Islamic World Educational, Scientific and Cultural Organization (ICESCO)</w:t>
            </w:r>
          </w:p>
        </w:tc>
        <w:tc>
          <w:tcPr>
            <w:tcW w:w="2548" w:type="dxa"/>
            <w:vAlign w:val="center"/>
          </w:tcPr>
          <w:p w14:paraId="3AA21543" w14:textId="32A528C5" w:rsidR="00B033F5" w:rsidRPr="00B033F5" w:rsidRDefault="00B033F5" w:rsidP="00B033F5">
            <w:pPr>
              <w:pStyle w:val="Tabletext"/>
              <w:jc w:val="center"/>
            </w:pPr>
            <w:r w:rsidRPr="00B033F5">
              <w:rPr>
                <w:rFonts w:asciiTheme="minorHAnsi" w:eastAsia="SimSun" w:hAnsiTheme="minorHAnsi"/>
              </w:rPr>
              <w:t>ITU-D</w:t>
            </w:r>
          </w:p>
        </w:tc>
        <w:tc>
          <w:tcPr>
            <w:tcW w:w="2549" w:type="dxa"/>
            <w:vAlign w:val="center"/>
          </w:tcPr>
          <w:p w14:paraId="075EAA3C" w14:textId="4E08CFDE" w:rsidR="00B033F5" w:rsidRPr="00B033F5" w:rsidRDefault="00B033F5" w:rsidP="00B033F5">
            <w:pPr>
              <w:pStyle w:val="Tabletext"/>
              <w:jc w:val="center"/>
            </w:pPr>
            <w:r w:rsidRPr="00B033F5">
              <w:rPr>
                <w:rFonts w:asciiTheme="minorHAnsi" w:eastAsia="SimSun" w:hAnsiTheme="minorHAnsi" w:cs="Calibri"/>
              </w:rPr>
              <w:t>Yes</w:t>
            </w:r>
          </w:p>
        </w:tc>
      </w:tr>
    </w:tbl>
    <w:p w14:paraId="60080A90" w14:textId="2752556F" w:rsidR="00B033F5" w:rsidRPr="00B033F5" w:rsidRDefault="00B033F5" w:rsidP="00BF22D2">
      <w:pPr>
        <w:jc w:val="both"/>
        <w:rPr>
          <w:rFonts w:eastAsia="Calibri" w:cs="Calibri"/>
          <w:color w:val="000000" w:themeColor="text1"/>
          <w:szCs w:val="24"/>
        </w:rPr>
      </w:pPr>
      <w:r w:rsidRPr="00B033F5">
        <w:rPr>
          <w:rFonts w:eastAsia="Calibri" w:cs="Calibri"/>
          <w:szCs w:val="24"/>
        </w:rPr>
        <w:t>With 53 Member States, the Islamic World Educational, Scientific and Cultural Organization (ICESCO) is a specialized organization that operates under the aegis of the Organization of Islamic Cooperation (OIC), and is concerned with fields of education, science, culture and communication in Islamic countries to support and strengthen relations among Member States. The Organization</w:t>
      </w:r>
      <w:r w:rsidR="00DB6624">
        <w:rPr>
          <w:rFonts w:eastAsia="Calibri" w:cs="Calibri"/>
          <w:szCs w:val="24"/>
        </w:rPr>
        <w:t>’</w:t>
      </w:r>
      <w:r w:rsidRPr="00B033F5">
        <w:rPr>
          <w:rFonts w:eastAsia="Calibri" w:cs="Calibri"/>
          <w:szCs w:val="24"/>
        </w:rPr>
        <w:t xml:space="preserve">s headquarters are in Rabat. As an international organization of Member States, in the view of the </w:t>
      </w:r>
      <w:r w:rsidRPr="00B033F5">
        <w:rPr>
          <w:rFonts w:eastAsia="Calibri" w:cs="Calibri"/>
          <w:color w:val="000000" w:themeColor="text1"/>
          <w:szCs w:val="24"/>
        </w:rPr>
        <w:t>secretariat, this entity meets the criteria established by the Council for fee exemption.</w:t>
      </w:r>
    </w:p>
    <w:p w14:paraId="5C436EFB" w14:textId="32F42E9D" w:rsidR="00B033F5" w:rsidRPr="00B033F5" w:rsidRDefault="00B033F5" w:rsidP="00B033F5">
      <w:pPr>
        <w:pStyle w:val="Headingb"/>
      </w:pPr>
      <w:r w:rsidRPr="00B033F5">
        <w:t>2.5</w:t>
      </w:r>
    </w:p>
    <w:tbl>
      <w:tblPr>
        <w:tblStyle w:val="TableGrid"/>
        <w:tblW w:w="0" w:type="auto"/>
        <w:tblLook w:val="04A0" w:firstRow="1" w:lastRow="0" w:firstColumn="1" w:lastColumn="0" w:noHBand="0" w:noVBand="1"/>
      </w:tblPr>
      <w:tblGrid>
        <w:gridCol w:w="3964"/>
        <w:gridCol w:w="2548"/>
        <w:gridCol w:w="2549"/>
      </w:tblGrid>
      <w:tr w:rsidR="00B033F5" w:rsidRPr="00B033F5" w14:paraId="024082AB" w14:textId="77777777" w:rsidTr="00B033F5">
        <w:tc>
          <w:tcPr>
            <w:tcW w:w="3964" w:type="dxa"/>
          </w:tcPr>
          <w:p w14:paraId="0314F5EC" w14:textId="77777777" w:rsidR="00B033F5" w:rsidRPr="00B033F5" w:rsidRDefault="00B033F5" w:rsidP="005D191F">
            <w:pPr>
              <w:pStyle w:val="Tablehead"/>
            </w:pPr>
            <w:r w:rsidRPr="00B033F5">
              <w:t>Organization</w:t>
            </w:r>
          </w:p>
        </w:tc>
        <w:tc>
          <w:tcPr>
            <w:tcW w:w="2548" w:type="dxa"/>
          </w:tcPr>
          <w:p w14:paraId="562B0B17" w14:textId="77777777" w:rsidR="00B033F5" w:rsidRPr="00B033F5" w:rsidRDefault="00B033F5" w:rsidP="005D191F">
            <w:pPr>
              <w:pStyle w:val="Tablehead"/>
            </w:pPr>
            <w:r w:rsidRPr="00B033F5">
              <w:t>Sector</w:t>
            </w:r>
          </w:p>
        </w:tc>
        <w:tc>
          <w:tcPr>
            <w:tcW w:w="2549" w:type="dxa"/>
          </w:tcPr>
          <w:p w14:paraId="4C555F94" w14:textId="77777777" w:rsidR="00B033F5" w:rsidRPr="00B033F5" w:rsidRDefault="00B033F5" w:rsidP="005D191F">
            <w:pPr>
              <w:pStyle w:val="Tablehead"/>
            </w:pPr>
            <w:r w:rsidRPr="00B033F5">
              <w:t>Recommendation</w:t>
            </w:r>
          </w:p>
        </w:tc>
      </w:tr>
      <w:tr w:rsidR="00B033F5" w:rsidRPr="00B033F5" w14:paraId="5C831F6C" w14:textId="77777777" w:rsidTr="00B033F5">
        <w:tc>
          <w:tcPr>
            <w:tcW w:w="3964" w:type="dxa"/>
            <w:vAlign w:val="center"/>
          </w:tcPr>
          <w:p w14:paraId="7FE17BAF" w14:textId="04D3CFA6" w:rsidR="00B033F5" w:rsidRPr="00B033F5" w:rsidRDefault="00B033F5" w:rsidP="00B033F5">
            <w:pPr>
              <w:pStyle w:val="Tabletext"/>
              <w:jc w:val="center"/>
              <w:rPr>
                <w:b/>
                <w:bCs/>
              </w:rPr>
            </w:pPr>
            <w:r w:rsidRPr="00B033F5">
              <w:rPr>
                <w:rFonts w:asciiTheme="minorHAnsi" w:eastAsia="SimSun" w:hAnsiTheme="minorHAnsi"/>
                <w:b/>
                <w:bCs/>
              </w:rPr>
              <w:t>South Asian Regional Standards Organization (SARSO)</w:t>
            </w:r>
          </w:p>
        </w:tc>
        <w:tc>
          <w:tcPr>
            <w:tcW w:w="2548" w:type="dxa"/>
            <w:vAlign w:val="center"/>
          </w:tcPr>
          <w:p w14:paraId="0852F72B" w14:textId="28C3614F" w:rsidR="00B033F5" w:rsidRPr="00B033F5" w:rsidRDefault="00B033F5" w:rsidP="00B033F5">
            <w:pPr>
              <w:pStyle w:val="Tabletext"/>
              <w:jc w:val="center"/>
            </w:pPr>
            <w:r w:rsidRPr="00B033F5">
              <w:rPr>
                <w:rFonts w:asciiTheme="minorHAnsi" w:eastAsia="SimSun" w:hAnsiTheme="minorHAnsi"/>
              </w:rPr>
              <w:t>ITU-T</w:t>
            </w:r>
          </w:p>
        </w:tc>
        <w:tc>
          <w:tcPr>
            <w:tcW w:w="2549" w:type="dxa"/>
            <w:vAlign w:val="center"/>
          </w:tcPr>
          <w:p w14:paraId="71E0EA22" w14:textId="3B7A2199" w:rsidR="00B033F5" w:rsidRPr="00B033F5" w:rsidRDefault="00B033F5" w:rsidP="00B033F5">
            <w:pPr>
              <w:pStyle w:val="Tabletext"/>
              <w:jc w:val="center"/>
            </w:pPr>
            <w:r w:rsidRPr="00B033F5">
              <w:rPr>
                <w:rFonts w:asciiTheme="minorHAnsi" w:eastAsia="SimSun" w:hAnsiTheme="minorHAnsi" w:cs="Calibri"/>
              </w:rPr>
              <w:t>Yes</w:t>
            </w:r>
          </w:p>
        </w:tc>
      </w:tr>
    </w:tbl>
    <w:p w14:paraId="74B87F0C" w14:textId="3A64C3E9" w:rsidR="00B033F5" w:rsidRPr="00B033F5" w:rsidRDefault="00B033F5" w:rsidP="77361A58">
      <w:pPr>
        <w:jc w:val="both"/>
        <w:rPr>
          <w:rFonts w:eastAsia="Calibri" w:cs="Calibri"/>
          <w:color w:val="000000" w:themeColor="text1"/>
        </w:rPr>
      </w:pPr>
      <w:r w:rsidRPr="77361A58">
        <w:rPr>
          <w:rFonts w:eastAsia="Calibri" w:cs="Calibri"/>
        </w:rPr>
        <w:t xml:space="preserve">The South Asian Regional Standards Organization (SARSO) is a Specialized Body of the South Asian Association for Regional Cooperation (SAARC). SARSO was established to achieve and enhance coordination and cooperation among SAARC member countries in the fields of standardization and conformity assessment. As a regional organization of Member States, in the view of the </w:t>
      </w:r>
      <w:r w:rsidRPr="77361A58">
        <w:rPr>
          <w:rFonts w:eastAsia="Calibri" w:cs="Calibri"/>
          <w:color w:val="000000" w:themeColor="text1"/>
        </w:rPr>
        <w:t xml:space="preserve">secretariat, this entity meets the criteria established by </w:t>
      </w:r>
      <w:r w:rsidR="00AA6208">
        <w:rPr>
          <w:rFonts w:eastAsia="Calibri" w:cs="Calibri"/>
          <w:color w:val="000000" w:themeColor="text1"/>
        </w:rPr>
        <w:t xml:space="preserve">the </w:t>
      </w:r>
      <w:r w:rsidRPr="77361A58">
        <w:rPr>
          <w:rFonts w:eastAsia="Calibri" w:cs="Calibri"/>
          <w:color w:val="000000" w:themeColor="text1"/>
        </w:rPr>
        <w:t>Council for fee exemption.</w:t>
      </w:r>
    </w:p>
    <w:p w14:paraId="44DA66E3" w14:textId="3B823C5F" w:rsidR="00B033F5" w:rsidRPr="00B033F5" w:rsidRDefault="00B033F5" w:rsidP="00B033F5">
      <w:pPr>
        <w:pStyle w:val="Headingb"/>
      </w:pPr>
      <w:r w:rsidRPr="00B033F5">
        <w:lastRenderedPageBreak/>
        <w:t>2.6</w:t>
      </w:r>
    </w:p>
    <w:tbl>
      <w:tblPr>
        <w:tblStyle w:val="TableGrid"/>
        <w:tblW w:w="0" w:type="auto"/>
        <w:tblLook w:val="04A0" w:firstRow="1" w:lastRow="0" w:firstColumn="1" w:lastColumn="0" w:noHBand="0" w:noVBand="1"/>
      </w:tblPr>
      <w:tblGrid>
        <w:gridCol w:w="3964"/>
        <w:gridCol w:w="2548"/>
        <w:gridCol w:w="2549"/>
      </w:tblGrid>
      <w:tr w:rsidR="00B033F5" w:rsidRPr="00B033F5" w14:paraId="6EE799F7" w14:textId="77777777" w:rsidTr="00B033F5">
        <w:tc>
          <w:tcPr>
            <w:tcW w:w="3964" w:type="dxa"/>
          </w:tcPr>
          <w:p w14:paraId="2866A811" w14:textId="77777777" w:rsidR="00B033F5" w:rsidRPr="00B033F5" w:rsidRDefault="00B033F5" w:rsidP="005D191F">
            <w:pPr>
              <w:pStyle w:val="Tablehead"/>
            </w:pPr>
            <w:r w:rsidRPr="00B033F5">
              <w:t>Organization</w:t>
            </w:r>
          </w:p>
        </w:tc>
        <w:tc>
          <w:tcPr>
            <w:tcW w:w="2548" w:type="dxa"/>
          </w:tcPr>
          <w:p w14:paraId="054A4FE6" w14:textId="77777777" w:rsidR="00B033F5" w:rsidRPr="00B033F5" w:rsidRDefault="00B033F5" w:rsidP="005D191F">
            <w:pPr>
              <w:pStyle w:val="Tablehead"/>
            </w:pPr>
            <w:r w:rsidRPr="00B033F5">
              <w:t>Sector</w:t>
            </w:r>
          </w:p>
        </w:tc>
        <w:tc>
          <w:tcPr>
            <w:tcW w:w="2549" w:type="dxa"/>
          </w:tcPr>
          <w:p w14:paraId="0EE7D51E" w14:textId="77777777" w:rsidR="00B033F5" w:rsidRPr="00B033F5" w:rsidRDefault="00B033F5" w:rsidP="005D191F">
            <w:pPr>
              <w:pStyle w:val="Tablehead"/>
            </w:pPr>
            <w:r w:rsidRPr="00B033F5">
              <w:t>Recommendation</w:t>
            </w:r>
          </w:p>
        </w:tc>
      </w:tr>
      <w:tr w:rsidR="00B033F5" w:rsidRPr="00B033F5" w14:paraId="17861C54" w14:textId="77777777" w:rsidTr="00B033F5">
        <w:tc>
          <w:tcPr>
            <w:tcW w:w="3964" w:type="dxa"/>
            <w:vAlign w:val="center"/>
          </w:tcPr>
          <w:p w14:paraId="460A902B" w14:textId="6545B183" w:rsidR="00B033F5" w:rsidRPr="00B033F5" w:rsidRDefault="00B033F5" w:rsidP="00B033F5">
            <w:pPr>
              <w:pStyle w:val="Tabletext"/>
              <w:jc w:val="center"/>
              <w:rPr>
                <w:b/>
                <w:bCs/>
              </w:rPr>
            </w:pPr>
            <w:r w:rsidRPr="00B033F5">
              <w:rPr>
                <w:rFonts w:asciiTheme="minorHAnsi" w:eastAsia="SimSun" w:hAnsiTheme="minorHAnsi" w:cstheme="minorHAnsi"/>
                <w:b/>
                <w:iCs/>
                <w:szCs w:val="24"/>
              </w:rPr>
              <w:t>Space Generation Advisory Council</w:t>
            </w:r>
          </w:p>
        </w:tc>
        <w:tc>
          <w:tcPr>
            <w:tcW w:w="2548" w:type="dxa"/>
            <w:vAlign w:val="center"/>
          </w:tcPr>
          <w:p w14:paraId="52680967" w14:textId="77777777" w:rsidR="00B033F5" w:rsidRPr="00D00C10" w:rsidRDefault="00B033F5" w:rsidP="00B033F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D00C10">
              <w:rPr>
                <w:rFonts w:asciiTheme="minorHAnsi" w:eastAsia="SimSun" w:hAnsiTheme="minorHAnsi" w:cstheme="minorHAnsi"/>
                <w:szCs w:val="24"/>
                <w:lang w:val="fr-CH"/>
              </w:rPr>
              <w:t>ITU-R</w:t>
            </w:r>
          </w:p>
          <w:p w14:paraId="7C3D97D8" w14:textId="77777777" w:rsidR="00B033F5" w:rsidRPr="00D00C10" w:rsidRDefault="00B033F5" w:rsidP="00B033F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stheme="minorHAnsi"/>
                <w:szCs w:val="24"/>
                <w:lang w:val="fr-CH"/>
              </w:rPr>
            </w:pPr>
            <w:r w:rsidRPr="00D00C10">
              <w:rPr>
                <w:rFonts w:asciiTheme="minorHAnsi" w:eastAsia="SimSun" w:hAnsiTheme="minorHAnsi" w:cstheme="minorHAnsi"/>
                <w:szCs w:val="24"/>
                <w:lang w:val="fr-CH"/>
              </w:rPr>
              <w:t>ITU-T</w:t>
            </w:r>
          </w:p>
          <w:p w14:paraId="1E4989C8" w14:textId="61F73B18" w:rsidR="00B033F5" w:rsidRPr="00D00C10" w:rsidRDefault="00B033F5" w:rsidP="00B033F5">
            <w:pPr>
              <w:pStyle w:val="Tabletext"/>
              <w:jc w:val="center"/>
              <w:rPr>
                <w:lang w:val="fr-CH"/>
              </w:rPr>
            </w:pPr>
            <w:r w:rsidRPr="00D00C10">
              <w:rPr>
                <w:rFonts w:asciiTheme="minorHAnsi" w:eastAsia="SimSun" w:hAnsiTheme="minorHAnsi" w:cstheme="minorHAnsi"/>
                <w:szCs w:val="24"/>
                <w:lang w:val="fr-CH"/>
              </w:rPr>
              <w:t>ITU-D</w:t>
            </w:r>
          </w:p>
        </w:tc>
        <w:tc>
          <w:tcPr>
            <w:tcW w:w="2549" w:type="dxa"/>
            <w:vAlign w:val="center"/>
          </w:tcPr>
          <w:p w14:paraId="59186C95" w14:textId="77777777" w:rsidR="00B033F5" w:rsidRPr="00B033F5" w:rsidRDefault="00B033F5" w:rsidP="00B033F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jc w:val="center"/>
              <w:rPr>
                <w:rFonts w:asciiTheme="minorHAnsi" w:eastAsia="SimSun" w:hAnsiTheme="minorHAnsi"/>
                <w:color w:val="000000" w:themeColor="text1"/>
              </w:rPr>
            </w:pPr>
            <w:r w:rsidRPr="00B033F5">
              <w:rPr>
                <w:rFonts w:asciiTheme="minorHAnsi" w:eastAsia="SimSun" w:hAnsiTheme="minorHAnsi"/>
                <w:color w:val="000000" w:themeColor="text1"/>
              </w:rPr>
              <w:t>Yes</w:t>
            </w:r>
          </w:p>
          <w:p w14:paraId="190A8399" w14:textId="4989E620" w:rsidR="00B033F5" w:rsidRPr="00B033F5" w:rsidRDefault="60929884" w:rsidP="00B033F5">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0" w:after="60" w:line="259" w:lineRule="auto"/>
              <w:jc w:val="center"/>
              <w:rPr>
                <w:rFonts w:asciiTheme="minorHAnsi" w:eastAsia="SimSun" w:hAnsiTheme="minorHAnsi"/>
                <w:color w:val="000000" w:themeColor="text1"/>
              </w:rPr>
            </w:pPr>
            <w:r w:rsidRPr="6F00ECFF">
              <w:rPr>
                <w:rFonts w:asciiTheme="minorHAnsi" w:eastAsia="SimSun" w:hAnsiTheme="minorHAnsi"/>
                <w:color w:val="000000" w:themeColor="text1"/>
              </w:rPr>
              <w:t>No</w:t>
            </w:r>
          </w:p>
          <w:p w14:paraId="06376E10" w14:textId="43673489" w:rsidR="00B033F5" w:rsidRPr="00B033F5" w:rsidRDefault="00B033F5" w:rsidP="00B033F5">
            <w:pPr>
              <w:pStyle w:val="Tabletext"/>
              <w:jc w:val="center"/>
            </w:pPr>
            <w:r w:rsidRPr="00B033F5">
              <w:rPr>
                <w:rFonts w:asciiTheme="minorHAnsi" w:eastAsia="SimSun" w:hAnsiTheme="minorHAnsi"/>
                <w:color w:val="000000" w:themeColor="text1"/>
              </w:rPr>
              <w:t>Yes</w:t>
            </w:r>
          </w:p>
        </w:tc>
      </w:tr>
    </w:tbl>
    <w:p w14:paraId="65D70DDD" w14:textId="0355D63A" w:rsidR="00B033F5" w:rsidRPr="00B033F5" w:rsidRDefault="00B033F5" w:rsidP="6F00ECFF">
      <w:pPr>
        <w:jc w:val="both"/>
        <w:rPr>
          <w:rFonts w:asciiTheme="minorHAnsi" w:eastAsiaTheme="minorEastAsia" w:hAnsiTheme="minorHAnsi" w:cstheme="minorBidi"/>
        </w:rPr>
      </w:pPr>
      <w:r w:rsidRPr="6F00ECFF">
        <w:rPr>
          <w:rFonts w:eastAsia="Calibri" w:cs="Calibri"/>
        </w:rPr>
        <w:t xml:space="preserve">The Space Generation Advisory Council (SGAC) was established in support of the </w:t>
      </w:r>
      <w:hyperlink r:id="rId17">
        <w:r w:rsidRPr="6F00ECFF">
          <w:rPr>
            <w:rStyle w:val="Hyperlink"/>
            <w:rFonts w:eastAsia="Calibri" w:cs="Calibri"/>
            <w:color w:val="auto"/>
            <w:u w:val="none"/>
          </w:rPr>
          <w:t>United Nations</w:t>
        </w:r>
      </w:hyperlink>
      <w:r w:rsidRPr="6F00ECFF">
        <w:rPr>
          <w:rFonts w:eastAsia="Calibri" w:cs="Calibri"/>
        </w:rPr>
        <w:t xml:space="preserve"> Program on Space Applications. It is a non-governmental, non-profit organization and network of students, young professionals, and alumni in the space industry that currently represents over 27,000 members across 165 countries. SGAC is an official Partner of the International Astronautical Federation (IAF). </w:t>
      </w:r>
      <w:r w:rsidRPr="6F00ECFF">
        <w:rPr>
          <w:rFonts w:asciiTheme="minorHAnsi" w:eastAsiaTheme="minorEastAsia" w:hAnsiTheme="minorHAnsi" w:cstheme="minorBidi"/>
        </w:rPr>
        <w:t>In the view of the secretariat, this entity meets the criteria established by Council for fee exemption for ITU-R and ITU-D.</w:t>
      </w:r>
      <w:r w:rsidR="3553C45C" w:rsidRPr="6F00ECFF">
        <w:rPr>
          <w:rFonts w:asciiTheme="minorHAnsi" w:eastAsiaTheme="minorEastAsia" w:hAnsiTheme="minorHAnsi" w:cstheme="minorBidi"/>
        </w:rPr>
        <w:t xml:space="preserve"> </w:t>
      </w:r>
      <w:r w:rsidR="57A4D9F5" w:rsidRPr="6F00ECFF">
        <w:rPr>
          <w:rFonts w:asciiTheme="minorHAnsi" w:eastAsiaTheme="minorEastAsia" w:hAnsiTheme="minorHAnsi" w:cstheme="minorBidi"/>
        </w:rPr>
        <w:t>However, t</w:t>
      </w:r>
      <w:r w:rsidR="3553C45C" w:rsidRPr="6F00ECFF">
        <w:rPr>
          <w:rFonts w:asciiTheme="minorHAnsi" w:eastAsiaTheme="minorEastAsia" w:hAnsiTheme="minorHAnsi" w:cstheme="minorBidi"/>
        </w:rPr>
        <w:t xml:space="preserve">here is insufficient reciprocity benefit </w:t>
      </w:r>
      <w:r w:rsidR="69C02007" w:rsidRPr="6F00ECFF">
        <w:rPr>
          <w:rFonts w:asciiTheme="minorHAnsi" w:eastAsiaTheme="minorEastAsia" w:hAnsiTheme="minorHAnsi" w:cstheme="minorBidi"/>
        </w:rPr>
        <w:t xml:space="preserve">demonstrated </w:t>
      </w:r>
      <w:r w:rsidR="3553C45C" w:rsidRPr="6F00ECFF">
        <w:rPr>
          <w:rFonts w:asciiTheme="minorHAnsi" w:eastAsiaTheme="minorEastAsia" w:hAnsiTheme="minorHAnsi" w:cstheme="minorBidi"/>
        </w:rPr>
        <w:t>for ITU-T.</w:t>
      </w:r>
    </w:p>
    <w:p w14:paraId="46544B9B" w14:textId="77777777" w:rsidR="00BF22D2" w:rsidRPr="00B033F5" w:rsidRDefault="00BF22D2" w:rsidP="005D191F">
      <w:pPr>
        <w:pStyle w:val="Reasons"/>
        <w:rPr>
          <w:rFonts w:asciiTheme="minorHAnsi" w:hAnsiTheme="minorHAnsi" w:cstheme="minorHAnsi"/>
          <w:lang w:val="en-GB"/>
        </w:rPr>
      </w:pPr>
    </w:p>
    <w:p w14:paraId="6B1C0119" w14:textId="77777777" w:rsidR="007A3FCD" w:rsidRPr="00B033F5" w:rsidRDefault="007A3FCD" w:rsidP="00BA3951">
      <w:pPr>
        <w:spacing w:before="480"/>
        <w:jc w:val="center"/>
      </w:pPr>
      <w:r w:rsidRPr="00B033F5">
        <w:t>______________</w:t>
      </w:r>
    </w:p>
    <w:sectPr w:rsidR="007A3FCD" w:rsidRPr="00B033F5" w:rsidSect="00AD3606">
      <w:headerReference w:type="default" r:id="rId18"/>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07986" w14:textId="77777777" w:rsidR="000D05D8" w:rsidRDefault="000D05D8">
      <w:r>
        <w:separator/>
      </w:r>
    </w:p>
  </w:endnote>
  <w:endnote w:type="continuationSeparator" w:id="0">
    <w:p w14:paraId="474DB333" w14:textId="77777777" w:rsidR="000D05D8" w:rsidRDefault="000D05D8">
      <w:r>
        <w:continuationSeparator/>
      </w:r>
    </w:p>
  </w:endnote>
  <w:endnote w:type="continuationNotice" w:id="1">
    <w:p w14:paraId="5FFF34A0" w14:textId="77777777" w:rsidR="000D05D8" w:rsidRDefault="000D05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CF23283" w14:textId="77777777" w:rsidTr="14202014">
      <w:trPr>
        <w:jc w:val="center"/>
      </w:trPr>
      <w:tc>
        <w:tcPr>
          <w:tcW w:w="1803" w:type="dxa"/>
          <w:vAlign w:val="center"/>
        </w:tcPr>
        <w:p w14:paraId="69D06DBA" w14:textId="77777777" w:rsidR="00EE49E8" w:rsidRDefault="00C6520B" w:rsidP="00EE49E8">
          <w:pPr>
            <w:pStyle w:val="Header"/>
            <w:jc w:val="left"/>
            <w:rPr>
              <w:noProof/>
            </w:rPr>
          </w:pPr>
          <w:r>
            <w:rPr>
              <w:noProof/>
            </w:rPr>
            <w:t>gDoc #</w:t>
          </w:r>
        </w:p>
      </w:tc>
      <w:tc>
        <w:tcPr>
          <w:tcW w:w="8261" w:type="dxa"/>
        </w:tcPr>
        <w:p w14:paraId="7C0E557A" w14:textId="27A26C3D" w:rsidR="00EE49E8" w:rsidRPr="00E06FD5" w:rsidRDefault="00EE49E8" w:rsidP="14202014">
          <w:pPr>
            <w:pStyle w:val="Header"/>
            <w:tabs>
              <w:tab w:val="left" w:pos="6731"/>
              <w:tab w:val="right" w:pos="8505"/>
              <w:tab w:val="right" w:pos="9639"/>
            </w:tabs>
            <w:jc w:val="left"/>
            <w:rPr>
              <w:rFonts w:ascii="Arial" w:hAnsi="Arial" w:cs="Arial"/>
              <w:b/>
              <w:bCs/>
            </w:rPr>
          </w:pPr>
          <w:r>
            <w:rPr>
              <w:bCs/>
            </w:rPr>
            <w:tab/>
          </w:r>
          <w:r w:rsidR="14202014" w:rsidRPr="14202014">
            <w:t>C25/65-E</w:t>
          </w:r>
          <w:r>
            <w:rPr>
              <w:bCs/>
            </w:rPr>
            <w:tab/>
          </w:r>
          <w:r w:rsidRPr="14202014">
            <w:fldChar w:fldCharType="begin"/>
          </w:r>
          <w:r>
            <w:instrText>PAGE</w:instrText>
          </w:r>
          <w:r w:rsidRPr="14202014">
            <w:fldChar w:fldCharType="separate"/>
          </w:r>
          <w:r w:rsidR="14202014">
            <w:t>1</w:t>
          </w:r>
          <w:r w:rsidRPr="14202014">
            <w:rPr>
              <w:noProof/>
            </w:rPr>
            <w:fldChar w:fldCharType="end"/>
          </w:r>
        </w:p>
      </w:tc>
    </w:tr>
  </w:tbl>
  <w:p w14:paraId="0288BBE9"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51589BF8" w14:textId="77777777" w:rsidTr="14202014">
      <w:trPr>
        <w:jc w:val="center"/>
      </w:trPr>
      <w:tc>
        <w:tcPr>
          <w:tcW w:w="1803" w:type="dxa"/>
          <w:vAlign w:val="center"/>
        </w:tcPr>
        <w:p w14:paraId="629A6336"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57DCEC0D" w14:textId="450759D5" w:rsidR="00EE49E8" w:rsidRPr="00E06FD5" w:rsidRDefault="00EE49E8" w:rsidP="14202014">
          <w:pPr>
            <w:pStyle w:val="Header"/>
            <w:tabs>
              <w:tab w:val="left" w:pos="6731"/>
              <w:tab w:val="right" w:pos="8505"/>
              <w:tab w:val="right" w:pos="9639"/>
            </w:tabs>
            <w:jc w:val="left"/>
            <w:rPr>
              <w:rFonts w:ascii="Arial" w:hAnsi="Arial" w:cs="Arial"/>
              <w:b/>
              <w:bCs/>
            </w:rPr>
          </w:pPr>
          <w:r>
            <w:rPr>
              <w:bCs/>
            </w:rPr>
            <w:tab/>
          </w:r>
          <w:r w:rsidR="14202014" w:rsidRPr="14202014">
            <w:t>C25/65-E</w:t>
          </w:r>
          <w:r>
            <w:rPr>
              <w:bCs/>
            </w:rPr>
            <w:tab/>
          </w:r>
          <w:r w:rsidRPr="14202014">
            <w:fldChar w:fldCharType="begin"/>
          </w:r>
          <w:r>
            <w:instrText>PAGE</w:instrText>
          </w:r>
          <w:r w:rsidRPr="14202014">
            <w:fldChar w:fldCharType="separate"/>
          </w:r>
          <w:r w:rsidR="14202014">
            <w:t>1</w:t>
          </w:r>
          <w:r w:rsidRPr="14202014">
            <w:rPr>
              <w:noProof/>
            </w:rPr>
            <w:fldChar w:fldCharType="end"/>
          </w:r>
        </w:p>
      </w:tc>
    </w:tr>
  </w:tbl>
  <w:p w14:paraId="4F644C7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30519" w14:textId="77777777" w:rsidR="000D05D8" w:rsidRDefault="000D05D8">
      <w:r>
        <w:t>____________________</w:t>
      </w:r>
    </w:p>
  </w:footnote>
  <w:footnote w:type="continuationSeparator" w:id="0">
    <w:p w14:paraId="389E89A8" w14:textId="77777777" w:rsidR="000D05D8" w:rsidRDefault="000D05D8">
      <w:r>
        <w:continuationSeparator/>
      </w:r>
    </w:p>
  </w:footnote>
  <w:footnote w:type="continuationNotice" w:id="1">
    <w:p w14:paraId="54F98ABE" w14:textId="77777777" w:rsidR="000D05D8" w:rsidRDefault="000D05D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4202014" w14:paraId="2F120982" w14:textId="77777777" w:rsidTr="14202014">
      <w:trPr>
        <w:trHeight w:val="300"/>
      </w:trPr>
      <w:tc>
        <w:tcPr>
          <w:tcW w:w="3020" w:type="dxa"/>
        </w:tcPr>
        <w:p w14:paraId="064969F7" w14:textId="12650877" w:rsidR="14202014" w:rsidRDefault="14202014" w:rsidP="14202014">
          <w:pPr>
            <w:pStyle w:val="Header"/>
            <w:ind w:left="-115"/>
            <w:jc w:val="left"/>
          </w:pPr>
        </w:p>
      </w:tc>
      <w:tc>
        <w:tcPr>
          <w:tcW w:w="3020" w:type="dxa"/>
        </w:tcPr>
        <w:p w14:paraId="66BF77ED" w14:textId="557F0463" w:rsidR="14202014" w:rsidRDefault="14202014" w:rsidP="14202014">
          <w:pPr>
            <w:pStyle w:val="Header"/>
          </w:pPr>
        </w:p>
      </w:tc>
      <w:tc>
        <w:tcPr>
          <w:tcW w:w="3020" w:type="dxa"/>
        </w:tcPr>
        <w:p w14:paraId="23B22EFE" w14:textId="6EA93274" w:rsidR="14202014" w:rsidRDefault="14202014" w:rsidP="14202014">
          <w:pPr>
            <w:pStyle w:val="Header"/>
            <w:ind w:right="-115"/>
            <w:jc w:val="right"/>
          </w:pPr>
        </w:p>
      </w:tc>
    </w:tr>
  </w:tbl>
  <w:p w14:paraId="0526D7E1" w14:textId="740CC7D5" w:rsidR="14202014" w:rsidRDefault="14202014" w:rsidP="1420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400236DE" w14:textId="77777777" w:rsidTr="005D191F">
      <w:trPr>
        <w:trHeight w:val="1104"/>
        <w:jc w:val="center"/>
      </w:trPr>
      <w:tc>
        <w:tcPr>
          <w:tcW w:w="4390" w:type="dxa"/>
          <w:vAlign w:val="center"/>
        </w:tcPr>
        <w:p w14:paraId="02D6BD72"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3747A0D5" wp14:editId="51F1D31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032E7A96" w14:textId="77777777" w:rsidR="00AD3606" w:rsidRDefault="00AD3606" w:rsidP="00AD3606">
          <w:pPr>
            <w:pStyle w:val="Header"/>
            <w:jc w:val="right"/>
            <w:rPr>
              <w:rFonts w:ascii="Arial" w:hAnsi="Arial" w:cs="Arial"/>
              <w:b/>
              <w:bCs/>
              <w:color w:val="009CD6"/>
              <w:szCs w:val="18"/>
            </w:rPr>
          </w:pPr>
        </w:p>
        <w:p w14:paraId="29217A81" w14:textId="77777777" w:rsidR="00AD3606" w:rsidRDefault="00AD3606" w:rsidP="00AD3606">
          <w:pPr>
            <w:pStyle w:val="Header"/>
            <w:jc w:val="right"/>
            <w:rPr>
              <w:rFonts w:ascii="Arial" w:hAnsi="Arial" w:cs="Arial"/>
              <w:b/>
              <w:bCs/>
              <w:color w:val="009CD6"/>
              <w:szCs w:val="18"/>
            </w:rPr>
          </w:pPr>
        </w:p>
        <w:p w14:paraId="04655F35"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2FFFA87C"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453BC650" wp14:editId="2133C44E">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73C9"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D2"/>
    <w:rsid w:val="000210D4"/>
    <w:rsid w:val="0006007D"/>
    <w:rsid w:val="00063016"/>
    <w:rsid w:val="00066795"/>
    <w:rsid w:val="00076AF6"/>
    <w:rsid w:val="00084433"/>
    <w:rsid w:val="00085CF2"/>
    <w:rsid w:val="00085D37"/>
    <w:rsid w:val="00094CE7"/>
    <w:rsid w:val="000B1705"/>
    <w:rsid w:val="000D05D8"/>
    <w:rsid w:val="000D56A5"/>
    <w:rsid w:val="000D75B2"/>
    <w:rsid w:val="000F5DDB"/>
    <w:rsid w:val="001121F5"/>
    <w:rsid w:val="00123FCB"/>
    <w:rsid w:val="001400DC"/>
    <w:rsid w:val="00140CE1"/>
    <w:rsid w:val="00156060"/>
    <w:rsid w:val="0017539C"/>
    <w:rsid w:val="00175AC2"/>
    <w:rsid w:val="0017609F"/>
    <w:rsid w:val="00176F47"/>
    <w:rsid w:val="001A3154"/>
    <w:rsid w:val="001A7D1D"/>
    <w:rsid w:val="001B51DD"/>
    <w:rsid w:val="001B659C"/>
    <w:rsid w:val="001B66B6"/>
    <w:rsid w:val="001C628E"/>
    <w:rsid w:val="001E0F7B"/>
    <w:rsid w:val="001F5569"/>
    <w:rsid w:val="002119FD"/>
    <w:rsid w:val="002130E0"/>
    <w:rsid w:val="00221F46"/>
    <w:rsid w:val="00264425"/>
    <w:rsid w:val="00265875"/>
    <w:rsid w:val="0027303B"/>
    <w:rsid w:val="0028109B"/>
    <w:rsid w:val="002A2188"/>
    <w:rsid w:val="002B1F58"/>
    <w:rsid w:val="002C1C7A"/>
    <w:rsid w:val="002C3F32"/>
    <w:rsid w:val="002C54E2"/>
    <w:rsid w:val="0030160F"/>
    <w:rsid w:val="003025B7"/>
    <w:rsid w:val="00320223"/>
    <w:rsid w:val="00322D0D"/>
    <w:rsid w:val="00361465"/>
    <w:rsid w:val="003877F5"/>
    <w:rsid w:val="00390E4E"/>
    <w:rsid w:val="003936D3"/>
    <w:rsid w:val="003942D4"/>
    <w:rsid w:val="003958A8"/>
    <w:rsid w:val="00396AEE"/>
    <w:rsid w:val="003B29C2"/>
    <w:rsid w:val="003B4FAF"/>
    <w:rsid w:val="003C2533"/>
    <w:rsid w:val="003D1E18"/>
    <w:rsid w:val="003D5A7F"/>
    <w:rsid w:val="0040435A"/>
    <w:rsid w:val="00416A24"/>
    <w:rsid w:val="00431D9E"/>
    <w:rsid w:val="00433CE8"/>
    <w:rsid w:val="00434A5C"/>
    <w:rsid w:val="0045193E"/>
    <w:rsid w:val="00453079"/>
    <w:rsid w:val="004544D9"/>
    <w:rsid w:val="004675DE"/>
    <w:rsid w:val="00472BAD"/>
    <w:rsid w:val="00484009"/>
    <w:rsid w:val="00490E72"/>
    <w:rsid w:val="00491157"/>
    <w:rsid w:val="00491BA9"/>
    <w:rsid w:val="004921C8"/>
    <w:rsid w:val="0049535D"/>
    <w:rsid w:val="00495B0B"/>
    <w:rsid w:val="004A1B8B"/>
    <w:rsid w:val="004A2E7A"/>
    <w:rsid w:val="004D1851"/>
    <w:rsid w:val="004D599D"/>
    <w:rsid w:val="004E2EA5"/>
    <w:rsid w:val="004E3AEB"/>
    <w:rsid w:val="0050223C"/>
    <w:rsid w:val="005243FF"/>
    <w:rsid w:val="00547E78"/>
    <w:rsid w:val="0055570F"/>
    <w:rsid w:val="00564FBC"/>
    <w:rsid w:val="005800BC"/>
    <w:rsid w:val="00582442"/>
    <w:rsid w:val="005A1D0F"/>
    <w:rsid w:val="005C4582"/>
    <w:rsid w:val="005D191F"/>
    <w:rsid w:val="005F3269"/>
    <w:rsid w:val="00623AE3"/>
    <w:rsid w:val="00624126"/>
    <w:rsid w:val="00643579"/>
    <w:rsid w:val="0064737F"/>
    <w:rsid w:val="006535F1"/>
    <w:rsid w:val="0065557D"/>
    <w:rsid w:val="00660D50"/>
    <w:rsid w:val="00662984"/>
    <w:rsid w:val="006716BB"/>
    <w:rsid w:val="006B1859"/>
    <w:rsid w:val="006B6680"/>
    <w:rsid w:val="006B6DCC"/>
    <w:rsid w:val="006B77F1"/>
    <w:rsid w:val="00702DEF"/>
    <w:rsid w:val="00706861"/>
    <w:rsid w:val="00722551"/>
    <w:rsid w:val="0075051B"/>
    <w:rsid w:val="0077110E"/>
    <w:rsid w:val="00793188"/>
    <w:rsid w:val="00794D34"/>
    <w:rsid w:val="007A3FCD"/>
    <w:rsid w:val="007B0060"/>
    <w:rsid w:val="007B19CF"/>
    <w:rsid w:val="007D01AF"/>
    <w:rsid w:val="00813E5E"/>
    <w:rsid w:val="0083581B"/>
    <w:rsid w:val="00863874"/>
    <w:rsid w:val="00864AFF"/>
    <w:rsid w:val="00865925"/>
    <w:rsid w:val="00891154"/>
    <w:rsid w:val="008B4A6A"/>
    <w:rsid w:val="008C2CE0"/>
    <w:rsid w:val="008C7E27"/>
    <w:rsid w:val="008F7448"/>
    <w:rsid w:val="0090147A"/>
    <w:rsid w:val="00907570"/>
    <w:rsid w:val="009173EF"/>
    <w:rsid w:val="00932906"/>
    <w:rsid w:val="00961B0B"/>
    <w:rsid w:val="00962D33"/>
    <w:rsid w:val="00976B31"/>
    <w:rsid w:val="009B38C3"/>
    <w:rsid w:val="009C1424"/>
    <w:rsid w:val="009E17BD"/>
    <w:rsid w:val="009E485A"/>
    <w:rsid w:val="009F2E30"/>
    <w:rsid w:val="00A04CEC"/>
    <w:rsid w:val="00A27F92"/>
    <w:rsid w:val="00A32257"/>
    <w:rsid w:val="00A33051"/>
    <w:rsid w:val="00A36D20"/>
    <w:rsid w:val="00A37E6C"/>
    <w:rsid w:val="00A514A4"/>
    <w:rsid w:val="00A55622"/>
    <w:rsid w:val="00A83502"/>
    <w:rsid w:val="00A94BAB"/>
    <w:rsid w:val="00AA6208"/>
    <w:rsid w:val="00AD00A9"/>
    <w:rsid w:val="00AD15B3"/>
    <w:rsid w:val="00AD3606"/>
    <w:rsid w:val="00AD4A3D"/>
    <w:rsid w:val="00AF6E49"/>
    <w:rsid w:val="00B033F5"/>
    <w:rsid w:val="00B04A67"/>
    <w:rsid w:val="00B0583C"/>
    <w:rsid w:val="00B40A81"/>
    <w:rsid w:val="00B44910"/>
    <w:rsid w:val="00B72267"/>
    <w:rsid w:val="00B76EB6"/>
    <w:rsid w:val="00B7737B"/>
    <w:rsid w:val="00B824C8"/>
    <w:rsid w:val="00B84B9D"/>
    <w:rsid w:val="00B9131F"/>
    <w:rsid w:val="00BA3951"/>
    <w:rsid w:val="00BB0646"/>
    <w:rsid w:val="00BC251A"/>
    <w:rsid w:val="00BC4A20"/>
    <w:rsid w:val="00BD032B"/>
    <w:rsid w:val="00BD1111"/>
    <w:rsid w:val="00BE01C6"/>
    <w:rsid w:val="00BE2640"/>
    <w:rsid w:val="00BF1FDE"/>
    <w:rsid w:val="00BF22D2"/>
    <w:rsid w:val="00C01189"/>
    <w:rsid w:val="00C0458D"/>
    <w:rsid w:val="00C374DE"/>
    <w:rsid w:val="00C47AD4"/>
    <w:rsid w:val="00C52D81"/>
    <w:rsid w:val="00C55198"/>
    <w:rsid w:val="00C6520B"/>
    <w:rsid w:val="00CA6393"/>
    <w:rsid w:val="00CA7995"/>
    <w:rsid w:val="00CB18FF"/>
    <w:rsid w:val="00CD0C08"/>
    <w:rsid w:val="00CE03FB"/>
    <w:rsid w:val="00CE433C"/>
    <w:rsid w:val="00CF0161"/>
    <w:rsid w:val="00CF33F3"/>
    <w:rsid w:val="00CF4A2B"/>
    <w:rsid w:val="00D00C10"/>
    <w:rsid w:val="00D024CA"/>
    <w:rsid w:val="00D06183"/>
    <w:rsid w:val="00D13A82"/>
    <w:rsid w:val="00D22C42"/>
    <w:rsid w:val="00D65041"/>
    <w:rsid w:val="00D7372C"/>
    <w:rsid w:val="00DB0200"/>
    <w:rsid w:val="00DB1936"/>
    <w:rsid w:val="00DB384B"/>
    <w:rsid w:val="00DB6624"/>
    <w:rsid w:val="00DF0189"/>
    <w:rsid w:val="00E06FD5"/>
    <w:rsid w:val="00E10E80"/>
    <w:rsid w:val="00E124F0"/>
    <w:rsid w:val="00E21FD5"/>
    <w:rsid w:val="00E227F3"/>
    <w:rsid w:val="00E545C6"/>
    <w:rsid w:val="00E60F04"/>
    <w:rsid w:val="00E65B24"/>
    <w:rsid w:val="00E75198"/>
    <w:rsid w:val="00E854E4"/>
    <w:rsid w:val="00E86DBF"/>
    <w:rsid w:val="00E95802"/>
    <w:rsid w:val="00E969AF"/>
    <w:rsid w:val="00EA499D"/>
    <w:rsid w:val="00EB0D6F"/>
    <w:rsid w:val="00EB2232"/>
    <w:rsid w:val="00EC5337"/>
    <w:rsid w:val="00EE49E8"/>
    <w:rsid w:val="00EF013F"/>
    <w:rsid w:val="00F009BF"/>
    <w:rsid w:val="00F16BAB"/>
    <w:rsid w:val="00F2150A"/>
    <w:rsid w:val="00F231D8"/>
    <w:rsid w:val="00F34AD8"/>
    <w:rsid w:val="00F44C00"/>
    <w:rsid w:val="00F45D2C"/>
    <w:rsid w:val="00F46C5F"/>
    <w:rsid w:val="00F632C0"/>
    <w:rsid w:val="00F641E1"/>
    <w:rsid w:val="00F71022"/>
    <w:rsid w:val="00F94A63"/>
    <w:rsid w:val="00F96A77"/>
    <w:rsid w:val="00FA1C28"/>
    <w:rsid w:val="00FB1279"/>
    <w:rsid w:val="00FB6B76"/>
    <w:rsid w:val="00FB7596"/>
    <w:rsid w:val="00FE4077"/>
    <w:rsid w:val="00FE500D"/>
    <w:rsid w:val="00FE5314"/>
    <w:rsid w:val="00FE77D2"/>
    <w:rsid w:val="00FF39B1"/>
    <w:rsid w:val="00FF693A"/>
    <w:rsid w:val="027FC4D0"/>
    <w:rsid w:val="099DC3D6"/>
    <w:rsid w:val="0DB50A11"/>
    <w:rsid w:val="10F61C74"/>
    <w:rsid w:val="137D70AA"/>
    <w:rsid w:val="14202014"/>
    <w:rsid w:val="14DE7206"/>
    <w:rsid w:val="181A7263"/>
    <w:rsid w:val="2182678D"/>
    <w:rsid w:val="34B44418"/>
    <w:rsid w:val="3553C45C"/>
    <w:rsid w:val="376BB4B7"/>
    <w:rsid w:val="38471BEE"/>
    <w:rsid w:val="3B8B54B9"/>
    <w:rsid w:val="3C582BE9"/>
    <w:rsid w:val="42917AA2"/>
    <w:rsid w:val="4562B447"/>
    <w:rsid w:val="5335FC1E"/>
    <w:rsid w:val="54307D8C"/>
    <w:rsid w:val="57A4D9F5"/>
    <w:rsid w:val="57A6FE4E"/>
    <w:rsid w:val="5E0D536C"/>
    <w:rsid w:val="5FE5BE24"/>
    <w:rsid w:val="60929884"/>
    <w:rsid w:val="65097F05"/>
    <w:rsid w:val="668C6241"/>
    <w:rsid w:val="69C02007"/>
    <w:rsid w:val="6CE36D46"/>
    <w:rsid w:val="6D8F5A78"/>
    <w:rsid w:val="6F00ECFF"/>
    <w:rsid w:val="7402F399"/>
    <w:rsid w:val="755A6B3C"/>
    <w:rsid w:val="772EFDBB"/>
    <w:rsid w:val="77361A58"/>
    <w:rsid w:val="7BB1B791"/>
    <w:rsid w:val="7C6022F4"/>
    <w:rsid w:val="7DBAF1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E621F"/>
  <w15:docId w15:val="{D442D1FD-1207-438D-A0BE-29E166D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033F5"/>
    <w:pPr>
      <w:spacing w:before="160" w:after="120"/>
      <w:ind w:left="0" w:firstLine="0"/>
      <w:outlineLvl w:val="0"/>
    </w:pPr>
    <w:rPr>
      <w:rFonts w:eastAsia="Calibri"/>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55570F"/>
    <w:pPr>
      <w:keepNext/>
      <w:keepLines/>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TabletextAsianBodyCalibri">
    <w:name w:val="Table_text + (Asian) +Body (Calibri)"/>
    <w:aliases w:val="(Complex) +Body CS (Arial),(Complex) 1..."/>
    <w:basedOn w:val="Tabletext"/>
    <w:rsid w:val="00BF22D2"/>
    <w:rPr>
      <w:rFonts w:eastAsiaTheme="minorHAnsi" w:cstheme="minorBidi"/>
      <w:bCs/>
      <w:iCs/>
      <w:szCs w:val="22"/>
    </w:rPr>
  </w:style>
  <w:style w:type="paragraph" w:customStyle="1" w:styleId="Tablefin">
    <w:name w:val="Table_fin"/>
    <w:basedOn w:val="Tabletext"/>
    <w:rsid w:val="00BF22D2"/>
    <w:pPr>
      <w:spacing w:before="0" w:after="0"/>
    </w:pPr>
  </w:style>
  <w:style w:type="character" w:styleId="CommentReference">
    <w:name w:val="annotation reference"/>
    <w:basedOn w:val="DefaultParagraphFont"/>
    <w:semiHidden/>
    <w:unhideWhenUsed/>
    <w:rsid w:val="00EF013F"/>
    <w:rPr>
      <w:sz w:val="16"/>
      <w:szCs w:val="16"/>
    </w:rPr>
  </w:style>
  <w:style w:type="paragraph" w:styleId="CommentText">
    <w:name w:val="annotation text"/>
    <w:basedOn w:val="Normal"/>
    <w:link w:val="CommentTextChar"/>
    <w:unhideWhenUsed/>
    <w:rsid w:val="00EF013F"/>
    <w:rPr>
      <w:sz w:val="20"/>
    </w:rPr>
  </w:style>
  <w:style w:type="character" w:customStyle="1" w:styleId="CommentTextChar">
    <w:name w:val="Comment Text Char"/>
    <w:basedOn w:val="DefaultParagraphFont"/>
    <w:link w:val="CommentText"/>
    <w:rsid w:val="00EF013F"/>
    <w:rPr>
      <w:rFonts w:ascii="Calibri" w:hAnsi="Calibri"/>
      <w:lang w:val="en-GB" w:eastAsia="en-US"/>
    </w:rPr>
  </w:style>
  <w:style w:type="paragraph" w:styleId="CommentSubject">
    <w:name w:val="annotation subject"/>
    <w:basedOn w:val="CommentText"/>
    <w:next w:val="CommentText"/>
    <w:link w:val="CommentSubjectChar"/>
    <w:semiHidden/>
    <w:unhideWhenUsed/>
    <w:rsid w:val="00EF013F"/>
    <w:rPr>
      <w:b/>
      <w:bCs/>
    </w:rPr>
  </w:style>
  <w:style w:type="character" w:customStyle="1" w:styleId="CommentSubjectChar">
    <w:name w:val="Comment Subject Char"/>
    <w:basedOn w:val="CommentTextChar"/>
    <w:link w:val="CommentSubject"/>
    <w:semiHidden/>
    <w:rsid w:val="00EF013F"/>
    <w:rPr>
      <w:rFonts w:ascii="Calibri" w:hAnsi="Calibri"/>
      <w:b/>
      <w:bCs/>
      <w:lang w:val="en-GB" w:eastAsia="en-US"/>
    </w:rPr>
  </w:style>
  <w:style w:type="character" w:styleId="Mention">
    <w:name w:val="Mention"/>
    <w:basedOn w:val="DefaultParagraphFont"/>
    <w:uiPriority w:val="99"/>
    <w:unhideWhenUsed/>
    <w:rsid w:val="00EF01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hub/membership/our-members/exempted-entit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19-CL-C-0141/en" TargetMode="External"/><Relationship Id="rId17" Type="http://schemas.openxmlformats.org/officeDocument/2006/relationships/hyperlink" Target="https://en.wikipedia.org/wiki/United_Nations" TargetMode="External"/><Relationship Id="rId2" Type="http://schemas.openxmlformats.org/officeDocument/2006/relationships/customXml" Target="../customXml/item2.xml"/><Relationship Id="rId16" Type="http://schemas.openxmlformats.org/officeDocument/2006/relationships/hyperlink" Target="https://www.itu.int/hub/membership/our-members/exempted-entities/exemption-criteri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itudoc/gs/council/c00/docs/28rev1.html" TargetMode="External"/><Relationship Id="rId5" Type="http://schemas.openxmlformats.org/officeDocument/2006/relationships/numbering" Target="numbering.xml"/><Relationship Id="rId15" Type="http://schemas.openxmlformats.org/officeDocument/2006/relationships/hyperlink" Target="https://www.itu.int/md/S19-CL-C-0141/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doc/gs/council/c00/docs/28rev1.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C2D21-EB5E-4B9B-8526-01DA1271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BF7DB-BDFA-4132-89EC-9AECBC40A7ED}">
  <ds:schemaRef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a1cf676c-2816-4389-ad5d-0f2e7c7e67c4"/>
    <ds:schemaRef ds:uri="http://www.w3.org/XML/1998/namespace"/>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D9A888E0-F98E-4C8A-9E4A-42A781D78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PE_Council25.dotx</Template>
  <TotalTime>3</TotalTime>
  <Pages>4</Pages>
  <Words>889</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 requests for exemption from fees for organizations of an international character</vt:lpstr>
    </vt:vector>
  </TitlesOfParts>
  <Manager>General Secretariat</Manager>
  <Company>International Telecommunication Union (ITU)</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requests for exemption from fees for organizations of an international character</dc:title>
  <dc:subject>Council 2025</dc:subject>
  <dc:creator>LRT</dc:creator>
  <cp:keywords>C25; C2025; Council 2025; ITU160</cp:keywords>
  <dc:description/>
  <cp:lastModifiedBy>GBS</cp:lastModifiedBy>
  <cp:revision>3</cp:revision>
  <cp:lastPrinted>2000-07-18T13:30:00Z</cp:lastPrinted>
  <dcterms:created xsi:type="dcterms:W3CDTF">2025-05-16T16:47:00Z</dcterms:created>
  <dcterms:modified xsi:type="dcterms:W3CDTF">2025-05-16T16:50:00Z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