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0280A6B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C192288" w14:textId="09674176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A06F73" w:rsidRPr="00B033F5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B4E9147" w14:textId="7E56BFD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A06F73">
              <w:rPr>
                <w:b/>
                <w:lang w:val="fr-CH"/>
              </w:rPr>
              <w:t>65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699BF7F5" w14:textId="77777777" w:rsidTr="00E31DCE">
        <w:trPr>
          <w:cantSplit/>
        </w:trPr>
        <w:tc>
          <w:tcPr>
            <w:tcW w:w="3969" w:type="dxa"/>
            <w:vMerge/>
          </w:tcPr>
          <w:p w14:paraId="1B2452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B6FC316" w14:textId="0D64AF95" w:rsidR="00E24D59" w:rsidRPr="00E85629" w:rsidRDefault="00A06F73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 w:rsidR="00BD0E37">
              <w:rPr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CEE369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84717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016E38" w14:textId="119CEAF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A06F73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0FDFFF03" w14:textId="77777777" w:rsidTr="00E31DCE">
        <w:trPr>
          <w:cantSplit/>
          <w:trHeight w:val="23"/>
        </w:trPr>
        <w:tc>
          <w:tcPr>
            <w:tcW w:w="3969" w:type="dxa"/>
          </w:tcPr>
          <w:p w14:paraId="69B0BC9B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C407547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77EF258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F46BDE1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2C0A93E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C7F55C8" w14:textId="7641D90C" w:rsidR="00E24D59" w:rsidRPr="00477D57" w:rsidRDefault="00A06F73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A06F73">
              <w:rPr>
                <w:rFonts w:eastAsia="SimSun" w:hint="eastAsia"/>
                <w:lang w:eastAsia="zh-CN"/>
              </w:rPr>
              <w:t>关于免除国际性组织会费的新申请</w:t>
            </w:r>
          </w:p>
        </w:tc>
      </w:tr>
      <w:tr w:rsidR="00E24D59" w:rsidRPr="00813E5E" w14:paraId="4ED2D0C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CD7D763" w14:textId="57308610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6F6EB0BA" w14:textId="37A1E926" w:rsidR="003F086E" w:rsidRPr="00477D57" w:rsidRDefault="00A06F73" w:rsidP="00F6055B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91365">
              <w:rPr>
                <w:rFonts w:hint="eastAsia"/>
                <w:lang w:eastAsia="zh-CN"/>
              </w:rPr>
              <w:t>国际电联每年都会收到国际性组织的申请，要求在互惠基础上免</w:t>
            </w:r>
            <w:r>
              <w:rPr>
                <w:rFonts w:hint="eastAsia"/>
                <w:lang w:eastAsia="zh-CN"/>
              </w:rPr>
              <w:t>予</w:t>
            </w:r>
            <w:r w:rsidRPr="00C91365">
              <w:rPr>
                <w:rFonts w:hint="eastAsia"/>
                <w:lang w:eastAsia="zh-CN"/>
              </w:rPr>
              <w:t>向国际电联缴纳会费及其他</w:t>
            </w:r>
            <w:r>
              <w:rPr>
                <w:rFonts w:hint="eastAsia"/>
                <w:lang w:eastAsia="zh-CN"/>
              </w:rPr>
              <w:t>财务</w:t>
            </w:r>
            <w:r w:rsidRPr="00C91365">
              <w:rPr>
                <w:rFonts w:hint="eastAsia"/>
                <w:lang w:eastAsia="zh-CN"/>
              </w:rPr>
              <w:t>费</w:t>
            </w:r>
            <w:r>
              <w:rPr>
                <w:rFonts w:hint="eastAsia"/>
                <w:lang w:eastAsia="zh-CN"/>
              </w:rPr>
              <w:t>用</w:t>
            </w:r>
            <w:r w:rsidRPr="00C91365">
              <w:rPr>
                <w:rFonts w:hint="eastAsia"/>
                <w:lang w:eastAsia="zh-CN"/>
              </w:rPr>
              <w:t>。秘书处</w:t>
            </w:r>
            <w:r>
              <w:rPr>
                <w:rFonts w:hint="eastAsia"/>
                <w:lang w:eastAsia="zh-CN"/>
              </w:rPr>
              <w:t>将</w:t>
            </w:r>
            <w:r w:rsidRPr="00C91365">
              <w:rPr>
                <w:rFonts w:hint="eastAsia"/>
                <w:lang w:eastAsia="zh-CN"/>
              </w:rPr>
              <w:t>根据理事会制定的标准审查这些新申请。</w:t>
            </w:r>
          </w:p>
          <w:p w14:paraId="047EBF84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D85ECD2" w14:textId="0F5D4264" w:rsidR="003F086E" w:rsidRPr="00477D57" w:rsidRDefault="00A06F73" w:rsidP="00F6055B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91365">
              <w:rPr>
                <w:rFonts w:hint="eastAsia"/>
                <w:lang w:eastAsia="zh-CN"/>
              </w:rPr>
              <w:t>请理事会</w:t>
            </w:r>
            <w:r w:rsidRPr="00C91365">
              <w:rPr>
                <w:rFonts w:hint="eastAsia"/>
                <w:b/>
                <w:bCs/>
                <w:lang w:eastAsia="zh-CN"/>
              </w:rPr>
              <w:t>审议</w:t>
            </w:r>
            <w:r w:rsidRPr="00C91365">
              <w:rPr>
                <w:rFonts w:hint="eastAsia"/>
                <w:lang w:eastAsia="zh-CN"/>
              </w:rPr>
              <w:t>秘书长关于新的</w:t>
            </w:r>
            <w:r>
              <w:rPr>
                <w:rFonts w:hint="eastAsia"/>
                <w:lang w:eastAsia="zh-CN"/>
              </w:rPr>
              <w:t>豁免</w:t>
            </w:r>
            <w:r w:rsidRPr="00C91365">
              <w:rPr>
                <w:rFonts w:hint="eastAsia"/>
                <w:lang w:eastAsia="zh-CN"/>
              </w:rPr>
              <w:t>申请的建议。</w:t>
            </w:r>
          </w:p>
          <w:p w14:paraId="65DADACD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1808D240" w14:textId="333E26C6" w:rsidR="003F086E" w:rsidRPr="00477D57" w:rsidRDefault="00A06F73" w:rsidP="00F6055B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91365">
              <w:rPr>
                <w:rFonts w:hint="eastAsia"/>
                <w:lang w:eastAsia="zh-CN"/>
              </w:rPr>
              <w:t>伙伴关系和国际合作。</w:t>
            </w:r>
          </w:p>
          <w:p w14:paraId="2576AAAF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547EAF59" w14:textId="570A6673" w:rsidR="008F64AD" w:rsidRPr="00477D57" w:rsidRDefault="00A06F73" w:rsidP="00F6055B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91365">
              <w:rPr>
                <w:rFonts w:hint="eastAsia"/>
                <w:szCs w:val="24"/>
                <w:lang w:eastAsia="zh-CN"/>
              </w:rPr>
              <w:t>每年免除</w:t>
            </w:r>
            <w:r w:rsidRPr="00C91365">
              <w:rPr>
                <w:rFonts w:hint="eastAsia"/>
                <w:szCs w:val="24"/>
                <w:lang w:eastAsia="zh-CN"/>
              </w:rPr>
              <w:t>16</w:t>
            </w:r>
            <w:r w:rsidRPr="00C91365">
              <w:rPr>
                <w:rFonts w:hint="eastAsia"/>
                <w:szCs w:val="24"/>
                <w:lang w:eastAsia="zh-CN"/>
              </w:rPr>
              <w:t>万瑞郎的会费。</w:t>
            </w:r>
          </w:p>
          <w:p w14:paraId="1B19D6E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49553EA5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66510FAA" w14:textId="6174308B" w:rsidR="00E24D59" w:rsidRPr="00477D57" w:rsidRDefault="00A06F73" w:rsidP="00477D57">
            <w:pPr>
              <w:spacing w:after="120"/>
              <w:rPr>
                <w:rFonts w:asciiTheme="majorEastAsia" w:eastAsiaTheme="majorEastAsia" w:hAnsiTheme="majorEastAsia"/>
                <w:i/>
                <w:iCs/>
                <w:sz w:val="22"/>
                <w:szCs w:val="22"/>
                <w:lang w:eastAsia="zh-CN"/>
              </w:rPr>
            </w:pPr>
            <w:hyperlink r:id="rId8" w:history="1">
              <w:r w:rsidRPr="0094419F">
                <w:rPr>
                  <w:rStyle w:val="StyleHyperlinkAsianSTKaitiComplexCalibri11ptBlue"/>
                </w:rPr>
                <w:t>C2000/</w:t>
              </w:r>
              <w:r w:rsidRPr="0094419F">
                <w:rPr>
                  <w:rStyle w:val="StyleHyperlinkAsianSTKaitiComplexCalibri11ptBlue"/>
                </w:rPr>
                <w:t>2</w:t>
              </w:r>
              <w:r w:rsidRPr="0094419F">
                <w:rPr>
                  <w:rStyle w:val="StyleHyperlinkAsianSTKaitiComplexCalibri11ptBlue"/>
                </w:rPr>
                <w:t>8(Rev.1)</w:t>
              </w:r>
            </w:hyperlink>
            <w:r w:rsidRPr="00C91365">
              <w:rPr>
                <w:rFonts w:ascii="Microsoft YaHei" w:eastAsia="STKaiti" w:hAnsi="Microsoft YaHei" w:cs="Microsoft YaHei" w:hint="eastAsia"/>
                <w:sz w:val="22"/>
                <w:szCs w:val="22"/>
                <w:lang w:eastAsia="zh-CN"/>
              </w:rPr>
              <w:t>、</w:t>
            </w:r>
            <w:r w:rsidRPr="00A06F73">
              <w:rPr>
                <w:rFonts w:eastAsia="STKaiti"/>
                <w:color w:val="0000FF"/>
                <w:u w:val="single"/>
              </w:rPr>
              <w:fldChar w:fldCharType="begin"/>
            </w:r>
            <w:r w:rsidRPr="00A06F73">
              <w:rPr>
                <w:rFonts w:eastAsia="STKaiti"/>
                <w:color w:val="0000FF"/>
                <w:u w:val="single"/>
                <w:lang w:eastAsia="zh-CN"/>
              </w:rPr>
              <w:instrText>HYPERLINK "https://www.itu.int/md/S19-CL-C-0141/en"</w:instrText>
            </w:r>
            <w:r w:rsidRPr="00A06F73">
              <w:rPr>
                <w:rFonts w:eastAsia="STKaiti"/>
                <w:color w:val="0000FF"/>
                <w:u w:val="single"/>
              </w:rPr>
            </w:r>
            <w:r w:rsidRPr="00A06F73">
              <w:rPr>
                <w:rFonts w:eastAsia="STKaiti"/>
                <w:color w:val="0000FF"/>
                <w:u w:val="single"/>
              </w:rPr>
              <w:fldChar w:fldCharType="separate"/>
            </w:r>
            <w:r w:rsidRPr="0094419F">
              <w:rPr>
                <w:rStyle w:val="StyleHyperlinkLatinMicrosoftYaHeiAsianSTKaitiComple"/>
                <w:rFonts w:hint="eastAsia"/>
              </w:rPr>
              <w:t>理事会</w:t>
            </w:r>
            <w:r w:rsidRPr="0094419F">
              <w:rPr>
                <w:rStyle w:val="StyleHyperlinkLatinMicrosoftYaHeiAsianSTKaitiComple"/>
                <w:rFonts w:hint="eastAsia"/>
              </w:rPr>
              <w:t>第</w:t>
            </w:r>
            <w:r w:rsidRPr="0094419F">
              <w:rPr>
                <w:rStyle w:val="StyleHyperlinkAsianSTKaitiComplexCalibri11ptBlue"/>
              </w:rPr>
              <w:t>925</w:t>
            </w:r>
            <w:r w:rsidRPr="0094419F">
              <w:rPr>
                <w:rStyle w:val="StyleHyperlinkLatinMicrosoftYaHeiAsianSTKaitiComple"/>
                <w:rFonts w:hint="eastAsia"/>
              </w:rPr>
              <w:t>号决议</w:t>
            </w:r>
            <w:r w:rsidRPr="00A06F73">
              <w:rPr>
                <w:rFonts w:eastAsia="STKaiti"/>
                <w:color w:val="0000FF"/>
                <w:u w:val="single"/>
              </w:rPr>
              <w:fldChar w:fldCharType="end"/>
            </w:r>
            <w:r w:rsidRPr="00C91365">
              <w:rPr>
                <w:rFonts w:ascii="Microsoft YaHei" w:eastAsia="STKaiti" w:hAnsi="Microsoft YaHei" w:cs="Microsoft YaHei" w:hint="eastAsia"/>
                <w:sz w:val="22"/>
                <w:szCs w:val="22"/>
                <w:lang w:eastAsia="zh-CN"/>
              </w:rPr>
              <w:t>、</w:t>
            </w:r>
            <w:r w:rsidRPr="00A06F73">
              <w:rPr>
                <w:rFonts w:eastAsia="STKaiti"/>
                <w:color w:val="0000FF"/>
                <w:u w:val="single"/>
              </w:rPr>
              <w:fldChar w:fldCharType="begin"/>
            </w:r>
            <w:r w:rsidR="002B0D24">
              <w:rPr>
                <w:rFonts w:eastAsia="STKaiti"/>
                <w:color w:val="0000FF"/>
                <w:u w:val="single"/>
                <w:lang w:eastAsia="zh-CN"/>
              </w:rPr>
              <w:instrText>HYPERLINK "https://www.itu.int/hub/membership/our-members/exempted-entities/" \l "/zh"</w:instrText>
            </w:r>
            <w:r w:rsidRPr="00A06F73">
              <w:rPr>
                <w:rFonts w:eastAsia="STKaiti"/>
                <w:color w:val="0000FF"/>
                <w:u w:val="single"/>
              </w:rPr>
            </w:r>
            <w:r w:rsidRPr="00A06F73">
              <w:rPr>
                <w:rFonts w:eastAsia="STKaiti"/>
                <w:color w:val="0000FF"/>
                <w:u w:val="single"/>
              </w:rPr>
              <w:fldChar w:fldCharType="separate"/>
            </w:r>
            <w:r w:rsidRPr="0094419F">
              <w:rPr>
                <w:rStyle w:val="StyleHyperlinkLatinMicrosoftYaHeiAsianSTKaitiComple"/>
                <w:rFonts w:hint="eastAsia"/>
              </w:rPr>
              <w:t>理事会豁免</w:t>
            </w:r>
            <w:r w:rsidRPr="0094419F">
              <w:rPr>
                <w:rStyle w:val="StyleHyperlinkLatinMicrosoftYaHeiAsianSTKaitiComple"/>
                <w:rFonts w:hint="eastAsia"/>
              </w:rPr>
              <w:t>标</w:t>
            </w:r>
            <w:r w:rsidRPr="0094419F">
              <w:rPr>
                <w:rStyle w:val="StyleHyperlinkLatinMicrosoftYaHeiAsianSTKaitiComple"/>
                <w:rFonts w:hint="eastAsia"/>
              </w:rPr>
              <w:t>准（</w:t>
            </w:r>
            <w:r w:rsidRPr="0094419F">
              <w:rPr>
                <w:rStyle w:val="StyleHyperlinkAsianSTKaitiComplexCalibri11ptBlue"/>
              </w:rPr>
              <w:t>2017</w:t>
            </w:r>
            <w:r w:rsidRPr="0094419F">
              <w:rPr>
                <w:rStyle w:val="StyleHyperlinkLatinMicrosoftYaHeiAsianSTKaitiComple"/>
                <w:rFonts w:hint="eastAsia"/>
              </w:rPr>
              <w:t>年，修订版）</w:t>
            </w:r>
            <w:r w:rsidRPr="00A06F73">
              <w:rPr>
                <w:rFonts w:eastAsia="STKaiti"/>
                <w:color w:val="0000FF"/>
                <w:u w:val="single"/>
              </w:rPr>
              <w:fldChar w:fldCharType="end"/>
            </w:r>
            <w:r w:rsidRPr="00C91365">
              <w:rPr>
                <w:rFonts w:eastAsia="STKaiti" w:hint="eastAsia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08A09B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480B123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106F86F" w14:textId="77777777" w:rsidR="00A06F73" w:rsidRPr="00B033F5" w:rsidRDefault="00A06F73" w:rsidP="00A06F73">
      <w:pPr>
        <w:pStyle w:val="Heading1"/>
        <w:rPr>
          <w:lang w:eastAsia="zh-CN"/>
        </w:rPr>
      </w:pPr>
      <w:r w:rsidRPr="00B033F5">
        <w:rPr>
          <w:lang w:eastAsia="zh-CN"/>
        </w:rPr>
        <w:lastRenderedPageBreak/>
        <w:t>1</w:t>
      </w:r>
      <w:r w:rsidRPr="00B033F5"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737583C0" w14:textId="77777777" w:rsidR="00A06F73" w:rsidRPr="00B033F5" w:rsidRDefault="00A06F73" w:rsidP="00A06F73">
      <w:pPr>
        <w:jc w:val="both"/>
        <w:rPr>
          <w:lang w:eastAsia="zh-CN"/>
        </w:rPr>
      </w:pPr>
      <w:r w:rsidRPr="00B033F5">
        <w:rPr>
          <w:lang w:eastAsia="zh-CN"/>
        </w:rPr>
        <w:t>1.1</w:t>
      </w:r>
      <w:r w:rsidRPr="00B033F5">
        <w:rPr>
          <w:lang w:eastAsia="zh-CN"/>
        </w:rPr>
        <w:tab/>
      </w:r>
      <w:r w:rsidRPr="006C1BBE">
        <w:rPr>
          <w:rFonts w:hint="eastAsia"/>
          <w:lang w:eastAsia="zh-CN"/>
        </w:rPr>
        <w:t>国际电联每年都会收到国际性组织的申请，要求</w:t>
      </w:r>
      <w:r w:rsidRPr="00852263">
        <w:rPr>
          <w:rFonts w:hint="eastAsia"/>
          <w:lang w:eastAsia="zh-CN"/>
        </w:rPr>
        <w:t>免予向国际电联缴纳会费及其他财务费用</w:t>
      </w:r>
      <w:r w:rsidRPr="006C1BBE">
        <w:rPr>
          <w:rFonts w:hint="eastAsia"/>
          <w:lang w:eastAsia="zh-CN"/>
        </w:rPr>
        <w:t>。这些</w:t>
      </w:r>
      <w:r>
        <w:rPr>
          <w:rFonts w:hint="eastAsia"/>
          <w:lang w:eastAsia="zh-CN"/>
        </w:rPr>
        <w:t>申请</w:t>
      </w:r>
      <w:r w:rsidRPr="006C1BBE">
        <w:rPr>
          <w:rFonts w:hint="eastAsia"/>
          <w:lang w:eastAsia="zh-CN"/>
        </w:rPr>
        <w:t>将按照理事会</w:t>
      </w:r>
      <w:r w:rsidRPr="006C1BBE">
        <w:rPr>
          <w:rFonts w:hint="eastAsia"/>
          <w:lang w:eastAsia="zh-CN"/>
        </w:rPr>
        <w:t>2000</w:t>
      </w:r>
      <w:r w:rsidRPr="006C1BBE">
        <w:rPr>
          <w:rFonts w:hint="eastAsia"/>
          <w:lang w:eastAsia="zh-CN"/>
        </w:rPr>
        <w:t>年会议确定的程序（</w:t>
      </w:r>
      <w:r w:rsidRPr="00A76803">
        <w:rPr>
          <w:color w:val="0000FF"/>
          <w:u w:val="single"/>
        </w:rPr>
        <w:fldChar w:fldCharType="begin"/>
      </w:r>
      <w:r w:rsidRPr="00A76803">
        <w:rPr>
          <w:color w:val="0000FF"/>
          <w:u w:val="single"/>
          <w:lang w:eastAsia="zh-CN"/>
        </w:rPr>
        <w:instrText>HYPERLINK "http://www.itu.int/itudoc/gs/council/c00/docs/28rev1.html"</w:instrText>
      </w:r>
      <w:r w:rsidRPr="00A76803">
        <w:rPr>
          <w:color w:val="0000FF"/>
          <w:u w:val="single"/>
        </w:rPr>
      </w:r>
      <w:r w:rsidRPr="00A76803">
        <w:rPr>
          <w:color w:val="0000FF"/>
          <w:u w:val="single"/>
        </w:rPr>
        <w:fldChar w:fldCharType="separate"/>
      </w:r>
      <w:r w:rsidRPr="0094419F">
        <w:rPr>
          <w:rStyle w:val="StyleHyperlinkAsianSimSunBlueUnderline"/>
        </w:rPr>
        <w:t>C200</w:t>
      </w:r>
      <w:r w:rsidRPr="0094419F">
        <w:rPr>
          <w:rStyle w:val="StyleHyperlinkAsianSimSunBlueUnderline"/>
        </w:rPr>
        <w:t>0</w:t>
      </w:r>
      <w:r w:rsidRPr="0094419F">
        <w:rPr>
          <w:rStyle w:val="StyleHyperlinkAsianSimSunBlueUnderline"/>
        </w:rPr>
        <w:t>/28(Rev.1)</w:t>
      </w:r>
      <w:r w:rsidRPr="00A76803">
        <w:rPr>
          <w:color w:val="0000FF"/>
          <w:u w:val="single"/>
        </w:rPr>
        <w:fldChar w:fldCharType="end"/>
      </w:r>
      <w:r>
        <w:rPr>
          <w:rFonts w:hint="eastAsia"/>
          <w:lang w:eastAsia="zh-CN"/>
        </w:rPr>
        <w:t>号文件</w:t>
      </w:r>
      <w:r w:rsidRPr="006C1BB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</w:t>
      </w:r>
      <w:r w:rsidRPr="006C1BBE">
        <w:rPr>
          <w:rFonts w:hint="eastAsia"/>
          <w:lang w:eastAsia="zh-CN"/>
        </w:rPr>
        <w:t>《公约》第</w:t>
      </w:r>
      <w:r w:rsidRPr="006C1BBE">
        <w:rPr>
          <w:rFonts w:hint="eastAsia"/>
          <w:lang w:eastAsia="zh-CN"/>
        </w:rPr>
        <w:t>476</w:t>
      </w:r>
      <w:r w:rsidRPr="006C1BBE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和</w:t>
      </w:r>
      <w:hyperlink r:id="rId9" w:history="1">
        <w:r w:rsidRPr="0094419F">
          <w:rPr>
            <w:rStyle w:val="StyleHyperlinkAsianSimSunBlueUnderline"/>
            <w:rFonts w:hint="eastAsia"/>
          </w:rPr>
          <w:t>理事会第</w:t>
        </w:r>
        <w:r w:rsidRPr="0094419F">
          <w:rPr>
            <w:rStyle w:val="StyleHyperlinkAsianSimSunBlueUnderline"/>
            <w:rFonts w:hint="eastAsia"/>
          </w:rPr>
          <w:t>925</w:t>
        </w:r>
        <w:r w:rsidRPr="0094419F">
          <w:rPr>
            <w:rStyle w:val="StyleHyperlinkAsianSimSunBlueUnderline"/>
            <w:rFonts w:hint="eastAsia"/>
          </w:rPr>
          <w:t>号</w:t>
        </w:r>
        <w:r w:rsidRPr="0094419F">
          <w:rPr>
            <w:rStyle w:val="StyleHyperlinkAsianSimSunBlueUnderline"/>
            <w:rFonts w:hint="eastAsia"/>
          </w:rPr>
          <w:t>决</w:t>
        </w:r>
        <w:r w:rsidRPr="0094419F">
          <w:rPr>
            <w:rStyle w:val="StyleHyperlinkAsianSimSunBlueUnderline"/>
            <w:rFonts w:hint="eastAsia"/>
          </w:rPr>
          <w:t>议</w:t>
        </w:r>
      </w:hyperlink>
      <w:r w:rsidRPr="006C1BBE">
        <w:rPr>
          <w:rFonts w:hint="eastAsia"/>
          <w:lang w:eastAsia="zh-CN"/>
        </w:rPr>
        <w:t>，以及理事会制定并于</w:t>
      </w:r>
      <w:r w:rsidRPr="006C1BBE">
        <w:rPr>
          <w:rFonts w:hint="eastAsia"/>
          <w:lang w:eastAsia="zh-CN"/>
        </w:rPr>
        <w:t>2017</w:t>
      </w:r>
      <w:r w:rsidRPr="006C1BBE">
        <w:rPr>
          <w:rFonts w:hint="eastAsia"/>
          <w:lang w:eastAsia="zh-CN"/>
        </w:rPr>
        <w:t>年修订的标准（见下文第</w:t>
      </w:r>
      <w:r w:rsidRPr="006C1BBE">
        <w:rPr>
          <w:rFonts w:hint="eastAsia"/>
          <w:lang w:eastAsia="zh-CN"/>
        </w:rPr>
        <w:t>1.5</w:t>
      </w:r>
      <w:r w:rsidRPr="006C1BBE">
        <w:rPr>
          <w:rFonts w:hint="eastAsia"/>
          <w:lang w:eastAsia="zh-CN"/>
        </w:rPr>
        <w:t>点）</w:t>
      </w:r>
      <w:r>
        <w:rPr>
          <w:rFonts w:hint="eastAsia"/>
          <w:lang w:eastAsia="zh-CN"/>
        </w:rPr>
        <w:t>进行</w:t>
      </w:r>
      <w:r w:rsidRPr="006C1BBE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。</w:t>
      </w:r>
    </w:p>
    <w:p w14:paraId="7E4C5D40" w14:textId="77777777" w:rsidR="00A06F73" w:rsidRPr="00B033F5" w:rsidRDefault="00A06F73" w:rsidP="00A06F73">
      <w:pPr>
        <w:jc w:val="both"/>
        <w:rPr>
          <w:lang w:eastAsia="zh-CN"/>
        </w:rPr>
      </w:pPr>
      <w:r w:rsidRPr="00B033F5">
        <w:rPr>
          <w:lang w:eastAsia="zh-CN"/>
        </w:rPr>
        <w:t>1.2</w:t>
      </w:r>
      <w:r w:rsidRPr="00B033F5">
        <w:rPr>
          <w:lang w:eastAsia="zh-CN"/>
        </w:rPr>
        <w:tab/>
      </w:r>
      <w:r w:rsidRPr="006C1BBE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将对</w:t>
      </w:r>
      <w:r w:rsidRPr="006C1BBE">
        <w:rPr>
          <w:rFonts w:hint="eastAsia"/>
          <w:lang w:eastAsia="zh-CN"/>
        </w:rPr>
        <w:t>相关局进行分析并根据秘书长的建议准予会费</w:t>
      </w:r>
      <w:r>
        <w:rPr>
          <w:rFonts w:hint="eastAsia"/>
          <w:lang w:eastAsia="zh-CN"/>
        </w:rPr>
        <w:t>豁免</w:t>
      </w:r>
      <w:r w:rsidRPr="006C1BBE">
        <w:rPr>
          <w:rFonts w:hint="eastAsia"/>
          <w:lang w:eastAsia="zh-CN"/>
        </w:rPr>
        <w:t>。如获批准，它们</w:t>
      </w:r>
      <w:r>
        <w:rPr>
          <w:rFonts w:hint="eastAsia"/>
          <w:lang w:eastAsia="zh-CN"/>
        </w:rPr>
        <w:t>将依据</w:t>
      </w:r>
      <w:r w:rsidRPr="006C1BBE">
        <w:rPr>
          <w:rFonts w:hint="eastAsia"/>
          <w:lang w:eastAsia="zh-CN"/>
        </w:rPr>
        <w:t>《公约》第</w:t>
      </w:r>
      <w:r w:rsidRPr="006C1BBE">
        <w:rPr>
          <w:rFonts w:hint="eastAsia"/>
          <w:lang w:eastAsia="zh-CN"/>
        </w:rPr>
        <w:t>231</w:t>
      </w:r>
      <w:r w:rsidRPr="006C1BBE">
        <w:rPr>
          <w:rFonts w:hint="eastAsia"/>
          <w:lang w:eastAsia="zh-CN"/>
        </w:rPr>
        <w:t>款的规定成为部门成员或部门准成员。</w:t>
      </w:r>
    </w:p>
    <w:p w14:paraId="52A24DDF" w14:textId="77777777" w:rsidR="00A06F73" w:rsidRPr="00B033F5" w:rsidRDefault="00A06F73" w:rsidP="00A06F73">
      <w:pPr>
        <w:jc w:val="both"/>
        <w:rPr>
          <w:lang w:eastAsia="zh-CN"/>
        </w:rPr>
      </w:pPr>
      <w:r w:rsidRPr="00B033F5">
        <w:rPr>
          <w:lang w:eastAsia="zh-CN"/>
        </w:rPr>
        <w:t>1.3</w:t>
      </w:r>
      <w:r w:rsidRPr="00B033F5">
        <w:rPr>
          <w:lang w:eastAsia="zh-CN"/>
        </w:rPr>
        <w:tab/>
      </w:r>
      <w:r w:rsidRPr="006C1BBE">
        <w:rPr>
          <w:rFonts w:hint="eastAsia"/>
          <w:lang w:eastAsia="zh-CN"/>
        </w:rPr>
        <w:t>目前，免缴会费的国际性组织有</w:t>
      </w:r>
      <w:r w:rsidRPr="006C1BBE">
        <w:rPr>
          <w:rFonts w:hint="eastAsia"/>
          <w:lang w:eastAsia="zh-CN"/>
        </w:rPr>
        <w:t>137</w:t>
      </w:r>
      <w:r w:rsidRPr="006C1BBE">
        <w:rPr>
          <w:rFonts w:hint="eastAsia"/>
          <w:lang w:eastAsia="zh-CN"/>
        </w:rPr>
        <w:t>个。完整名单见此处。</w:t>
      </w:r>
    </w:p>
    <w:p w14:paraId="379233F6" w14:textId="77777777" w:rsidR="00A06F73" w:rsidRPr="00B033F5" w:rsidRDefault="00A06F73" w:rsidP="00A06F73">
      <w:pPr>
        <w:jc w:val="both"/>
        <w:rPr>
          <w:lang w:eastAsia="zh-CN"/>
        </w:rPr>
      </w:pPr>
      <w:r w:rsidRPr="00B033F5">
        <w:rPr>
          <w:lang w:eastAsia="zh-CN"/>
        </w:rPr>
        <w:t>1.4</w:t>
      </w:r>
      <w:r w:rsidRPr="00B033F5">
        <w:rPr>
          <w:lang w:eastAsia="zh-CN"/>
        </w:rPr>
        <w:tab/>
      </w:r>
      <w:r w:rsidRPr="006C1BBE">
        <w:rPr>
          <w:rFonts w:hint="eastAsia"/>
          <w:lang w:eastAsia="zh-CN"/>
        </w:rPr>
        <w:t>2014</w:t>
      </w:r>
      <w:r w:rsidRPr="006C1BBE">
        <w:rPr>
          <w:rFonts w:hint="eastAsia"/>
          <w:lang w:eastAsia="zh-CN"/>
        </w:rPr>
        <w:t>年全权代表大会在第</w:t>
      </w:r>
      <w:r w:rsidRPr="006C1BBE">
        <w:rPr>
          <w:rFonts w:hint="eastAsia"/>
          <w:lang w:eastAsia="zh-CN"/>
        </w:rPr>
        <w:t>187</w:t>
      </w:r>
      <w:r w:rsidRPr="006C1BBE">
        <w:rPr>
          <w:rFonts w:hint="eastAsia"/>
          <w:lang w:eastAsia="zh-CN"/>
        </w:rPr>
        <w:t>号决议（</w:t>
      </w:r>
      <w:r w:rsidRPr="006C1BBE">
        <w:rPr>
          <w:rFonts w:hint="eastAsia"/>
          <w:lang w:eastAsia="zh-CN"/>
        </w:rPr>
        <w:t>2014</w:t>
      </w:r>
      <w:r w:rsidRPr="006C1BBE">
        <w:rPr>
          <w:rFonts w:hint="eastAsia"/>
          <w:lang w:eastAsia="zh-CN"/>
        </w:rPr>
        <w:t>年，釜山）中责成理事会“审议免予实体缴纳</w:t>
      </w:r>
      <w:r>
        <w:rPr>
          <w:rFonts w:hint="eastAsia"/>
          <w:lang w:eastAsia="zh-CN"/>
        </w:rPr>
        <w:t>成员</w:t>
      </w:r>
      <w:r w:rsidRPr="006C1BBE">
        <w:rPr>
          <w:rFonts w:hint="eastAsia"/>
          <w:lang w:eastAsia="zh-CN"/>
        </w:rPr>
        <w:t>会费的做法和标准，并在必要时进行</w:t>
      </w:r>
      <w:r>
        <w:rPr>
          <w:rFonts w:hint="eastAsia"/>
          <w:lang w:eastAsia="zh-CN"/>
        </w:rPr>
        <w:t>修订，</w:t>
      </w:r>
      <w:r w:rsidRPr="006C1BBE">
        <w:rPr>
          <w:rFonts w:hint="eastAsia"/>
          <w:lang w:eastAsia="zh-CN"/>
        </w:rPr>
        <w:t>以收紧</w:t>
      </w:r>
      <w:r>
        <w:rPr>
          <w:rFonts w:hint="eastAsia"/>
          <w:lang w:eastAsia="zh-CN"/>
        </w:rPr>
        <w:t>资格</w:t>
      </w:r>
      <w:r w:rsidRPr="006C1BBE">
        <w:rPr>
          <w:rFonts w:hint="eastAsia"/>
          <w:lang w:eastAsia="zh-CN"/>
        </w:rPr>
        <w:t>标准，从而有助于</w:t>
      </w:r>
      <w:r>
        <w:rPr>
          <w:rFonts w:hint="eastAsia"/>
          <w:lang w:eastAsia="zh-CN"/>
        </w:rPr>
        <w:t>更明确、更一致、更公平地体现</w:t>
      </w:r>
      <w:r w:rsidRPr="006C1BBE">
        <w:rPr>
          <w:rFonts w:hint="eastAsia"/>
          <w:lang w:eastAsia="zh-CN"/>
        </w:rPr>
        <w:t>付费成员和非付费成员之间</w:t>
      </w:r>
      <w:r>
        <w:rPr>
          <w:rFonts w:hint="eastAsia"/>
          <w:lang w:eastAsia="zh-CN"/>
        </w:rPr>
        <w:t>的区别，</w:t>
      </w:r>
      <w:r w:rsidRPr="006C1BBE">
        <w:rPr>
          <w:rFonts w:hint="eastAsia"/>
          <w:lang w:eastAsia="zh-CN"/>
        </w:rPr>
        <w:t>并减少免缴会费实体的总数。</w:t>
      </w:r>
      <w:r>
        <w:rPr>
          <w:rFonts w:hint="eastAsia"/>
          <w:lang w:eastAsia="zh-CN"/>
        </w:rPr>
        <w:t>”</w:t>
      </w:r>
    </w:p>
    <w:p w14:paraId="7EE036EF" w14:textId="6C0090C3" w:rsidR="00A06F73" w:rsidRPr="00B033F5" w:rsidRDefault="00A06F73" w:rsidP="00A06F73">
      <w:pPr>
        <w:jc w:val="both"/>
        <w:rPr>
          <w:lang w:eastAsia="zh-CN"/>
        </w:rPr>
      </w:pPr>
      <w:r w:rsidRPr="00B033F5">
        <w:rPr>
          <w:lang w:eastAsia="zh-CN"/>
        </w:rPr>
        <w:t>1.5</w:t>
      </w:r>
      <w:r w:rsidRPr="00B033F5">
        <w:rPr>
          <w:lang w:eastAsia="zh-CN"/>
        </w:rPr>
        <w:tab/>
      </w:r>
      <w:r w:rsidRPr="006C1BBE">
        <w:rPr>
          <w:rFonts w:hint="eastAsia"/>
          <w:lang w:eastAsia="zh-CN"/>
        </w:rPr>
        <w:t>理事会</w:t>
      </w:r>
      <w:r w:rsidRPr="006C1BBE">
        <w:rPr>
          <w:rFonts w:hint="eastAsia"/>
          <w:lang w:eastAsia="zh-CN"/>
        </w:rPr>
        <w:t>2017</w:t>
      </w:r>
      <w:r w:rsidRPr="006C1BBE">
        <w:rPr>
          <w:rFonts w:hint="eastAsia"/>
          <w:lang w:eastAsia="zh-CN"/>
        </w:rPr>
        <w:t>年会议批准了修订后的标准，可在</w:t>
      </w:r>
      <w:r w:rsidR="00BD0E37" w:rsidRPr="00F17D91">
        <w:rPr>
          <w:color w:val="0000FF"/>
          <w:u w:val="single"/>
          <w:lang w:eastAsia="zh-CN"/>
        </w:rPr>
        <w:fldChar w:fldCharType="begin"/>
      </w:r>
      <w:r w:rsidR="002B0D24">
        <w:rPr>
          <w:color w:val="0000FF"/>
          <w:u w:val="single"/>
          <w:lang w:eastAsia="zh-CN"/>
        </w:rPr>
        <w:instrText>HYPERLINK "https://www.itu.int/hub/membership/our-members/exempted-entities/exemption-criteria/" \l "/zh"</w:instrText>
      </w:r>
      <w:r w:rsidR="00BD0E37" w:rsidRPr="00F17D91">
        <w:rPr>
          <w:color w:val="0000FF"/>
          <w:u w:val="single"/>
          <w:lang w:eastAsia="zh-CN"/>
        </w:rPr>
      </w:r>
      <w:r w:rsidR="00BD0E37" w:rsidRPr="00F17D91">
        <w:rPr>
          <w:color w:val="0000FF"/>
          <w:u w:val="single"/>
          <w:lang w:eastAsia="zh-CN"/>
        </w:rPr>
        <w:fldChar w:fldCharType="separate"/>
      </w:r>
      <w:r w:rsidRPr="0094419F">
        <w:rPr>
          <w:rStyle w:val="StyleHyperlinkAsianSimSunBlueUnderline"/>
          <w:rFonts w:hint="eastAsia"/>
        </w:rPr>
        <w:t>此</w:t>
      </w:r>
      <w:r w:rsidRPr="0094419F">
        <w:rPr>
          <w:rStyle w:val="StyleHyperlinkAsianSimSunBlueUnderline"/>
          <w:rFonts w:hint="eastAsia"/>
        </w:rPr>
        <w:t>处</w:t>
      </w:r>
      <w:r w:rsidR="00BD0E37" w:rsidRPr="00F17D91">
        <w:rPr>
          <w:color w:val="0000FF"/>
          <w:u w:val="single"/>
          <w:lang w:eastAsia="zh-CN"/>
        </w:rPr>
        <w:fldChar w:fldCharType="end"/>
      </w:r>
      <w:r w:rsidRPr="006C1BBE">
        <w:rPr>
          <w:rFonts w:hint="eastAsia"/>
          <w:lang w:eastAsia="zh-CN"/>
        </w:rPr>
        <w:t>查阅。此后，每届理事会都根据这些标准审查新的申请。</w:t>
      </w:r>
    </w:p>
    <w:p w14:paraId="7AA87578" w14:textId="77777777" w:rsidR="00A06F73" w:rsidRPr="00B033F5" w:rsidRDefault="00A06F73" w:rsidP="00A06F73">
      <w:pPr>
        <w:jc w:val="both"/>
        <w:rPr>
          <w:lang w:eastAsia="zh-CN"/>
        </w:rPr>
      </w:pPr>
      <w:r w:rsidRPr="00B033F5">
        <w:rPr>
          <w:lang w:eastAsia="zh-CN"/>
        </w:rPr>
        <w:t>1.6</w:t>
      </w:r>
      <w:r w:rsidRPr="00B033F5">
        <w:rPr>
          <w:lang w:eastAsia="zh-CN"/>
        </w:rPr>
        <w:tab/>
      </w:r>
      <w:r w:rsidRPr="006C1BBE">
        <w:rPr>
          <w:rFonts w:hint="eastAsia"/>
          <w:lang w:eastAsia="zh-CN"/>
        </w:rPr>
        <w:t>本文件仅涉及自上届理事会以来</w:t>
      </w:r>
      <w:r>
        <w:rPr>
          <w:rFonts w:hint="eastAsia"/>
          <w:lang w:eastAsia="zh-CN"/>
        </w:rPr>
        <w:t>提出的</w:t>
      </w:r>
      <w:r w:rsidRPr="006C1BBE">
        <w:rPr>
          <w:rFonts w:hint="eastAsia"/>
          <w:lang w:eastAsia="zh-CN"/>
        </w:rPr>
        <w:t>免缴会费</w:t>
      </w:r>
      <w:r>
        <w:rPr>
          <w:rFonts w:hint="eastAsia"/>
          <w:lang w:eastAsia="zh-CN"/>
        </w:rPr>
        <w:t>新</w:t>
      </w:r>
      <w:r w:rsidRPr="006C1BBE">
        <w:rPr>
          <w:rFonts w:hint="eastAsia"/>
          <w:lang w:eastAsia="zh-CN"/>
        </w:rPr>
        <w:t>申请。</w:t>
      </w:r>
    </w:p>
    <w:p w14:paraId="2BAF662B" w14:textId="77777777" w:rsidR="00A06F73" w:rsidRPr="00B033F5" w:rsidRDefault="00A06F73" w:rsidP="00A06F73">
      <w:pPr>
        <w:pStyle w:val="Heading1"/>
      </w:pPr>
      <w:r w:rsidRPr="00B033F5">
        <w:t>2</w:t>
      </w:r>
      <w:r w:rsidRPr="00B033F5">
        <w:tab/>
      </w:r>
      <w:proofErr w:type="spellStart"/>
      <w:r w:rsidRPr="006C1BBE">
        <w:rPr>
          <w:rFonts w:hint="eastAsia"/>
        </w:rPr>
        <w:t>新的</w:t>
      </w:r>
      <w:proofErr w:type="spellEnd"/>
      <w:r>
        <w:rPr>
          <w:rFonts w:hint="eastAsia"/>
          <w:lang w:eastAsia="zh-CN"/>
        </w:rPr>
        <w:t>申请</w:t>
      </w:r>
      <w:proofErr w:type="spellStart"/>
      <w:r w:rsidRPr="006C1BBE">
        <w:rPr>
          <w:rFonts w:hint="eastAsia"/>
        </w:rPr>
        <w:t>和建议</w:t>
      </w:r>
      <w:proofErr w:type="spellEnd"/>
    </w:p>
    <w:p w14:paraId="02EF56EB" w14:textId="77777777" w:rsidR="00A06F73" w:rsidRPr="00B033F5" w:rsidRDefault="00A06F73" w:rsidP="00A06F73">
      <w:pPr>
        <w:pStyle w:val="Headingb"/>
      </w:pPr>
      <w:r w:rsidRPr="00B033F5">
        <w:t>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06F73" w:rsidRPr="007A3EB6" w14:paraId="6E90AFC8" w14:textId="77777777" w:rsidTr="00DD1989">
        <w:tc>
          <w:tcPr>
            <w:tcW w:w="3020" w:type="dxa"/>
          </w:tcPr>
          <w:p w14:paraId="32E619F0" w14:textId="77777777" w:rsidR="00A06F73" w:rsidRPr="007A3EB6" w:rsidRDefault="00A06F73" w:rsidP="00DD1989">
            <w:pPr>
              <w:pStyle w:val="Tablehead"/>
              <w:rPr>
                <w:rFonts w:eastAsiaTheme="minorEastAsia"/>
              </w:rPr>
            </w:pPr>
            <w:r w:rsidRPr="007A3EB6">
              <w:rPr>
                <w:rFonts w:ascii="Microsoft YaHei" w:eastAsiaTheme="minorEastAsia" w:hAnsi="Microsoft YaHei" w:cs="Microsoft YaHei" w:hint="eastAsia"/>
                <w:lang w:eastAsia="zh-CN"/>
              </w:rPr>
              <w:t>组织</w:t>
            </w:r>
          </w:p>
        </w:tc>
        <w:tc>
          <w:tcPr>
            <w:tcW w:w="3020" w:type="dxa"/>
          </w:tcPr>
          <w:p w14:paraId="407DD83E" w14:textId="77777777" w:rsidR="00A06F73" w:rsidRPr="007A3EB6" w:rsidRDefault="00A06F73" w:rsidP="00DD1989">
            <w:pPr>
              <w:pStyle w:val="Tablehead"/>
              <w:rPr>
                <w:rFonts w:eastAsiaTheme="minorEastAsia"/>
              </w:rPr>
            </w:pPr>
            <w:r w:rsidRPr="007A3EB6">
              <w:rPr>
                <w:rFonts w:ascii="Microsoft YaHei" w:eastAsiaTheme="minorEastAsia" w:hAnsi="Microsoft YaHei" w:cs="Microsoft YaHei" w:hint="eastAsia"/>
                <w:lang w:eastAsia="zh-CN"/>
              </w:rPr>
              <w:t>部门</w:t>
            </w:r>
          </w:p>
        </w:tc>
        <w:tc>
          <w:tcPr>
            <w:tcW w:w="3021" w:type="dxa"/>
          </w:tcPr>
          <w:p w14:paraId="36DD9B04" w14:textId="77777777" w:rsidR="00A06F73" w:rsidRPr="007A3EB6" w:rsidRDefault="00A06F73" w:rsidP="00DD1989">
            <w:pPr>
              <w:pStyle w:val="Tablehead"/>
              <w:rPr>
                <w:rFonts w:eastAsiaTheme="minorEastAsia"/>
              </w:rPr>
            </w:pPr>
            <w:r w:rsidRPr="007A3EB6">
              <w:rPr>
                <w:rFonts w:ascii="Microsoft YaHei" w:eastAsiaTheme="minorEastAsia" w:hAnsi="Microsoft YaHei" w:cs="Microsoft YaHei" w:hint="eastAsia"/>
                <w:lang w:eastAsia="zh-CN"/>
              </w:rPr>
              <w:t>建议</w:t>
            </w:r>
          </w:p>
        </w:tc>
      </w:tr>
      <w:tr w:rsidR="00A06F73" w:rsidRPr="007A3EB6" w14:paraId="22A5B8AE" w14:textId="77777777" w:rsidTr="00DD1989">
        <w:tc>
          <w:tcPr>
            <w:tcW w:w="3020" w:type="dxa"/>
            <w:vAlign w:val="center"/>
          </w:tcPr>
          <w:p w14:paraId="3FB488DD" w14:textId="77777777" w:rsidR="00A06F73" w:rsidRPr="007A3EB6" w:rsidRDefault="00A06F73" w:rsidP="00DD1989">
            <w:pPr>
              <w:pStyle w:val="TabletextAsianBodyCalibri"/>
              <w:jc w:val="center"/>
              <w:rPr>
                <w:rFonts w:eastAsiaTheme="minorEastAsia"/>
                <w:b/>
                <w:bCs w:val="0"/>
              </w:rPr>
            </w:pPr>
            <w:r w:rsidRPr="007A3EB6">
              <w:rPr>
                <w:rFonts w:eastAsiaTheme="minorEastAsia"/>
                <w:b/>
                <w:bCs w:val="0"/>
              </w:rPr>
              <w:t>Article19</w:t>
            </w:r>
          </w:p>
        </w:tc>
        <w:tc>
          <w:tcPr>
            <w:tcW w:w="3020" w:type="dxa"/>
            <w:vAlign w:val="center"/>
          </w:tcPr>
          <w:p w14:paraId="0BF34DD8" w14:textId="77777777" w:rsidR="00A06F73" w:rsidRPr="007A3EB6" w:rsidRDefault="00A06F73" w:rsidP="00DD1989">
            <w:pPr>
              <w:pStyle w:val="TabletextAsianBodyCalibri"/>
              <w:jc w:val="center"/>
              <w:rPr>
                <w:rFonts w:eastAsiaTheme="minorEastAsia"/>
              </w:rPr>
            </w:pPr>
            <w:r w:rsidRPr="007A3EB6">
              <w:rPr>
                <w:rFonts w:eastAsiaTheme="minorEastAsia"/>
              </w:rPr>
              <w:t>ITU-R</w:t>
            </w:r>
          </w:p>
        </w:tc>
        <w:tc>
          <w:tcPr>
            <w:tcW w:w="3021" w:type="dxa"/>
            <w:vAlign w:val="center"/>
          </w:tcPr>
          <w:p w14:paraId="0FFE1CDB" w14:textId="77777777" w:rsidR="00A06F73" w:rsidRPr="007A3EB6" w:rsidRDefault="00A06F73" w:rsidP="00DD1989">
            <w:pPr>
              <w:pStyle w:val="TabletextAsianBodyCalibri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不同意</w:t>
            </w:r>
          </w:p>
        </w:tc>
      </w:tr>
    </w:tbl>
    <w:p w14:paraId="4AAAAAC0" w14:textId="77777777" w:rsidR="00A06F73" w:rsidRPr="00B033F5" w:rsidRDefault="00A06F73" w:rsidP="00A06F73">
      <w:pPr>
        <w:ind w:firstLineChars="200" w:firstLine="480"/>
        <w:jc w:val="both"/>
        <w:rPr>
          <w:lang w:eastAsia="zh-CN"/>
        </w:rPr>
      </w:pPr>
      <w:r w:rsidRPr="006C1BBE">
        <w:rPr>
          <w:rFonts w:hint="eastAsia"/>
          <w:lang w:eastAsia="zh-CN"/>
        </w:rPr>
        <w:t>“</w:t>
      </w:r>
      <w:r w:rsidRPr="007A3EB6">
        <w:rPr>
          <w:lang w:eastAsia="zh-CN"/>
        </w:rPr>
        <w:t>Article19</w:t>
      </w:r>
      <w:r w:rsidRPr="006C1BBE">
        <w:rPr>
          <w:rFonts w:hint="eastAsia"/>
          <w:lang w:eastAsia="zh-CN"/>
        </w:rPr>
        <w:t>”是</w:t>
      </w:r>
      <w:r>
        <w:rPr>
          <w:rFonts w:hint="eastAsia"/>
          <w:lang w:eastAsia="zh-CN"/>
        </w:rPr>
        <w:t>一家</w:t>
      </w:r>
      <w:r w:rsidRPr="006C1BBE">
        <w:rPr>
          <w:rFonts w:hint="eastAsia"/>
          <w:lang w:eastAsia="zh-CN"/>
        </w:rPr>
        <w:t>在英国注册的慈善实体</w:t>
      </w:r>
      <w:r>
        <w:rPr>
          <w:rFonts w:hint="eastAsia"/>
          <w:lang w:eastAsia="zh-CN"/>
        </w:rPr>
        <w:t>，</w:t>
      </w:r>
      <w:r w:rsidRPr="006C1BBE">
        <w:rPr>
          <w:rFonts w:hint="eastAsia"/>
          <w:lang w:eastAsia="zh-CN"/>
        </w:rPr>
        <w:t>由关注言论自由的组织和个人组成的国际协会。秘书处认为，</w:t>
      </w:r>
      <w:r>
        <w:rPr>
          <w:rFonts w:hint="eastAsia"/>
          <w:lang w:eastAsia="zh-CN"/>
        </w:rPr>
        <w:t>由于</w:t>
      </w:r>
      <w:r w:rsidRPr="006C1BBE">
        <w:rPr>
          <w:rFonts w:hint="eastAsia"/>
          <w:lang w:eastAsia="zh-CN"/>
        </w:rPr>
        <w:t>该实体不是一个成员制组织</w:t>
      </w:r>
      <w:r>
        <w:rPr>
          <w:rFonts w:hint="eastAsia"/>
          <w:lang w:eastAsia="zh-CN"/>
        </w:rPr>
        <w:t>，因此</w:t>
      </w:r>
      <w:r w:rsidRPr="006C1BBE">
        <w:rPr>
          <w:rFonts w:hint="eastAsia"/>
          <w:lang w:eastAsia="zh-CN"/>
        </w:rPr>
        <w:t>不符合理事会</w:t>
      </w:r>
      <w:r>
        <w:rPr>
          <w:rFonts w:hint="eastAsia"/>
          <w:lang w:eastAsia="zh-CN"/>
        </w:rPr>
        <w:t>制定</w:t>
      </w:r>
      <w:r w:rsidRPr="006C1BBE">
        <w:rPr>
          <w:rFonts w:hint="eastAsia"/>
          <w:lang w:eastAsia="zh-CN"/>
        </w:rPr>
        <w:t>的免缴会费标准。</w:t>
      </w:r>
    </w:p>
    <w:p w14:paraId="106562CB" w14:textId="77777777" w:rsidR="00A06F73" w:rsidRPr="00B033F5" w:rsidRDefault="00A06F73" w:rsidP="00A06F73">
      <w:pPr>
        <w:pStyle w:val="Headingb"/>
      </w:pPr>
      <w:r w:rsidRPr="00B033F5">
        <w:t>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48"/>
        <w:gridCol w:w="2549"/>
      </w:tblGrid>
      <w:tr w:rsidR="00A06F73" w:rsidRPr="007A3EB6" w14:paraId="5DCA31E1" w14:textId="77777777" w:rsidTr="00DD1989">
        <w:tc>
          <w:tcPr>
            <w:tcW w:w="3964" w:type="dxa"/>
          </w:tcPr>
          <w:p w14:paraId="1C8BAD76" w14:textId="77777777" w:rsidR="00A06F73" w:rsidRPr="007A3EB6" w:rsidRDefault="00A06F73" w:rsidP="00DD1989">
            <w:pPr>
              <w:pStyle w:val="Tablehead"/>
              <w:rPr>
                <w:rFonts w:eastAsiaTheme="minorEastAsia"/>
              </w:rPr>
            </w:pPr>
            <w:r w:rsidRPr="007A3EB6">
              <w:rPr>
                <w:rFonts w:ascii="Microsoft YaHei" w:eastAsiaTheme="minorEastAsia" w:hAnsi="Microsoft YaHei" w:cs="Microsoft YaHei" w:hint="eastAsia"/>
                <w:lang w:eastAsia="zh-CN"/>
              </w:rPr>
              <w:t>组织</w:t>
            </w:r>
          </w:p>
        </w:tc>
        <w:tc>
          <w:tcPr>
            <w:tcW w:w="2548" w:type="dxa"/>
          </w:tcPr>
          <w:p w14:paraId="358A45AF" w14:textId="77777777" w:rsidR="00A06F73" w:rsidRPr="007A3EB6" w:rsidRDefault="00A06F73" w:rsidP="00DD1989">
            <w:pPr>
              <w:pStyle w:val="Tablehead"/>
              <w:rPr>
                <w:rFonts w:eastAsiaTheme="minorEastAsia"/>
              </w:rPr>
            </w:pPr>
            <w:r w:rsidRPr="007A3EB6">
              <w:rPr>
                <w:rFonts w:ascii="Microsoft YaHei" w:eastAsiaTheme="minorEastAsia" w:hAnsi="Microsoft YaHei" w:cs="Microsoft YaHei" w:hint="eastAsia"/>
                <w:lang w:eastAsia="zh-CN"/>
              </w:rPr>
              <w:t>部门</w:t>
            </w:r>
          </w:p>
        </w:tc>
        <w:tc>
          <w:tcPr>
            <w:tcW w:w="2549" w:type="dxa"/>
          </w:tcPr>
          <w:p w14:paraId="14A01ECC" w14:textId="77777777" w:rsidR="00A06F73" w:rsidRPr="007A3EB6" w:rsidRDefault="00A06F73" w:rsidP="00DD1989">
            <w:pPr>
              <w:pStyle w:val="Tablehead"/>
              <w:rPr>
                <w:rFonts w:eastAsiaTheme="minorEastAsia"/>
              </w:rPr>
            </w:pPr>
            <w:r w:rsidRPr="007A3EB6">
              <w:rPr>
                <w:rFonts w:ascii="Microsoft YaHei" w:eastAsiaTheme="minorEastAsia" w:hAnsi="Microsoft YaHei" w:cs="Microsoft YaHei" w:hint="eastAsia"/>
                <w:lang w:eastAsia="zh-CN"/>
              </w:rPr>
              <w:t>建议</w:t>
            </w:r>
          </w:p>
        </w:tc>
      </w:tr>
      <w:tr w:rsidR="00A06F73" w:rsidRPr="007A3EB6" w14:paraId="0471E929" w14:textId="77777777" w:rsidTr="00DD1989">
        <w:tc>
          <w:tcPr>
            <w:tcW w:w="3964" w:type="dxa"/>
            <w:vAlign w:val="center"/>
          </w:tcPr>
          <w:p w14:paraId="30E8604D" w14:textId="77777777" w:rsidR="00A06F73" w:rsidRPr="007A3EB6" w:rsidRDefault="00A06F73" w:rsidP="00DD198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7A3EB6">
              <w:rPr>
                <w:rFonts w:eastAsiaTheme="minorEastAsia" w:hint="eastAsia"/>
                <w:b/>
                <w:bCs/>
                <w:shd w:val="clear" w:color="auto" w:fill="FFFFFF"/>
                <w:lang w:eastAsia="zh-CN"/>
              </w:rPr>
              <w:t>ATSC</w:t>
            </w:r>
            <w:r w:rsidRPr="007A3EB6">
              <w:rPr>
                <w:rFonts w:ascii="Microsoft YaHei" w:eastAsiaTheme="minorEastAsia" w:hAnsi="Microsoft YaHei" w:cs="Microsoft YaHei" w:hint="eastAsia"/>
                <w:b/>
                <w:bCs/>
                <w:shd w:val="clear" w:color="auto" w:fill="FFFFFF"/>
                <w:lang w:eastAsia="zh-CN"/>
              </w:rPr>
              <w:t>广播标准协</w:t>
            </w:r>
            <w:r w:rsidRPr="007A3EB6">
              <w:rPr>
                <w:rFonts w:eastAsiaTheme="minorEastAsia" w:hint="eastAsia"/>
                <w:b/>
                <w:bCs/>
                <w:shd w:val="clear" w:color="auto" w:fill="FFFFFF"/>
                <w:lang w:eastAsia="zh-CN"/>
              </w:rPr>
              <w:t>会</w:t>
            </w:r>
          </w:p>
        </w:tc>
        <w:tc>
          <w:tcPr>
            <w:tcW w:w="2548" w:type="dxa"/>
            <w:vAlign w:val="center"/>
          </w:tcPr>
          <w:p w14:paraId="5DC34276" w14:textId="77777777" w:rsidR="00A06F73" w:rsidRPr="007A3EB6" w:rsidRDefault="00A06F73" w:rsidP="00DD1989">
            <w:pPr>
              <w:pStyle w:val="Tabletext"/>
              <w:jc w:val="center"/>
              <w:rPr>
                <w:rFonts w:eastAsiaTheme="minorEastAsia"/>
              </w:rPr>
            </w:pPr>
            <w:r w:rsidRPr="007A3EB6">
              <w:rPr>
                <w:rFonts w:eastAsiaTheme="minorEastAsia" w:cs="Calibri"/>
                <w:szCs w:val="24"/>
              </w:rPr>
              <w:t>ITU-R</w:t>
            </w:r>
          </w:p>
        </w:tc>
        <w:tc>
          <w:tcPr>
            <w:tcW w:w="2549" w:type="dxa"/>
            <w:vAlign w:val="center"/>
          </w:tcPr>
          <w:p w14:paraId="26D99690" w14:textId="77777777" w:rsidR="00A06F73" w:rsidRPr="007A3EB6" w:rsidRDefault="00A06F73" w:rsidP="00DD1989">
            <w:pPr>
              <w:pStyle w:val="Tabletext"/>
              <w:jc w:val="center"/>
              <w:rPr>
                <w:rFonts w:eastAsiaTheme="minorEastAsia"/>
              </w:rPr>
            </w:pPr>
            <w:r>
              <w:rPr>
                <w:rFonts w:ascii="Microsoft YaHei" w:eastAsiaTheme="minorEastAsia" w:hAnsi="Microsoft YaHei" w:cs="Microsoft YaHei" w:hint="eastAsia"/>
                <w:lang w:eastAsia="zh-CN"/>
              </w:rPr>
              <w:t>不同意</w:t>
            </w:r>
          </w:p>
        </w:tc>
      </w:tr>
    </w:tbl>
    <w:p w14:paraId="210A6B04" w14:textId="77777777" w:rsidR="00A06F73" w:rsidRPr="00B033F5" w:rsidRDefault="00A06F73" w:rsidP="00A06F73">
      <w:pPr>
        <w:ind w:firstLineChars="200" w:firstLine="480"/>
        <w:jc w:val="both"/>
        <w:rPr>
          <w:rFonts w:eastAsia="Calibri" w:cs="Calibri"/>
          <w:color w:val="000000" w:themeColor="text1"/>
          <w:szCs w:val="24"/>
          <w:lang w:eastAsia="zh-CN"/>
        </w:rPr>
      </w:pPr>
      <w:r w:rsidRPr="007A3EB6">
        <w:rPr>
          <w:rFonts w:cs="Calibri" w:hint="eastAsia"/>
          <w:color w:val="000000" w:themeColor="text1"/>
          <w:szCs w:val="24"/>
          <w:lang w:eastAsia="zh-CN"/>
        </w:rPr>
        <w:t>ATSC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，即广播标准协会，是一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家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为多媒体广播制定自愿性标准和推荐做法的非营利性国际组织。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ATSC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指导广播和电信标准的无缝集成，以推动行业发展。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ATSC</w:t>
      </w:r>
      <w:r>
        <w:rPr>
          <w:rFonts w:cs="Calibri" w:hint="eastAsia"/>
          <w:color w:val="000000" w:themeColor="text1"/>
          <w:szCs w:val="24"/>
          <w:lang w:eastAsia="zh-CN"/>
        </w:rPr>
        <w:t>成立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于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1983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年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，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由社会间协调联合委员会（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JCIC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）的成员组织组成：消费者技术协会（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CTA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、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电气和电子工程师协会（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IEEE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、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国家广播协会（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NAB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、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互联网和电视协会（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NCTA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）以及电影电视工程师协会（</w:t>
      </w:r>
      <w:r w:rsidRPr="007A3EB6">
        <w:rPr>
          <w:rFonts w:cs="Calibri" w:hint="eastAsia"/>
          <w:color w:val="000000" w:themeColor="text1"/>
          <w:szCs w:val="24"/>
          <w:lang w:eastAsia="zh-CN"/>
        </w:rPr>
        <w:t>SMPTE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）。秘书处认为，作为一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家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主要由营利性成员组成的国际商业协会，该实体不符合理事会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制定</w:t>
      </w:r>
      <w:r w:rsidRPr="007A3EB6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的免缴会费标准。</w:t>
      </w:r>
    </w:p>
    <w:p w14:paraId="27B836DF" w14:textId="77777777" w:rsidR="00A06F73" w:rsidRPr="00B033F5" w:rsidRDefault="00A06F73" w:rsidP="00A06F73">
      <w:pPr>
        <w:pStyle w:val="Headingb"/>
      </w:pPr>
      <w:r w:rsidRPr="00B033F5">
        <w:t>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48"/>
        <w:gridCol w:w="2549"/>
      </w:tblGrid>
      <w:tr w:rsidR="00A06F73" w:rsidRPr="00453463" w14:paraId="33D7C1E0" w14:textId="77777777" w:rsidTr="00DD1989">
        <w:tc>
          <w:tcPr>
            <w:tcW w:w="3964" w:type="dxa"/>
          </w:tcPr>
          <w:p w14:paraId="611DC840" w14:textId="77777777" w:rsidR="00A06F73" w:rsidRPr="00453463" w:rsidRDefault="00A06F73" w:rsidP="00DD1989">
            <w:pPr>
              <w:pStyle w:val="Tablehead"/>
              <w:rPr>
                <w:rFonts w:eastAsiaTheme="minorEastAsia"/>
              </w:rPr>
            </w:pPr>
            <w:r w:rsidRPr="00453463">
              <w:rPr>
                <w:rFonts w:ascii="Microsoft YaHei" w:eastAsiaTheme="minorEastAsia" w:hAnsi="Microsoft YaHei" w:cs="Microsoft YaHei" w:hint="eastAsia"/>
                <w:lang w:eastAsia="zh-CN"/>
              </w:rPr>
              <w:t>组织</w:t>
            </w:r>
          </w:p>
        </w:tc>
        <w:tc>
          <w:tcPr>
            <w:tcW w:w="2548" w:type="dxa"/>
          </w:tcPr>
          <w:p w14:paraId="4E9824C7" w14:textId="77777777" w:rsidR="00A06F73" w:rsidRPr="00453463" w:rsidRDefault="00A06F73" w:rsidP="00DD1989">
            <w:pPr>
              <w:pStyle w:val="Tablehead"/>
              <w:rPr>
                <w:rFonts w:eastAsiaTheme="minorEastAsia"/>
              </w:rPr>
            </w:pPr>
            <w:r w:rsidRPr="00453463">
              <w:rPr>
                <w:rFonts w:ascii="Microsoft YaHei" w:eastAsiaTheme="minorEastAsia" w:hAnsi="Microsoft YaHei" w:cs="Microsoft YaHei" w:hint="eastAsia"/>
                <w:lang w:eastAsia="zh-CN"/>
              </w:rPr>
              <w:t>部门</w:t>
            </w:r>
          </w:p>
        </w:tc>
        <w:tc>
          <w:tcPr>
            <w:tcW w:w="2549" w:type="dxa"/>
          </w:tcPr>
          <w:p w14:paraId="3DC7C4DA" w14:textId="77777777" w:rsidR="00A06F73" w:rsidRPr="00453463" w:rsidRDefault="00A06F73" w:rsidP="00DD1989">
            <w:pPr>
              <w:pStyle w:val="Tablehead"/>
              <w:rPr>
                <w:rFonts w:eastAsiaTheme="minorEastAsia"/>
              </w:rPr>
            </w:pPr>
            <w:r w:rsidRPr="00453463">
              <w:rPr>
                <w:rFonts w:ascii="Microsoft YaHei" w:eastAsiaTheme="minorEastAsia" w:hAnsi="Microsoft YaHei" w:cs="Microsoft YaHei" w:hint="eastAsia"/>
                <w:lang w:eastAsia="zh-CN"/>
              </w:rPr>
              <w:t>建议</w:t>
            </w:r>
          </w:p>
        </w:tc>
      </w:tr>
      <w:tr w:rsidR="00A06F73" w:rsidRPr="00453463" w14:paraId="7B2EEA22" w14:textId="77777777" w:rsidTr="00DD1989">
        <w:tc>
          <w:tcPr>
            <w:tcW w:w="3964" w:type="dxa"/>
            <w:vAlign w:val="center"/>
          </w:tcPr>
          <w:p w14:paraId="773590AE" w14:textId="77777777" w:rsidR="00A06F73" w:rsidRPr="00453463" w:rsidRDefault="00A06F73" w:rsidP="00DD1989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453463">
              <w:rPr>
                <w:rFonts w:eastAsiaTheme="minorEastAsia" w:hint="eastAsia"/>
                <w:b/>
                <w:bCs/>
              </w:rPr>
              <w:t>网络研究所</w:t>
            </w:r>
            <w:proofErr w:type="spellEnd"/>
          </w:p>
        </w:tc>
        <w:tc>
          <w:tcPr>
            <w:tcW w:w="2548" w:type="dxa"/>
            <w:vAlign w:val="center"/>
          </w:tcPr>
          <w:p w14:paraId="5CFC4909" w14:textId="77777777" w:rsidR="00A06F73" w:rsidRPr="00453463" w:rsidRDefault="00A06F73" w:rsidP="00DD1989">
            <w:pPr>
              <w:pStyle w:val="Tabletext"/>
              <w:jc w:val="center"/>
              <w:rPr>
                <w:rFonts w:ascii="Times New Roman" w:eastAsiaTheme="minorEastAsia" w:hAnsi="Times New Roman"/>
                <w:lang w:val="fr-FR"/>
              </w:rPr>
            </w:pPr>
            <w:r w:rsidRPr="00453463">
              <w:rPr>
                <w:rFonts w:eastAsiaTheme="minorEastAsia"/>
                <w:lang w:val="fr-FR"/>
              </w:rPr>
              <w:t>ITU-R</w:t>
            </w:r>
          </w:p>
          <w:p w14:paraId="558AD8C7" w14:textId="77777777" w:rsidR="00A06F73" w:rsidRPr="00453463" w:rsidRDefault="00A06F73" w:rsidP="00DD1989">
            <w:pPr>
              <w:pStyle w:val="Tabletext"/>
              <w:jc w:val="center"/>
              <w:rPr>
                <w:rFonts w:eastAsiaTheme="minorEastAsia"/>
                <w:lang w:val="fr-FR"/>
              </w:rPr>
            </w:pPr>
            <w:r w:rsidRPr="00453463">
              <w:rPr>
                <w:rFonts w:eastAsiaTheme="minorEastAsia"/>
                <w:lang w:val="fr-FR"/>
              </w:rPr>
              <w:t>ITU-T</w:t>
            </w:r>
          </w:p>
          <w:p w14:paraId="4AAB2375" w14:textId="77777777" w:rsidR="00A06F73" w:rsidRPr="00453463" w:rsidRDefault="00A06F73" w:rsidP="00DD1989">
            <w:pPr>
              <w:pStyle w:val="Tabletext"/>
              <w:jc w:val="center"/>
              <w:rPr>
                <w:rFonts w:eastAsiaTheme="minorEastAsia"/>
                <w:lang w:val="fr-FR"/>
              </w:rPr>
            </w:pPr>
            <w:r w:rsidRPr="00453463">
              <w:rPr>
                <w:rFonts w:eastAsiaTheme="minorEastAsia"/>
                <w:lang w:val="fr-FR"/>
              </w:rPr>
              <w:t>ITU-D</w:t>
            </w:r>
          </w:p>
        </w:tc>
        <w:tc>
          <w:tcPr>
            <w:tcW w:w="2549" w:type="dxa"/>
            <w:vAlign w:val="center"/>
          </w:tcPr>
          <w:p w14:paraId="227C1F31" w14:textId="0FBEF8AD" w:rsidR="00A06F73" w:rsidRPr="00453463" w:rsidRDefault="00BD0E37" w:rsidP="00DD1989">
            <w:pPr>
              <w:pStyle w:val="Tabletext"/>
              <w:jc w:val="center"/>
              <w:rPr>
                <w:rFonts w:eastAsiaTheme="minorEastAsia" w:cs="Calibri"/>
              </w:rPr>
            </w:pPr>
            <w:r>
              <w:rPr>
                <w:rFonts w:ascii="Microsoft YaHei" w:eastAsiaTheme="minorEastAsia" w:hAnsi="Microsoft YaHei" w:cs="Microsoft YaHei" w:hint="eastAsia"/>
                <w:lang w:eastAsia="zh-CN"/>
              </w:rPr>
              <w:t>不</w:t>
            </w:r>
            <w:r w:rsidR="00A06F73" w:rsidRPr="00453463">
              <w:rPr>
                <w:rFonts w:ascii="Microsoft YaHei" w:eastAsiaTheme="minorEastAsia" w:hAnsi="Microsoft YaHei" w:cs="Microsoft YaHei" w:hint="eastAsia"/>
                <w:lang w:eastAsia="zh-CN"/>
              </w:rPr>
              <w:t>同意</w:t>
            </w:r>
          </w:p>
          <w:p w14:paraId="0EC54C8E" w14:textId="5B476418" w:rsidR="00A06F73" w:rsidRPr="00BD0E37" w:rsidRDefault="00BD0E37" w:rsidP="00DD1989">
            <w:pPr>
              <w:pStyle w:val="Tabletext"/>
              <w:jc w:val="center"/>
              <w:rPr>
                <w:rFonts w:eastAsiaTheme="minorEastAsia" w:cs="Calibri"/>
                <w:lang w:eastAsia="zh-CN"/>
              </w:rPr>
            </w:pPr>
            <w:r w:rsidRPr="00BD0E37">
              <w:rPr>
                <w:rFonts w:ascii="Microsoft YaHei" w:eastAsiaTheme="minorEastAsia" w:hAnsi="Microsoft YaHei" w:cs="Microsoft YaHei" w:hint="eastAsia"/>
                <w:lang w:eastAsia="zh-CN"/>
              </w:rPr>
              <w:t>不同意</w:t>
            </w:r>
          </w:p>
          <w:p w14:paraId="4216AE71" w14:textId="77777777" w:rsidR="00A06F73" w:rsidRPr="00453463" w:rsidRDefault="00A06F73" w:rsidP="00DD1989">
            <w:pPr>
              <w:pStyle w:val="Tabletext"/>
              <w:jc w:val="center"/>
              <w:rPr>
                <w:rFonts w:eastAsiaTheme="minorEastAsia"/>
              </w:rPr>
            </w:pPr>
            <w:r w:rsidRPr="00453463">
              <w:rPr>
                <w:rFonts w:ascii="Microsoft YaHei" w:eastAsiaTheme="minorEastAsia" w:hAnsi="Microsoft YaHei" w:cs="Microsoft YaHei" w:hint="eastAsia"/>
                <w:lang w:eastAsia="zh-CN"/>
              </w:rPr>
              <w:t>同意</w:t>
            </w:r>
          </w:p>
        </w:tc>
      </w:tr>
    </w:tbl>
    <w:p w14:paraId="51D90653" w14:textId="6C51E471" w:rsidR="00A06F73" w:rsidRPr="00B033F5" w:rsidRDefault="00A06F73" w:rsidP="00A06F73">
      <w:pPr>
        <w:ind w:firstLineChars="200" w:firstLine="480"/>
        <w:jc w:val="both"/>
        <w:rPr>
          <w:rFonts w:eastAsia="Calibri" w:cs="Calibri"/>
          <w:color w:val="000000" w:themeColor="text1"/>
          <w:szCs w:val="24"/>
          <w:lang w:eastAsia="zh-CN"/>
        </w:rPr>
      </w:pPr>
      <w:r>
        <w:rPr>
          <w:rFonts w:asciiTheme="minorHAnsi" w:hAnsiTheme="minorHAnsi" w:cstheme="minorBidi" w:hint="eastAsia"/>
          <w:szCs w:val="24"/>
          <w:lang w:eastAsia="zh-CN"/>
        </w:rPr>
        <w:lastRenderedPageBreak/>
        <w:t>网络研究所（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Cyber Institute</w:t>
      </w:r>
      <w:r>
        <w:rPr>
          <w:rFonts w:asciiTheme="minorHAnsi" w:hAnsiTheme="minorHAnsi" w:cstheme="minorBidi" w:hint="eastAsia"/>
          <w:szCs w:val="24"/>
          <w:lang w:eastAsia="zh-CN"/>
        </w:rPr>
        <w:t>）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是一家总部位于纽约的非营利性国际非政府组织，致力于推进网络政策、教育和劳动力发展。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网络研究所的</w:t>
      </w:r>
      <w:r w:rsidR="00871BAA">
        <w:rPr>
          <w:rFonts w:asciiTheme="minorHAnsi" w:hAnsiTheme="minorHAnsi" w:cstheme="minorBidi" w:hint="eastAsia"/>
          <w:szCs w:val="24"/>
          <w:lang w:eastAsia="zh-CN"/>
        </w:rPr>
        <w:t>机构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成员</w:t>
      </w:r>
      <w:r w:rsidR="00BD0E37">
        <w:rPr>
          <w:rFonts w:asciiTheme="minorHAnsi" w:hAnsiTheme="minorHAnsi" w:cstheme="minorBidi" w:hint="eastAsia"/>
          <w:szCs w:val="24"/>
          <w:lang w:eastAsia="zh-CN"/>
        </w:rPr>
        <w:t>分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布</w:t>
      </w:r>
      <w:r w:rsidR="00BD0E37">
        <w:rPr>
          <w:rFonts w:asciiTheme="minorHAnsi" w:hAnsiTheme="minorHAnsi" w:cstheme="minorBidi" w:hint="eastAsia"/>
          <w:szCs w:val="24"/>
          <w:lang w:eastAsia="zh-CN"/>
        </w:rPr>
        <w:t>在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六个国家，个人成员遍布多个区域的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20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多个国家。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秘书处认为，该实体符合理事会</w:t>
      </w:r>
      <w:r>
        <w:rPr>
          <w:rFonts w:asciiTheme="minorHAnsi" w:hAnsiTheme="minorHAnsi" w:cstheme="minorBidi" w:hint="eastAsia"/>
          <w:szCs w:val="24"/>
          <w:lang w:eastAsia="zh-CN"/>
        </w:rPr>
        <w:t>为</w:t>
      </w:r>
      <w:r>
        <w:rPr>
          <w:rFonts w:asciiTheme="minorHAnsi" w:hAnsiTheme="minorHAnsi" w:cstheme="minorBidi" w:hint="eastAsia"/>
          <w:szCs w:val="24"/>
          <w:lang w:eastAsia="zh-CN"/>
        </w:rPr>
        <w:t>ITU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-D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制定的</w:t>
      </w:r>
      <w:r>
        <w:rPr>
          <w:rFonts w:asciiTheme="minorHAnsi" w:hAnsiTheme="minorHAnsi" w:cstheme="minorBidi" w:hint="eastAsia"/>
          <w:szCs w:val="24"/>
          <w:lang w:eastAsia="zh-CN"/>
        </w:rPr>
        <w:t>免缴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会费标准。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然而，</w:t>
      </w:r>
      <w:r w:rsidR="00BD0E37">
        <w:rPr>
          <w:rFonts w:asciiTheme="minorHAnsi" w:hAnsiTheme="minorHAnsi" w:cstheme="minorBidi" w:hint="eastAsia"/>
          <w:szCs w:val="24"/>
          <w:lang w:eastAsia="zh-CN"/>
        </w:rPr>
        <w:t>未能充分证明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对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ITU-R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和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ITU-T</w:t>
      </w:r>
      <w:r w:rsidR="00BD0E37">
        <w:rPr>
          <w:rFonts w:asciiTheme="minorHAnsi" w:hAnsiTheme="minorHAnsi" w:cstheme="minorBidi" w:hint="eastAsia"/>
          <w:szCs w:val="24"/>
          <w:lang w:eastAsia="zh-CN"/>
        </w:rPr>
        <w:t>具有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互惠</w:t>
      </w:r>
      <w:r w:rsidR="00BD0E37">
        <w:rPr>
          <w:rFonts w:asciiTheme="minorHAnsi" w:hAnsiTheme="minorHAnsi" w:cstheme="minorBidi" w:hint="eastAsia"/>
          <w:szCs w:val="24"/>
          <w:lang w:eastAsia="zh-CN"/>
        </w:rPr>
        <w:t>效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益</w:t>
      </w:r>
      <w:r w:rsidR="00BD0E37">
        <w:rPr>
          <w:rFonts w:asciiTheme="minorHAnsi" w:hAnsiTheme="minorHAnsi" w:cstheme="minorBidi" w:hint="eastAsia"/>
          <w:szCs w:val="24"/>
          <w:lang w:eastAsia="zh-CN"/>
        </w:rPr>
        <w:t>。</w:t>
      </w:r>
    </w:p>
    <w:p w14:paraId="0DD46E41" w14:textId="77777777" w:rsidR="00A06F73" w:rsidRPr="00B033F5" w:rsidRDefault="00A06F73" w:rsidP="00A06F73">
      <w:pPr>
        <w:pStyle w:val="Headingb"/>
      </w:pPr>
      <w:r w:rsidRPr="00B033F5">
        <w:t>2.4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48"/>
        <w:gridCol w:w="2549"/>
      </w:tblGrid>
      <w:tr w:rsidR="00A06F73" w:rsidRPr="00453463" w14:paraId="58241918" w14:textId="77777777" w:rsidTr="00DD1989">
        <w:tc>
          <w:tcPr>
            <w:tcW w:w="3964" w:type="dxa"/>
          </w:tcPr>
          <w:p w14:paraId="29966DC2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组织</w:t>
            </w:r>
          </w:p>
        </w:tc>
        <w:tc>
          <w:tcPr>
            <w:tcW w:w="2548" w:type="dxa"/>
          </w:tcPr>
          <w:p w14:paraId="0AFD8385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部门</w:t>
            </w:r>
          </w:p>
        </w:tc>
        <w:tc>
          <w:tcPr>
            <w:tcW w:w="2549" w:type="dxa"/>
          </w:tcPr>
          <w:p w14:paraId="3AAB4934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建议</w:t>
            </w:r>
          </w:p>
        </w:tc>
      </w:tr>
      <w:tr w:rsidR="00A06F73" w:rsidRPr="00B033F5" w14:paraId="000CB953" w14:textId="77777777" w:rsidTr="00DD1989">
        <w:tc>
          <w:tcPr>
            <w:tcW w:w="3964" w:type="dxa"/>
            <w:vAlign w:val="center"/>
          </w:tcPr>
          <w:p w14:paraId="7BE39950" w14:textId="6CBE70D7" w:rsidR="00A06F73" w:rsidRPr="00B033F5" w:rsidRDefault="00A06F73" w:rsidP="00DD198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伊斯兰世界教育、科学及</w:t>
            </w:r>
            <w:r w:rsidR="002B0D24">
              <w:rPr>
                <w:rFonts w:asciiTheme="minorHAnsi" w:eastAsia="SimSun" w:hAnsiTheme="minorHAnsi"/>
                <w:b/>
                <w:bCs/>
                <w:lang w:eastAsia="zh-CN"/>
              </w:rPr>
              <w:br/>
            </w: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文化组织（</w:t>
            </w: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ICESCO</w:t>
            </w: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）</w:t>
            </w:r>
          </w:p>
        </w:tc>
        <w:tc>
          <w:tcPr>
            <w:tcW w:w="2548" w:type="dxa"/>
            <w:vAlign w:val="center"/>
          </w:tcPr>
          <w:p w14:paraId="657D8BF8" w14:textId="77777777" w:rsidR="00A06F73" w:rsidRPr="00B033F5" w:rsidRDefault="00A06F73" w:rsidP="00DD1989">
            <w:pPr>
              <w:pStyle w:val="Tabletext"/>
              <w:jc w:val="center"/>
            </w:pPr>
            <w:r w:rsidRPr="00B033F5">
              <w:rPr>
                <w:rFonts w:asciiTheme="minorHAnsi" w:eastAsia="SimSun" w:hAnsiTheme="minorHAnsi"/>
              </w:rPr>
              <w:t>ITU-D</w:t>
            </w:r>
          </w:p>
        </w:tc>
        <w:tc>
          <w:tcPr>
            <w:tcW w:w="2549" w:type="dxa"/>
            <w:vAlign w:val="center"/>
          </w:tcPr>
          <w:p w14:paraId="1C6F9751" w14:textId="77777777" w:rsidR="00A06F73" w:rsidRPr="00B033F5" w:rsidRDefault="00A06F73" w:rsidP="00DD1989">
            <w:pPr>
              <w:pStyle w:val="Tabletext"/>
              <w:jc w:val="center"/>
            </w:pPr>
            <w:r>
              <w:rPr>
                <w:rFonts w:asciiTheme="minorHAnsi" w:eastAsia="SimSun" w:hAnsiTheme="minorHAnsi" w:cs="Calibri" w:hint="eastAsia"/>
                <w:lang w:eastAsia="zh-CN"/>
              </w:rPr>
              <w:t>同意</w:t>
            </w:r>
          </w:p>
        </w:tc>
      </w:tr>
    </w:tbl>
    <w:p w14:paraId="032E4FCA" w14:textId="77777777" w:rsidR="00A06F73" w:rsidRPr="00B033F5" w:rsidRDefault="00A06F73" w:rsidP="00A06F73">
      <w:pPr>
        <w:ind w:firstLineChars="200" w:firstLine="480"/>
        <w:jc w:val="both"/>
        <w:rPr>
          <w:rFonts w:eastAsia="Calibri" w:cs="Calibri"/>
          <w:color w:val="000000" w:themeColor="text1"/>
          <w:szCs w:val="24"/>
          <w:lang w:eastAsia="zh-CN"/>
        </w:rPr>
      </w:pP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伊斯兰世界教育、科学及文化组织（</w:t>
      </w:r>
      <w:r w:rsidRPr="00453463">
        <w:rPr>
          <w:rFonts w:cs="Calibri" w:hint="eastAsia"/>
          <w:color w:val="000000" w:themeColor="text1"/>
          <w:szCs w:val="24"/>
          <w:lang w:eastAsia="zh-CN"/>
        </w:rPr>
        <w:t>ICESCO</w:t>
      </w: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）有</w:t>
      </w:r>
      <w:r w:rsidRPr="00453463">
        <w:rPr>
          <w:rFonts w:cs="Calibri" w:hint="eastAsia"/>
          <w:color w:val="000000" w:themeColor="text1"/>
          <w:szCs w:val="24"/>
          <w:lang w:eastAsia="zh-CN"/>
        </w:rPr>
        <w:t>53</w:t>
      </w: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个成员国，是在伊斯兰合作组织（</w:t>
      </w:r>
      <w:r w:rsidRPr="00453463">
        <w:rPr>
          <w:rFonts w:cs="Calibri" w:hint="eastAsia"/>
          <w:color w:val="000000" w:themeColor="text1"/>
          <w:szCs w:val="24"/>
          <w:lang w:eastAsia="zh-CN"/>
        </w:rPr>
        <w:t>OIC</w:t>
      </w: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）支持下运作的一个专门组织，关注伊斯兰国家的教育、科学、文化和通信领域，以支持和加强成员国之间的关系。该组织的总部设在拉巴特。秘书处认为，作为一个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由</w:t>
      </w: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成员国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组成</w:t>
      </w: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的国际组织，该实体符合理事会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制</w:t>
      </w:r>
      <w:r w:rsidRPr="00453463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定的免缴会费标准。</w:t>
      </w:r>
    </w:p>
    <w:p w14:paraId="22B7B96D" w14:textId="77777777" w:rsidR="00A06F73" w:rsidRPr="00B033F5" w:rsidRDefault="00A06F73" w:rsidP="00A06F73">
      <w:pPr>
        <w:pStyle w:val="Headingb"/>
      </w:pPr>
      <w:r w:rsidRPr="00B033F5">
        <w:t>2.5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48"/>
        <w:gridCol w:w="2549"/>
      </w:tblGrid>
      <w:tr w:rsidR="00A06F73" w:rsidRPr="00453463" w14:paraId="752AC572" w14:textId="77777777" w:rsidTr="003B1124">
        <w:tc>
          <w:tcPr>
            <w:tcW w:w="3964" w:type="dxa"/>
            <w:tcBorders>
              <w:bottom w:val="single" w:sz="4" w:space="0" w:color="auto"/>
            </w:tcBorders>
          </w:tcPr>
          <w:p w14:paraId="7D513ED7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组织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0E4A73B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部门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4EF05647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建议</w:t>
            </w:r>
          </w:p>
        </w:tc>
      </w:tr>
      <w:tr w:rsidR="00A06F73" w:rsidRPr="00B033F5" w14:paraId="418A4B2F" w14:textId="77777777" w:rsidTr="003B1124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4E59696" w14:textId="77777777" w:rsidR="00A06F73" w:rsidRPr="00B033F5" w:rsidRDefault="00A06F73" w:rsidP="00DD198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南亚区域标准组织（</w:t>
            </w: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SARSO</w:t>
            </w:r>
            <w:r w:rsidRPr="006C1BBE">
              <w:rPr>
                <w:rFonts w:asciiTheme="minorHAnsi" w:eastAsia="SimSun" w:hAnsiTheme="minorHAnsi" w:hint="eastAsia"/>
                <w:b/>
                <w:bCs/>
                <w:lang w:eastAsia="zh-CN"/>
              </w:rPr>
              <w:t>）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76CEA8D1" w14:textId="77777777" w:rsidR="00A06F73" w:rsidRPr="00B033F5" w:rsidRDefault="00A06F73" w:rsidP="00DD1989">
            <w:pPr>
              <w:pStyle w:val="Tabletext"/>
              <w:jc w:val="center"/>
            </w:pPr>
            <w:r w:rsidRPr="00B033F5">
              <w:rPr>
                <w:rFonts w:asciiTheme="minorHAnsi" w:eastAsia="SimSun" w:hAnsiTheme="minorHAnsi"/>
              </w:rPr>
              <w:t>ITU-T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712F6032" w14:textId="77777777" w:rsidR="00A06F73" w:rsidRPr="00B033F5" w:rsidRDefault="00A06F73" w:rsidP="00DD1989">
            <w:pPr>
              <w:pStyle w:val="Tabletext"/>
              <w:jc w:val="center"/>
            </w:pPr>
            <w:r>
              <w:rPr>
                <w:rFonts w:asciiTheme="minorHAnsi" w:eastAsia="SimSun" w:hAnsiTheme="minorHAnsi" w:cs="Calibri" w:hint="eastAsia"/>
                <w:lang w:eastAsia="zh-CN"/>
              </w:rPr>
              <w:t>同意</w:t>
            </w:r>
          </w:p>
        </w:tc>
      </w:tr>
    </w:tbl>
    <w:p w14:paraId="71732F00" w14:textId="7F8032B5" w:rsidR="00A06F73" w:rsidRPr="00B033F5" w:rsidRDefault="00A06F73" w:rsidP="00A06F73">
      <w:pPr>
        <w:ind w:firstLineChars="200" w:firstLine="480"/>
        <w:jc w:val="both"/>
        <w:rPr>
          <w:rFonts w:eastAsia="Calibri" w:cs="Calibri"/>
          <w:color w:val="000000" w:themeColor="text1"/>
          <w:szCs w:val="24"/>
          <w:lang w:eastAsia="zh-CN"/>
        </w:rPr>
      </w:pP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南亚区域标准组织（</w:t>
      </w:r>
      <w:r w:rsidRPr="009F362B">
        <w:rPr>
          <w:rFonts w:cs="Calibri" w:hint="eastAsia"/>
          <w:color w:val="000000" w:themeColor="text1"/>
          <w:szCs w:val="24"/>
          <w:lang w:eastAsia="zh-CN"/>
        </w:rPr>
        <w:t>SARSO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）是南亚区域合作联盟（</w:t>
      </w:r>
      <w:r w:rsidRPr="009F362B">
        <w:rPr>
          <w:rFonts w:cs="Calibri" w:hint="eastAsia"/>
          <w:color w:val="000000" w:themeColor="text1"/>
          <w:szCs w:val="24"/>
          <w:lang w:eastAsia="zh-CN"/>
        </w:rPr>
        <w:t>SAARC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）的专门机构。</w:t>
      </w:r>
      <w:r w:rsidRPr="009F362B">
        <w:rPr>
          <w:rFonts w:cs="Calibri" w:hint="eastAsia"/>
          <w:color w:val="000000" w:themeColor="text1"/>
          <w:szCs w:val="24"/>
          <w:lang w:eastAsia="zh-CN"/>
        </w:rPr>
        <w:t>SARSO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的成立旨在实现和加强</w:t>
      </w:r>
      <w:r w:rsidRPr="009F362B">
        <w:rPr>
          <w:rFonts w:cs="Calibri" w:hint="eastAsia"/>
          <w:color w:val="000000" w:themeColor="text1"/>
          <w:szCs w:val="24"/>
          <w:lang w:eastAsia="zh-CN"/>
        </w:rPr>
        <w:t>SAARC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成员国之间在标准化和一致性评估领域的协调与合作。秘书处认为，作为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一个由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成员国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组成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的区域性组织，该实体符合理事会</w:t>
      </w:r>
      <w:r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制</w:t>
      </w:r>
      <w:r w:rsidRPr="009F362B">
        <w:rPr>
          <w:rFonts w:ascii="Microsoft YaHei" w:hAnsi="Microsoft YaHei" w:cs="Microsoft YaHei" w:hint="eastAsia"/>
          <w:color w:val="000000" w:themeColor="text1"/>
          <w:szCs w:val="24"/>
          <w:lang w:eastAsia="zh-CN"/>
        </w:rPr>
        <w:t>定的免缴会费标准。</w:t>
      </w:r>
    </w:p>
    <w:p w14:paraId="6ADF068A" w14:textId="77777777" w:rsidR="00A06F73" w:rsidRPr="00B033F5" w:rsidRDefault="00A06F73" w:rsidP="00A06F73">
      <w:pPr>
        <w:pStyle w:val="Headingb"/>
      </w:pPr>
      <w:r w:rsidRPr="00B033F5">
        <w:t>2.6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48"/>
        <w:gridCol w:w="2549"/>
      </w:tblGrid>
      <w:tr w:rsidR="00A06F73" w:rsidRPr="00453463" w14:paraId="165DC53D" w14:textId="77777777" w:rsidTr="00DD1989">
        <w:tc>
          <w:tcPr>
            <w:tcW w:w="3964" w:type="dxa"/>
          </w:tcPr>
          <w:p w14:paraId="090AB992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组织</w:t>
            </w:r>
          </w:p>
        </w:tc>
        <w:tc>
          <w:tcPr>
            <w:tcW w:w="2548" w:type="dxa"/>
          </w:tcPr>
          <w:p w14:paraId="7B7DDCFE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部门</w:t>
            </w:r>
          </w:p>
        </w:tc>
        <w:tc>
          <w:tcPr>
            <w:tcW w:w="2549" w:type="dxa"/>
          </w:tcPr>
          <w:p w14:paraId="2693FD01" w14:textId="77777777" w:rsidR="00A06F73" w:rsidRPr="00453463" w:rsidRDefault="00A06F73" w:rsidP="00DD1989">
            <w:pPr>
              <w:pStyle w:val="Tablehead"/>
              <w:rPr>
                <w:rFonts w:ascii="SimSun" w:eastAsia="SimSun" w:hAnsi="SimSun"/>
              </w:rPr>
            </w:pPr>
            <w:r w:rsidRPr="00453463">
              <w:rPr>
                <w:rFonts w:ascii="SimSun" w:eastAsia="SimSun" w:hAnsi="SimSun" w:cs="Microsoft YaHei" w:hint="eastAsia"/>
                <w:lang w:eastAsia="zh-CN"/>
              </w:rPr>
              <w:t>建议</w:t>
            </w:r>
          </w:p>
        </w:tc>
      </w:tr>
      <w:tr w:rsidR="00A06F73" w:rsidRPr="00B033F5" w14:paraId="6CC64F1D" w14:textId="77777777" w:rsidTr="00DD1989">
        <w:tc>
          <w:tcPr>
            <w:tcW w:w="3964" w:type="dxa"/>
            <w:vAlign w:val="center"/>
          </w:tcPr>
          <w:p w14:paraId="26647FA4" w14:textId="77777777" w:rsidR="00A06F73" w:rsidRPr="00B033F5" w:rsidRDefault="00A06F73" w:rsidP="00DD1989">
            <w:pPr>
              <w:pStyle w:val="Tabletext"/>
              <w:jc w:val="center"/>
              <w:rPr>
                <w:b/>
                <w:bCs/>
              </w:rPr>
            </w:pPr>
            <w:r>
              <w:rPr>
                <w:rFonts w:asciiTheme="minorHAnsi" w:eastAsia="SimSun" w:hAnsiTheme="minorHAnsi" w:cstheme="minorHAnsi" w:hint="eastAsia"/>
                <w:b/>
                <w:iCs/>
                <w:szCs w:val="24"/>
                <w:lang w:eastAsia="zh-CN"/>
              </w:rPr>
              <w:t>航天一</w:t>
            </w:r>
            <w:proofErr w:type="spellStart"/>
            <w:r w:rsidRPr="00453463">
              <w:rPr>
                <w:rFonts w:asciiTheme="minorHAnsi" w:eastAsia="SimSun" w:hAnsiTheme="minorHAnsi" w:cstheme="minorHAnsi" w:hint="eastAsia"/>
                <w:b/>
                <w:iCs/>
                <w:szCs w:val="24"/>
              </w:rPr>
              <w:t>代咨询理事会</w:t>
            </w:r>
            <w:proofErr w:type="spellEnd"/>
          </w:p>
        </w:tc>
        <w:tc>
          <w:tcPr>
            <w:tcW w:w="2548" w:type="dxa"/>
            <w:vAlign w:val="center"/>
          </w:tcPr>
          <w:p w14:paraId="78817F2E" w14:textId="77777777" w:rsidR="00A06F73" w:rsidRPr="009A1449" w:rsidRDefault="00A06F73" w:rsidP="00DD1989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jc w:val="center"/>
              <w:rPr>
                <w:rFonts w:asciiTheme="minorHAnsi" w:eastAsia="SimSun" w:hAnsiTheme="minorHAnsi" w:cstheme="minorHAnsi"/>
                <w:szCs w:val="24"/>
                <w:lang w:val="fr-FR"/>
              </w:rPr>
            </w:pPr>
            <w:r w:rsidRPr="009A1449">
              <w:rPr>
                <w:rFonts w:asciiTheme="minorHAnsi" w:eastAsia="SimSun" w:hAnsiTheme="minorHAnsi" w:cstheme="minorHAnsi"/>
                <w:szCs w:val="24"/>
                <w:lang w:val="fr-FR"/>
              </w:rPr>
              <w:t>ITU-R</w:t>
            </w:r>
          </w:p>
          <w:p w14:paraId="1AF9084A" w14:textId="77777777" w:rsidR="00A06F73" w:rsidRPr="009A1449" w:rsidRDefault="00A06F73" w:rsidP="00DD1989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jc w:val="center"/>
              <w:rPr>
                <w:rFonts w:asciiTheme="minorHAnsi" w:eastAsia="SimSun" w:hAnsiTheme="minorHAnsi" w:cstheme="minorHAnsi"/>
                <w:szCs w:val="24"/>
                <w:lang w:val="fr-FR"/>
              </w:rPr>
            </w:pPr>
            <w:r w:rsidRPr="009A1449">
              <w:rPr>
                <w:rFonts w:asciiTheme="minorHAnsi" w:eastAsia="SimSun" w:hAnsiTheme="minorHAnsi" w:cstheme="minorHAnsi"/>
                <w:szCs w:val="24"/>
                <w:lang w:val="fr-FR"/>
              </w:rPr>
              <w:t>ITU-T</w:t>
            </w:r>
          </w:p>
          <w:p w14:paraId="5EBFCD08" w14:textId="77777777" w:rsidR="00A06F73" w:rsidRPr="009A1449" w:rsidRDefault="00A06F73" w:rsidP="00DD1989">
            <w:pPr>
              <w:pStyle w:val="Tabletext"/>
              <w:jc w:val="center"/>
              <w:rPr>
                <w:lang w:val="fr-FR"/>
              </w:rPr>
            </w:pPr>
            <w:r w:rsidRPr="009A1449">
              <w:rPr>
                <w:rFonts w:asciiTheme="minorHAnsi" w:eastAsia="SimSun" w:hAnsiTheme="minorHAnsi" w:cstheme="minorHAnsi"/>
                <w:szCs w:val="24"/>
                <w:lang w:val="fr-FR"/>
              </w:rPr>
              <w:t>ITU-D</w:t>
            </w:r>
          </w:p>
        </w:tc>
        <w:tc>
          <w:tcPr>
            <w:tcW w:w="2549" w:type="dxa"/>
            <w:vAlign w:val="center"/>
          </w:tcPr>
          <w:p w14:paraId="7F29970D" w14:textId="77777777" w:rsidR="00A06F73" w:rsidRPr="00B033F5" w:rsidRDefault="00A06F73" w:rsidP="00DD1989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jc w:val="center"/>
              <w:rPr>
                <w:rFonts w:asciiTheme="minorHAnsi" w:eastAsia="SimSun" w:hAnsiTheme="minorHAnsi"/>
                <w:color w:val="000000" w:themeColor="text1"/>
              </w:rPr>
            </w:pPr>
            <w:r>
              <w:rPr>
                <w:rFonts w:asciiTheme="minorHAnsi" w:eastAsia="SimSun" w:hAnsiTheme="minorHAnsi" w:hint="eastAsia"/>
                <w:color w:val="000000" w:themeColor="text1"/>
                <w:lang w:eastAsia="zh-CN"/>
              </w:rPr>
              <w:t>同意</w:t>
            </w:r>
          </w:p>
          <w:p w14:paraId="7994C42E" w14:textId="11796D9D" w:rsidR="00A06F73" w:rsidRPr="00BD0E37" w:rsidRDefault="00BD0E37" w:rsidP="00DD1989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 w:line="259" w:lineRule="auto"/>
              <w:jc w:val="center"/>
              <w:rPr>
                <w:rFonts w:asciiTheme="minorHAnsi" w:eastAsia="SimSun" w:hAnsiTheme="minorHAnsi"/>
                <w:color w:val="000000" w:themeColor="text1"/>
                <w:lang w:eastAsia="zh-CN"/>
              </w:rPr>
            </w:pPr>
            <w:r w:rsidRPr="00BD0E37">
              <w:rPr>
                <w:rFonts w:asciiTheme="minorHAnsi" w:eastAsia="SimSun" w:hAnsiTheme="minorHAnsi" w:hint="eastAsia"/>
                <w:color w:val="000000" w:themeColor="text1"/>
                <w:lang w:eastAsia="zh-CN"/>
              </w:rPr>
              <w:t>不同意</w:t>
            </w:r>
          </w:p>
          <w:p w14:paraId="5B371FA8" w14:textId="77777777" w:rsidR="00A06F73" w:rsidRPr="00B033F5" w:rsidRDefault="00A06F73" w:rsidP="00DD1989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Theme="minorHAnsi" w:eastAsia="SimSun" w:hAnsiTheme="minorHAnsi" w:hint="eastAsia"/>
                <w:color w:val="000000" w:themeColor="text1"/>
                <w:lang w:eastAsia="zh-CN"/>
              </w:rPr>
              <w:t>同意</w:t>
            </w:r>
          </w:p>
        </w:tc>
      </w:tr>
    </w:tbl>
    <w:p w14:paraId="45626ACB" w14:textId="0C3B22E0" w:rsidR="00E323D0" w:rsidRPr="000C79F4" w:rsidRDefault="00A06F73" w:rsidP="00A06F73">
      <w:pPr>
        <w:ind w:firstLineChars="200" w:firstLine="480"/>
        <w:rPr>
          <w:lang w:eastAsia="zh-CN"/>
        </w:rPr>
      </w:pPr>
      <w:r>
        <w:rPr>
          <w:rFonts w:asciiTheme="minorHAnsi" w:hAnsiTheme="minorHAnsi" w:cstheme="minorBidi" w:hint="eastAsia"/>
          <w:szCs w:val="24"/>
          <w:lang w:eastAsia="zh-CN"/>
        </w:rPr>
        <w:t>航天一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代咨询理事会（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SGAC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）</w:t>
      </w:r>
      <w:r>
        <w:rPr>
          <w:rFonts w:asciiTheme="minorHAnsi" w:hAnsiTheme="minorHAnsi" w:cstheme="minorBidi" w:hint="eastAsia"/>
          <w:szCs w:val="24"/>
          <w:lang w:eastAsia="zh-CN"/>
        </w:rPr>
        <w:t>是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为支持联合国空间应用计划而成立的。这是一个由航天界学生、青年专业人士和校友组成的非政府、非营利组织和网络，目前代表着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165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个国家的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27</w:t>
      </w:r>
      <w:r w:rsidR="00E664BF">
        <w:rPr>
          <w:rFonts w:asciiTheme="minorHAnsi" w:hAnsiTheme="minorHAnsi" w:cstheme="minorBidi" w:hint="eastAsia"/>
          <w:szCs w:val="24"/>
          <w:lang w:eastAsia="zh-CN"/>
        </w:rPr>
        <w:t xml:space="preserve"> 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000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多名成员。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SGAC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是国际宇航联合会（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IAF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）的官方合作伙伴。秘书处认为，该实体符合理事会为</w:t>
      </w:r>
      <w:r>
        <w:rPr>
          <w:rFonts w:asciiTheme="minorHAnsi" w:hAnsiTheme="minorHAnsi" w:cstheme="minorBidi" w:hint="eastAsia"/>
          <w:szCs w:val="24"/>
          <w:lang w:eastAsia="zh-CN"/>
        </w:rPr>
        <w:t>ITU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-R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和</w:t>
      </w:r>
      <w:r>
        <w:rPr>
          <w:rFonts w:asciiTheme="minorHAnsi" w:hAnsiTheme="minorHAnsi" w:cstheme="minorBidi" w:hint="eastAsia"/>
          <w:szCs w:val="24"/>
          <w:lang w:eastAsia="zh-CN"/>
        </w:rPr>
        <w:t>ITU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-D</w:t>
      </w:r>
      <w:r>
        <w:rPr>
          <w:rFonts w:asciiTheme="minorHAnsi" w:hAnsiTheme="minorHAnsi" w:cstheme="minorBidi" w:hint="eastAsia"/>
          <w:szCs w:val="24"/>
          <w:lang w:eastAsia="zh-CN"/>
        </w:rPr>
        <w:t>制定的</w:t>
      </w:r>
      <w:r w:rsidRPr="006C1BBE">
        <w:rPr>
          <w:rFonts w:asciiTheme="minorHAnsi" w:hAnsiTheme="minorHAnsi" w:cstheme="minorBidi" w:hint="eastAsia"/>
          <w:szCs w:val="24"/>
          <w:lang w:eastAsia="zh-CN"/>
        </w:rPr>
        <w:t>免缴会费标准。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然而，未能充分证明对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ITU-T</w:t>
      </w:r>
      <w:r w:rsidR="00BD0E37" w:rsidRPr="00BD0E37">
        <w:rPr>
          <w:rFonts w:asciiTheme="minorHAnsi" w:hAnsiTheme="minorHAnsi" w:cstheme="minorBidi" w:hint="eastAsia"/>
          <w:szCs w:val="24"/>
          <w:lang w:eastAsia="zh-CN"/>
        </w:rPr>
        <w:t>具有互惠效益。</w:t>
      </w:r>
    </w:p>
    <w:p w14:paraId="6BA7B7EC" w14:textId="77777777" w:rsidR="00E323D0" w:rsidRPr="00BD0E37" w:rsidRDefault="00E323D0" w:rsidP="0032202E">
      <w:pPr>
        <w:pStyle w:val="Reasons"/>
        <w:rPr>
          <w:lang w:eastAsia="zh-CN"/>
        </w:rPr>
      </w:pPr>
    </w:p>
    <w:p w14:paraId="1C47D232" w14:textId="77777777" w:rsidR="00E323D0" w:rsidRPr="00E323D0" w:rsidRDefault="00E323D0" w:rsidP="00E323D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6DD0" w14:textId="77777777" w:rsidR="00C54719" w:rsidRDefault="00C54719">
      <w:r>
        <w:separator/>
      </w:r>
    </w:p>
  </w:endnote>
  <w:endnote w:type="continuationSeparator" w:id="0">
    <w:p w14:paraId="4E0569D2" w14:textId="77777777" w:rsidR="00C54719" w:rsidRDefault="00C5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5034E7C1" w14:textId="77777777" w:rsidTr="00E31DCE">
      <w:trPr>
        <w:jc w:val="center"/>
      </w:trPr>
      <w:tc>
        <w:tcPr>
          <w:tcW w:w="1803" w:type="dxa"/>
          <w:vAlign w:val="center"/>
        </w:tcPr>
        <w:p w14:paraId="63559732" w14:textId="0FC951B1" w:rsidR="00E24D59" w:rsidRPr="00A13406" w:rsidRDefault="00A06F73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>
            <w:rPr>
              <w:noProof/>
              <w:color w:val="808080" w:themeColor="background1" w:themeShade="80"/>
            </w:rPr>
            <w:t>2501100</w:t>
          </w:r>
        </w:p>
      </w:tc>
      <w:tc>
        <w:tcPr>
          <w:tcW w:w="8261" w:type="dxa"/>
        </w:tcPr>
        <w:p w14:paraId="6596407D" w14:textId="637D0E39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A06F73">
            <w:rPr>
              <w:bCs/>
              <w:color w:val="808080" w:themeColor="background1" w:themeShade="80"/>
            </w:rPr>
            <w:t>65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18ABC9FB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04BAB1F5" w14:textId="77777777" w:rsidTr="00E31DCE">
      <w:trPr>
        <w:jc w:val="center"/>
      </w:trPr>
      <w:tc>
        <w:tcPr>
          <w:tcW w:w="1803" w:type="dxa"/>
          <w:vAlign w:val="center"/>
        </w:tcPr>
        <w:p w14:paraId="078BCC7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1930EB2C" w14:textId="44435A26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A06F73">
            <w:rPr>
              <w:bCs/>
              <w:color w:val="808080" w:themeColor="background1" w:themeShade="80"/>
            </w:rPr>
            <w:t>65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0949B59C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FAE7" w14:textId="77777777" w:rsidR="00C54719" w:rsidRDefault="00C54719">
      <w:r>
        <w:t>____________________</w:t>
      </w:r>
    </w:p>
  </w:footnote>
  <w:footnote w:type="continuationSeparator" w:id="0">
    <w:p w14:paraId="3CBE883E" w14:textId="77777777" w:rsidR="00C54719" w:rsidRDefault="00C5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083443A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030C7F0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7E313EF" wp14:editId="6D808EE3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72F418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0AEF24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98541A5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81499D0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69D36" wp14:editId="4AFA1F7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9AF3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3"/>
    <w:rsid w:val="00001B77"/>
    <w:rsid w:val="0000517A"/>
    <w:rsid w:val="00031E72"/>
    <w:rsid w:val="000404D2"/>
    <w:rsid w:val="000646BD"/>
    <w:rsid w:val="000853C0"/>
    <w:rsid w:val="00093DD9"/>
    <w:rsid w:val="0009409E"/>
    <w:rsid w:val="000A1C21"/>
    <w:rsid w:val="000C0BC5"/>
    <w:rsid w:val="000C79F4"/>
    <w:rsid w:val="000D15EA"/>
    <w:rsid w:val="000D7012"/>
    <w:rsid w:val="00100D84"/>
    <w:rsid w:val="00124C9D"/>
    <w:rsid w:val="001305DE"/>
    <w:rsid w:val="001337C5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A6670"/>
    <w:rsid w:val="002B0D24"/>
    <w:rsid w:val="002C3F32"/>
    <w:rsid w:val="00303502"/>
    <w:rsid w:val="00325C25"/>
    <w:rsid w:val="003439FC"/>
    <w:rsid w:val="00372C8F"/>
    <w:rsid w:val="00380ECE"/>
    <w:rsid w:val="00393DDF"/>
    <w:rsid w:val="00397F55"/>
    <w:rsid w:val="003B1124"/>
    <w:rsid w:val="003B4454"/>
    <w:rsid w:val="003C2E37"/>
    <w:rsid w:val="003E7E41"/>
    <w:rsid w:val="003F086E"/>
    <w:rsid w:val="003F1415"/>
    <w:rsid w:val="0040144C"/>
    <w:rsid w:val="00403EB7"/>
    <w:rsid w:val="004178E6"/>
    <w:rsid w:val="00430BF0"/>
    <w:rsid w:val="004672E6"/>
    <w:rsid w:val="00474ED1"/>
    <w:rsid w:val="00477D57"/>
    <w:rsid w:val="00491BA9"/>
    <w:rsid w:val="00493085"/>
    <w:rsid w:val="004A0D4C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12D5"/>
    <w:rsid w:val="00630DD5"/>
    <w:rsid w:val="00637584"/>
    <w:rsid w:val="00654257"/>
    <w:rsid w:val="0065435A"/>
    <w:rsid w:val="00670D8A"/>
    <w:rsid w:val="00675AAE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E189D"/>
    <w:rsid w:val="007E63A6"/>
    <w:rsid w:val="007F0210"/>
    <w:rsid w:val="00806E3F"/>
    <w:rsid w:val="00811259"/>
    <w:rsid w:val="00813AA2"/>
    <w:rsid w:val="008173A3"/>
    <w:rsid w:val="008418F5"/>
    <w:rsid w:val="008452B2"/>
    <w:rsid w:val="0086059C"/>
    <w:rsid w:val="00864589"/>
    <w:rsid w:val="00871BAA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19F"/>
    <w:rsid w:val="00944563"/>
    <w:rsid w:val="00953160"/>
    <w:rsid w:val="009625D8"/>
    <w:rsid w:val="00983878"/>
    <w:rsid w:val="0098459B"/>
    <w:rsid w:val="00997185"/>
    <w:rsid w:val="009C2458"/>
    <w:rsid w:val="009C4A7B"/>
    <w:rsid w:val="009C6123"/>
    <w:rsid w:val="009F1E3E"/>
    <w:rsid w:val="00A06F73"/>
    <w:rsid w:val="00A1213C"/>
    <w:rsid w:val="00A13406"/>
    <w:rsid w:val="00A272FF"/>
    <w:rsid w:val="00A5354B"/>
    <w:rsid w:val="00A71B57"/>
    <w:rsid w:val="00A76803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0E37"/>
    <w:rsid w:val="00BD1A5A"/>
    <w:rsid w:val="00BD7A9B"/>
    <w:rsid w:val="00BD7BE1"/>
    <w:rsid w:val="00BF3998"/>
    <w:rsid w:val="00BF416B"/>
    <w:rsid w:val="00C45EB2"/>
    <w:rsid w:val="00C54719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664BF"/>
    <w:rsid w:val="00E67C67"/>
    <w:rsid w:val="00E74BC2"/>
    <w:rsid w:val="00E77476"/>
    <w:rsid w:val="00E8228B"/>
    <w:rsid w:val="00EE5706"/>
    <w:rsid w:val="00EF373D"/>
    <w:rsid w:val="00F11595"/>
    <w:rsid w:val="00F13BC9"/>
    <w:rsid w:val="00F17D91"/>
    <w:rsid w:val="00F357B2"/>
    <w:rsid w:val="00F36556"/>
    <w:rsid w:val="00F47532"/>
    <w:rsid w:val="00F6055B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40A7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30C999"/>
  <w15:docId w15:val="{210D68D4-B37A-47CF-8A87-4592E6B0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4419F"/>
    <w:rPr>
      <w:rFonts w:eastAsia="Times New Roman"/>
      <w:noProof/>
      <w:color w:val="0070C0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customStyle="1" w:styleId="TabletextAsianBodyCalibri">
    <w:name w:val="Table_text + (Asian) +Body (Calibri)"/>
    <w:aliases w:val="(Complex) +Body CS (Arial),(Complex) 1..."/>
    <w:basedOn w:val="Tabletext"/>
    <w:rsid w:val="00A06F7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60" w:after="60"/>
    </w:pPr>
    <w:rPr>
      <w:rFonts w:eastAsiaTheme="minorHAnsi" w:cstheme="minorBidi"/>
      <w:bCs/>
      <w:iCs/>
      <w:szCs w:val="22"/>
    </w:rPr>
  </w:style>
  <w:style w:type="character" w:customStyle="1" w:styleId="StyleHyperlinkAsianSTKaitiComplexCalibri11ptBlue">
    <w:name w:val="Style Hyperlink + (Asian) STKaiti (Complex) Calibri 11 pt Blue ..."/>
    <w:basedOn w:val="Hyperlink"/>
    <w:rsid w:val="0094419F"/>
    <w:rPr>
      <w:rFonts w:eastAsia="STKaiti" w:cs="Calibri"/>
      <w:noProof/>
      <w:color w:val="0070C0"/>
      <w:sz w:val="22"/>
      <w:szCs w:val="22"/>
      <w:u w:val="single"/>
    </w:rPr>
  </w:style>
  <w:style w:type="character" w:customStyle="1" w:styleId="StyleHyperlinkLatinMicrosoftYaHeiAsianSTKaitiComple">
    <w:name w:val="Style Hyperlink + (Latin) Microsoft YaHei (Asian) STKaiti (Comple..."/>
    <w:basedOn w:val="Hyperlink"/>
    <w:rsid w:val="0094419F"/>
    <w:rPr>
      <w:rFonts w:ascii="Microsoft YaHei" w:eastAsia="STKaiti" w:hAnsi="Microsoft YaHei" w:cs="Microsoft YaHei"/>
      <w:noProof/>
      <w:color w:val="0070C0"/>
      <w:sz w:val="22"/>
      <w:szCs w:val="22"/>
      <w:u w:val="single"/>
    </w:rPr>
  </w:style>
  <w:style w:type="character" w:customStyle="1" w:styleId="StyleHyperlinkAsianSimSunBlueUnderline">
    <w:name w:val="Style Hyperlink + (Asian) SimSun Blue Underline"/>
    <w:basedOn w:val="Hyperlink"/>
    <w:rsid w:val="0094419F"/>
    <w:rPr>
      <w:rFonts w:eastAsia="SimSun"/>
      <w:noProof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28rev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0</TotalTime>
  <Pages>3</Pages>
  <Words>1543</Words>
  <Characters>1842</Characters>
  <Application>Microsoft Office Word</Application>
  <DocSecurity>0</DocSecurity>
  <Lines>119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requests for exemption from fees for organizations of an international character</dc:title>
  <dc:subject>ITU Council 2025</dc:subject>
  <cp:keywords>C2025, C25, Council-25</cp:keywords>
  <dc:description/>
  <cp:lastPrinted>2015-02-24T13:23:00Z</cp:lastPrinted>
  <dcterms:created xsi:type="dcterms:W3CDTF">2025-05-23T09:20:00Z</dcterms:created>
  <dcterms:modified xsi:type="dcterms:W3CDTF">2025-05-23T09:20:00Z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