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55820E0B" w14:textId="77777777" w:rsidTr="00F363FE">
        <w:tc>
          <w:tcPr>
            <w:tcW w:w="6512" w:type="dxa"/>
          </w:tcPr>
          <w:p w14:paraId="550EC003" w14:textId="5F0EFF6C" w:rsidR="007B0AA0" w:rsidRPr="007B0AA0" w:rsidRDefault="003934BA" w:rsidP="003934BA">
            <w:pPr>
              <w:spacing w:before="60" w:after="60" w:line="260" w:lineRule="exact"/>
              <w:rPr>
                <w:b/>
                <w:bCs/>
                <w:rtl/>
                <w:lang w:bidi="ar-EG"/>
              </w:rPr>
            </w:pPr>
            <w:r w:rsidRPr="003934BA">
              <w:rPr>
                <w:b/>
                <w:bCs/>
                <w:rtl/>
              </w:rPr>
              <w:t>بند جدول الأعمال</w:t>
            </w:r>
            <w:r w:rsidRPr="003934BA">
              <w:rPr>
                <w:b/>
                <w:bCs/>
                <w:lang w:bidi="ar-EG"/>
              </w:rPr>
              <w:t>:</w:t>
            </w:r>
            <w:r w:rsidRPr="003934BA">
              <w:rPr>
                <w:b/>
                <w:bCs/>
                <w:rtl/>
              </w:rPr>
              <w:t xml:space="preserve"> ADM 1</w:t>
            </w:r>
          </w:p>
        </w:tc>
        <w:tc>
          <w:tcPr>
            <w:tcW w:w="3117" w:type="dxa"/>
          </w:tcPr>
          <w:p w14:paraId="31E912C6" w14:textId="459E2E8B"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F76E69">
              <w:rPr>
                <w:b/>
                <w:bCs/>
                <w:lang w:bidi="ar-EG"/>
              </w:rPr>
              <w:t>65</w:t>
            </w:r>
            <w:r w:rsidRPr="007B0AA0">
              <w:rPr>
                <w:b/>
                <w:bCs/>
                <w:lang w:bidi="ar-EG"/>
              </w:rPr>
              <w:t>-A</w:t>
            </w:r>
          </w:p>
        </w:tc>
      </w:tr>
      <w:tr w:rsidR="007B0AA0" w14:paraId="0D8D3DF0" w14:textId="77777777" w:rsidTr="00F363FE">
        <w:tc>
          <w:tcPr>
            <w:tcW w:w="6512" w:type="dxa"/>
          </w:tcPr>
          <w:p w14:paraId="7961AD36" w14:textId="77777777" w:rsidR="007B0AA0" w:rsidRPr="007B0AA0" w:rsidRDefault="007B0AA0" w:rsidP="00F363FE">
            <w:pPr>
              <w:spacing w:before="60" w:after="60" w:line="260" w:lineRule="exact"/>
              <w:rPr>
                <w:b/>
                <w:bCs/>
                <w:rtl/>
                <w:lang w:bidi="ar-EG"/>
              </w:rPr>
            </w:pPr>
          </w:p>
        </w:tc>
        <w:tc>
          <w:tcPr>
            <w:tcW w:w="3117" w:type="dxa"/>
          </w:tcPr>
          <w:p w14:paraId="333EDC11" w14:textId="55C3E0D0" w:rsidR="007B0AA0" w:rsidRPr="007B0AA0" w:rsidRDefault="001754B2" w:rsidP="00F363FE">
            <w:pPr>
              <w:spacing w:before="60" w:after="60" w:line="260" w:lineRule="exact"/>
              <w:rPr>
                <w:b/>
                <w:bCs/>
                <w:rtl/>
                <w:lang w:bidi="ar-EG"/>
              </w:rPr>
            </w:pPr>
            <w:r>
              <w:rPr>
                <w:rFonts w:hint="cs"/>
                <w:b/>
                <w:bCs/>
                <w:rtl/>
                <w:lang w:bidi="ar-EG"/>
              </w:rPr>
              <w:t>16</w:t>
            </w:r>
            <w:r w:rsidR="003934BA" w:rsidRPr="003934BA">
              <w:rPr>
                <w:b/>
                <w:bCs/>
                <w:rtl/>
                <w:lang w:bidi="ar-EG"/>
              </w:rPr>
              <w:t xml:space="preserve"> مايو 2025</w:t>
            </w:r>
          </w:p>
        </w:tc>
      </w:tr>
      <w:tr w:rsidR="007B0AA0" w14:paraId="576AFF69" w14:textId="77777777" w:rsidTr="00F363FE">
        <w:tc>
          <w:tcPr>
            <w:tcW w:w="6512" w:type="dxa"/>
          </w:tcPr>
          <w:p w14:paraId="7E8DD7C8" w14:textId="77777777" w:rsidR="007B0AA0" w:rsidRPr="007B0AA0" w:rsidRDefault="007B0AA0" w:rsidP="00F363FE">
            <w:pPr>
              <w:spacing w:before="60" w:after="60" w:line="260" w:lineRule="exact"/>
              <w:rPr>
                <w:b/>
                <w:bCs/>
                <w:rtl/>
                <w:lang w:bidi="ar-EG"/>
              </w:rPr>
            </w:pPr>
          </w:p>
        </w:tc>
        <w:tc>
          <w:tcPr>
            <w:tcW w:w="3117" w:type="dxa"/>
          </w:tcPr>
          <w:p w14:paraId="229C0B52"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46EA7172" w14:textId="77777777" w:rsidTr="00F363FE">
        <w:tc>
          <w:tcPr>
            <w:tcW w:w="6512" w:type="dxa"/>
          </w:tcPr>
          <w:p w14:paraId="3ED548F2" w14:textId="77777777" w:rsidR="007B0AA0" w:rsidRDefault="007B0AA0" w:rsidP="00F363FE">
            <w:pPr>
              <w:spacing w:before="60" w:after="60" w:line="260" w:lineRule="exact"/>
              <w:rPr>
                <w:lang w:bidi="ar-EG"/>
              </w:rPr>
            </w:pPr>
          </w:p>
        </w:tc>
        <w:tc>
          <w:tcPr>
            <w:tcW w:w="3117" w:type="dxa"/>
          </w:tcPr>
          <w:p w14:paraId="175C31AD" w14:textId="77777777" w:rsidR="007B0AA0" w:rsidRDefault="007B0AA0" w:rsidP="00F363FE">
            <w:pPr>
              <w:spacing w:before="60" w:after="60" w:line="260" w:lineRule="exact"/>
              <w:rPr>
                <w:rtl/>
                <w:lang w:bidi="ar-EG"/>
              </w:rPr>
            </w:pPr>
          </w:p>
        </w:tc>
      </w:tr>
      <w:tr w:rsidR="007B0AA0" w14:paraId="77A86A06" w14:textId="77777777" w:rsidTr="00EE7446">
        <w:tc>
          <w:tcPr>
            <w:tcW w:w="9629" w:type="dxa"/>
            <w:gridSpan w:val="2"/>
          </w:tcPr>
          <w:p w14:paraId="2B0EF3B6" w14:textId="77777777" w:rsidR="007B0AA0" w:rsidRDefault="001D64C7" w:rsidP="007B0AA0">
            <w:pPr>
              <w:pStyle w:val="Source"/>
              <w:jc w:val="left"/>
              <w:rPr>
                <w:lang w:bidi="ar-EG"/>
              </w:rPr>
            </w:pPr>
            <w:r>
              <w:rPr>
                <w:rFonts w:hint="cs"/>
                <w:rtl/>
                <w:lang w:bidi="ar-EG"/>
              </w:rPr>
              <w:t>تقرير من الأمينة العامة</w:t>
            </w:r>
          </w:p>
        </w:tc>
      </w:tr>
      <w:tr w:rsidR="007B0AA0" w14:paraId="602239D4" w14:textId="77777777" w:rsidTr="007B0AA0">
        <w:tc>
          <w:tcPr>
            <w:tcW w:w="9629" w:type="dxa"/>
            <w:gridSpan w:val="2"/>
            <w:tcBorders>
              <w:bottom w:val="single" w:sz="4" w:space="0" w:color="auto"/>
            </w:tcBorders>
          </w:tcPr>
          <w:p w14:paraId="12F87160" w14:textId="39D3E9FE" w:rsidR="007B0AA0" w:rsidRPr="005546CF" w:rsidRDefault="003934BA" w:rsidP="003934BA">
            <w:pPr>
              <w:pStyle w:val="Subtitle0"/>
              <w:rPr>
                <w:sz w:val="32"/>
                <w:szCs w:val="32"/>
              </w:rPr>
            </w:pPr>
            <w:r w:rsidRPr="003934BA">
              <w:rPr>
                <w:sz w:val="32"/>
                <w:szCs w:val="32"/>
                <w:rtl/>
                <w:lang w:bidi="ar-SA"/>
              </w:rPr>
              <w:t>طلبات الإعفاء الجديدة المقدمة من المنظمات ذات الطابع الدولي</w:t>
            </w:r>
          </w:p>
        </w:tc>
      </w:tr>
      <w:tr w:rsidR="007B0AA0" w14:paraId="0E91631A" w14:textId="77777777" w:rsidTr="007B0AA0">
        <w:tc>
          <w:tcPr>
            <w:tcW w:w="9629" w:type="dxa"/>
            <w:gridSpan w:val="2"/>
            <w:tcBorders>
              <w:top w:val="single" w:sz="4" w:space="0" w:color="auto"/>
              <w:bottom w:val="single" w:sz="4" w:space="0" w:color="auto"/>
            </w:tcBorders>
          </w:tcPr>
          <w:p w14:paraId="1C115E92" w14:textId="5A3744CD" w:rsidR="007B0AA0" w:rsidRPr="007B0AA0" w:rsidRDefault="007B0AA0" w:rsidP="007B0AA0">
            <w:pPr>
              <w:rPr>
                <w:b/>
                <w:bCs/>
                <w:rtl/>
              </w:rPr>
            </w:pPr>
            <w:r w:rsidRPr="007B0AA0">
              <w:rPr>
                <w:rFonts w:hint="cs"/>
                <w:b/>
                <w:bCs/>
                <w:rtl/>
              </w:rPr>
              <w:t>الغرض</w:t>
            </w:r>
          </w:p>
          <w:p w14:paraId="6165D7BC" w14:textId="7A10C551" w:rsidR="007B0AA0" w:rsidRDefault="003934BA" w:rsidP="003934BA">
            <w:pPr>
              <w:rPr>
                <w:rtl/>
              </w:rPr>
            </w:pPr>
            <w:r w:rsidRPr="003934BA">
              <w:rPr>
                <w:rtl/>
              </w:rPr>
              <w:t>يتلقَّى الاتحاد الدولي للاتصالات سنوياً من المنظمات ذات الطابع الدولي طلبات تلتمس فيها هذه المنظمات إعفاءها من دفع رسوم العضوية في الاتحاد وتقديم مساهمات مالية أخرى إليه على أساس مبدأ المعاملة بالمثل. وتستعرض الأمانة هذه الطلبات الجديدة وفقاً للمعايير التي حددها المجلس.</w:t>
            </w:r>
          </w:p>
          <w:p w14:paraId="1B123931" w14:textId="77777777" w:rsidR="007B0AA0" w:rsidRPr="007B0AA0" w:rsidRDefault="007B0AA0" w:rsidP="007B0AA0">
            <w:pPr>
              <w:rPr>
                <w:b/>
                <w:bCs/>
                <w:rtl/>
              </w:rPr>
            </w:pPr>
            <w:r w:rsidRPr="007B0AA0">
              <w:rPr>
                <w:rFonts w:hint="cs"/>
                <w:b/>
                <w:bCs/>
                <w:rtl/>
              </w:rPr>
              <w:t>الإجراء المطلوب من المجلس</w:t>
            </w:r>
          </w:p>
          <w:p w14:paraId="2528C3E0" w14:textId="70348549" w:rsidR="007B0AA0" w:rsidRDefault="003934BA" w:rsidP="003934BA">
            <w:pPr>
              <w:rPr>
                <w:rtl/>
              </w:rPr>
            </w:pPr>
            <w:r w:rsidRPr="003934BA">
              <w:rPr>
                <w:rtl/>
              </w:rPr>
              <w:t xml:space="preserve">يُدعى المجلس إلى </w:t>
            </w:r>
            <w:r w:rsidRPr="003934BA">
              <w:rPr>
                <w:b/>
                <w:bCs/>
                <w:rtl/>
              </w:rPr>
              <w:t xml:space="preserve">النظر في </w:t>
            </w:r>
            <w:r w:rsidRPr="003934BA">
              <w:rPr>
                <w:rtl/>
              </w:rPr>
              <w:t>توصيات الأمينة العامة بشأن طلبات الإعفاء الجديدة.</w:t>
            </w:r>
          </w:p>
          <w:p w14:paraId="27EF2F42" w14:textId="18928A25" w:rsidR="007B0AA0" w:rsidRPr="007B0AA0" w:rsidRDefault="00DF53D2" w:rsidP="007B0AA0">
            <w:pPr>
              <w:rPr>
                <w:b/>
                <w:bCs/>
                <w:rtl/>
              </w:rPr>
            </w:pPr>
            <w:r>
              <w:rPr>
                <w:rFonts w:hint="cs"/>
                <w:b/>
                <w:bCs/>
                <w:rtl/>
              </w:rPr>
              <w:t>الروابط ذات</w:t>
            </w:r>
            <w:r w:rsidR="007B0AA0" w:rsidRPr="007B0AA0">
              <w:rPr>
                <w:b/>
                <w:bCs/>
                <w:rtl/>
              </w:rPr>
              <w:t xml:space="preserve"> الصلة بالخطة ال</w:t>
            </w:r>
            <w:r w:rsidR="007B0AA0" w:rsidRPr="007B0AA0">
              <w:rPr>
                <w:rFonts w:hint="cs"/>
                <w:b/>
                <w:bCs/>
                <w:rtl/>
              </w:rPr>
              <w:t>ا</w:t>
            </w:r>
            <w:r w:rsidR="007B0AA0" w:rsidRPr="007B0AA0">
              <w:rPr>
                <w:b/>
                <w:bCs/>
                <w:rtl/>
              </w:rPr>
              <w:t>ستراتيجية</w:t>
            </w:r>
          </w:p>
          <w:p w14:paraId="1DF4CA60" w14:textId="33A85FD8" w:rsidR="007B0AA0" w:rsidRDefault="003934BA" w:rsidP="003934BA">
            <w:pPr>
              <w:rPr>
                <w:rtl/>
              </w:rPr>
            </w:pPr>
            <w:r w:rsidRPr="003934BA">
              <w:rPr>
                <w:rtl/>
              </w:rPr>
              <w:t>الشراكات والتعاون الدولي.</w:t>
            </w:r>
          </w:p>
          <w:p w14:paraId="53047EB8" w14:textId="77777777" w:rsidR="007B0AA0" w:rsidRDefault="007B0AA0" w:rsidP="00B97F32">
            <w:pPr>
              <w:rPr>
                <w:b/>
                <w:bCs/>
              </w:rPr>
            </w:pPr>
            <w:r w:rsidRPr="007B0AA0">
              <w:rPr>
                <w:rFonts w:hint="cs"/>
                <w:b/>
                <w:bCs/>
                <w:rtl/>
              </w:rPr>
              <w:t>الآثار المالية</w:t>
            </w:r>
          </w:p>
          <w:p w14:paraId="6E7E3B5F" w14:textId="061FB0AE" w:rsidR="006F363C" w:rsidRPr="005546CF" w:rsidRDefault="003934BA" w:rsidP="003934BA">
            <w:pPr>
              <w:rPr>
                <w:rtl/>
              </w:rPr>
            </w:pPr>
            <w:r w:rsidRPr="003934BA">
              <w:rPr>
                <w:rtl/>
              </w:rPr>
              <w:t xml:space="preserve">تبلغ قيمة رسوم العضوية المعفى من دفعها </w:t>
            </w:r>
            <w:r w:rsidR="00652B50">
              <w:t>160 000</w:t>
            </w:r>
            <w:r w:rsidRPr="003934BA">
              <w:rPr>
                <w:rtl/>
              </w:rPr>
              <w:t xml:space="preserve"> فرنك سويسري سنوياً.</w:t>
            </w:r>
          </w:p>
          <w:p w14:paraId="7BB8A63E"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75CE86BD" w14:textId="77777777" w:rsidR="007B0AA0" w:rsidRPr="007B0AA0" w:rsidRDefault="007B0AA0" w:rsidP="007B0AA0">
            <w:pPr>
              <w:rPr>
                <w:b/>
                <w:bCs/>
                <w:rtl/>
              </w:rPr>
            </w:pPr>
            <w:r w:rsidRPr="007B0AA0">
              <w:rPr>
                <w:rFonts w:hint="cs"/>
                <w:b/>
                <w:bCs/>
                <w:rtl/>
              </w:rPr>
              <w:t>المراجع</w:t>
            </w:r>
          </w:p>
          <w:p w14:paraId="0F14085C" w14:textId="1D94D3B2" w:rsidR="007B0AA0" w:rsidRPr="005546CF" w:rsidRDefault="003934BA" w:rsidP="000C3ECC">
            <w:pPr>
              <w:rPr>
                <w:i/>
                <w:iCs/>
                <w:rtl/>
              </w:rPr>
            </w:pPr>
            <w:r w:rsidRPr="003934BA">
              <w:rPr>
                <w:i/>
                <w:iCs/>
                <w:rtl/>
              </w:rPr>
              <w:t xml:space="preserve">الوثيقة </w:t>
            </w:r>
            <w:hyperlink r:id="rId8" w:history="1">
              <w:r w:rsidR="000C3ECC" w:rsidRPr="000C3ECC">
                <w:rPr>
                  <w:rStyle w:val="Hyperlink"/>
                  <w:rFonts w:ascii="Dubai" w:eastAsiaTheme="minorEastAsia" w:hAnsi="Dubai" w:cs="Dubai"/>
                  <w:i/>
                  <w:iCs/>
                  <w:noProof w:val="0"/>
                  <w:sz w:val="22"/>
                  <w:lang w:eastAsia="zh-CN"/>
                </w:rPr>
                <w:t>C2000/28(Rev.1)</w:t>
              </w:r>
            </w:hyperlink>
            <w:r w:rsidRPr="003934BA">
              <w:rPr>
                <w:i/>
                <w:iCs/>
                <w:rtl/>
              </w:rPr>
              <w:t xml:space="preserve">، </w:t>
            </w:r>
            <w:hyperlink r:id="rId9" w:history="1">
              <w:r w:rsidRPr="000C3ECC">
                <w:rPr>
                  <w:rStyle w:val="Hyperlink"/>
                  <w:rFonts w:ascii="Dubai" w:eastAsiaTheme="minorEastAsia" w:hAnsi="Dubai" w:cs="Dubai"/>
                  <w:i/>
                  <w:iCs/>
                  <w:noProof w:val="0"/>
                  <w:sz w:val="22"/>
                  <w:rtl/>
                  <w:lang w:val="en-US" w:eastAsia="zh-CN"/>
                </w:rPr>
                <w:t>قرار المجلس 925</w:t>
              </w:r>
            </w:hyperlink>
            <w:r w:rsidRPr="003934BA">
              <w:rPr>
                <w:i/>
                <w:iCs/>
                <w:rtl/>
              </w:rPr>
              <w:t xml:space="preserve">، </w:t>
            </w:r>
            <w:hyperlink r:id="rId10" w:anchor="/ar" w:history="1">
              <w:r w:rsidRPr="000C3ECC">
                <w:rPr>
                  <w:rStyle w:val="Hyperlink"/>
                  <w:rFonts w:ascii="Dubai" w:eastAsiaTheme="minorEastAsia" w:hAnsi="Dubai" w:cs="Dubai"/>
                  <w:i/>
                  <w:iCs/>
                  <w:noProof w:val="0"/>
                  <w:sz w:val="22"/>
                  <w:rtl/>
                  <w:lang w:val="en-US" w:eastAsia="zh-CN"/>
                </w:rPr>
                <w:t>معايير المجلس للإعفاء من رسوم العضوية (المراج</w:t>
              </w:r>
              <w:r w:rsidR="00C142DE" w:rsidRPr="000C3ECC">
                <w:rPr>
                  <w:rStyle w:val="Hyperlink"/>
                  <w:rFonts w:ascii="Dubai" w:eastAsiaTheme="minorEastAsia" w:hAnsi="Dubai" w:cs="Dubai" w:hint="cs"/>
                  <w:i/>
                  <w:iCs/>
                  <w:noProof w:val="0"/>
                  <w:sz w:val="22"/>
                  <w:rtl/>
                  <w:lang w:val="en-US" w:eastAsia="zh-CN"/>
                </w:rPr>
                <w:t>َ</w:t>
              </w:r>
              <w:r w:rsidRPr="000C3ECC">
                <w:rPr>
                  <w:rStyle w:val="Hyperlink"/>
                  <w:rFonts w:ascii="Dubai" w:eastAsiaTheme="minorEastAsia" w:hAnsi="Dubai" w:cs="Dubai"/>
                  <w:i/>
                  <w:iCs/>
                  <w:noProof w:val="0"/>
                  <w:sz w:val="22"/>
                  <w:rtl/>
                  <w:lang w:val="en-US" w:eastAsia="zh-CN"/>
                </w:rPr>
                <w:t>ع في 2017)</w:t>
              </w:r>
            </w:hyperlink>
          </w:p>
        </w:tc>
      </w:tr>
    </w:tbl>
    <w:p w14:paraId="0C7AA616" w14:textId="77777777" w:rsidR="00F50E3F" w:rsidRDefault="00F50E3F" w:rsidP="0043260A">
      <w:pPr>
        <w:rPr>
          <w:rtl/>
          <w:lang w:bidi="ar-EG"/>
        </w:rPr>
      </w:pPr>
      <w:r>
        <w:rPr>
          <w:rtl/>
          <w:lang w:bidi="ar-EG"/>
        </w:rPr>
        <w:br w:type="page"/>
      </w:r>
    </w:p>
    <w:p w14:paraId="24AE4844" w14:textId="3B76C42D" w:rsidR="003934BA" w:rsidRPr="003934BA" w:rsidRDefault="0083780D" w:rsidP="0083780D">
      <w:pPr>
        <w:pStyle w:val="Heading1"/>
        <w:rPr>
          <w:lang w:val="ar-SA" w:bidi="ar-EG"/>
        </w:rPr>
      </w:pPr>
      <w:r>
        <w:lastRenderedPageBreak/>
        <w:t>1</w:t>
      </w:r>
      <w:r w:rsidR="003934BA" w:rsidRPr="003934BA">
        <w:rPr>
          <w:rtl/>
        </w:rPr>
        <w:tab/>
        <w:t>خلفية</w:t>
      </w:r>
    </w:p>
    <w:p w14:paraId="4D171731" w14:textId="0260798A" w:rsidR="003934BA" w:rsidRPr="003934BA" w:rsidRDefault="0083780D" w:rsidP="000C3ECC">
      <w:pPr>
        <w:rPr>
          <w:lang w:val="ar-SA" w:bidi="ar-EG"/>
        </w:rPr>
      </w:pPr>
      <w:r>
        <w:t>1.1</w:t>
      </w:r>
      <w:r w:rsidR="003934BA" w:rsidRPr="003934BA">
        <w:rPr>
          <w:rtl/>
        </w:rPr>
        <w:tab/>
        <w:t xml:space="preserve">يتلقَّى الاتحاد الدولي للاتصالات سنوياً من المنظمات ذات الطابع الدولي طلبات تلتمس فيها هذه المنظمات إعفاءها من دفع رسوم العضوية في الاتحاد وتقديم مساهمات مالية أخرى إليه. ويُنظر في هذه الطلبات وفقاً للإجراء الذي حدده المجلس في دورته لعام 2000 (الوثيقة </w:t>
      </w:r>
      <w:hyperlink r:id="rId11" w:history="1">
        <w:r w:rsidR="000C3ECC" w:rsidRPr="000C3ECC">
          <w:rPr>
            <w:rStyle w:val="Hyperlink"/>
            <w:rFonts w:ascii="Dubai" w:eastAsiaTheme="minorEastAsia" w:hAnsi="Dubai" w:cs="Dubai"/>
            <w:noProof w:val="0"/>
            <w:sz w:val="22"/>
            <w:lang w:eastAsia="zh-CN"/>
          </w:rPr>
          <w:t>C2000/28(Rev.1)</w:t>
        </w:r>
      </w:hyperlink>
      <w:r w:rsidR="000C3ECC">
        <w:rPr>
          <w:rFonts w:hint="cs"/>
          <w:rtl/>
        </w:rPr>
        <w:t>)</w:t>
      </w:r>
      <w:r w:rsidR="003934BA" w:rsidRPr="003934BA">
        <w:rPr>
          <w:rtl/>
        </w:rPr>
        <w:t xml:space="preserve"> وطبقاً لأحكام الرقم 476 من اتفاقية الاتحاد و</w:t>
      </w:r>
      <w:hyperlink r:id="rId12" w:history="1">
        <w:r w:rsidR="003934BA" w:rsidRPr="000C3ECC">
          <w:rPr>
            <w:rStyle w:val="Hyperlink"/>
            <w:rFonts w:ascii="Dubai" w:eastAsiaTheme="minorEastAsia" w:hAnsi="Dubai" w:cs="Dubai"/>
            <w:noProof w:val="0"/>
            <w:sz w:val="22"/>
            <w:rtl/>
            <w:lang w:val="en-US" w:eastAsia="zh-CN"/>
          </w:rPr>
          <w:t>أحكام قرار المجلس 925</w:t>
        </w:r>
      </w:hyperlink>
      <w:r w:rsidR="003934BA" w:rsidRPr="003934BA">
        <w:rPr>
          <w:rtl/>
        </w:rPr>
        <w:t>، وكذلك المعايير التي وضعها المجلس وروجعت في عام 2017 (انظر الفقرة 5.1 أدناه).</w:t>
      </w:r>
    </w:p>
    <w:p w14:paraId="09E19F60" w14:textId="1793BE0D" w:rsidR="003934BA" w:rsidRPr="003934BA" w:rsidRDefault="000B6D61" w:rsidP="003934BA">
      <w:pPr>
        <w:rPr>
          <w:lang w:val="ar-SA" w:bidi="ar-EG"/>
        </w:rPr>
      </w:pPr>
      <w:r>
        <w:t>2.1</w:t>
      </w:r>
      <w:r w:rsidR="003934BA" w:rsidRPr="003934BA">
        <w:rPr>
          <w:rtl/>
        </w:rPr>
        <w:tab/>
        <w:t>ويمنح المجلس الإعفاء من رسوم العضوية بناءً على تحليل تجريه المكاتب المعنية وبتوصية من الأمينة العامة. وفي حالة الموافقة، تصبح هذه المنظمات بموجب أحكام الرقم 231 من اتفاقية الاتحاد أعضاء في القطاع المعني أو</w:t>
      </w:r>
      <w:r w:rsidR="00BA2086">
        <w:rPr>
          <w:rFonts w:hint="cs"/>
          <w:rtl/>
        </w:rPr>
        <w:t> </w:t>
      </w:r>
      <w:r w:rsidR="003934BA" w:rsidRPr="003934BA">
        <w:rPr>
          <w:rtl/>
        </w:rPr>
        <w:t>منتسبة إليه.</w:t>
      </w:r>
    </w:p>
    <w:p w14:paraId="2FABE0EB" w14:textId="43721415" w:rsidR="003934BA" w:rsidRPr="003934BA" w:rsidRDefault="0083780D" w:rsidP="003934BA">
      <w:pPr>
        <w:rPr>
          <w:lang w:val="ar-SA" w:bidi="ar-EG"/>
        </w:rPr>
      </w:pPr>
      <w:r>
        <w:t>3.1</w:t>
      </w:r>
      <w:r w:rsidR="003934BA" w:rsidRPr="003934BA">
        <w:rPr>
          <w:rtl/>
        </w:rPr>
        <w:tab/>
        <w:t xml:space="preserve">وحالياً، يبلغ عدد المنظمات ذات الطابع الدولي المعفاة من رسوم العضوية 137 منظمة. ويمكن الاطلاع </w:t>
      </w:r>
      <w:r w:rsidR="003934BA" w:rsidRPr="00DB7FD7">
        <w:rPr>
          <w:rtl/>
        </w:rPr>
        <w:t>هنا</w:t>
      </w:r>
      <w:r w:rsidR="003934BA" w:rsidRPr="003934BA">
        <w:rPr>
          <w:rtl/>
        </w:rPr>
        <w:t xml:space="preserve"> على قائمة كاملة بأسماء هذه المنظمات.</w:t>
      </w:r>
    </w:p>
    <w:p w14:paraId="6FE0764D" w14:textId="1C46185A" w:rsidR="003934BA" w:rsidRPr="003934BA" w:rsidRDefault="0083780D" w:rsidP="003934BA">
      <w:pPr>
        <w:rPr>
          <w:lang w:val="ar-SA" w:bidi="ar-EG"/>
        </w:rPr>
      </w:pPr>
      <w:r>
        <w:t>4.1</w:t>
      </w:r>
      <w:r w:rsidR="003934BA" w:rsidRPr="003934BA">
        <w:rPr>
          <w:rtl/>
        </w:rPr>
        <w:tab/>
        <w:t>وفي القرار 187 (بوسان، 2014) لمؤتمر المندوبين المفوضين لعام 2014، كلَّف المؤتمر المجلس "باستعراض الممارسة والمعايير المتعلقة بإعفاء الكيانات من رسوم العضوية والقيام، عند اللزوم، بالتغييرات اللازمة لتشديد معايير الأهلية من أجل المساعدة في زيادة الوضوح والاتساق والإنصاف بين الأعضاء الذين يدفعون رسوماً والأعضاء الذين لا</w:t>
      </w:r>
      <w:r w:rsidR="00BA2086">
        <w:rPr>
          <w:rFonts w:hint="cs"/>
          <w:rtl/>
        </w:rPr>
        <w:t> </w:t>
      </w:r>
      <w:r w:rsidR="003934BA" w:rsidRPr="003934BA">
        <w:rPr>
          <w:rtl/>
        </w:rPr>
        <w:t>يدفعون أي رسوم وتقليص العدد الإجمالي للكيانات المعفاة".</w:t>
      </w:r>
    </w:p>
    <w:p w14:paraId="11276D80" w14:textId="329B2631" w:rsidR="003934BA" w:rsidRPr="003934BA" w:rsidRDefault="00C77D8F" w:rsidP="003934BA">
      <w:pPr>
        <w:rPr>
          <w:lang w:val="ar-SA" w:bidi="ar-EG"/>
        </w:rPr>
      </w:pPr>
      <w:r w:rsidRPr="00DB7FD7">
        <w:t>5.1</w:t>
      </w:r>
      <w:r w:rsidR="003934BA" w:rsidRPr="00DB7FD7">
        <w:rPr>
          <w:rtl/>
        </w:rPr>
        <w:tab/>
        <w:t>ووافق المجلس في دورته لعام 2017 على نسخة مراج</w:t>
      </w:r>
      <w:r w:rsidR="00C142DE" w:rsidRPr="00DB7FD7">
        <w:rPr>
          <w:rFonts w:hint="cs"/>
          <w:rtl/>
        </w:rPr>
        <w:t>َ</w:t>
      </w:r>
      <w:r w:rsidR="003934BA" w:rsidRPr="00DB7FD7">
        <w:rPr>
          <w:rtl/>
        </w:rPr>
        <w:t xml:space="preserve">عة من معايير الإعفاء، يمكن الاطلاع عليها </w:t>
      </w:r>
      <w:hyperlink r:id="rId13" w:anchor="/ar" w:history="1">
        <w:r w:rsidR="003934BA" w:rsidRPr="00DB7FD7">
          <w:rPr>
            <w:rStyle w:val="Hyperlink"/>
            <w:rFonts w:ascii="Dubai" w:eastAsiaTheme="minorEastAsia" w:hAnsi="Dubai" w:cs="Dubai"/>
            <w:noProof w:val="0"/>
            <w:sz w:val="22"/>
            <w:rtl/>
            <w:lang w:val="en-US" w:eastAsia="zh-CN"/>
          </w:rPr>
          <w:t>هنا</w:t>
        </w:r>
      </w:hyperlink>
      <w:r w:rsidR="003934BA" w:rsidRPr="00DB7FD7">
        <w:rPr>
          <w:rtl/>
        </w:rPr>
        <w:t>. ومنذ ذلك الحين، استعرض المجلس في كل من دوراته طلبات الإعفاء الجديدة وفقاً لهذه المعايير.</w:t>
      </w:r>
    </w:p>
    <w:p w14:paraId="30A06EFD" w14:textId="4CB88AC8" w:rsidR="003934BA" w:rsidRPr="003934BA" w:rsidRDefault="0083780D" w:rsidP="003934BA">
      <w:pPr>
        <w:rPr>
          <w:lang w:val="ar-SA" w:bidi="ar-EG"/>
        </w:rPr>
      </w:pPr>
      <w:r>
        <w:t>6.1</w:t>
      </w:r>
      <w:r w:rsidR="003934BA" w:rsidRPr="003934BA">
        <w:rPr>
          <w:rtl/>
        </w:rPr>
        <w:tab/>
        <w:t>وتقتصر هذه الوثيقة على تناول طلبات الإعفاء من الرسوم الجديدة المقدمة منذ دورة المجلس الأخيرة.</w:t>
      </w:r>
    </w:p>
    <w:p w14:paraId="15CEAF30" w14:textId="77777777" w:rsidR="003934BA" w:rsidRPr="003934BA" w:rsidRDefault="003934BA" w:rsidP="0083780D">
      <w:pPr>
        <w:pStyle w:val="Heading1"/>
        <w:rPr>
          <w:lang w:val="ar-SA" w:bidi="ar-EG"/>
        </w:rPr>
      </w:pPr>
      <w:r w:rsidRPr="003934BA">
        <w:rPr>
          <w:rtl/>
        </w:rPr>
        <w:t>2</w:t>
      </w:r>
      <w:r w:rsidRPr="003934BA">
        <w:rPr>
          <w:rtl/>
        </w:rPr>
        <w:tab/>
        <w:t>الطلبات الجديدة والتوصيات</w:t>
      </w:r>
    </w:p>
    <w:p w14:paraId="35237EA8" w14:textId="77CEDCFA" w:rsidR="003934BA" w:rsidRPr="003934BA" w:rsidRDefault="0083780D" w:rsidP="007C234C">
      <w:pPr>
        <w:pStyle w:val="Heading2"/>
        <w:rPr>
          <w:lang w:val="ar-SA" w:bidi="ar-EG"/>
        </w:rPr>
      </w:pPr>
      <w:r>
        <w:t>1.2</w:t>
      </w:r>
    </w:p>
    <w:tbl>
      <w:tblPr>
        <w:tblStyle w:val="TableGrid"/>
        <w:bidiVisual/>
        <w:tblW w:w="0" w:type="auto"/>
        <w:tblLayout w:type="fixed"/>
        <w:tblLook w:val="04A0" w:firstRow="1" w:lastRow="0" w:firstColumn="1" w:lastColumn="0" w:noHBand="0" w:noVBand="1"/>
      </w:tblPr>
      <w:tblGrid>
        <w:gridCol w:w="3020"/>
        <w:gridCol w:w="3020"/>
        <w:gridCol w:w="3021"/>
      </w:tblGrid>
      <w:tr w:rsidR="003934BA" w:rsidRPr="0083780D" w14:paraId="7E5411F1" w14:textId="77777777" w:rsidTr="00A64D66">
        <w:tc>
          <w:tcPr>
            <w:tcW w:w="3020" w:type="dxa"/>
          </w:tcPr>
          <w:p w14:paraId="2DBED20B" w14:textId="77777777" w:rsidR="003934BA" w:rsidRPr="0083780D" w:rsidRDefault="003934BA" w:rsidP="0083780D">
            <w:pPr>
              <w:pStyle w:val="Tablehead"/>
              <w:rPr>
                <w:lang w:val="ar-SA" w:bidi="ar-EG"/>
              </w:rPr>
            </w:pPr>
            <w:r w:rsidRPr="0083780D">
              <w:rPr>
                <w:rtl/>
              </w:rPr>
              <w:t>المنظمة</w:t>
            </w:r>
          </w:p>
        </w:tc>
        <w:tc>
          <w:tcPr>
            <w:tcW w:w="3020" w:type="dxa"/>
          </w:tcPr>
          <w:p w14:paraId="0C8CAFC3" w14:textId="77777777" w:rsidR="003934BA" w:rsidRPr="0083780D" w:rsidRDefault="003934BA" w:rsidP="0083780D">
            <w:pPr>
              <w:pStyle w:val="Tablehead"/>
              <w:rPr>
                <w:lang w:val="ar-SA" w:bidi="ar-EG"/>
              </w:rPr>
            </w:pPr>
            <w:r w:rsidRPr="0083780D">
              <w:rPr>
                <w:rtl/>
              </w:rPr>
              <w:t>القطاع</w:t>
            </w:r>
          </w:p>
        </w:tc>
        <w:tc>
          <w:tcPr>
            <w:tcW w:w="3021" w:type="dxa"/>
          </w:tcPr>
          <w:p w14:paraId="0C3F956C" w14:textId="77777777" w:rsidR="003934BA" w:rsidRPr="0083780D" w:rsidRDefault="003934BA" w:rsidP="0083780D">
            <w:pPr>
              <w:pStyle w:val="Tablehead"/>
              <w:rPr>
                <w:lang w:val="ar-SA" w:bidi="ar-EG"/>
              </w:rPr>
            </w:pPr>
            <w:r w:rsidRPr="0083780D">
              <w:rPr>
                <w:rtl/>
              </w:rPr>
              <w:t>التوصية</w:t>
            </w:r>
          </w:p>
        </w:tc>
      </w:tr>
      <w:tr w:rsidR="003934BA" w:rsidRPr="0083780D" w14:paraId="5D8C4843" w14:textId="77777777" w:rsidTr="00A64D66">
        <w:tc>
          <w:tcPr>
            <w:tcW w:w="3020" w:type="dxa"/>
            <w:vAlign w:val="center"/>
          </w:tcPr>
          <w:p w14:paraId="7A415637" w14:textId="77777777" w:rsidR="003934BA" w:rsidRPr="0083780D" w:rsidRDefault="003934BA" w:rsidP="0083780D">
            <w:pPr>
              <w:pStyle w:val="Tabletexte"/>
              <w:jc w:val="center"/>
              <w:rPr>
                <w:b/>
                <w:bCs/>
                <w:lang w:val="ar-SA" w:bidi="ar-EG"/>
              </w:rPr>
            </w:pPr>
            <w:r w:rsidRPr="0083780D">
              <w:rPr>
                <w:b/>
                <w:bCs/>
                <w:rtl/>
              </w:rPr>
              <w:t>المادة 19</w:t>
            </w:r>
          </w:p>
        </w:tc>
        <w:tc>
          <w:tcPr>
            <w:tcW w:w="3020" w:type="dxa"/>
            <w:vAlign w:val="center"/>
          </w:tcPr>
          <w:p w14:paraId="37956C00" w14:textId="5EB10281" w:rsidR="003934BA" w:rsidRPr="0083780D" w:rsidRDefault="003934BA" w:rsidP="0083780D">
            <w:pPr>
              <w:pStyle w:val="Tabletexte"/>
              <w:jc w:val="center"/>
              <w:rPr>
                <w:lang w:bidi="en-GB"/>
              </w:rPr>
            </w:pPr>
            <w:r w:rsidRPr="0083780D">
              <w:rPr>
                <w:rtl/>
              </w:rPr>
              <w:t>قطاع الاتصالات الراديوية</w:t>
            </w:r>
          </w:p>
        </w:tc>
        <w:tc>
          <w:tcPr>
            <w:tcW w:w="3021" w:type="dxa"/>
            <w:vAlign w:val="center"/>
          </w:tcPr>
          <w:p w14:paraId="7A5D04C1" w14:textId="77777777" w:rsidR="003934BA" w:rsidRPr="0083780D" w:rsidRDefault="003934BA" w:rsidP="0083780D">
            <w:pPr>
              <w:pStyle w:val="Tabletexte"/>
              <w:jc w:val="center"/>
              <w:rPr>
                <w:lang w:val="ar-SA" w:bidi="ar-EG"/>
              </w:rPr>
            </w:pPr>
            <w:r w:rsidRPr="0083780D">
              <w:rPr>
                <w:rtl/>
              </w:rPr>
              <w:t>لا</w:t>
            </w:r>
          </w:p>
        </w:tc>
      </w:tr>
    </w:tbl>
    <w:p w14:paraId="69BD1EC2" w14:textId="77777777" w:rsidR="003934BA" w:rsidRPr="003934BA" w:rsidRDefault="003934BA" w:rsidP="003934BA">
      <w:pPr>
        <w:rPr>
          <w:lang w:val="ar-SA" w:bidi="ar-EG"/>
        </w:rPr>
      </w:pPr>
      <w:r w:rsidRPr="003934BA">
        <w:rPr>
          <w:lang w:val="en-GB" w:bidi="ar-EG"/>
        </w:rPr>
        <w:t>“ARTICLE 19”</w:t>
      </w:r>
      <w:r w:rsidRPr="003934BA">
        <w:rPr>
          <w:rtl/>
        </w:rPr>
        <w:t xml:space="preserve"> كيان خيري مسجل في المملكة المتحدة. وهي رابطة دولية للمنظمات والأفراد الذين يركزون على حرية التعبير. وترى الأمانة أن هذا الكيان لا يستوفي المعايير التي وضعها المجلس للإعفاء من رسوم العضوية لأنه ليس منظمة قائمة على العضوية.</w:t>
      </w:r>
    </w:p>
    <w:p w14:paraId="1751F250" w14:textId="6AD2E166" w:rsidR="003934BA" w:rsidRPr="003934BA" w:rsidRDefault="0083780D" w:rsidP="007C234C">
      <w:pPr>
        <w:pStyle w:val="Heading2"/>
        <w:rPr>
          <w:lang w:val="ar-SA" w:bidi="ar-EG"/>
        </w:rPr>
      </w:pPr>
      <w:r>
        <w:t>2.2</w:t>
      </w:r>
    </w:p>
    <w:tbl>
      <w:tblPr>
        <w:tblStyle w:val="TableGrid"/>
        <w:bidiVisual/>
        <w:tblW w:w="0" w:type="auto"/>
        <w:tblLayout w:type="fixed"/>
        <w:tblLook w:val="04A0" w:firstRow="1" w:lastRow="0" w:firstColumn="1" w:lastColumn="0" w:noHBand="0" w:noVBand="1"/>
      </w:tblPr>
      <w:tblGrid>
        <w:gridCol w:w="3964"/>
        <w:gridCol w:w="2548"/>
        <w:gridCol w:w="2549"/>
      </w:tblGrid>
      <w:tr w:rsidR="003934BA" w:rsidRPr="0083780D" w14:paraId="2EA6D477" w14:textId="77777777" w:rsidTr="00A64D66">
        <w:tc>
          <w:tcPr>
            <w:tcW w:w="3964" w:type="dxa"/>
          </w:tcPr>
          <w:p w14:paraId="3DC9A7E0" w14:textId="77777777" w:rsidR="003934BA" w:rsidRPr="0083780D" w:rsidRDefault="003934BA" w:rsidP="0083780D">
            <w:pPr>
              <w:pStyle w:val="Tablehead"/>
              <w:rPr>
                <w:lang w:val="ar-SA" w:bidi="ar-EG"/>
              </w:rPr>
            </w:pPr>
            <w:r w:rsidRPr="0083780D">
              <w:rPr>
                <w:rtl/>
              </w:rPr>
              <w:t>المنظمة</w:t>
            </w:r>
          </w:p>
        </w:tc>
        <w:tc>
          <w:tcPr>
            <w:tcW w:w="2548" w:type="dxa"/>
          </w:tcPr>
          <w:p w14:paraId="7C3A1AC8" w14:textId="77777777" w:rsidR="003934BA" w:rsidRPr="0083780D" w:rsidRDefault="003934BA" w:rsidP="0083780D">
            <w:pPr>
              <w:pStyle w:val="Tablehead"/>
              <w:rPr>
                <w:lang w:val="ar-SA" w:bidi="ar-EG"/>
              </w:rPr>
            </w:pPr>
            <w:r w:rsidRPr="0083780D">
              <w:rPr>
                <w:rtl/>
              </w:rPr>
              <w:t>القطاع</w:t>
            </w:r>
          </w:p>
        </w:tc>
        <w:tc>
          <w:tcPr>
            <w:tcW w:w="2549" w:type="dxa"/>
          </w:tcPr>
          <w:p w14:paraId="5C2265C3" w14:textId="77777777" w:rsidR="003934BA" w:rsidRPr="0083780D" w:rsidRDefault="003934BA" w:rsidP="0083780D">
            <w:pPr>
              <w:pStyle w:val="Tablehead"/>
              <w:rPr>
                <w:lang w:val="ar-SA" w:bidi="ar-EG"/>
              </w:rPr>
            </w:pPr>
            <w:r w:rsidRPr="0083780D">
              <w:rPr>
                <w:rtl/>
              </w:rPr>
              <w:t>التوصية</w:t>
            </w:r>
          </w:p>
        </w:tc>
      </w:tr>
      <w:tr w:rsidR="003934BA" w:rsidRPr="00BA2086" w14:paraId="38B18469" w14:textId="77777777" w:rsidTr="00A64D66">
        <w:tc>
          <w:tcPr>
            <w:tcW w:w="3964" w:type="dxa"/>
            <w:vAlign w:val="center"/>
          </w:tcPr>
          <w:p w14:paraId="51319EEA" w14:textId="77777777" w:rsidR="003934BA" w:rsidRPr="00BA2086" w:rsidRDefault="003934BA" w:rsidP="0083780D">
            <w:pPr>
              <w:pStyle w:val="Tabletexte"/>
              <w:jc w:val="center"/>
              <w:rPr>
                <w:b/>
                <w:bCs/>
                <w:lang w:val="ar-SA" w:bidi="ar-EG"/>
              </w:rPr>
            </w:pPr>
            <w:r w:rsidRPr="00BA2086">
              <w:rPr>
                <w:b/>
                <w:bCs/>
                <w:lang w:bidi="ar-EG"/>
              </w:rPr>
              <w:t>ATSC</w:t>
            </w:r>
            <w:r w:rsidRPr="00BA2086">
              <w:rPr>
                <w:b/>
                <w:bCs/>
                <w:rtl/>
              </w:rPr>
              <w:t xml:space="preserve"> رابطة معايير الإذاعة</w:t>
            </w:r>
          </w:p>
        </w:tc>
        <w:tc>
          <w:tcPr>
            <w:tcW w:w="2548" w:type="dxa"/>
            <w:vAlign w:val="center"/>
          </w:tcPr>
          <w:p w14:paraId="77AA4DFF" w14:textId="47BA05A0" w:rsidR="003934BA" w:rsidRPr="00BA2086" w:rsidRDefault="003934BA" w:rsidP="0083780D">
            <w:pPr>
              <w:pStyle w:val="Tabletexte"/>
              <w:jc w:val="center"/>
              <w:rPr>
                <w:lang w:bidi="en-GB"/>
              </w:rPr>
            </w:pPr>
            <w:r w:rsidRPr="00BA2086">
              <w:rPr>
                <w:rtl/>
              </w:rPr>
              <w:t>قطاع الاتصالات الراديوية</w:t>
            </w:r>
          </w:p>
        </w:tc>
        <w:tc>
          <w:tcPr>
            <w:tcW w:w="2549" w:type="dxa"/>
            <w:vAlign w:val="center"/>
          </w:tcPr>
          <w:p w14:paraId="5B7F2B6B" w14:textId="77777777" w:rsidR="003934BA" w:rsidRPr="00BA2086" w:rsidRDefault="003934BA" w:rsidP="0083780D">
            <w:pPr>
              <w:pStyle w:val="Tabletexte"/>
              <w:jc w:val="center"/>
              <w:rPr>
                <w:lang w:val="ar-SA" w:bidi="ar-EG"/>
              </w:rPr>
            </w:pPr>
            <w:r w:rsidRPr="00BA2086">
              <w:rPr>
                <w:rtl/>
              </w:rPr>
              <w:t>لا</w:t>
            </w:r>
          </w:p>
        </w:tc>
      </w:tr>
    </w:tbl>
    <w:p w14:paraId="0D317023" w14:textId="764ED20F" w:rsidR="003934BA" w:rsidRPr="003934BA" w:rsidRDefault="003934BA" w:rsidP="003934BA">
      <w:pPr>
        <w:rPr>
          <w:lang w:val="ar-SA" w:bidi="ar-EG"/>
        </w:rPr>
      </w:pPr>
      <w:r w:rsidRPr="00BA2086">
        <w:rPr>
          <w:rtl/>
        </w:rPr>
        <w:t xml:space="preserve">لجنة أنظمة التلفزيون المتقدمة </w:t>
      </w:r>
      <w:r w:rsidRPr="00BA2086">
        <w:rPr>
          <w:lang w:bidi="ar-EG"/>
        </w:rPr>
        <w:t>(ATSC)</w:t>
      </w:r>
      <w:r w:rsidRPr="00BA2086">
        <w:rPr>
          <w:rtl/>
        </w:rPr>
        <w:t>، هي رابطة معايير الإذاعة، وهي منظمة دولية لا تستهدف الربح تضع معايير طوعية وممارسات موصى بها للإذاعة متعددة الوسائط. وتقود لجنة أنظمة التلفزيون المتقدمة (</w:t>
      </w:r>
      <w:r w:rsidRPr="00BA2086">
        <w:rPr>
          <w:lang w:bidi="ar-EG"/>
        </w:rPr>
        <w:t>ATSC</w:t>
      </w:r>
      <w:r w:rsidRPr="00BA2086">
        <w:rPr>
          <w:rtl/>
        </w:rPr>
        <w:t>) التكامل السلس بين معايير الإذاعة ومعايير الاتصالات</w:t>
      </w:r>
      <w:r w:rsidRPr="003934BA">
        <w:rPr>
          <w:rtl/>
        </w:rPr>
        <w:t xml:space="preserve"> لدفع القطاع قُدماً. وتم تشكيل اللجنة </w:t>
      </w:r>
      <w:r w:rsidRPr="003934BA">
        <w:rPr>
          <w:lang w:bidi="ar-EG"/>
        </w:rPr>
        <w:t>ATSC</w:t>
      </w:r>
      <w:r w:rsidRPr="003934BA">
        <w:rPr>
          <w:rtl/>
        </w:rPr>
        <w:t xml:space="preserve"> في عام 1983 من قبل المنظمات الأعضاء في اللجنة المشتركة المعنية بالتنسيق بين المجتمعات (</w:t>
      </w:r>
      <w:r w:rsidRPr="003934BA">
        <w:rPr>
          <w:lang w:bidi="ar-EG"/>
        </w:rPr>
        <w:t>JCIC</w:t>
      </w:r>
      <w:r w:rsidRPr="003934BA">
        <w:rPr>
          <w:rtl/>
        </w:rPr>
        <w:t>)</w:t>
      </w:r>
      <w:r w:rsidRPr="003934BA">
        <w:rPr>
          <w:lang w:bidi="ar-EG"/>
        </w:rPr>
        <w:t>:</w:t>
      </w:r>
      <w:r w:rsidRPr="003934BA">
        <w:rPr>
          <w:rtl/>
        </w:rPr>
        <w:t xml:space="preserve"> رابطة تكنولوجيا المستهلكين (</w:t>
      </w:r>
      <w:r w:rsidRPr="003934BA">
        <w:rPr>
          <w:lang w:bidi="ar-EG"/>
        </w:rPr>
        <w:t>CTA</w:t>
      </w:r>
      <w:r w:rsidRPr="003934BA">
        <w:rPr>
          <w:rtl/>
        </w:rPr>
        <w:t>)، ومعهد مهندسي الكهرباء والإلكترونيات (</w:t>
      </w:r>
      <w:r w:rsidRPr="003934BA">
        <w:rPr>
          <w:lang w:bidi="ar-EG"/>
        </w:rPr>
        <w:t>IEEE</w:t>
      </w:r>
      <w:r w:rsidRPr="003934BA">
        <w:rPr>
          <w:rtl/>
        </w:rPr>
        <w:t>)، والرابطة الوطنية لهيئات الإذاعة (</w:t>
      </w:r>
      <w:r w:rsidRPr="003934BA">
        <w:rPr>
          <w:lang w:bidi="ar-EG"/>
        </w:rPr>
        <w:t>NAB</w:t>
      </w:r>
      <w:r w:rsidRPr="003934BA">
        <w:rPr>
          <w:rtl/>
        </w:rPr>
        <w:t>)، واربطة الإنترنت والتلفزيون (</w:t>
      </w:r>
      <w:r w:rsidRPr="003934BA">
        <w:rPr>
          <w:lang w:bidi="ar-EG"/>
        </w:rPr>
        <w:t>NCTA</w:t>
      </w:r>
      <w:r w:rsidRPr="003934BA">
        <w:rPr>
          <w:rtl/>
        </w:rPr>
        <w:t>)، وجمعية مهندسي الصور المتحركة والتلفزيون (</w:t>
      </w:r>
      <w:r w:rsidRPr="003934BA">
        <w:rPr>
          <w:lang w:bidi="ar-EG"/>
        </w:rPr>
        <w:t>SMPTE</w:t>
      </w:r>
      <w:r w:rsidRPr="003934BA">
        <w:rPr>
          <w:rtl/>
        </w:rPr>
        <w:t>). ونظراً إلى أن هذا الكيان رابطة دولية للأعمال التجارية تضم في المقام الأول أعضاءً يهدفون إلى تحقيق الربح، ترى الأمانة أن هذا الكيان لا</w:t>
      </w:r>
      <w:r w:rsidR="00BA2086">
        <w:rPr>
          <w:rFonts w:hint="cs"/>
          <w:rtl/>
        </w:rPr>
        <w:t> </w:t>
      </w:r>
      <w:r w:rsidRPr="003934BA">
        <w:rPr>
          <w:rtl/>
        </w:rPr>
        <w:t>يستوفي المعايير التي وضعها المجلس للإعفاء من رسوم العضوية.</w:t>
      </w:r>
    </w:p>
    <w:p w14:paraId="3CA7A6D6" w14:textId="05A81DBE" w:rsidR="003934BA" w:rsidRPr="003934BA" w:rsidRDefault="0083780D" w:rsidP="007C234C">
      <w:pPr>
        <w:pStyle w:val="Heading2"/>
        <w:rPr>
          <w:lang w:val="ar-SA" w:bidi="ar-EG"/>
        </w:rPr>
      </w:pPr>
      <w:r w:rsidRPr="00DB7FD7">
        <w:lastRenderedPageBreak/>
        <w:t>3.2</w:t>
      </w:r>
    </w:p>
    <w:tbl>
      <w:tblPr>
        <w:tblStyle w:val="TableGrid"/>
        <w:bidiVisual/>
        <w:tblW w:w="0" w:type="auto"/>
        <w:tblLayout w:type="fixed"/>
        <w:tblLook w:val="04A0" w:firstRow="1" w:lastRow="0" w:firstColumn="1" w:lastColumn="0" w:noHBand="0" w:noVBand="1"/>
      </w:tblPr>
      <w:tblGrid>
        <w:gridCol w:w="3964"/>
        <w:gridCol w:w="2548"/>
        <w:gridCol w:w="2549"/>
      </w:tblGrid>
      <w:tr w:rsidR="003934BA" w:rsidRPr="0083780D" w14:paraId="29059895" w14:textId="77777777" w:rsidTr="00A64D66">
        <w:tc>
          <w:tcPr>
            <w:tcW w:w="3964" w:type="dxa"/>
          </w:tcPr>
          <w:p w14:paraId="06B83B75" w14:textId="77777777" w:rsidR="003934BA" w:rsidRPr="0083780D" w:rsidRDefault="003934BA" w:rsidP="0083780D">
            <w:pPr>
              <w:pStyle w:val="Tablehead"/>
              <w:rPr>
                <w:lang w:val="ar-SA" w:bidi="ar-EG"/>
              </w:rPr>
            </w:pPr>
            <w:r w:rsidRPr="0083780D">
              <w:rPr>
                <w:rtl/>
              </w:rPr>
              <w:t>المنظمة</w:t>
            </w:r>
          </w:p>
        </w:tc>
        <w:tc>
          <w:tcPr>
            <w:tcW w:w="2548" w:type="dxa"/>
          </w:tcPr>
          <w:p w14:paraId="64CDB791" w14:textId="77777777" w:rsidR="003934BA" w:rsidRPr="0083780D" w:rsidRDefault="003934BA" w:rsidP="0083780D">
            <w:pPr>
              <w:pStyle w:val="Tablehead"/>
              <w:rPr>
                <w:lang w:val="ar-SA" w:bidi="ar-EG"/>
              </w:rPr>
            </w:pPr>
            <w:r w:rsidRPr="0083780D">
              <w:rPr>
                <w:rtl/>
              </w:rPr>
              <w:t>القطاع</w:t>
            </w:r>
          </w:p>
        </w:tc>
        <w:tc>
          <w:tcPr>
            <w:tcW w:w="2549" w:type="dxa"/>
          </w:tcPr>
          <w:p w14:paraId="43081B21" w14:textId="77777777" w:rsidR="003934BA" w:rsidRPr="0083780D" w:rsidRDefault="003934BA" w:rsidP="0083780D">
            <w:pPr>
              <w:pStyle w:val="Tablehead"/>
              <w:rPr>
                <w:lang w:val="ar-SA" w:bidi="ar-EG"/>
              </w:rPr>
            </w:pPr>
            <w:r w:rsidRPr="0083780D">
              <w:rPr>
                <w:rtl/>
              </w:rPr>
              <w:t>التوصية</w:t>
            </w:r>
          </w:p>
        </w:tc>
      </w:tr>
      <w:tr w:rsidR="003934BA" w:rsidRPr="0083780D" w14:paraId="1A0515D2" w14:textId="77777777" w:rsidTr="00A64D66">
        <w:tc>
          <w:tcPr>
            <w:tcW w:w="3964" w:type="dxa"/>
            <w:vAlign w:val="center"/>
          </w:tcPr>
          <w:p w14:paraId="56BB4C91" w14:textId="77777777" w:rsidR="003934BA" w:rsidRPr="0083780D" w:rsidRDefault="003934BA" w:rsidP="0083780D">
            <w:pPr>
              <w:pStyle w:val="Tabletexte"/>
              <w:jc w:val="center"/>
              <w:rPr>
                <w:b/>
                <w:bCs/>
                <w:lang w:val="ar-SA" w:bidi="ar-EG"/>
              </w:rPr>
            </w:pPr>
            <w:r w:rsidRPr="0083780D">
              <w:rPr>
                <w:b/>
                <w:bCs/>
                <w:rtl/>
              </w:rPr>
              <w:t>المعهد السيبراني</w:t>
            </w:r>
            <w:bookmarkStart w:id="0" w:name="_Int_7Fbf24l4"/>
            <w:bookmarkEnd w:id="0"/>
          </w:p>
        </w:tc>
        <w:tc>
          <w:tcPr>
            <w:tcW w:w="2548" w:type="dxa"/>
            <w:vAlign w:val="center"/>
          </w:tcPr>
          <w:p w14:paraId="6A75389B" w14:textId="77777777" w:rsidR="003934BA" w:rsidRPr="0083780D" w:rsidRDefault="003934BA" w:rsidP="0083780D">
            <w:pPr>
              <w:pStyle w:val="Tabletexte"/>
              <w:jc w:val="center"/>
              <w:rPr>
                <w:lang w:val="ar-SA" w:bidi="ar-EG"/>
              </w:rPr>
            </w:pPr>
            <w:r w:rsidRPr="0083780D">
              <w:rPr>
                <w:rtl/>
              </w:rPr>
              <w:t>قطاع الاتصالات الراديوية</w:t>
            </w:r>
          </w:p>
          <w:p w14:paraId="2E097BA9" w14:textId="77777777" w:rsidR="003934BA" w:rsidRPr="0083780D" w:rsidRDefault="003934BA" w:rsidP="0083780D">
            <w:pPr>
              <w:pStyle w:val="Tabletexte"/>
              <w:jc w:val="center"/>
              <w:rPr>
                <w:lang w:val="ar-SA" w:bidi="ar-EG"/>
              </w:rPr>
            </w:pPr>
            <w:r w:rsidRPr="0083780D">
              <w:rPr>
                <w:rtl/>
              </w:rPr>
              <w:t>قطاع تقييس الاتصالات</w:t>
            </w:r>
          </w:p>
          <w:p w14:paraId="3CD9C4B5" w14:textId="77777777" w:rsidR="003934BA" w:rsidRPr="0083780D" w:rsidRDefault="003934BA" w:rsidP="0083780D">
            <w:pPr>
              <w:pStyle w:val="Tabletexte"/>
              <w:jc w:val="center"/>
              <w:rPr>
                <w:lang w:val="ar-SA" w:bidi="ar-EG"/>
              </w:rPr>
            </w:pPr>
            <w:r w:rsidRPr="0083780D">
              <w:rPr>
                <w:rtl/>
              </w:rPr>
              <w:t>قطاع تنمية الاتصالات</w:t>
            </w:r>
          </w:p>
        </w:tc>
        <w:tc>
          <w:tcPr>
            <w:tcW w:w="2549" w:type="dxa"/>
            <w:vAlign w:val="center"/>
          </w:tcPr>
          <w:p w14:paraId="095C2415" w14:textId="153953EB" w:rsidR="003934BA" w:rsidRPr="0083780D" w:rsidRDefault="001754B2" w:rsidP="0083780D">
            <w:pPr>
              <w:pStyle w:val="Tabletexte"/>
              <w:jc w:val="center"/>
              <w:rPr>
                <w:lang w:val="ar-SA" w:bidi="ar-EG"/>
              </w:rPr>
            </w:pPr>
            <w:r>
              <w:rPr>
                <w:rFonts w:hint="cs"/>
                <w:rtl/>
              </w:rPr>
              <w:t>لا</w:t>
            </w:r>
          </w:p>
          <w:p w14:paraId="2EE0E251" w14:textId="4F4354BF" w:rsidR="003934BA" w:rsidRDefault="001754B2" w:rsidP="0083780D">
            <w:pPr>
              <w:pStyle w:val="Tabletexte"/>
              <w:jc w:val="center"/>
              <w:rPr>
                <w:rtl/>
              </w:rPr>
            </w:pPr>
            <w:r>
              <w:rPr>
                <w:rFonts w:hint="cs"/>
                <w:rtl/>
              </w:rPr>
              <w:t>لا</w:t>
            </w:r>
          </w:p>
          <w:p w14:paraId="0457091B" w14:textId="77777777" w:rsidR="003934BA" w:rsidRPr="0083780D" w:rsidRDefault="003934BA" w:rsidP="0083780D">
            <w:pPr>
              <w:pStyle w:val="Tabletexte"/>
              <w:jc w:val="center"/>
              <w:rPr>
                <w:lang w:val="ar-SA" w:bidi="ar-EG"/>
              </w:rPr>
            </w:pPr>
            <w:r w:rsidRPr="0083780D">
              <w:rPr>
                <w:rtl/>
              </w:rPr>
              <w:t>نعم</w:t>
            </w:r>
          </w:p>
        </w:tc>
      </w:tr>
    </w:tbl>
    <w:p w14:paraId="6C963873" w14:textId="7060F103" w:rsidR="001754B2" w:rsidRDefault="001754B2" w:rsidP="00652B50">
      <w:pPr>
        <w:spacing w:before="240"/>
        <w:rPr>
          <w:rtl/>
        </w:rPr>
      </w:pPr>
      <w:r w:rsidRPr="001754B2">
        <w:rPr>
          <w:rtl/>
        </w:rPr>
        <w:t>المعهد السيبراني هو منظمة دولية غير حكومية غير ربحية</w:t>
      </w:r>
      <w:r>
        <w:rPr>
          <w:rFonts w:hint="cs"/>
          <w:rtl/>
        </w:rPr>
        <w:t xml:space="preserve"> يوجد</w:t>
      </w:r>
      <w:r w:rsidRPr="001754B2">
        <w:rPr>
          <w:rtl/>
        </w:rPr>
        <w:t xml:space="preserve"> مقرها </w:t>
      </w:r>
      <w:r>
        <w:rPr>
          <w:rFonts w:hint="cs"/>
          <w:rtl/>
        </w:rPr>
        <w:t xml:space="preserve">الرئيسي في </w:t>
      </w:r>
      <w:r w:rsidRPr="001754B2">
        <w:rPr>
          <w:rtl/>
        </w:rPr>
        <w:t xml:space="preserve">نيويورك، </w:t>
      </w:r>
      <w:r>
        <w:rPr>
          <w:rFonts w:hint="cs"/>
          <w:rtl/>
        </w:rPr>
        <w:t xml:space="preserve">وهي </w:t>
      </w:r>
      <w:r w:rsidRPr="001754B2">
        <w:rPr>
          <w:rtl/>
        </w:rPr>
        <w:t xml:space="preserve">مكرسة لتعزيز السياسات السيبرانية والتعليم وتنمية القوى العاملة. </w:t>
      </w:r>
      <w:r>
        <w:rPr>
          <w:rFonts w:hint="cs"/>
          <w:rtl/>
        </w:rPr>
        <w:t>و</w:t>
      </w:r>
      <w:r w:rsidRPr="001754B2">
        <w:rPr>
          <w:rtl/>
        </w:rPr>
        <w:t xml:space="preserve">يضم المعهد السيبراني أعضاء </w:t>
      </w:r>
      <w:r>
        <w:rPr>
          <w:rFonts w:hint="cs"/>
          <w:rtl/>
        </w:rPr>
        <w:t>من ال</w:t>
      </w:r>
      <w:r w:rsidRPr="001754B2">
        <w:rPr>
          <w:rtl/>
        </w:rPr>
        <w:t xml:space="preserve">منظمات في ستة بلدان وأعضاء </w:t>
      </w:r>
      <w:r>
        <w:rPr>
          <w:rFonts w:hint="cs"/>
          <w:rtl/>
        </w:rPr>
        <w:t>من ال</w:t>
      </w:r>
      <w:r w:rsidRPr="001754B2">
        <w:rPr>
          <w:rtl/>
        </w:rPr>
        <w:t xml:space="preserve">أفراد في أكثر من 20 بلداً في عدة مناطق. وترى الأمانة أن هذا الكيان يفي بالمعايير التي وضعها المجلس </w:t>
      </w:r>
      <w:r w:rsidR="009928FF">
        <w:rPr>
          <w:rFonts w:hint="cs"/>
          <w:rtl/>
        </w:rPr>
        <w:t>لإعفائه</w:t>
      </w:r>
      <w:r w:rsidRPr="001754B2">
        <w:rPr>
          <w:rtl/>
        </w:rPr>
        <w:t xml:space="preserve"> </w:t>
      </w:r>
      <w:r w:rsidRPr="003934BA">
        <w:rPr>
          <w:rtl/>
        </w:rPr>
        <w:t xml:space="preserve">من رسوم العضوية في قطاع </w:t>
      </w:r>
      <w:r w:rsidR="009928FF">
        <w:rPr>
          <w:rFonts w:hint="cs"/>
          <w:rtl/>
        </w:rPr>
        <w:t>تنمية الاتصالات</w:t>
      </w:r>
      <w:r>
        <w:rPr>
          <w:rFonts w:hint="cs"/>
          <w:rtl/>
        </w:rPr>
        <w:t xml:space="preserve">. </w:t>
      </w:r>
      <w:r w:rsidRPr="001754B2">
        <w:rPr>
          <w:rtl/>
        </w:rPr>
        <w:t xml:space="preserve">غير أنه لم يُثبت </w:t>
      </w:r>
      <w:r w:rsidR="009928FF">
        <w:rPr>
          <w:rFonts w:hint="cs"/>
          <w:rtl/>
        </w:rPr>
        <w:t>وجود</w:t>
      </w:r>
      <w:r w:rsidRPr="001754B2">
        <w:rPr>
          <w:rtl/>
        </w:rPr>
        <w:t xml:space="preserve"> فائدة متبادلة كافية </w:t>
      </w:r>
      <w:r w:rsidR="001560E6">
        <w:rPr>
          <w:rFonts w:hint="cs"/>
          <w:rtl/>
        </w:rPr>
        <w:t>فيما يتعلق</w:t>
      </w:r>
      <w:r w:rsidRPr="001754B2">
        <w:rPr>
          <w:rtl/>
        </w:rPr>
        <w:t xml:space="preserve"> </w:t>
      </w:r>
      <w:r w:rsidR="001560E6">
        <w:rPr>
          <w:rFonts w:hint="cs"/>
          <w:rtl/>
        </w:rPr>
        <w:t>ب</w:t>
      </w:r>
      <w:r w:rsidRPr="001754B2">
        <w:rPr>
          <w:rtl/>
        </w:rPr>
        <w:t>قطاع</w:t>
      </w:r>
      <w:r w:rsidR="009928FF">
        <w:rPr>
          <w:rFonts w:hint="cs"/>
          <w:rtl/>
        </w:rPr>
        <w:t>ي</w:t>
      </w:r>
      <w:r w:rsidRPr="001754B2">
        <w:rPr>
          <w:rtl/>
        </w:rPr>
        <w:t xml:space="preserve"> الاتصالات الراديوية </w:t>
      </w:r>
      <w:r w:rsidR="009928FF">
        <w:rPr>
          <w:rFonts w:hint="cs"/>
          <w:rtl/>
        </w:rPr>
        <w:t>و</w:t>
      </w:r>
      <w:r w:rsidRPr="001754B2">
        <w:rPr>
          <w:rtl/>
        </w:rPr>
        <w:t>تقييس الاتصالات</w:t>
      </w:r>
      <w:r>
        <w:rPr>
          <w:rFonts w:hint="cs"/>
          <w:rtl/>
        </w:rPr>
        <w:t>.</w:t>
      </w:r>
    </w:p>
    <w:p w14:paraId="63C2999B" w14:textId="060527AE" w:rsidR="003934BA" w:rsidRPr="003934BA" w:rsidRDefault="0083780D" w:rsidP="007C234C">
      <w:pPr>
        <w:pStyle w:val="Heading2"/>
        <w:rPr>
          <w:lang w:val="ar-SA" w:bidi="ar-EG"/>
        </w:rPr>
      </w:pPr>
      <w:r>
        <w:t>4.2</w:t>
      </w:r>
    </w:p>
    <w:tbl>
      <w:tblPr>
        <w:tblStyle w:val="TableGrid"/>
        <w:bidiVisual/>
        <w:tblW w:w="0" w:type="auto"/>
        <w:tblLayout w:type="fixed"/>
        <w:tblLook w:val="04A0" w:firstRow="1" w:lastRow="0" w:firstColumn="1" w:lastColumn="0" w:noHBand="0" w:noVBand="1"/>
      </w:tblPr>
      <w:tblGrid>
        <w:gridCol w:w="3964"/>
        <w:gridCol w:w="2548"/>
        <w:gridCol w:w="2549"/>
      </w:tblGrid>
      <w:tr w:rsidR="003934BA" w:rsidRPr="0083780D" w14:paraId="30B06785" w14:textId="77777777" w:rsidTr="00A64D66">
        <w:tc>
          <w:tcPr>
            <w:tcW w:w="3964" w:type="dxa"/>
          </w:tcPr>
          <w:p w14:paraId="3B8BA879" w14:textId="77777777" w:rsidR="003934BA" w:rsidRPr="0083780D" w:rsidRDefault="003934BA" w:rsidP="0083780D">
            <w:pPr>
              <w:pStyle w:val="Tablehead"/>
              <w:rPr>
                <w:lang w:val="ar-SA" w:bidi="ar-EG"/>
              </w:rPr>
            </w:pPr>
            <w:r w:rsidRPr="0083780D">
              <w:rPr>
                <w:rtl/>
              </w:rPr>
              <w:t>المنظمة</w:t>
            </w:r>
          </w:p>
        </w:tc>
        <w:tc>
          <w:tcPr>
            <w:tcW w:w="2548" w:type="dxa"/>
          </w:tcPr>
          <w:p w14:paraId="77CB09A3" w14:textId="77777777" w:rsidR="003934BA" w:rsidRPr="0083780D" w:rsidRDefault="003934BA" w:rsidP="0083780D">
            <w:pPr>
              <w:pStyle w:val="Tablehead"/>
              <w:rPr>
                <w:lang w:val="ar-SA" w:bidi="ar-EG"/>
              </w:rPr>
            </w:pPr>
            <w:r w:rsidRPr="0083780D">
              <w:rPr>
                <w:rtl/>
              </w:rPr>
              <w:t>القطاع</w:t>
            </w:r>
          </w:p>
        </w:tc>
        <w:tc>
          <w:tcPr>
            <w:tcW w:w="2549" w:type="dxa"/>
          </w:tcPr>
          <w:p w14:paraId="433DB0B2" w14:textId="77777777" w:rsidR="003934BA" w:rsidRPr="0083780D" w:rsidRDefault="003934BA" w:rsidP="0083780D">
            <w:pPr>
              <w:pStyle w:val="Tablehead"/>
              <w:rPr>
                <w:lang w:val="ar-SA" w:bidi="ar-EG"/>
              </w:rPr>
            </w:pPr>
            <w:r w:rsidRPr="0083780D">
              <w:rPr>
                <w:rtl/>
              </w:rPr>
              <w:t>التوصية</w:t>
            </w:r>
          </w:p>
        </w:tc>
      </w:tr>
      <w:tr w:rsidR="003934BA" w:rsidRPr="0083780D" w14:paraId="5B0D9316" w14:textId="77777777" w:rsidTr="00A64D66">
        <w:tc>
          <w:tcPr>
            <w:tcW w:w="3964" w:type="dxa"/>
            <w:vAlign w:val="center"/>
          </w:tcPr>
          <w:p w14:paraId="7A801E66" w14:textId="77777777" w:rsidR="003934BA" w:rsidRPr="0083780D" w:rsidRDefault="003934BA" w:rsidP="0083780D">
            <w:pPr>
              <w:pStyle w:val="Tabletexte"/>
              <w:jc w:val="center"/>
              <w:rPr>
                <w:b/>
                <w:bCs/>
                <w:lang w:val="ar-SA" w:bidi="ar-EG"/>
              </w:rPr>
            </w:pPr>
            <w:r w:rsidRPr="0083780D">
              <w:rPr>
                <w:b/>
                <w:bCs/>
                <w:rtl/>
              </w:rPr>
              <w:t>المنظمة الإسلامية للتربية والعلوم والثقافة (</w:t>
            </w:r>
            <w:proofErr w:type="spellStart"/>
            <w:r w:rsidRPr="0083780D">
              <w:rPr>
                <w:b/>
                <w:bCs/>
                <w:rtl/>
              </w:rPr>
              <w:t>الإيسيسكو</w:t>
            </w:r>
            <w:proofErr w:type="spellEnd"/>
            <w:r w:rsidRPr="0083780D">
              <w:rPr>
                <w:b/>
                <w:bCs/>
                <w:rtl/>
              </w:rPr>
              <w:t>)</w:t>
            </w:r>
          </w:p>
        </w:tc>
        <w:tc>
          <w:tcPr>
            <w:tcW w:w="2548" w:type="dxa"/>
            <w:vAlign w:val="center"/>
          </w:tcPr>
          <w:p w14:paraId="201B1B07" w14:textId="77777777" w:rsidR="003934BA" w:rsidRPr="0083780D" w:rsidRDefault="003934BA" w:rsidP="0083780D">
            <w:pPr>
              <w:pStyle w:val="Tabletexte"/>
              <w:jc w:val="center"/>
              <w:rPr>
                <w:lang w:val="ar-SA" w:bidi="ar-EG"/>
              </w:rPr>
            </w:pPr>
            <w:r w:rsidRPr="0083780D">
              <w:rPr>
                <w:rtl/>
              </w:rPr>
              <w:t>قطاع تنمية الاتصالات</w:t>
            </w:r>
          </w:p>
        </w:tc>
        <w:tc>
          <w:tcPr>
            <w:tcW w:w="2549" w:type="dxa"/>
            <w:vAlign w:val="center"/>
          </w:tcPr>
          <w:p w14:paraId="4AE8ABA4" w14:textId="77777777" w:rsidR="003934BA" w:rsidRPr="0083780D" w:rsidRDefault="003934BA" w:rsidP="0083780D">
            <w:pPr>
              <w:pStyle w:val="Tabletexte"/>
              <w:jc w:val="center"/>
              <w:rPr>
                <w:lang w:val="ar-SA" w:bidi="ar-EG"/>
              </w:rPr>
            </w:pPr>
            <w:r w:rsidRPr="0083780D">
              <w:rPr>
                <w:rtl/>
              </w:rPr>
              <w:t>نعم</w:t>
            </w:r>
          </w:p>
        </w:tc>
      </w:tr>
    </w:tbl>
    <w:p w14:paraId="32D08B09" w14:textId="014546D5" w:rsidR="003934BA" w:rsidRPr="003934BA" w:rsidRDefault="003934BA" w:rsidP="00652B50">
      <w:pPr>
        <w:spacing w:before="240"/>
        <w:rPr>
          <w:lang w:val="ar-SA" w:bidi="ar-EG"/>
        </w:rPr>
      </w:pPr>
      <w:r w:rsidRPr="003934BA">
        <w:rPr>
          <w:rtl/>
        </w:rPr>
        <w:t>تضم المنظمة الإسلامية للتربية والعلوم والثقافة (</w:t>
      </w:r>
      <w:proofErr w:type="spellStart"/>
      <w:r w:rsidRPr="003934BA">
        <w:rPr>
          <w:rtl/>
        </w:rPr>
        <w:t>الإيسيسكو</w:t>
      </w:r>
      <w:proofErr w:type="spellEnd"/>
      <w:r w:rsidRPr="003934BA">
        <w:rPr>
          <w:rtl/>
        </w:rPr>
        <w:t xml:space="preserve">) 53 دولة عضو، وهي منظمة متخصصة تعمل تحت مظلة منظمة التعاون الإسلامي </w:t>
      </w:r>
      <w:r w:rsidRPr="003934BA">
        <w:rPr>
          <w:lang w:bidi="ar-EG"/>
        </w:rPr>
        <w:t>OIC)</w:t>
      </w:r>
      <w:r w:rsidRPr="003934BA">
        <w:rPr>
          <w:rtl/>
        </w:rPr>
        <w:t>)، وت</w:t>
      </w:r>
      <w:r w:rsidR="00D35FE3">
        <w:rPr>
          <w:rFonts w:hint="cs"/>
          <w:rtl/>
        </w:rPr>
        <w:t>ُ</w:t>
      </w:r>
      <w:r w:rsidRPr="003934BA">
        <w:rPr>
          <w:rtl/>
        </w:rPr>
        <w:t xml:space="preserve">عنى بمجالات </w:t>
      </w:r>
      <w:r w:rsidR="0097404A">
        <w:rPr>
          <w:rFonts w:hint="cs"/>
          <w:rtl/>
        </w:rPr>
        <w:t>التعلي</w:t>
      </w:r>
      <w:r w:rsidR="0097404A">
        <w:rPr>
          <w:rtl/>
        </w:rPr>
        <w:t>م</w:t>
      </w:r>
      <w:r w:rsidRPr="003934BA">
        <w:rPr>
          <w:rtl/>
        </w:rPr>
        <w:t xml:space="preserve"> والعلوم والثقافة والاتصال</w:t>
      </w:r>
      <w:r w:rsidR="0097404A">
        <w:rPr>
          <w:rFonts w:hint="cs"/>
          <w:rtl/>
        </w:rPr>
        <w:t>ات</w:t>
      </w:r>
      <w:r w:rsidRPr="003934BA">
        <w:rPr>
          <w:rtl/>
        </w:rPr>
        <w:t xml:space="preserve"> في الدول الإسلامية، بهدف دعم العلاقات بين الدول الأعضاء وتعزيزها. ويقع مقر المنظمة الرئيسي في الرباط ونظراً إلى أن هذا الكيان منظمة دولية تتألف من دول أعضاء، فإن الأمانة ترى أنه يستوفي المعايير التي وضعها المجلس للإعفاء من رسوم العضوية.</w:t>
      </w:r>
    </w:p>
    <w:p w14:paraId="05729C29" w14:textId="199C050E" w:rsidR="003934BA" w:rsidRPr="003934BA" w:rsidRDefault="0083780D" w:rsidP="007C234C">
      <w:pPr>
        <w:pStyle w:val="Heading2"/>
        <w:rPr>
          <w:lang w:val="ar-SA" w:bidi="ar-EG"/>
        </w:rPr>
      </w:pPr>
      <w:r>
        <w:t>5.2</w:t>
      </w:r>
    </w:p>
    <w:tbl>
      <w:tblPr>
        <w:tblStyle w:val="TableGrid"/>
        <w:bidiVisual/>
        <w:tblW w:w="0" w:type="auto"/>
        <w:tblLayout w:type="fixed"/>
        <w:tblLook w:val="04A0" w:firstRow="1" w:lastRow="0" w:firstColumn="1" w:lastColumn="0" w:noHBand="0" w:noVBand="1"/>
      </w:tblPr>
      <w:tblGrid>
        <w:gridCol w:w="3964"/>
        <w:gridCol w:w="2548"/>
        <w:gridCol w:w="2549"/>
      </w:tblGrid>
      <w:tr w:rsidR="003934BA" w:rsidRPr="0083780D" w14:paraId="140A7C72" w14:textId="77777777" w:rsidTr="00A64D66">
        <w:tc>
          <w:tcPr>
            <w:tcW w:w="3964" w:type="dxa"/>
          </w:tcPr>
          <w:p w14:paraId="18DD73BD" w14:textId="77777777" w:rsidR="003934BA" w:rsidRPr="0083780D" w:rsidRDefault="003934BA" w:rsidP="0083780D">
            <w:pPr>
              <w:pStyle w:val="Tablehead"/>
              <w:rPr>
                <w:lang w:val="ar-SA" w:bidi="ar-EG"/>
              </w:rPr>
            </w:pPr>
            <w:r w:rsidRPr="0083780D">
              <w:rPr>
                <w:rtl/>
              </w:rPr>
              <w:t>المنظمة</w:t>
            </w:r>
          </w:p>
        </w:tc>
        <w:tc>
          <w:tcPr>
            <w:tcW w:w="2548" w:type="dxa"/>
          </w:tcPr>
          <w:p w14:paraId="02ADDEE6" w14:textId="77777777" w:rsidR="003934BA" w:rsidRPr="0083780D" w:rsidRDefault="003934BA" w:rsidP="0083780D">
            <w:pPr>
              <w:pStyle w:val="Tablehead"/>
              <w:rPr>
                <w:lang w:val="ar-SA" w:bidi="ar-EG"/>
              </w:rPr>
            </w:pPr>
            <w:r w:rsidRPr="0083780D">
              <w:rPr>
                <w:rtl/>
              </w:rPr>
              <w:t>القطاع</w:t>
            </w:r>
          </w:p>
        </w:tc>
        <w:tc>
          <w:tcPr>
            <w:tcW w:w="2549" w:type="dxa"/>
          </w:tcPr>
          <w:p w14:paraId="634CCABC" w14:textId="77777777" w:rsidR="003934BA" w:rsidRPr="0083780D" w:rsidRDefault="003934BA" w:rsidP="0083780D">
            <w:pPr>
              <w:pStyle w:val="Tablehead"/>
              <w:rPr>
                <w:lang w:val="ar-SA" w:bidi="ar-EG"/>
              </w:rPr>
            </w:pPr>
            <w:r w:rsidRPr="0083780D">
              <w:rPr>
                <w:rtl/>
              </w:rPr>
              <w:t>التوصية</w:t>
            </w:r>
          </w:p>
        </w:tc>
      </w:tr>
      <w:tr w:rsidR="003934BA" w:rsidRPr="0083780D" w14:paraId="03647365" w14:textId="77777777" w:rsidTr="00A64D66">
        <w:tc>
          <w:tcPr>
            <w:tcW w:w="3964" w:type="dxa"/>
            <w:vAlign w:val="center"/>
          </w:tcPr>
          <w:p w14:paraId="7154EC57" w14:textId="77777777" w:rsidR="003934BA" w:rsidRPr="00B847DC" w:rsidRDefault="003934BA" w:rsidP="00B847DC">
            <w:pPr>
              <w:pStyle w:val="Tabletexte"/>
              <w:jc w:val="center"/>
              <w:rPr>
                <w:b/>
                <w:bCs/>
                <w:lang w:val="ar-SA" w:bidi="ar-EG"/>
              </w:rPr>
            </w:pPr>
            <w:r w:rsidRPr="00B847DC">
              <w:rPr>
                <w:b/>
                <w:bCs/>
                <w:rtl/>
              </w:rPr>
              <w:t xml:space="preserve">منظمة المعايير الإقليمية لجنوب آسيا </w:t>
            </w:r>
            <w:r w:rsidRPr="00B847DC">
              <w:rPr>
                <w:b/>
                <w:bCs/>
                <w:lang w:bidi="ar-EG"/>
              </w:rPr>
              <w:t>(SARSO</w:t>
            </w:r>
            <w:r w:rsidRPr="00B847DC">
              <w:rPr>
                <w:b/>
                <w:bCs/>
              </w:rPr>
              <w:t>)</w:t>
            </w:r>
          </w:p>
        </w:tc>
        <w:tc>
          <w:tcPr>
            <w:tcW w:w="2548" w:type="dxa"/>
            <w:vAlign w:val="center"/>
          </w:tcPr>
          <w:p w14:paraId="61FBB805" w14:textId="77777777" w:rsidR="003934BA" w:rsidRPr="0083780D" w:rsidRDefault="003934BA" w:rsidP="00B847DC">
            <w:pPr>
              <w:pStyle w:val="Tabletexte"/>
              <w:jc w:val="center"/>
              <w:rPr>
                <w:lang w:val="ar-SA" w:bidi="ar-EG"/>
              </w:rPr>
            </w:pPr>
            <w:r w:rsidRPr="0083780D">
              <w:rPr>
                <w:rtl/>
              </w:rPr>
              <w:t>قطاع تقييس الاتصالات</w:t>
            </w:r>
          </w:p>
        </w:tc>
        <w:tc>
          <w:tcPr>
            <w:tcW w:w="2549" w:type="dxa"/>
            <w:vAlign w:val="center"/>
          </w:tcPr>
          <w:p w14:paraId="10CF7FBF" w14:textId="77777777" w:rsidR="003934BA" w:rsidRPr="0083780D" w:rsidRDefault="003934BA" w:rsidP="00B847DC">
            <w:pPr>
              <w:pStyle w:val="Tabletexte"/>
              <w:jc w:val="center"/>
              <w:rPr>
                <w:lang w:val="ar-SA" w:bidi="ar-EG"/>
              </w:rPr>
            </w:pPr>
            <w:r w:rsidRPr="0083780D">
              <w:rPr>
                <w:rtl/>
              </w:rPr>
              <w:t>نعم</w:t>
            </w:r>
          </w:p>
        </w:tc>
      </w:tr>
    </w:tbl>
    <w:p w14:paraId="3FAB953A" w14:textId="7C5C63FA" w:rsidR="003934BA" w:rsidRPr="003934BA" w:rsidRDefault="003934BA" w:rsidP="00652B50">
      <w:pPr>
        <w:spacing w:before="240"/>
        <w:rPr>
          <w:lang w:val="ar-SA" w:bidi="ar-EG"/>
        </w:rPr>
      </w:pPr>
      <w:r w:rsidRPr="00B847DC">
        <w:rPr>
          <w:spacing w:val="-2"/>
          <w:rtl/>
        </w:rPr>
        <w:t xml:space="preserve">منظمة المعايير الإقليمية لجنوب آسيا </w:t>
      </w:r>
      <w:r w:rsidRPr="00B847DC">
        <w:rPr>
          <w:spacing w:val="-2"/>
          <w:lang w:bidi="ar-EG"/>
        </w:rPr>
        <w:t>(SARSO</w:t>
      </w:r>
      <w:r w:rsidRPr="00B847DC">
        <w:rPr>
          <w:spacing w:val="-2"/>
        </w:rPr>
        <w:t>)</w:t>
      </w:r>
      <w:r w:rsidRPr="00B847DC">
        <w:rPr>
          <w:spacing w:val="-2"/>
          <w:rtl/>
        </w:rPr>
        <w:t xml:space="preserve"> هي هيئة متخصصة تابعة لرابطة جنوب آسيا للتعاون الإقليمي</w:t>
      </w:r>
      <w:r w:rsidR="00652B50">
        <w:rPr>
          <w:rFonts w:hint="cs"/>
          <w:spacing w:val="-2"/>
          <w:rtl/>
        </w:rPr>
        <w:t> </w:t>
      </w:r>
      <w:r w:rsidRPr="00B847DC">
        <w:rPr>
          <w:spacing w:val="-2"/>
          <w:rtl/>
        </w:rPr>
        <w:t>(</w:t>
      </w:r>
      <w:r w:rsidRPr="00B847DC">
        <w:rPr>
          <w:spacing w:val="-2"/>
          <w:lang w:bidi="ar-EG"/>
        </w:rPr>
        <w:t>SAARC</w:t>
      </w:r>
      <w:r w:rsidRPr="00B847DC">
        <w:rPr>
          <w:spacing w:val="-2"/>
          <w:rtl/>
        </w:rPr>
        <w:t>)</w:t>
      </w:r>
      <w:r w:rsidR="00652B50">
        <w:rPr>
          <w:rFonts w:hint="cs"/>
          <w:spacing w:val="-2"/>
          <w:rtl/>
          <w:lang w:bidi="ar-EG"/>
        </w:rPr>
        <w:t>.</w:t>
      </w:r>
      <w:r w:rsidRPr="003934BA">
        <w:rPr>
          <w:rtl/>
        </w:rPr>
        <w:t xml:space="preserve"> وقد أنشئت المنظمة لتحقيق وتعزيز التنسيق والتعاون بين البلدان الأعضاء في</w:t>
      </w:r>
      <w:r w:rsidR="00D35FE3">
        <w:rPr>
          <w:rFonts w:hint="cs"/>
          <w:rtl/>
        </w:rPr>
        <w:t> </w:t>
      </w:r>
      <w:r w:rsidRPr="003934BA">
        <w:rPr>
          <w:rtl/>
        </w:rPr>
        <w:t>رابطة جنوب آسيا للتعاون الإقليمي في مجالي التقييس وتقييم المطابقة. ونظراً إلى أن هذا الكيان منظمة إقليمية تتألف من دول أعضاء، فإن الأمانة ترى أنه يستوفي المعايير التي وضعها المجلس للإعفاء من رسوم العضوية.</w:t>
      </w:r>
    </w:p>
    <w:p w14:paraId="34889A01" w14:textId="3BE2B176" w:rsidR="003934BA" w:rsidRPr="003934BA" w:rsidRDefault="0083780D" w:rsidP="007C234C">
      <w:pPr>
        <w:pStyle w:val="Heading2"/>
        <w:rPr>
          <w:lang w:val="ar-SA" w:bidi="ar-EG"/>
        </w:rPr>
      </w:pPr>
      <w:r>
        <w:t>6.2</w:t>
      </w:r>
    </w:p>
    <w:tbl>
      <w:tblPr>
        <w:tblStyle w:val="TableGrid"/>
        <w:bidiVisual/>
        <w:tblW w:w="0" w:type="auto"/>
        <w:tblLayout w:type="fixed"/>
        <w:tblLook w:val="04A0" w:firstRow="1" w:lastRow="0" w:firstColumn="1" w:lastColumn="0" w:noHBand="0" w:noVBand="1"/>
      </w:tblPr>
      <w:tblGrid>
        <w:gridCol w:w="3964"/>
        <w:gridCol w:w="2548"/>
        <w:gridCol w:w="2549"/>
      </w:tblGrid>
      <w:tr w:rsidR="003934BA" w:rsidRPr="0083780D" w14:paraId="1A901579" w14:textId="77777777" w:rsidTr="00A64D66">
        <w:tc>
          <w:tcPr>
            <w:tcW w:w="3964" w:type="dxa"/>
          </w:tcPr>
          <w:p w14:paraId="7788DA39" w14:textId="77777777" w:rsidR="003934BA" w:rsidRPr="0083780D" w:rsidRDefault="003934BA" w:rsidP="0083780D">
            <w:pPr>
              <w:pStyle w:val="Tablehead"/>
              <w:rPr>
                <w:lang w:val="ar-SA" w:bidi="ar-EG"/>
              </w:rPr>
            </w:pPr>
            <w:r w:rsidRPr="0083780D">
              <w:rPr>
                <w:rtl/>
              </w:rPr>
              <w:t>المنظمة</w:t>
            </w:r>
          </w:p>
        </w:tc>
        <w:tc>
          <w:tcPr>
            <w:tcW w:w="2548" w:type="dxa"/>
          </w:tcPr>
          <w:p w14:paraId="5828AFF2" w14:textId="77777777" w:rsidR="003934BA" w:rsidRPr="0083780D" w:rsidRDefault="003934BA" w:rsidP="0083780D">
            <w:pPr>
              <w:pStyle w:val="Tablehead"/>
              <w:rPr>
                <w:lang w:val="ar-SA" w:bidi="ar-EG"/>
              </w:rPr>
            </w:pPr>
            <w:r w:rsidRPr="0083780D">
              <w:rPr>
                <w:rtl/>
              </w:rPr>
              <w:t>القطاع</w:t>
            </w:r>
          </w:p>
        </w:tc>
        <w:tc>
          <w:tcPr>
            <w:tcW w:w="2549" w:type="dxa"/>
          </w:tcPr>
          <w:p w14:paraId="2BF2BED7" w14:textId="77777777" w:rsidR="003934BA" w:rsidRPr="0083780D" w:rsidRDefault="003934BA" w:rsidP="0083780D">
            <w:pPr>
              <w:pStyle w:val="Tablehead"/>
              <w:rPr>
                <w:lang w:val="ar-SA" w:bidi="ar-EG"/>
              </w:rPr>
            </w:pPr>
            <w:r w:rsidRPr="0083780D">
              <w:rPr>
                <w:rtl/>
              </w:rPr>
              <w:t>التوصية</w:t>
            </w:r>
          </w:p>
        </w:tc>
      </w:tr>
      <w:tr w:rsidR="003934BA" w:rsidRPr="0083780D" w14:paraId="3AA73BA9" w14:textId="77777777" w:rsidTr="00A64D66">
        <w:tc>
          <w:tcPr>
            <w:tcW w:w="3964" w:type="dxa"/>
            <w:vAlign w:val="center"/>
          </w:tcPr>
          <w:p w14:paraId="249494DB" w14:textId="77777777" w:rsidR="003934BA" w:rsidRPr="0083780D" w:rsidRDefault="003934BA" w:rsidP="0083780D">
            <w:pPr>
              <w:pStyle w:val="Tabletexte"/>
              <w:jc w:val="center"/>
              <w:rPr>
                <w:b/>
                <w:bCs/>
                <w:lang w:val="ar-SA" w:bidi="ar-EG"/>
              </w:rPr>
            </w:pPr>
            <w:r w:rsidRPr="0083780D">
              <w:rPr>
                <w:b/>
                <w:bCs/>
                <w:rtl/>
              </w:rPr>
              <w:t>المجلس الاستشاري لجيل الفضاء</w:t>
            </w:r>
          </w:p>
        </w:tc>
        <w:tc>
          <w:tcPr>
            <w:tcW w:w="2548" w:type="dxa"/>
            <w:vAlign w:val="center"/>
          </w:tcPr>
          <w:p w14:paraId="731F5D7D" w14:textId="77777777" w:rsidR="003934BA" w:rsidRPr="0083780D" w:rsidRDefault="003934BA" w:rsidP="0083780D">
            <w:pPr>
              <w:pStyle w:val="Tabletexte"/>
              <w:jc w:val="center"/>
              <w:rPr>
                <w:lang w:val="ar-SA" w:bidi="ar-EG"/>
              </w:rPr>
            </w:pPr>
            <w:r w:rsidRPr="0083780D">
              <w:rPr>
                <w:rtl/>
              </w:rPr>
              <w:t>قطاع الاتصالات الراديوية</w:t>
            </w:r>
          </w:p>
          <w:p w14:paraId="15526CA3" w14:textId="77777777" w:rsidR="003934BA" w:rsidRPr="0083780D" w:rsidRDefault="003934BA" w:rsidP="0083780D">
            <w:pPr>
              <w:pStyle w:val="Tabletexte"/>
              <w:jc w:val="center"/>
              <w:rPr>
                <w:lang w:val="ar-SA" w:bidi="ar-EG"/>
              </w:rPr>
            </w:pPr>
            <w:r w:rsidRPr="0083780D">
              <w:rPr>
                <w:rtl/>
              </w:rPr>
              <w:t>قطاع تقييس الاتصالات</w:t>
            </w:r>
          </w:p>
          <w:p w14:paraId="161E762B" w14:textId="77777777" w:rsidR="003934BA" w:rsidRPr="0083780D" w:rsidRDefault="003934BA" w:rsidP="0083780D">
            <w:pPr>
              <w:pStyle w:val="Tabletexte"/>
              <w:jc w:val="center"/>
              <w:rPr>
                <w:lang w:val="ar-SA" w:bidi="ar-EG"/>
              </w:rPr>
            </w:pPr>
            <w:r w:rsidRPr="0083780D">
              <w:rPr>
                <w:rtl/>
              </w:rPr>
              <w:t>قطاع تنمية الاتصالات</w:t>
            </w:r>
          </w:p>
        </w:tc>
        <w:tc>
          <w:tcPr>
            <w:tcW w:w="2549" w:type="dxa"/>
            <w:vAlign w:val="center"/>
          </w:tcPr>
          <w:p w14:paraId="29A81801" w14:textId="77777777" w:rsidR="003934BA" w:rsidRPr="0083780D" w:rsidRDefault="003934BA" w:rsidP="0083780D">
            <w:pPr>
              <w:pStyle w:val="Tabletexte"/>
              <w:jc w:val="center"/>
              <w:rPr>
                <w:lang w:val="ar-SA" w:bidi="ar-EG"/>
              </w:rPr>
            </w:pPr>
            <w:r w:rsidRPr="0083780D">
              <w:rPr>
                <w:rtl/>
              </w:rPr>
              <w:t>نعم</w:t>
            </w:r>
          </w:p>
          <w:p w14:paraId="30ADA3AC" w14:textId="5126C362" w:rsidR="003934BA" w:rsidRPr="0083780D" w:rsidRDefault="001560E6" w:rsidP="0083780D">
            <w:pPr>
              <w:pStyle w:val="Tabletexte"/>
              <w:jc w:val="center"/>
              <w:rPr>
                <w:lang w:bidi="en-GB"/>
              </w:rPr>
            </w:pPr>
            <w:r>
              <w:rPr>
                <w:rFonts w:hint="cs"/>
                <w:rtl/>
              </w:rPr>
              <w:t>لا</w:t>
            </w:r>
          </w:p>
          <w:p w14:paraId="106CD800" w14:textId="77777777" w:rsidR="003934BA" w:rsidRPr="0083780D" w:rsidRDefault="003934BA" w:rsidP="0083780D">
            <w:pPr>
              <w:pStyle w:val="Tabletexte"/>
              <w:jc w:val="center"/>
              <w:rPr>
                <w:lang w:val="ar-SA" w:bidi="ar-EG"/>
              </w:rPr>
            </w:pPr>
            <w:r w:rsidRPr="0083780D">
              <w:rPr>
                <w:rtl/>
              </w:rPr>
              <w:t>نعم</w:t>
            </w:r>
          </w:p>
        </w:tc>
      </w:tr>
    </w:tbl>
    <w:p w14:paraId="7428AC16" w14:textId="330EC98A" w:rsidR="001560E6" w:rsidRDefault="003934BA" w:rsidP="00652B50">
      <w:pPr>
        <w:spacing w:before="240"/>
        <w:rPr>
          <w:rtl/>
        </w:rPr>
      </w:pPr>
      <w:r w:rsidRPr="003934BA">
        <w:rPr>
          <w:rtl/>
        </w:rPr>
        <w:t>أ</w:t>
      </w:r>
      <w:r w:rsidR="00D35FE3">
        <w:rPr>
          <w:rFonts w:hint="cs"/>
          <w:rtl/>
        </w:rPr>
        <w:t>ُ</w:t>
      </w:r>
      <w:r w:rsidRPr="003934BA">
        <w:rPr>
          <w:rtl/>
        </w:rPr>
        <w:t xml:space="preserve">نشئ المجلس الاستشاري لجيل الفضاء </w:t>
      </w:r>
      <w:r w:rsidRPr="003934BA">
        <w:rPr>
          <w:lang w:bidi="ar-EG"/>
        </w:rPr>
        <w:t>(SGAC</w:t>
      </w:r>
      <w:r w:rsidRPr="003934BA">
        <w:t>)</w:t>
      </w:r>
      <w:r w:rsidRPr="003934BA">
        <w:rPr>
          <w:rtl/>
        </w:rPr>
        <w:t xml:space="preserve"> دعماً لبرنامج الأمم المتحدة للتطبيقات الفضائية. وهو منظمة غير حكومية وغير ربحية وشبكة من الطلاب والمهنيين الشباب والخريجين في صناعة الفضاء ويمثل حالياً أكثر من </w:t>
      </w:r>
      <w:r w:rsidR="005772B2">
        <w:t>27 000</w:t>
      </w:r>
      <w:r w:rsidRPr="003934BA">
        <w:rPr>
          <w:rtl/>
        </w:rPr>
        <w:t xml:space="preserve"> عضو في 165 بلداً. والمجلس الاستشاري هو شريك رسمي للاتحاد الفيدرالي الفلكي الدولي (</w:t>
      </w:r>
      <w:r w:rsidRPr="003934BA">
        <w:rPr>
          <w:lang w:bidi="ar-EG"/>
        </w:rPr>
        <w:t>IAF</w:t>
      </w:r>
      <w:r w:rsidRPr="003934BA">
        <w:rPr>
          <w:rtl/>
        </w:rPr>
        <w:t xml:space="preserve">). وترى الأمانة أن هذا الكيان يفي بالمعايير التي وضعها المجلس </w:t>
      </w:r>
      <w:r w:rsidR="001560E6">
        <w:rPr>
          <w:rFonts w:hint="cs"/>
          <w:rtl/>
        </w:rPr>
        <w:t>لإعفائه</w:t>
      </w:r>
      <w:r w:rsidRPr="003934BA">
        <w:rPr>
          <w:rtl/>
        </w:rPr>
        <w:t xml:space="preserve"> من رسوم العضوية في قطاع الاتصالات الراديوية وقطاع تنمية الاتصالات.</w:t>
      </w:r>
      <w:r w:rsidR="001560E6" w:rsidRPr="001560E6">
        <w:rPr>
          <w:rtl/>
        </w:rPr>
        <w:t xml:space="preserve"> </w:t>
      </w:r>
      <w:r w:rsidR="001560E6" w:rsidRPr="001754B2">
        <w:rPr>
          <w:rtl/>
        </w:rPr>
        <w:t xml:space="preserve">غير أنه لم يُثبت </w:t>
      </w:r>
      <w:r w:rsidR="001560E6">
        <w:rPr>
          <w:rFonts w:hint="cs"/>
          <w:rtl/>
        </w:rPr>
        <w:t>وجود</w:t>
      </w:r>
      <w:r w:rsidR="001560E6" w:rsidRPr="001754B2">
        <w:rPr>
          <w:rtl/>
        </w:rPr>
        <w:t xml:space="preserve"> فائدة متبادلة كافية </w:t>
      </w:r>
      <w:r w:rsidR="001560E6">
        <w:rPr>
          <w:rFonts w:hint="cs"/>
          <w:rtl/>
        </w:rPr>
        <w:t>فيما يتعلق</w:t>
      </w:r>
      <w:r w:rsidR="001560E6" w:rsidRPr="001754B2">
        <w:rPr>
          <w:rtl/>
        </w:rPr>
        <w:t xml:space="preserve"> </w:t>
      </w:r>
      <w:r w:rsidR="001560E6">
        <w:rPr>
          <w:rFonts w:hint="cs"/>
          <w:rtl/>
        </w:rPr>
        <w:t>بقطاع تقييس</w:t>
      </w:r>
      <w:r w:rsidR="001560E6" w:rsidRPr="001754B2">
        <w:rPr>
          <w:rtl/>
        </w:rPr>
        <w:t xml:space="preserve"> الاتصالات</w:t>
      </w:r>
      <w:r w:rsidR="001560E6">
        <w:rPr>
          <w:rFonts w:hint="cs"/>
          <w:rtl/>
        </w:rPr>
        <w:t>.</w:t>
      </w:r>
    </w:p>
    <w:p w14:paraId="66D90F33" w14:textId="77777777" w:rsidR="00F50E3F" w:rsidRDefault="00D63735" w:rsidP="00652B50">
      <w:pPr>
        <w:spacing w:before="48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4"/>
      <w:headerReference w:type="first" r:id="rId15"/>
      <w:footerReference w:type="first" r:id="rId16"/>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4F17" w14:textId="77777777" w:rsidR="00987CEE" w:rsidRDefault="00987CEE" w:rsidP="006C3242">
      <w:pPr>
        <w:spacing w:before="0" w:line="240" w:lineRule="auto"/>
      </w:pPr>
      <w:r>
        <w:separator/>
      </w:r>
    </w:p>
  </w:endnote>
  <w:endnote w:type="continuationSeparator" w:id="0">
    <w:p w14:paraId="071C87F0" w14:textId="77777777" w:rsidR="00987CEE" w:rsidRDefault="00987CE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venir Nxt2 W1G Medium">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43B7A881" w14:textId="77777777" w:rsidTr="00A67F05">
      <w:trPr>
        <w:jc w:val="center"/>
      </w:trPr>
      <w:tc>
        <w:tcPr>
          <w:tcW w:w="868" w:type="pct"/>
          <w:vAlign w:val="center"/>
        </w:tcPr>
        <w:p w14:paraId="2E9A0E7E" w14:textId="79E892D5" w:rsidR="00F50E3F" w:rsidRPr="007B0AA0" w:rsidRDefault="003934BA"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3934BA">
            <w:rPr>
              <w:rFonts w:ascii="Calibri" w:hAnsi="Calibri" w:cs="Arial"/>
              <w:sz w:val="18"/>
              <w:szCs w:val="14"/>
            </w:rPr>
            <w:t>2501100</w:t>
          </w:r>
        </w:p>
      </w:tc>
      <w:tc>
        <w:tcPr>
          <w:tcW w:w="3912" w:type="pct"/>
        </w:tcPr>
        <w:p w14:paraId="672AB1D7" w14:textId="6B1A422E"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F76E69">
            <w:rPr>
              <w:rFonts w:ascii="Calibri" w:hAnsi="Calibri" w:cs="Arial"/>
              <w:bCs/>
              <w:color w:val="7F7F7F"/>
              <w:sz w:val="18"/>
            </w:rPr>
            <w:t>65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BF57C8A"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7C825C4" w14:textId="77777777" w:rsidR="006C3242" w:rsidRPr="0026373E" w:rsidRDefault="006C3242" w:rsidP="00BA04B2">
    <w:pPr>
      <w:pStyle w:val="Footer"/>
      <w:tabs>
        <w:tab w:val="clear" w:pos="4153"/>
        <w:tab w:val="clear" w:pos="8306"/>
        <w:tab w:val="center" w:pos="5103"/>
        <w:tab w:val="right" w:pos="9639"/>
      </w:tabs>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60678D8C" w14:textId="77777777" w:rsidTr="00A67F05">
      <w:trPr>
        <w:jc w:val="center"/>
      </w:trPr>
      <w:tc>
        <w:tcPr>
          <w:tcW w:w="1013" w:type="pct"/>
          <w:vAlign w:val="center"/>
        </w:tcPr>
        <w:p w14:paraId="2F4D4242"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41F3B8CA" w14:textId="2993C5EF"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F76E69">
            <w:rPr>
              <w:rFonts w:ascii="Calibri" w:hAnsi="Calibri" w:cs="Arial"/>
              <w:bCs/>
              <w:color w:val="7F7F7F"/>
              <w:sz w:val="18"/>
            </w:rPr>
            <w:t>65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E04FCEB"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FAE2D51" w14:textId="77777777" w:rsidR="0006468A" w:rsidRPr="007B0AA0" w:rsidRDefault="0006468A" w:rsidP="00BA04B2">
    <w:pPr>
      <w:pStyle w:val="Footer"/>
      <w:tabs>
        <w:tab w:val="clear" w:pos="4153"/>
        <w:tab w:val="clear" w:pos="8306"/>
        <w:tab w:val="center" w:pos="5103"/>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A83C" w14:textId="77777777" w:rsidR="00987CEE" w:rsidRDefault="00987CEE" w:rsidP="006C3242">
      <w:pPr>
        <w:spacing w:before="0" w:line="240" w:lineRule="auto"/>
      </w:pPr>
      <w:r>
        <w:separator/>
      </w:r>
    </w:p>
  </w:footnote>
  <w:footnote w:type="continuationSeparator" w:id="0">
    <w:p w14:paraId="22AB8CAE" w14:textId="77777777" w:rsidR="00987CEE" w:rsidRDefault="00987CEE"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E8EA"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D9C8DA9" wp14:editId="29F3888D">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F03AD"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7ECA624F" wp14:editId="352A6FC7">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CC"/>
    <w:rsid w:val="0006468A"/>
    <w:rsid w:val="0008634E"/>
    <w:rsid w:val="00090574"/>
    <w:rsid w:val="000B6D61"/>
    <w:rsid w:val="000C1C0E"/>
    <w:rsid w:val="000C3ECC"/>
    <w:rsid w:val="000C548A"/>
    <w:rsid w:val="000F5906"/>
    <w:rsid w:val="001558C1"/>
    <w:rsid w:val="001560E6"/>
    <w:rsid w:val="001754B2"/>
    <w:rsid w:val="00191059"/>
    <w:rsid w:val="001B6E2B"/>
    <w:rsid w:val="001C0169"/>
    <w:rsid w:val="001C0C21"/>
    <w:rsid w:val="001C1276"/>
    <w:rsid w:val="001D1D50"/>
    <w:rsid w:val="001D64C7"/>
    <w:rsid w:val="001D6745"/>
    <w:rsid w:val="001E180F"/>
    <w:rsid w:val="001E446E"/>
    <w:rsid w:val="002154EE"/>
    <w:rsid w:val="002276D2"/>
    <w:rsid w:val="0023283D"/>
    <w:rsid w:val="00242321"/>
    <w:rsid w:val="00254393"/>
    <w:rsid w:val="0026373E"/>
    <w:rsid w:val="00271C43"/>
    <w:rsid w:val="00290728"/>
    <w:rsid w:val="002978F4"/>
    <w:rsid w:val="002A7822"/>
    <w:rsid w:val="002B028D"/>
    <w:rsid w:val="002C3F32"/>
    <w:rsid w:val="002C4540"/>
    <w:rsid w:val="002E6541"/>
    <w:rsid w:val="00334924"/>
    <w:rsid w:val="003409BC"/>
    <w:rsid w:val="00357185"/>
    <w:rsid w:val="00383829"/>
    <w:rsid w:val="003934BA"/>
    <w:rsid w:val="003F4B29"/>
    <w:rsid w:val="00420F8A"/>
    <w:rsid w:val="0042686F"/>
    <w:rsid w:val="004317D8"/>
    <w:rsid w:val="0043260A"/>
    <w:rsid w:val="00434183"/>
    <w:rsid w:val="00443869"/>
    <w:rsid w:val="00447F32"/>
    <w:rsid w:val="00491BA9"/>
    <w:rsid w:val="004A4701"/>
    <w:rsid w:val="004B7334"/>
    <w:rsid w:val="004E11DC"/>
    <w:rsid w:val="005046CF"/>
    <w:rsid w:val="005130DE"/>
    <w:rsid w:val="00513157"/>
    <w:rsid w:val="00525DDD"/>
    <w:rsid w:val="005409AC"/>
    <w:rsid w:val="005434E0"/>
    <w:rsid w:val="005546CF"/>
    <w:rsid w:val="0055516A"/>
    <w:rsid w:val="00567FF8"/>
    <w:rsid w:val="005772B2"/>
    <w:rsid w:val="0058491B"/>
    <w:rsid w:val="00592EA5"/>
    <w:rsid w:val="005A3170"/>
    <w:rsid w:val="005E565B"/>
    <w:rsid w:val="006277FB"/>
    <w:rsid w:val="00634563"/>
    <w:rsid w:val="0064720B"/>
    <w:rsid w:val="00652B50"/>
    <w:rsid w:val="00660DEA"/>
    <w:rsid w:val="00677396"/>
    <w:rsid w:val="0069200F"/>
    <w:rsid w:val="006A65CB"/>
    <w:rsid w:val="006B12E5"/>
    <w:rsid w:val="006C3242"/>
    <w:rsid w:val="006C7CC0"/>
    <w:rsid w:val="006F363C"/>
    <w:rsid w:val="006F63F7"/>
    <w:rsid w:val="007025C7"/>
    <w:rsid w:val="00706D7A"/>
    <w:rsid w:val="00722F0D"/>
    <w:rsid w:val="0074420E"/>
    <w:rsid w:val="007648A6"/>
    <w:rsid w:val="0077110E"/>
    <w:rsid w:val="00783E26"/>
    <w:rsid w:val="007A5B37"/>
    <w:rsid w:val="007A6684"/>
    <w:rsid w:val="007B0AA0"/>
    <w:rsid w:val="007C12F4"/>
    <w:rsid w:val="007C234C"/>
    <w:rsid w:val="007C3BC7"/>
    <w:rsid w:val="007C3BCD"/>
    <w:rsid w:val="007D4ACF"/>
    <w:rsid w:val="007F0787"/>
    <w:rsid w:val="00810B7B"/>
    <w:rsid w:val="00820A45"/>
    <w:rsid w:val="0082358A"/>
    <w:rsid w:val="008235CD"/>
    <w:rsid w:val="008247DE"/>
    <w:rsid w:val="008339C0"/>
    <w:rsid w:val="0083780D"/>
    <w:rsid w:val="00840B10"/>
    <w:rsid w:val="008513CB"/>
    <w:rsid w:val="00865D8F"/>
    <w:rsid w:val="00874E9F"/>
    <w:rsid w:val="008A7F84"/>
    <w:rsid w:val="008B5AC4"/>
    <w:rsid w:val="009137F5"/>
    <w:rsid w:val="0091702E"/>
    <w:rsid w:val="00923B0C"/>
    <w:rsid w:val="00924F46"/>
    <w:rsid w:val="00935AAC"/>
    <w:rsid w:val="0094021C"/>
    <w:rsid w:val="00952F86"/>
    <w:rsid w:val="009713FD"/>
    <w:rsid w:val="0097404A"/>
    <w:rsid w:val="00982B28"/>
    <w:rsid w:val="00987CEE"/>
    <w:rsid w:val="009928FF"/>
    <w:rsid w:val="009D313F"/>
    <w:rsid w:val="00A006F2"/>
    <w:rsid w:val="00A47A5A"/>
    <w:rsid w:val="00A52753"/>
    <w:rsid w:val="00A63AE6"/>
    <w:rsid w:val="00A6683B"/>
    <w:rsid w:val="00A67F05"/>
    <w:rsid w:val="00A97F94"/>
    <w:rsid w:val="00AA7EA2"/>
    <w:rsid w:val="00B03099"/>
    <w:rsid w:val="00B05BC8"/>
    <w:rsid w:val="00B30F5E"/>
    <w:rsid w:val="00B64B47"/>
    <w:rsid w:val="00B847DC"/>
    <w:rsid w:val="00B95654"/>
    <w:rsid w:val="00B97F32"/>
    <w:rsid w:val="00BA04B2"/>
    <w:rsid w:val="00BA2086"/>
    <w:rsid w:val="00BE76CC"/>
    <w:rsid w:val="00C002DE"/>
    <w:rsid w:val="00C0602B"/>
    <w:rsid w:val="00C142DE"/>
    <w:rsid w:val="00C224DA"/>
    <w:rsid w:val="00C53BF8"/>
    <w:rsid w:val="00C66157"/>
    <w:rsid w:val="00C674FE"/>
    <w:rsid w:val="00C67501"/>
    <w:rsid w:val="00C75633"/>
    <w:rsid w:val="00C77D8F"/>
    <w:rsid w:val="00CE2EE1"/>
    <w:rsid w:val="00CE3349"/>
    <w:rsid w:val="00CE36E5"/>
    <w:rsid w:val="00CE4360"/>
    <w:rsid w:val="00CF27F5"/>
    <w:rsid w:val="00CF3E61"/>
    <w:rsid w:val="00CF3FFD"/>
    <w:rsid w:val="00D10CCF"/>
    <w:rsid w:val="00D13941"/>
    <w:rsid w:val="00D17F85"/>
    <w:rsid w:val="00D23F5F"/>
    <w:rsid w:val="00D35FE3"/>
    <w:rsid w:val="00D43F7D"/>
    <w:rsid w:val="00D63735"/>
    <w:rsid w:val="00D77D0F"/>
    <w:rsid w:val="00DA1CF0"/>
    <w:rsid w:val="00DB7FD7"/>
    <w:rsid w:val="00DC1E02"/>
    <w:rsid w:val="00DC24B4"/>
    <w:rsid w:val="00DC5FB0"/>
    <w:rsid w:val="00DD66D6"/>
    <w:rsid w:val="00DE7220"/>
    <w:rsid w:val="00DF16DC"/>
    <w:rsid w:val="00DF53D2"/>
    <w:rsid w:val="00E45211"/>
    <w:rsid w:val="00E473C5"/>
    <w:rsid w:val="00E61BE8"/>
    <w:rsid w:val="00E74BC2"/>
    <w:rsid w:val="00E83FF1"/>
    <w:rsid w:val="00E92863"/>
    <w:rsid w:val="00E979B2"/>
    <w:rsid w:val="00EB796D"/>
    <w:rsid w:val="00F058DC"/>
    <w:rsid w:val="00F24FC4"/>
    <w:rsid w:val="00F2676C"/>
    <w:rsid w:val="00F363FE"/>
    <w:rsid w:val="00F36A15"/>
    <w:rsid w:val="00F50E3F"/>
    <w:rsid w:val="00F76E69"/>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A88E3"/>
  <w15:chartTrackingRefBased/>
  <w15:docId w15:val="{EEBAE282-E01A-418A-890C-02377CE4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after="12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after="12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after="12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_No"/>
    <w:basedOn w:val="Normal"/>
    <w:qFormat/>
    <w:rsid w:val="00F974C5"/>
    <w:pPr>
      <w:keepNext/>
      <w:spacing w:before="240" w:after="12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after="12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after="12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after="12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36A15"/>
    <w:rPr>
      <w:rFonts w:ascii="Calibri" w:eastAsia="Calibri" w:hAnsi="Calibri" w:cs="Arial"/>
      <w:noProof/>
      <w:color w:val="5B9BD5" w:themeColor="accent1"/>
      <w:sz w:val="18"/>
      <w:u w:val="single"/>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C3ECC"/>
    <w:rPr>
      <w:color w:val="954F72" w:themeColor="followedHyperlink"/>
      <w:u w:val="single"/>
    </w:rPr>
  </w:style>
  <w:style w:type="paragraph" w:styleId="Revision">
    <w:name w:val="Revision"/>
    <w:hidden/>
    <w:uiPriority w:val="99"/>
    <w:semiHidden/>
    <w:rsid w:val="00D35FE3"/>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itudoc/gs/council/c00/docs/28rev1.html" TargetMode="External"/><Relationship Id="rId13" Type="http://schemas.openxmlformats.org/officeDocument/2006/relationships/hyperlink" Target="https://www.itu.int/hub/membership/our-members/exempted-entities/exemption-criter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19-CL-C-0141/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doc/gs/council/c00/docs/28rev1.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hub/membership/our-members/exempted-entities/" TargetMode="External"/><Relationship Id="rId4" Type="http://schemas.openxmlformats.org/officeDocument/2006/relationships/settings" Target="settings.xml"/><Relationship Id="rId9" Type="http://schemas.openxmlformats.org/officeDocument/2006/relationships/hyperlink" Target="https://www.itu.int/md/S19-CL-C-0141/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3%20Third%20Contract%20Work%20(05-05-2025%20---%2027-06-2025\05%20May\09\2501100A\Typin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0</TotalTime>
  <Pages>3</Pages>
  <Words>886</Words>
  <Characters>4882</Characters>
  <Application>Microsoft Office Word</Application>
  <DocSecurity>0</DocSecurity>
  <Lines>123</Lines>
  <Paragraphs>82</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requests for exemption from fees for organizations of an international character</dc:title>
  <dc:subject>ITU Council 2025</dc:subject>
  <cp:keywords>C2025, C25, Council-25</cp:keywords>
  <dc:description/>
  <dcterms:created xsi:type="dcterms:W3CDTF">2025-05-23T09:15:00Z</dcterms:created>
  <dcterms:modified xsi:type="dcterms:W3CDTF">2025-05-23T09:15:00Z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