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FE57F6" w:rsidRPr="00BB6FD8" w14:paraId="11621A9F" w14:textId="77777777" w:rsidTr="00C538FC">
        <w:trPr>
          <w:cantSplit/>
          <w:trHeight w:val="23"/>
        </w:trPr>
        <w:tc>
          <w:tcPr>
            <w:tcW w:w="3969" w:type="dxa"/>
            <w:vMerge w:val="restart"/>
            <w:tcMar>
              <w:left w:w="0" w:type="dxa"/>
            </w:tcMar>
          </w:tcPr>
          <w:p w14:paraId="68177554" w14:textId="72A1B295" w:rsidR="00FE57F6" w:rsidRPr="00BB6FD8" w:rsidRDefault="00BB6FD8" w:rsidP="00C538FC">
            <w:pPr>
              <w:tabs>
                <w:tab w:val="left" w:pos="851"/>
              </w:tabs>
              <w:spacing w:before="0" w:line="240" w:lineRule="atLeast"/>
              <w:rPr>
                <w:b/>
              </w:rPr>
            </w:pPr>
            <w:bookmarkStart w:id="0" w:name="_Hlk133421839"/>
            <w:r w:rsidRPr="00BB6FD8">
              <w:rPr>
                <w:b/>
              </w:rPr>
              <w:t>Orden del día</w:t>
            </w:r>
            <w:r w:rsidR="00FE57F6" w:rsidRPr="00BB6FD8">
              <w:rPr>
                <w:b/>
              </w:rPr>
              <w:t>:</w:t>
            </w:r>
            <w:r w:rsidR="00C55BA3" w:rsidRPr="00DB4FBD">
              <w:rPr>
                <w:b/>
                <w:bCs/>
                <w:color w:val="000000"/>
                <w:lang w:val="es-ES"/>
              </w:rPr>
              <w:t xml:space="preserve"> ADM 1</w:t>
            </w:r>
          </w:p>
        </w:tc>
        <w:tc>
          <w:tcPr>
            <w:tcW w:w="5245" w:type="dxa"/>
          </w:tcPr>
          <w:p w14:paraId="66FCF579" w14:textId="3AEB9A1D" w:rsidR="00FE57F6" w:rsidRPr="00BB6FD8" w:rsidRDefault="00FE57F6" w:rsidP="00C538FC">
            <w:pPr>
              <w:tabs>
                <w:tab w:val="left" w:pos="851"/>
              </w:tabs>
              <w:spacing w:before="0" w:line="240" w:lineRule="atLeast"/>
              <w:jc w:val="right"/>
              <w:rPr>
                <w:b/>
              </w:rPr>
            </w:pPr>
            <w:r w:rsidRPr="00BB6FD8">
              <w:rPr>
                <w:b/>
              </w:rPr>
              <w:t>Document</w:t>
            </w:r>
            <w:r w:rsidR="00F24B71" w:rsidRPr="00BB6FD8">
              <w:rPr>
                <w:b/>
              </w:rPr>
              <w:t>o</w:t>
            </w:r>
            <w:r w:rsidRPr="00BB6FD8">
              <w:rPr>
                <w:b/>
              </w:rPr>
              <w:t xml:space="preserve"> </w:t>
            </w:r>
            <w:proofErr w:type="spellStart"/>
            <w:r w:rsidRPr="00BB6FD8">
              <w:rPr>
                <w:b/>
              </w:rPr>
              <w:t>C2</w:t>
            </w:r>
            <w:r w:rsidR="00BB6FD8" w:rsidRPr="00BB6FD8">
              <w:rPr>
                <w:b/>
              </w:rPr>
              <w:t>5</w:t>
            </w:r>
            <w:proofErr w:type="spellEnd"/>
            <w:r w:rsidRPr="00BB6FD8">
              <w:rPr>
                <w:b/>
              </w:rPr>
              <w:t>/</w:t>
            </w:r>
            <w:r w:rsidR="00C55BA3">
              <w:rPr>
                <w:b/>
              </w:rPr>
              <w:t>64</w:t>
            </w:r>
            <w:r w:rsidRPr="00BB6FD8">
              <w:rPr>
                <w:b/>
              </w:rPr>
              <w:t>-</w:t>
            </w:r>
            <w:r w:rsidR="00F24B71" w:rsidRPr="00BB6FD8">
              <w:rPr>
                <w:b/>
              </w:rPr>
              <w:t>S</w:t>
            </w:r>
          </w:p>
        </w:tc>
      </w:tr>
      <w:tr w:rsidR="00FE57F6" w:rsidRPr="00666D09" w14:paraId="475F3C5C" w14:textId="77777777" w:rsidTr="00C538FC">
        <w:trPr>
          <w:cantSplit/>
        </w:trPr>
        <w:tc>
          <w:tcPr>
            <w:tcW w:w="3969" w:type="dxa"/>
            <w:vMerge/>
          </w:tcPr>
          <w:p w14:paraId="7BA3FC4E" w14:textId="77777777" w:rsidR="00FE57F6" w:rsidRPr="00BB6FD8" w:rsidRDefault="00FE57F6" w:rsidP="00C538FC">
            <w:pPr>
              <w:tabs>
                <w:tab w:val="left" w:pos="851"/>
              </w:tabs>
              <w:spacing w:line="240" w:lineRule="atLeast"/>
              <w:rPr>
                <w:b/>
              </w:rPr>
            </w:pPr>
          </w:p>
        </w:tc>
        <w:tc>
          <w:tcPr>
            <w:tcW w:w="5245" w:type="dxa"/>
          </w:tcPr>
          <w:p w14:paraId="5D134587" w14:textId="26E362FC" w:rsidR="00FE57F6" w:rsidRPr="00666D09" w:rsidRDefault="00C55BA3" w:rsidP="00C538FC">
            <w:pPr>
              <w:tabs>
                <w:tab w:val="left" w:pos="851"/>
              </w:tabs>
              <w:spacing w:before="0"/>
              <w:jc w:val="right"/>
              <w:rPr>
                <w:b/>
                <w:lang w:val="en-GB"/>
              </w:rPr>
            </w:pPr>
            <w:r>
              <w:rPr>
                <w:b/>
              </w:rPr>
              <w:t>1 de mayo de 2025</w:t>
            </w:r>
          </w:p>
        </w:tc>
      </w:tr>
      <w:tr w:rsidR="00FE57F6" w:rsidRPr="00BB6FD8" w14:paraId="3F5585D8" w14:textId="77777777" w:rsidTr="00C538FC">
        <w:trPr>
          <w:cantSplit/>
          <w:trHeight w:val="23"/>
        </w:trPr>
        <w:tc>
          <w:tcPr>
            <w:tcW w:w="3969" w:type="dxa"/>
            <w:vMerge/>
          </w:tcPr>
          <w:p w14:paraId="2B9B79FA" w14:textId="77777777" w:rsidR="00FE57F6" w:rsidRPr="00666D09" w:rsidRDefault="00FE57F6" w:rsidP="00C538FC">
            <w:pPr>
              <w:tabs>
                <w:tab w:val="left" w:pos="851"/>
              </w:tabs>
              <w:spacing w:line="240" w:lineRule="atLeast"/>
              <w:rPr>
                <w:b/>
                <w:lang w:val="en-GB"/>
              </w:rPr>
            </w:pPr>
          </w:p>
        </w:tc>
        <w:tc>
          <w:tcPr>
            <w:tcW w:w="5245" w:type="dxa"/>
          </w:tcPr>
          <w:p w14:paraId="06A33C86" w14:textId="77777777" w:rsidR="00FE57F6" w:rsidRPr="00BB6FD8" w:rsidRDefault="00F24B71" w:rsidP="00C538FC">
            <w:pPr>
              <w:tabs>
                <w:tab w:val="left" w:pos="851"/>
              </w:tabs>
              <w:spacing w:before="0" w:line="240" w:lineRule="atLeast"/>
              <w:jc w:val="right"/>
              <w:rPr>
                <w:b/>
                <w:bCs/>
              </w:rPr>
            </w:pPr>
            <w:r w:rsidRPr="00BB6FD8">
              <w:rPr>
                <w:rFonts w:cstheme="minorHAnsi"/>
                <w:b/>
                <w:bCs/>
              </w:rPr>
              <w:t>Original: inglés</w:t>
            </w:r>
          </w:p>
        </w:tc>
      </w:tr>
      <w:tr w:rsidR="00FE57F6" w:rsidRPr="00BB6FD8" w14:paraId="75A089A6" w14:textId="77777777" w:rsidTr="00C538FC">
        <w:trPr>
          <w:cantSplit/>
          <w:trHeight w:val="23"/>
        </w:trPr>
        <w:tc>
          <w:tcPr>
            <w:tcW w:w="3969" w:type="dxa"/>
          </w:tcPr>
          <w:p w14:paraId="4EFC8CE7" w14:textId="77777777" w:rsidR="00FE57F6" w:rsidRPr="00BB6FD8" w:rsidRDefault="00FE57F6" w:rsidP="00C538FC">
            <w:pPr>
              <w:tabs>
                <w:tab w:val="left" w:pos="851"/>
              </w:tabs>
              <w:spacing w:line="240" w:lineRule="atLeast"/>
              <w:rPr>
                <w:b/>
              </w:rPr>
            </w:pPr>
          </w:p>
        </w:tc>
        <w:tc>
          <w:tcPr>
            <w:tcW w:w="5245" w:type="dxa"/>
          </w:tcPr>
          <w:p w14:paraId="49B6672A" w14:textId="77777777" w:rsidR="00FE57F6" w:rsidRPr="00BB6FD8" w:rsidRDefault="00FE57F6" w:rsidP="00C538FC">
            <w:pPr>
              <w:tabs>
                <w:tab w:val="left" w:pos="851"/>
              </w:tabs>
              <w:spacing w:before="0" w:line="240" w:lineRule="atLeast"/>
              <w:jc w:val="right"/>
              <w:rPr>
                <w:b/>
              </w:rPr>
            </w:pPr>
          </w:p>
        </w:tc>
      </w:tr>
      <w:tr w:rsidR="00FE57F6" w:rsidRPr="00BB6FD8" w14:paraId="2F4792E8" w14:textId="77777777" w:rsidTr="00C538FC">
        <w:trPr>
          <w:cantSplit/>
        </w:trPr>
        <w:tc>
          <w:tcPr>
            <w:tcW w:w="9214" w:type="dxa"/>
            <w:gridSpan w:val="2"/>
            <w:tcMar>
              <w:left w:w="0" w:type="dxa"/>
            </w:tcMar>
          </w:tcPr>
          <w:p w14:paraId="2ACDABE1" w14:textId="77777777" w:rsidR="00FE57F6" w:rsidRPr="00BB6FD8" w:rsidRDefault="00157AC4" w:rsidP="00C538FC">
            <w:pPr>
              <w:pStyle w:val="Source"/>
              <w:jc w:val="left"/>
              <w:rPr>
                <w:sz w:val="34"/>
                <w:szCs w:val="34"/>
              </w:rPr>
            </w:pPr>
            <w:r>
              <w:rPr>
                <w:rFonts w:cstheme="minorHAnsi"/>
                <w:sz w:val="34"/>
                <w:szCs w:val="34"/>
              </w:rPr>
              <w:t>Informe de la Secretaria General</w:t>
            </w:r>
          </w:p>
        </w:tc>
      </w:tr>
      <w:tr w:rsidR="00FE57F6" w:rsidRPr="00BB6FD8" w14:paraId="6FFBA85F" w14:textId="77777777" w:rsidTr="00C538FC">
        <w:trPr>
          <w:cantSplit/>
        </w:trPr>
        <w:tc>
          <w:tcPr>
            <w:tcW w:w="9214" w:type="dxa"/>
            <w:gridSpan w:val="2"/>
            <w:tcMar>
              <w:left w:w="0" w:type="dxa"/>
            </w:tcMar>
          </w:tcPr>
          <w:p w14:paraId="67DBA2A6" w14:textId="7A7BD290" w:rsidR="00FE57F6" w:rsidRPr="00F92BED" w:rsidRDefault="008D6143" w:rsidP="00F92BED">
            <w:pPr>
              <w:pStyle w:val="Subtitle"/>
              <w:framePr w:hSpace="0" w:wrap="auto" w:vAnchor="margin" w:hAnchor="text" w:xAlign="left" w:yAlign="inline"/>
            </w:pPr>
            <w:bookmarkStart w:id="1" w:name="_Hlk196858311"/>
            <w:r w:rsidRPr="00C55BA3">
              <w:t xml:space="preserve">METODOLOGÍA PROPUESTA PARA EL CÁLCULO DE LA RECUPERACIÓN DE COSTES DE </w:t>
            </w:r>
            <w:bookmarkEnd w:id="1"/>
            <w:proofErr w:type="spellStart"/>
            <w:r w:rsidRPr="00C55BA3">
              <w:t>SNF</w:t>
            </w:r>
            <w:proofErr w:type="spellEnd"/>
          </w:p>
        </w:tc>
      </w:tr>
      <w:tr w:rsidR="00FE57F6" w:rsidRPr="00BB6FD8" w14:paraId="4C778432" w14:textId="77777777" w:rsidTr="00C538FC">
        <w:trPr>
          <w:cantSplit/>
        </w:trPr>
        <w:tc>
          <w:tcPr>
            <w:tcW w:w="9214" w:type="dxa"/>
            <w:gridSpan w:val="2"/>
            <w:tcBorders>
              <w:top w:val="single" w:sz="4" w:space="0" w:color="auto"/>
              <w:bottom w:val="single" w:sz="4" w:space="0" w:color="auto"/>
            </w:tcBorders>
            <w:tcMar>
              <w:left w:w="0" w:type="dxa"/>
            </w:tcMar>
          </w:tcPr>
          <w:p w14:paraId="24773E33" w14:textId="77777777" w:rsidR="00FE57F6" w:rsidRPr="00BB6FD8" w:rsidRDefault="00F24B71" w:rsidP="00C538FC">
            <w:pPr>
              <w:spacing w:before="160"/>
              <w:rPr>
                <w:b/>
                <w:bCs/>
                <w:sz w:val="26"/>
                <w:szCs w:val="26"/>
              </w:rPr>
            </w:pPr>
            <w:r w:rsidRPr="00BB6FD8">
              <w:rPr>
                <w:b/>
                <w:bCs/>
                <w:sz w:val="26"/>
                <w:szCs w:val="26"/>
              </w:rPr>
              <w:t>Finalidad</w:t>
            </w:r>
          </w:p>
          <w:p w14:paraId="0D99DD68" w14:textId="492479C4" w:rsidR="00FE57F6" w:rsidRPr="00BB6FD8" w:rsidRDefault="00C55BA3" w:rsidP="00966CEE">
            <w:pPr>
              <w:jc w:val="both"/>
            </w:pPr>
            <w:r w:rsidRPr="00DB4FBD">
              <w:rPr>
                <w:color w:val="000000"/>
                <w:lang w:val="es-ES"/>
              </w:rPr>
              <w:t>En el presente documento se propone una metodología revisada para determinar los costes totales atribuibles a las notificaciones de redes de satélite mediante un enfoque de atribución completa de los costes de conformidad con el Acuerdo</w:t>
            </w:r>
            <w:r w:rsidR="00D76DE3">
              <w:rPr>
                <w:color w:val="000000"/>
                <w:lang w:val="es-ES"/>
              </w:rPr>
              <w:t> </w:t>
            </w:r>
            <w:r w:rsidRPr="00DB4FBD">
              <w:rPr>
                <w:color w:val="000000"/>
                <w:lang w:val="es-ES"/>
              </w:rPr>
              <w:t>535, así como un método gradual para limitar la recaudación de esos costes completos basado en puntos de referencia apropiados de conformidad con la Resolución</w:t>
            </w:r>
            <w:r w:rsidR="00D76DE3">
              <w:rPr>
                <w:color w:val="000000"/>
                <w:lang w:val="es-ES"/>
              </w:rPr>
              <w:t> </w:t>
            </w:r>
            <w:r w:rsidRPr="00DB4FBD">
              <w:rPr>
                <w:color w:val="000000"/>
                <w:lang w:val="es-ES"/>
              </w:rPr>
              <w:t>91 (Rev. Guadalajara, 2010).</w:t>
            </w:r>
          </w:p>
          <w:p w14:paraId="62CF9F11" w14:textId="77777777" w:rsidR="00FE57F6" w:rsidRPr="00BB6FD8" w:rsidRDefault="00F24B71" w:rsidP="00C538FC">
            <w:pPr>
              <w:spacing w:before="160"/>
              <w:rPr>
                <w:b/>
                <w:bCs/>
                <w:sz w:val="26"/>
                <w:szCs w:val="26"/>
              </w:rPr>
            </w:pPr>
            <w:r w:rsidRPr="00BB6FD8">
              <w:rPr>
                <w:b/>
                <w:bCs/>
                <w:sz w:val="26"/>
                <w:szCs w:val="26"/>
              </w:rPr>
              <w:t xml:space="preserve">Acción solicitada </w:t>
            </w:r>
            <w:r w:rsidR="00677A97" w:rsidRPr="00BB6FD8">
              <w:rPr>
                <w:b/>
                <w:bCs/>
                <w:sz w:val="26"/>
                <w:szCs w:val="26"/>
              </w:rPr>
              <w:t>al</w:t>
            </w:r>
            <w:r w:rsidRPr="00BB6FD8">
              <w:rPr>
                <w:b/>
                <w:bCs/>
                <w:sz w:val="26"/>
                <w:szCs w:val="26"/>
              </w:rPr>
              <w:t xml:space="preserve"> Consejo</w:t>
            </w:r>
          </w:p>
          <w:p w14:paraId="52164988" w14:textId="3F61F2B6" w:rsidR="00F92BED" w:rsidRPr="00F92BED" w:rsidRDefault="00C55BA3" w:rsidP="00966CEE">
            <w:pPr>
              <w:spacing w:before="160"/>
              <w:jc w:val="both"/>
              <w:rPr>
                <w:szCs w:val="24"/>
                <w:lang w:val="es-ES"/>
              </w:rPr>
            </w:pPr>
            <w:r w:rsidRPr="00DB4FBD">
              <w:rPr>
                <w:color w:val="000000"/>
                <w:lang w:val="es-ES"/>
              </w:rPr>
              <w:t xml:space="preserve">Se solicita al Consejo que </w:t>
            </w:r>
            <w:r w:rsidRPr="00DB4FBD">
              <w:rPr>
                <w:b/>
                <w:bCs/>
                <w:color w:val="000000"/>
                <w:lang w:val="es-ES"/>
              </w:rPr>
              <w:t xml:space="preserve">apruebe </w:t>
            </w:r>
            <w:r w:rsidRPr="00DB4FBD">
              <w:rPr>
                <w:color w:val="000000"/>
                <w:lang w:val="es-ES"/>
              </w:rPr>
              <w:t>las metodologías propuestas en el presente documento para la fijación de tasas de notificación de redes de satélite a efectos de recuperación de costes.</w:t>
            </w:r>
          </w:p>
          <w:p w14:paraId="3C0FD800" w14:textId="77777777" w:rsidR="00F92BED" w:rsidRPr="00F24B71" w:rsidRDefault="00F92BED" w:rsidP="00F92BED">
            <w:pPr>
              <w:spacing w:before="160"/>
              <w:rPr>
                <w:b/>
                <w:bCs/>
                <w:sz w:val="26"/>
                <w:szCs w:val="26"/>
                <w:lang w:val="es-ES"/>
              </w:rPr>
            </w:pPr>
            <w:r w:rsidRPr="00F24B71">
              <w:rPr>
                <w:b/>
                <w:bCs/>
                <w:sz w:val="26"/>
                <w:szCs w:val="26"/>
                <w:lang w:val="es-ES"/>
              </w:rPr>
              <w:t>Vínculo</w:t>
            </w:r>
            <w:r>
              <w:rPr>
                <w:b/>
                <w:bCs/>
                <w:sz w:val="26"/>
                <w:szCs w:val="26"/>
                <w:lang w:val="es-ES"/>
              </w:rPr>
              <w:t>(</w:t>
            </w:r>
            <w:r w:rsidRPr="00F24B71">
              <w:rPr>
                <w:b/>
                <w:bCs/>
                <w:sz w:val="26"/>
                <w:szCs w:val="26"/>
                <w:lang w:val="es-ES"/>
              </w:rPr>
              <w:t>s</w:t>
            </w:r>
            <w:r>
              <w:rPr>
                <w:b/>
                <w:bCs/>
                <w:sz w:val="26"/>
                <w:szCs w:val="26"/>
                <w:lang w:val="es-ES"/>
              </w:rPr>
              <w:t>)</w:t>
            </w:r>
            <w:r w:rsidRPr="00F24B71">
              <w:rPr>
                <w:b/>
                <w:bCs/>
                <w:sz w:val="26"/>
                <w:szCs w:val="26"/>
                <w:lang w:val="es-ES"/>
              </w:rPr>
              <w:t xml:space="preserve"> pertinente</w:t>
            </w:r>
            <w:r>
              <w:rPr>
                <w:b/>
                <w:bCs/>
                <w:sz w:val="26"/>
                <w:szCs w:val="26"/>
                <w:lang w:val="es-ES"/>
              </w:rPr>
              <w:t>(</w:t>
            </w:r>
            <w:r w:rsidRPr="00F24B71">
              <w:rPr>
                <w:b/>
                <w:bCs/>
                <w:sz w:val="26"/>
                <w:szCs w:val="26"/>
                <w:lang w:val="es-ES"/>
              </w:rPr>
              <w:t>s</w:t>
            </w:r>
            <w:r>
              <w:rPr>
                <w:b/>
                <w:bCs/>
                <w:sz w:val="26"/>
                <w:szCs w:val="26"/>
                <w:lang w:val="es-ES"/>
              </w:rPr>
              <w:t>)</w:t>
            </w:r>
            <w:r w:rsidRPr="00F24B71">
              <w:rPr>
                <w:b/>
                <w:bCs/>
                <w:sz w:val="26"/>
                <w:szCs w:val="26"/>
                <w:lang w:val="es-ES"/>
              </w:rPr>
              <w:t xml:space="preserve"> con el Plan Estratégico</w:t>
            </w:r>
          </w:p>
          <w:p w14:paraId="46DE3990" w14:textId="4C638157" w:rsidR="00F92BED" w:rsidRPr="00F24B71" w:rsidRDefault="00C55BA3" w:rsidP="00F92BED">
            <w:pPr>
              <w:rPr>
                <w:lang w:val="es-ES"/>
              </w:rPr>
            </w:pPr>
            <w:r w:rsidRPr="00DB4FBD">
              <w:rPr>
                <w:color w:val="000000"/>
                <w:lang w:val="es-ES"/>
              </w:rPr>
              <w:t>N/A</w:t>
            </w:r>
          </w:p>
          <w:p w14:paraId="565320AE" w14:textId="77777777" w:rsidR="00F92BED" w:rsidRDefault="00F92BED" w:rsidP="00F92BED">
            <w:pPr>
              <w:spacing w:before="160"/>
              <w:rPr>
                <w:b/>
                <w:bCs/>
                <w:sz w:val="26"/>
                <w:szCs w:val="26"/>
              </w:rPr>
            </w:pPr>
            <w:r w:rsidRPr="00F24B71">
              <w:rPr>
                <w:b/>
                <w:bCs/>
                <w:sz w:val="26"/>
                <w:szCs w:val="26"/>
              </w:rPr>
              <w:t>Repercusiones financieras</w:t>
            </w:r>
          </w:p>
          <w:p w14:paraId="4E19851B" w14:textId="0ACCD7FA" w:rsidR="00F92BED" w:rsidRPr="00BB6FD8" w:rsidRDefault="00C55BA3" w:rsidP="00966CEE">
            <w:pPr>
              <w:jc w:val="both"/>
            </w:pPr>
            <w:r w:rsidRPr="00DB4FBD">
              <w:rPr>
                <w:color w:val="000000"/>
                <w:lang w:val="es-ES"/>
              </w:rPr>
              <w:t xml:space="preserve">Aumentar los ingresos anuales de la UIT mediante la recuperación de costes de las notificaciones de redes de satélite, hasta alcanzar unos ingresos totales de </w:t>
            </w:r>
            <w:r w:rsidRPr="00DB4FBD">
              <w:rPr>
                <w:b/>
                <w:bCs/>
                <w:color w:val="000000"/>
                <w:lang w:val="es-ES"/>
              </w:rPr>
              <w:t>18</w:t>
            </w:r>
            <w:r>
              <w:rPr>
                <w:b/>
                <w:bCs/>
                <w:color w:val="000000"/>
                <w:lang w:val="es-ES"/>
              </w:rPr>
              <w:t> </w:t>
            </w:r>
            <w:r w:rsidRPr="00DB4FBD">
              <w:rPr>
                <w:b/>
                <w:bCs/>
                <w:color w:val="000000"/>
                <w:lang w:val="es-ES"/>
              </w:rPr>
              <w:t>032</w:t>
            </w:r>
            <w:r>
              <w:rPr>
                <w:b/>
                <w:bCs/>
                <w:color w:val="000000"/>
                <w:lang w:val="es-ES"/>
              </w:rPr>
              <w:t> </w:t>
            </w:r>
            <w:r w:rsidRPr="00DB4FBD">
              <w:rPr>
                <w:b/>
                <w:bCs/>
                <w:color w:val="000000"/>
                <w:lang w:val="es-ES"/>
              </w:rPr>
              <w:t>400</w:t>
            </w:r>
            <w:r>
              <w:rPr>
                <w:b/>
                <w:bCs/>
                <w:color w:val="000000"/>
                <w:lang w:val="es-ES"/>
              </w:rPr>
              <w:t> </w:t>
            </w:r>
            <w:r w:rsidRPr="00DB4FBD">
              <w:rPr>
                <w:b/>
                <w:bCs/>
                <w:color w:val="000000"/>
                <w:lang w:val="es-ES"/>
              </w:rPr>
              <w:t xml:space="preserve">CHF </w:t>
            </w:r>
            <w:r w:rsidRPr="00DB4FBD">
              <w:rPr>
                <w:color w:val="000000"/>
                <w:lang w:val="es-ES"/>
              </w:rPr>
              <w:t>como máximo.</w:t>
            </w:r>
          </w:p>
          <w:p w14:paraId="44144B1A" w14:textId="77777777" w:rsidR="00FE57F6" w:rsidRPr="00BB6FD8" w:rsidRDefault="00FE57F6" w:rsidP="00C538FC">
            <w:pPr>
              <w:spacing w:before="160"/>
              <w:rPr>
                <w:caps/>
                <w:sz w:val="22"/>
              </w:rPr>
            </w:pPr>
            <w:r w:rsidRPr="00BB6FD8">
              <w:rPr>
                <w:sz w:val="22"/>
              </w:rPr>
              <w:t>__________________</w:t>
            </w:r>
          </w:p>
          <w:p w14:paraId="59920CAB" w14:textId="77777777" w:rsidR="00FE57F6" w:rsidRPr="00BB6FD8" w:rsidRDefault="00F24B71" w:rsidP="00C538FC">
            <w:pPr>
              <w:spacing w:before="160"/>
              <w:rPr>
                <w:b/>
                <w:bCs/>
                <w:sz w:val="26"/>
                <w:szCs w:val="26"/>
              </w:rPr>
            </w:pPr>
            <w:r w:rsidRPr="00BB6FD8">
              <w:rPr>
                <w:b/>
                <w:bCs/>
                <w:sz w:val="26"/>
                <w:szCs w:val="26"/>
              </w:rPr>
              <w:t>Referencia</w:t>
            </w:r>
            <w:r w:rsidR="00F92BED">
              <w:rPr>
                <w:b/>
                <w:bCs/>
                <w:sz w:val="26"/>
                <w:szCs w:val="26"/>
              </w:rPr>
              <w:t>s</w:t>
            </w:r>
            <w:r w:rsidR="00D375E0" w:rsidRPr="00BB6FD8">
              <w:rPr>
                <w:sz w:val="26"/>
                <w:szCs w:val="26"/>
              </w:rPr>
              <w:t xml:space="preserve"> </w:t>
            </w:r>
          </w:p>
          <w:p w14:paraId="52FCEF5C" w14:textId="7BCC6F3E" w:rsidR="00FE57F6" w:rsidRPr="0076504A" w:rsidRDefault="00C55BA3" w:rsidP="0076504A">
            <w:pPr>
              <w:spacing w:after="120"/>
              <w:rPr>
                <w:i/>
                <w:iCs/>
                <w:sz w:val="22"/>
                <w:szCs w:val="22"/>
              </w:rPr>
            </w:pPr>
            <w:r w:rsidRPr="0076504A">
              <w:rPr>
                <w:i/>
                <w:iCs/>
                <w:color w:val="000000"/>
                <w:sz w:val="22"/>
                <w:szCs w:val="22"/>
                <w:lang w:val="es-ES"/>
              </w:rPr>
              <w:t xml:space="preserve">Documento </w:t>
            </w:r>
            <w:hyperlink r:id="rId7" w:history="1">
              <w:proofErr w:type="spellStart"/>
              <w:r w:rsidRPr="0076504A">
                <w:rPr>
                  <w:rStyle w:val="Hyperlink"/>
                  <w:i/>
                  <w:iCs/>
                  <w:sz w:val="22"/>
                  <w:szCs w:val="22"/>
                  <w:lang w:val="es-ES"/>
                </w:rPr>
                <w:t>C25</w:t>
              </w:r>
              <w:proofErr w:type="spellEnd"/>
              <w:r w:rsidRPr="0076504A">
                <w:rPr>
                  <w:rStyle w:val="Hyperlink"/>
                  <w:i/>
                  <w:iCs/>
                  <w:sz w:val="22"/>
                  <w:szCs w:val="22"/>
                  <w:lang w:val="es-ES"/>
                </w:rPr>
                <w:t>/10</w:t>
              </w:r>
            </w:hyperlink>
            <w:r w:rsidR="00966CEE" w:rsidRPr="0076504A">
              <w:rPr>
                <w:color w:val="000000"/>
                <w:sz w:val="22"/>
                <w:szCs w:val="22"/>
                <w:lang w:val="es-ES"/>
              </w:rPr>
              <w:t>;</w:t>
            </w:r>
            <w:r w:rsidR="00966CEE" w:rsidRPr="0076504A">
              <w:rPr>
                <w:color w:val="000000"/>
                <w:sz w:val="22"/>
                <w:szCs w:val="22"/>
                <w:lang w:val="es-ES"/>
              </w:rPr>
              <w:t xml:space="preserve"> </w:t>
            </w:r>
            <w:r w:rsidRPr="0076504A">
              <w:rPr>
                <w:i/>
                <w:iCs/>
                <w:color w:val="000000"/>
                <w:sz w:val="22"/>
                <w:szCs w:val="22"/>
                <w:lang w:val="es-ES"/>
              </w:rPr>
              <w:t xml:space="preserve">Resolución </w:t>
            </w:r>
            <w:hyperlink r:id="rId8" w:history="1">
              <w:r w:rsidRPr="0076504A">
                <w:rPr>
                  <w:rStyle w:val="Hyperlink"/>
                  <w:i/>
                  <w:iCs/>
                  <w:sz w:val="22"/>
                  <w:szCs w:val="22"/>
                  <w:lang w:val="es-ES"/>
                </w:rPr>
                <w:t>91 (Rev. Guadalajara, 2010)</w:t>
              </w:r>
            </w:hyperlink>
            <w:r w:rsidRPr="0076504A">
              <w:rPr>
                <w:i/>
                <w:iCs/>
                <w:color w:val="000000"/>
                <w:sz w:val="22"/>
                <w:szCs w:val="22"/>
                <w:lang w:val="es-ES"/>
              </w:rPr>
              <w:t xml:space="preserve"> de la Conferencia de Plenipotenciarios</w:t>
            </w:r>
            <w:r w:rsidR="00966CEE" w:rsidRPr="0076504A">
              <w:rPr>
                <w:color w:val="000000"/>
                <w:sz w:val="22"/>
                <w:szCs w:val="22"/>
                <w:lang w:val="es-ES"/>
              </w:rPr>
              <w:t>;</w:t>
            </w:r>
            <w:r w:rsidR="00966CEE" w:rsidRPr="0076504A">
              <w:rPr>
                <w:color w:val="000000"/>
                <w:sz w:val="22"/>
                <w:szCs w:val="22"/>
                <w:lang w:val="es-ES"/>
              </w:rPr>
              <w:t xml:space="preserve"> </w:t>
            </w:r>
            <w:r w:rsidRPr="0076504A">
              <w:rPr>
                <w:i/>
                <w:iCs/>
                <w:color w:val="000000"/>
                <w:sz w:val="22"/>
                <w:szCs w:val="22"/>
                <w:lang w:val="es-ES"/>
              </w:rPr>
              <w:t xml:space="preserve">Acuerdo </w:t>
            </w:r>
            <w:hyperlink r:id="rId9" w:history="1">
              <w:r w:rsidRPr="0076504A">
                <w:rPr>
                  <w:rStyle w:val="Hyperlink"/>
                  <w:i/>
                  <w:iCs/>
                  <w:sz w:val="22"/>
                  <w:szCs w:val="22"/>
                  <w:lang w:val="es-ES"/>
                </w:rPr>
                <w:t xml:space="preserve">535 </w:t>
              </w:r>
              <w:r w:rsidR="00966CEE" w:rsidRPr="0076504A">
                <w:rPr>
                  <w:rStyle w:val="Hyperlink"/>
                  <w:i/>
                  <w:iCs/>
                  <w:sz w:val="22"/>
                  <w:szCs w:val="22"/>
                  <w:lang w:val="es-ES"/>
                </w:rPr>
                <w:t>(modificado en 2014)</w:t>
              </w:r>
            </w:hyperlink>
            <w:r w:rsidR="00966CEE" w:rsidRPr="0076504A">
              <w:rPr>
                <w:i/>
                <w:iCs/>
                <w:color w:val="000000"/>
                <w:sz w:val="22"/>
                <w:szCs w:val="22"/>
                <w:lang w:val="es-ES"/>
              </w:rPr>
              <w:t xml:space="preserve"> </w:t>
            </w:r>
            <w:r w:rsidRPr="0076504A">
              <w:rPr>
                <w:i/>
                <w:iCs/>
                <w:color w:val="000000"/>
                <w:sz w:val="22"/>
                <w:szCs w:val="22"/>
                <w:lang w:val="es-ES"/>
              </w:rPr>
              <w:t>del Consejo</w:t>
            </w:r>
            <w:r w:rsidR="00966CEE" w:rsidRPr="0076504A">
              <w:rPr>
                <w:sz w:val="22"/>
                <w:szCs w:val="22"/>
              </w:rPr>
              <w:t>.</w:t>
            </w:r>
          </w:p>
        </w:tc>
      </w:tr>
      <w:bookmarkEnd w:id="0"/>
    </w:tbl>
    <w:p w14:paraId="201761F6" w14:textId="77777777" w:rsidR="00093EEB" w:rsidRPr="00BB6FD8" w:rsidRDefault="00093EEB"/>
    <w:p w14:paraId="3C15CE25" w14:textId="77777777" w:rsidR="001559F5" w:rsidRPr="00BB6FD8" w:rsidRDefault="001559F5">
      <w:pPr>
        <w:tabs>
          <w:tab w:val="clear" w:pos="567"/>
          <w:tab w:val="clear" w:pos="1134"/>
          <w:tab w:val="clear" w:pos="1701"/>
          <w:tab w:val="clear" w:pos="2268"/>
          <w:tab w:val="clear" w:pos="2835"/>
        </w:tabs>
        <w:overflowPunct/>
        <w:autoSpaceDE/>
        <w:autoSpaceDN/>
        <w:adjustRightInd/>
        <w:spacing w:before="0"/>
        <w:textAlignment w:val="auto"/>
      </w:pPr>
      <w:r w:rsidRPr="00BB6FD8">
        <w:br w:type="page"/>
      </w:r>
    </w:p>
    <w:p w14:paraId="73F08A14" w14:textId="77777777" w:rsidR="00C55BA3" w:rsidRPr="00DB4FBD" w:rsidRDefault="00C55BA3" w:rsidP="00C55BA3">
      <w:pPr>
        <w:pStyle w:val="Headingb"/>
        <w:rPr>
          <w:rFonts w:cs="Calibri"/>
          <w:szCs w:val="24"/>
          <w:lang w:val="es-ES"/>
        </w:rPr>
      </w:pPr>
      <w:r w:rsidRPr="00DB4FBD">
        <w:rPr>
          <w:lang w:val="es-ES"/>
        </w:rPr>
        <w:lastRenderedPageBreak/>
        <w:t>Introducción</w:t>
      </w:r>
    </w:p>
    <w:p w14:paraId="6DEE10FB" w14:textId="2D139305" w:rsidR="00C55BA3" w:rsidRPr="00DB4FBD" w:rsidRDefault="00C55BA3" w:rsidP="0076504A">
      <w:pPr>
        <w:jc w:val="both"/>
        <w:rPr>
          <w:rFonts w:cs="Calibri"/>
          <w:lang w:val="es-ES"/>
        </w:rPr>
      </w:pPr>
      <w:r w:rsidRPr="00DB4FBD">
        <w:rPr>
          <w:lang w:val="es-ES"/>
        </w:rPr>
        <w:t>1</w:t>
      </w:r>
      <w:r w:rsidRPr="00DB4FBD">
        <w:rPr>
          <w:lang w:val="es-ES"/>
        </w:rPr>
        <w:tab/>
        <w:t>A fin de aplicar la Resolución 91 (Rev. Guadalajara, 2010) de la Conferencia de Plenipotenciarios y el Acuerdo 535 del Consejo, la Secretaría ha diseñado un modelo de costes que asigna la parte que corresponde de los costos de la UIT asociados con las notificaciones de redes de satélite (</w:t>
      </w:r>
      <w:proofErr w:type="spellStart"/>
      <w:r w:rsidRPr="00DB4FBD">
        <w:rPr>
          <w:lang w:val="es-ES"/>
        </w:rPr>
        <w:t>SNF</w:t>
      </w:r>
      <w:proofErr w:type="spellEnd"/>
      <w:r w:rsidRPr="00DB4FBD">
        <w:rPr>
          <w:lang w:val="es-ES"/>
        </w:rPr>
        <w:t xml:space="preserve">). Utilizando este modelo, se ha calculado que los costes totales ascienden a </w:t>
      </w:r>
      <w:r w:rsidRPr="00DB4FBD">
        <w:rPr>
          <w:b/>
          <w:bCs/>
          <w:lang w:val="es-ES"/>
        </w:rPr>
        <w:t>22,81 millones CHF</w:t>
      </w:r>
      <w:r w:rsidRPr="00DB4FBD">
        <w:rPr>
          <w:lang w:val="es-ES"/>
        </w:rPr>
        <w:t xml:space="preserve">, a saber, </w:t>
      </w:r>
      <w:r w:rsidRPr="00DB4FBD">
        <w:rPr>
          <w:b/>
          <w:bCs/>
          <w:lang w:val="es-ES"/>
        </w:rPr>
        <w:t xml:space="preserve">11 millones CHF </w:t>
      </w:r>
      <w:r w:rsidRPr="00DB4FBD">
        <w:rPr>
          <w:lang w:val="es-ES"/>
        </w:rPr>
        <w:t xml:space="preserve">de costes directos y </w:t>
      </w:r>
      <w:r w:rsidRPr="00DB4FBD">
        <w:rPr>
          <w:b/>
          <w:bCs/>
          <w:lang w:val="es-ES"/>
        </w:rPr>
        <w:t>11,81</w:t>
      </w:r>
      <w:r w:rsidR="00D76DE3">
        <w:rPr>
          <w:b/>
          <w:bCs/>
          <w:lang w:val="es-ES"/>
        </w:rPr>
        <w:t> </w:t>
      </w:r>
      <w:r w:rsidRPr="00DB4FBD">
        <w:rPr>
          <w:b/>
          <w:bCs/>
          <w:lang w:val="es-ES"/>
        </w:rPr>
        <w:t>millones</w:t>
      </w:r>
      <w:r w:rsidR="00A926E0">
        <w:rPr>
          <w:b/>
          <w:bCs/>
          <w:lang w:val="es-ES"/>
        </w:rPr>
        <w:t> </w:t>
      </w:r>
      <w:r w:rsidRPr="00DB4FBD">
        <w:rPr>
          <w:b/>
          <w:bCs/>
          <w:lang w:val="es-ES"/>
        </w:rPr>
        <w:t xml:space="preserve">CHF </w:t>
      </w:r>
      <w:r w:rsidRPr="00DB4FBD">
        <w:rPr>
          <w:lang w:val="es-ES"/>
        </w:rPr>
        <w:t xml:space="preserve">de costes indirectos. Actualmente, esto implica que los "gastos generales" de la UIT atribuibles a </w:t>
      </w:r>
      <w:proofErr w:type="spellStart"/>
      <w:r w:rsidRPr="00DB4FBD">
        <w:rPr>
          <w:lang w:val="es-ES"/>
        </w:rPr>
        <w:t>SNF</w:t>
      </w:r>
      <w:proofErr w:type="spellEnd"/>
      <w:r w:rsidRPr="00DB4FBD">
        <w:rPr>
          <w:lang w:val="es-ES"/>
        </w:rPr>
        <w:t xml:space="preserve"> representan el </w:t>
      </w:r>
      <w:r w:rsidRPr="00DB4FBD">
        <w:rPr>
          <w:b/>
          <w:bCs/>
          <w:lang w:val="es-ES"/>
        </w:rPr>
        <w:t>107</w:t>
      </w:r>
      <w:r w:rsidR="00A70AFA">
        <w:rPr>
          <w:b/>
          <w:bCs/>
          <w:lang w:val="es-ES"/>
        </w:rPr>
        <w:t> </w:t>
      </w:r>
      <w:r w:rsidRPr="00DB4FBD">
        <w:rPr>
          <w:b/>
          <w:bCs/>
          <w:lang w:val="es-ES"/>
        </w:rPr>
        <w:t>%</w:t>
      </w:r>
      <w:r w:rsidRPr="00DB4FBD">
        <w:rPr>
          <w:lang w:val="es-ES"/>
        </w:rPr>
        <w:t xml:space="preserve"> de los costes directos incurridos. La Secretaría entiende que unos costes indirectos tan elevados resultan inaceptables para las partes interesadas, lo que, según se desprende de los comentarios recibidos durante las reuniones del Grupo de Expertos sobre el Acuerdo 482 (</w:t>
      </w:r>
      <w:proofErr w:type="spellStart"/>
      <w:r w:rsidRPr="00DB4FBD">
        <w:rPr>
          <w:lang w:val="es-ES"/>
        </w:rPr>
        <w:t>EG-DEC482</w:t>
      </w:r>
      <w:proofErr w:type="spellEnd"/>
      <w:r w:rsidRPr="00DB4FBD">
        <w:rPr>
          <w:lang w:val="es-ES"/>
        </w:rPr>
        <w:t xml:space="preserve">) y del Grupo de Trabajo del Consejo, ha afectado negativamente a la capacidad de los Miembros para alcanzar un nivel de tasas de </w:t>
      </w:r>
      <w:proofErr w:type="spellStart"/>
      <w:r w:rsidRPr="00DB4FBD">
        <w:rPr>
          <w:lang w:val="es-ES"/>
        </w:rPr>
        <w:t>SNF</w:t>
      </w:r>
      <w:proofErr w:type="spellEnd"/>
      <w:r w:rsidRPr="00DB4FBD">
        <w:rPr>
          <w:lang w:val="es-ES"/>
        </w:rPr>
        <w:t xml:space="preserve"> que garantice que los Estados Miembros de la UIT no subvencionan el trabajo de tramitación de notificaciones realizado por la UIT.</w:t>
      </w:r>
    </w:p>
    <w:p w14:paraId="610E66CA" w14:textId="77777777" w:rsidR="00C55BA3" w:rsidRPr="00DB4FBD" w:rsidRDefault="00C55BA3" w:rsidP="0076504A">
      <w:pPr>
        <w:jc w:val="both"/>
        <w:rPr>
          <w:rFonts w:cs="Calibri"/>
          <w:szCs w:val="24"/>
          <w:lang w:val="es-ES"/>
        </w:rPr>
      </w:pPr>
      <w:r w:rsidRPr="00DB4FBD">
        <w:rPr>
          <w:lang w:val="es-ES"/>
        </w:rPr>
        <w:t>2</w:t>
      </w:r>
      <w:r w:rsidRPr="00DB4FBD">
        <w:rPr>
          <w:lang w:val="es-ES"/>
        </w:rPr>
        <w:tab/>
        <w:t>Los elevados costes calculados con el modelo de costos se deben, en opinión de la Secretaría, a los siguientes factores:</w:t>
      </w:r>
    </w:p>
    <w:p w14:paraId="008A4C19" w14:textId="77777777" w:rsidR="00C55BA3" w:rsidRPr="00DB4FBD" w:rsidRDefault="00C55BA3" w:rsidP="0076504A">
      <w:pPr>
        <w:pStyle w:val="enumlev1"/>
        <w:jc w:val="both"/>
        <w:rPr>
          <w:rFonts w:cs="Calibri"/>
          <w:szCs w:val="24"/>
          <w:lang w:val="es-ES"/>
        </w:rPr>
      </w:pPr>
      <w:r w:rsidRPr="009D6AC7">
        <w:rPr>
          <w:lang w:val="es-ES"/>
        </w:rPr>
        <w:t>•</w:t>
      </w:r>
      <w:r>
        <w:rPr>
          <w:lang w:val="es-ES"/>
        </w:rPr>
        <w:tab/>
      </w:r>
      <w:r w:rsidRPr="00DB4FBD">
        <w:rPr>
          <w:lang w:val="es-ES"/>
        </w:rPr>
        <w:t>la falta de claridad o de consenso sobre los aspectos de la labor de la UIT que corresponde considerar atribuibles a las notificaciones de redes de satélite;</w:t>
      </w:r>
    </w:p>
    <w:p w14:paraId="54960018" w14:textId="77777777" w:rsidR="00C55BA3" w:rsidRPr="00DB4FBD" w:rsidRDefault="00C55BA3" w:rsidP="0076504A">
      <w:pPr>
        <w:pStyle w:val="enumlev1"/>
        <w:jc w:val="both"/>
        <w:rPr>
          <w:rFonts w:cs="Calibri"/>
          <w:szCs w:val="24"/>
          <w:lang w:val="es-ES"/>
        </w:rPr>
      </w:pPr>
      <w:r w:rsidRPr="009D6AC7">
        <w:rPr>
          <w:lang w:val="es-ES"/>
        </w:rPr>
        <w:t>•</w:t>
      </w:r>
      <w:r>
        <w:rPr>
          <w:lang w:val="es-ES"/>
        </w:rPr>
        <w:tab/>
      </w:r>
      <w:r w:rsidRPr="00DB4FBD">
        <w:rPr>
          <w:lang w:val="es-ES"/>
        </w:rPr>
        <w:t>las ineficiencias y los elevados costes inherentes al marco y la estructura orgánica de la Secretaría de la UIT.</w:t>
      </w:r>
    </w:p>
    <w:p w14:paraId="198E8E96" w14:textId="77777777" w:rsidR="00C55BA3" w:rsidRPr="00DB4FBD" w:rsidRDefault="00C55BA3" w:rsidP="00C55BA3">
      <w:pPr>
        <w:pStyle w:val="Headingb"/>
        <w:rPr>
          <w:rFonts w:cs="Calibri"/>
          <w:szCs w:val="24"/>
          <w:lang w:val="es-ES"/>
        </w:rPr>
      </w:pPr>
      <w:r w:rsidRPr="00DB4FBD">
        <w:rPr>
          <w:lang w:val="es-ES"/>
        </w:rPr>
        <w:t>Debate sobre los cambios en la metodología</w:t>
      </w:r>
    </w:p>
    <w:p w14:paraId="0D00C4B8" w14:textId="77777777" w:rsidR="00C55BA3" w:rsidRPr="00DB4FBD" w:rsidRDefault="00C55BA3" w:rsidP="0076504A">
      <w:pPr>
        <w:jc w:val="both"/>
        <w:rPr>
          <w:rFonts w:cs="Calibri"/>
          <w:szCs w:val="24"/>
          <w:lang w:val="es-ES"/>
        </w:rPr>
      </w:pPr>
      <w:r w:rsidRPr="00DB4FBD">
        <w:rPr>
          <w:lang w:val="es-ES"/>
        </w:rPr>
        <w:t>3</w:t>
      </w:r>
      <w:r w:rsidRPr="00DB4FBD">
        <w:rPr>
          <w:lang w:val="es-ES"/>
        </w:rPr>
        <w:tab/>
        <w:t xml:space="preserve">Por lo tanto, la Secretaría ha considerado nuevas metodologías que podrían utilizarse para calcular los costos asignados a los trabajos relacionados con las </w:t>
      </w:r>
      <w:proofErr w:type="spellStart"/>
      <w:r w:rsidRPr="00DB4FBD">
        <w:rPr>
          <w:lang w:val="es-ES"/>
        </w:rPr>
        <w:t>SNF</w:t>
      </w:r>
      <w:proofErr w:type="spellEnd"/>
      <w:r w:rsidRPr="00DB4FBD">
        <w:rPr>
          <w:lang w:val="es-ES"/>
        </w:rPr>
        <w:t>, que serían compatibles con los principios de la Resolución 91 pero que también reflejarían un nivel eficiente y razonable de costes indirectos ("gastos generales"). A este respecto, la Secretaría propone utilizar una combinación de referencias y una metodología de atribución completa de los costes para calcular las tasas, que se ajustarían de inmediato y en incrementos de cuatro (4) años en función de las decisiones del Consejo.</w:t>
      </w:r>
    </w:p>
    <w:p w14:paraId="71879178" w14:textId="427B446C" w:rsidR="00C55BA3" w:rsidRPr="00DB4FBD" w:rsidRDefault="00C55BA3" w:rsidP="0076504A">
      <w:pPr>
        <w:jc w:val="both"/>
        <w:rPr>
          <w:rFonts w:cs="Calibri"/>
          <w:szCs w:val="24"/>
          <w:lang w:val="es-ES"/>
        </w:rPr>
      </w:pPr>
      <w:r w:rsidRPr="00DB4FBD">
        <w:rPr>
          <w:lang w:val="es-ES"/>
        </w:rPr>
        <w:t>4</w:t>
      </w:r>
      <w:r w:rsidRPr="00DB4FBD">
        <w:rPr>
          <w:lang w:val="es-ES"/>
        </w:rPr>
        <w:tab/>
        <w:t xml:space="preserve">En el </w:t>
      </w:r>
      <w:hyperlink w:anchor="Annex_1" w:history="1">
        <w:r w:rsidRPr="00DB4FBD">
          <w:rPr>
            <w:rStyle w:val="Hyperlink"/>
            <w:rFonts w:cs="Calibri"/>
            <w:szCs w:val="24"/>
            <w:lang w:val="es-ES"/>
          </w:rPr>
          <w:t>Anexo 1</w:t>
        </w:r>
      </w:hyperlink>
      <w:r w:rsidRPr="00DB4FBD">
        <w:rPr>
          <w:lang w:val="es-ES"/>
        </w:rPr>
        <w:t xml:space="preserve"> se presenta un análisis de los resultados comparativos de trabajos/organizaciones similares. Los estudios realizados por el Banco Mundial y las Naciones Unidas indican que un rango apropiado para los gastos generales oscila entre el 25</w:t>
      </w:r>
      <w:r w:rsidR="001E1C47">
        <w:rPr>
          <w:lang w:val="es-ES"/>
        </w:rPr>
        <w:t> </w:t>
      </w:r>
      <w:r w:rsidRPr="00DB4FBD">
        <w:rPr>
          <w:lang w:val="es-ES"/>
        </w:rPr>
        <w:t>% y el 30</w:t>
      </w:r>
      <w:r w:rsidR="001E1C47">
        <w:rPr>
          <w:lang w:val="es-ES"/>
        </w:rPr>
        <w:t> </w:t>
      </w:r>
      <w:r w:rsidRPr="00DB4FBD">
        <w:rPr>
          <w:lang w:val="es-ES"/>
        </w:rPr>
        <w:t>% de los costos directos.</w:t>
      </w:r>
    </w:p>
    <w:p w14:paraId="78E4A57F" w14:textId="0DFCAE64" w:rsidR="00C55BA3" w:rsidRPr="00DB4FBD" w:rsidRDefault="00C55BA3" w:rsidP="0076504A">
      <w:pPr>
        <w:jc w:val="both"/>
        <w:rPr>
          <w:rFonts w:cs="Calibri"/>
          <w:szCs w:val="24"/>
          <w:lang w:val="es-ES"/>
        </w:rPr>
      </w:pPr>
      <w:r w:rsidRPr="00DB4FBD">
        <w:rPr>
          <w:lang w:val="es-ES"/>
        </w:rPr>
        <w:t>5</w:t>
      </w:r>
      <w:r w:rsidRPr="00DB4FBD">
        <w:rPr>
          <w:lang w:val="es-ES"/>
        </w:rPr>
        <w:tab/>
        <w:t>La Secretaría reconoce que, en el contexto de estas referencias, el nivel actual de costes indirectos de la UIT, que supera el 100</w:t>
      </w:r>
      <w:r w:rsidR="001E1C47">
        <w:rPr>
          <w:lang w:val="es-ES"/>
        </w:rPr>
        <w:t> </w:t>
      </w:r>
      <w:r w:rsidRPr="00DB4FBD">
        <w:rPr>
          <w:lang w:val="es-ES"/>
        </w:rPr>
        <w:t>% de los costes directos, es excesivo. Sin embargo, la Secretaría también es consciente de que los esfuerzos por mitigar las ineficiencias y reajustar los costes de manera sostenible requieren tiempo. El nivel actual de costes no puede reducirse al momento, y las eficiencias requerirían una inversión adicional en herramientas modernas y en competencias para reducir los gastos generales.</w:t>
      </w:r>
    </w:p>
    <w:p w14:paraId="76ADF18B" w14:textId="09C518B5" w:rsidR="00C55BA3" w:rsidRPr="00DB4FBD" w:rsidRDefault="00C55BA3" w:rsidP="0076504A">
      <w:pPr>
        <w:keepNext/>
        <w:jc w:val="both"/>
        <w:rPr>
          <w:rFonts w:cs="Calibri"/>
          <w:szCs w:val="24"/>
          <w:lang w:val="es-ES"/>
        </w:rPr>
      </w:pPr>
      <w:r w:rsidRPr="00DB4FBD">
        <w:rPr>
          <w:lang w:val="es-ES"/>
        </w:rPr>
        <w:t>6</w:t>
      </w:r>
      <w:r w:rsidRPr="00DB4FBD">
        <w:rPr>
          <w:lang w:val="es-ES"/>
        </w:rPr>
        <w:tab/>
        <w:t xml:space="preserve">Ello aumentaría la transparencia, reflejaría con precisión la utilización de los recursos y estaría en consonancia con los puntos de referencia internacionales de la recuperación de </w:t>
      </w:r>
      <w:r w:rsidRPr="00DB4FBD">
        <w:rPr>
          <w:lang w:val="es-ES"/>
        </w:rPr>
        <w:lastRenderedPageBreak/>
        <w:t>costes indirectos. Sin embargo, la correcta aplicación de una metodología detallada de atribución total de costes implicaría las acciones siguientes:</w:t>
      </w:r>
    </w:p>
    <w:p w14:paraId="0A185DCE" w14:textId="6B1FF538" w:rsidR="00C55BA3" w:rsidRPr="00DB4FBD" w:rsidRDefault="00C55BA3" w:rsidP="0076504A">
      <w:pPr>
        <w:pStyle w:val="enumlev1"/>
        <w:jc w:val="both"/>
        <w:rPr>
          <w:rFonts w:cs="Calibri"/>
          <w:szCs w:val="24"/>
          <w:lang w:val="es-ES"/>
        </w:rPr>
      </w:pPr>
      <w:r w:rsidRPr="00C55BA3">
        <w:rPr>
          <w:lang w:val="es-ES"/>
        </w:rPr>
        <w:t>•</w:t>
      </w:r>
      <w:r>
        <w:rPr>
          <w:lang w:val="es-ES"/>
        </w:rPr>
        <w:tab/>
      </w:r>
      <w:r w:rsidRPr="00DB4FBD">
        <w:rPr>
          <w:lang w:val="es-ES"/>
        </w:rPr>
        <w:t>La revisión de las categorías de costes de conformidad con los principios establecidos en la Resolución</w:t>
      </w:r>
      <w:r w:rsidR="001E1C47">
        <w:rPr>
          <w:lang w:val="es-ES"/>
        </w:rPr>
        <w:t> </w:t>
      </w:r>
      <w:r w:rsidRPr="00DB4FBD">
        <w:rPr>
          <w:lang w:val="es-ES"/>
        </w:rPr>
        <w:t>91 debe incluirse adecuadamente.</w:t>
      </w:r>
    </w:p>
    <w:p w14:paraId="63D3687F" w14:textId="1C786BE4" w:rsidR="00C55BA3" w:rsidRPr="00DB4FBD" w:rsidRDefault="00C55BA3" w:rsidP="0076504A">
      <w:pPr>
        <w:pStyle w:val="enumlev1"/>
        <w:jc w:val="both"/>
        <w:rPr>
          <w:rFonts w:cs="Calibri"/>
          <w:szCs w:val="24"/>
          <w:lang w:val="es-ES"/>
        </w:rPr>
      </w:pPr>
      <w:r w:rsidRPr="00C55BA3">
        <w:rPr>
          <w:lang w:val="es-ES"/>
        </w:rPr>
        <w:t>•</w:t>
      </w:r>
      <w:r>
        <w:rPr>
          <w:lang w:val="es-ES"/>
        </w:rPr>
        <w:tab/>
      </w:r>
      <w:r w:rsidRPr="00DB4FBD">
        <w:rPr>
          <w:lang w:val="es-ES"/>
        </w:rPr>
        <w:t>Introducción y revisión de la contabilidad de costes de todos los productos y servicios proporcionados por la UIT. Se propone realizar esta labor en el contexto de los Planes Estratégico y Financiero para 2028</w:t>
      </w:r>
      <w:r w:rsidR="001E1C47">
        <w:rPr>
          <w:lang w:val="es-ES"/>
        </w:rPr>
        <w:noBreakHyphen/>
      </w:r>
      <w:r w:rsidRPr="00DB4FBD">
        <w:rPr>
          <w:lang w:val="es-ES"/>
        </w:rPr>
        <w:t>2031.</w:t>
      </w:r>
    </w:p>
    <w:p w14:paraId="405CC6F9" w14:textId="061CD0D5" w:rsidR="00C55BA3" w:rsidRPr="00DB4FBD" w:rsidRDefault="00C55BA3" w:rsidP="0076504A">
      <w:pPr>
        <w:jc w:val="both"/>
        <w:rPr>
          <w:rFonts w:cs="Calibri"/>
          <w:szCs w:val="24"/>
          <w:lang w:val="es-ES"/>
        </w:rPr>
      </w:pPr>
      <w:r w:rsidRPr="00DB4FBD">
        <w:rPr>
          <w:lang w:val="es-ES"/>
        </w:rPr>
        <w:t>7</w:t>
      </w:r>
      <w:r w:rsidRPr="00DB4FBD">
        <w:rPr>
          <w:lang w:val="es-ES"/>
        </w:rPr>
        <w:tab/>
        <w:t>Se tardará algún tiempo en ejecutar estas actividades en la práctica, y es poco probable que concluyan durante el ciclo actual del Plan Financiero. En el Anexo</w:t>
      </w:r>
      <w:r w:rsidR="001E1C47">
        <w:rPr>
          <w:lang w:val="es-ES"/>
        </w:rPr>
        <w:t> </w:t>
      </w:r>
      <w:r w:rsidRPr="00DB4FBD">
        <w:rPr>
          <w:lang w:val="es-ES"/>
        </w:rPr>
        <w:t>2 se describe el método de atribución de costes que la Secretaría propone aplicar.</w:t>
      </w:r>
    </w:p>
    <w:p w14:paraId="424A1B71" w14:textId="0CD96165" w:rsidR="00C55BA3" w:rsidRPr="00DB4FBD" w:rsidRDefault="00C55BA3" w:rsidP="0076504A">
      <w:pPr>
        <w:jc w:val="both"/>
        <w:rPr>
          <w:rFonts w:cs="Calibri"/>
          <w:szCs w:val="24"/>
          <w:lang w:val="es-ES"/>
        </w:rPr>
      </w:pPr>
      <w:r w:rsidRPr="00DB4FBD">
        <w:rPr>
          <w:lang w:val="es-ES"/>
        </w:rPr>
        <w:t>8</w:t>
      </w:r>
      <w:r w:rsidRPr="00DB4FBD">
        <w:rPr>
          <w:lang w:val="es-ES"/>
        </w:rPr>
        <w:tab/>
        <w:t xml:space="preserve">Sin embargo, la Secretaría observa que, si este trabajo se demora, se mantendrá la situación actual en que la recuperación de costes mediante las tasas de </w:t>
      </w:r>
      <w:proofErr w:type="spellStart"/>
      <w:r w:rsidRPr="00DB4FBD">
        <w:rPr>
          <w:lang w:val="es-ES"/>
        </w:rPr>
        <w:t>SNF</w:t>
      </w:r>
      <w:proofErr w:type="spellEnd"/>
      <w:r w:rsidRPr="00DB4FBD">
        <w:rPr>
          <w:lang w:val="es-ES"/>
        </w:rPr>
        <w:t xml:space="preserve"> no cubre los gastos reales en que incurrió la UIT para prestar el servicio, por lo que la Unión queda fuera de las disposiciones de la Resolución 91 y asume un déficit significativo que debe sufragarse con las contribuciones previstas de los Estados Miembros. </w:t>
      </w:r>
    </w:p>
    <w:p w14:paraId="300BA7DA" w14:textId="77777777" w:rsidR="00C55BA3" w:rsidRPr="00DB4FBD" w:rsidRDefault="00C55BA3" w:rsidP="00C55BA3">
      <w:pPr>
        <w:pStyle w:val="Headingb"/>
        <w:rPr>
          <w:rFonts w:cs="Calibri"/>
          <w:szCs w:val="24"/>
          <w:lang w:val="es-ES"/>
        </w:rPr>
      </w:pPr>
      <w:r w:rsidRPr="00DB4FBD">
        <w:rPr>
          <w:lang w:val="es-ES"/>
        </w:rPr>
        <w:t>Propuesta de aumento de las tasas y reducción progresiva de los costes completos</w:t>
      </w:r>
    </w:p>
    <w:p w14:paraId="4A331BF4" w14:textId="7BB8121F" w:rsidR="00C55BA3" w:rsidRPr="00DB4FBD" w:rsidRDefault="00C55BA3" w:rsidP="0076504A">
      <w:pPr>
        <w:jc w:val="both"/>
        <w:rPr>
          <w:rFonts w:cs="Calibri"/>
          <w:szCs w:val="24"/>
          <w:lang w:val="es-ES"/>
        </w:rPr>
      </w:pPr>
      <w:r w:rsidRPr="00DB4FBD">
        <w:rPr>
          <w:lang w:val="es-ES"/>
        </w:rPr>
        <w:t>9</w:t>
      </w:r>
      <w:r w:rsidRPr="00DB4FBD">
        <w:rPr>
          <w:lang w:val="es-ES"/>
        </w:rPr>
        <w:tab/>
        <w:t xml:space="preserve">La Secretaría solicita al Consejo que apruebe la recuperación por parte de la UIT de la totalidad de los costes incurridos por la Unión en concepto de </w:t>
      </w:r>
      <w:proofErr w:type="spellStart"/>
      <w:r w:rsidRPr="00DB4FBD">
        <w:rPr>
          <w:lang w:val="es-ES"/>
        </w:rPr>
        <w:t>SNF</w:t>
      </w:r>
      <w:proofErr w:type="spellEnd"/>
      <w:r w:rsidRPr="00DB4FBD">
        <w:rPr>
          <w:lang w:val="es-ES"/>
        </w:rPr>
        <w:t xml:space="preserve">, con sujeción a los límites fijados de conformidad con el </w:t>
      </w:r>
      <w:r w:rsidRPr="00DB4FBD">
        <w:rPr>
          <w:i/>
          <w:iCs/>
          <w:lang w:val="es-ES"/>
        </w:rPr>
        <w:t xml:space="preserve">resuelve </w:t>
      </w:r>
      <w:r w:rsidRPr="00DB4FBD">
        <w:rPr>
          <w:lang w:val="es-ES"/>
        </w:rPr>
        <w:t>4 v) de la Resolución 91, de la manera siguiente:</w:t>
      </w:r>
    </w:p>
    <w:p w14:paraId="25C43D9A" w14:textId="67165B19" w:rsidR="00C55BA3" w:rsidRPr="00DB4FBD" w:rsidRDefault="00C55BA3" w:rsidP="0076504A">
      <w:pPr>
        <w:pStyle w:val="enumlev1"/>
        <w:jc w:val="both"/>
        <w:rPr>
          <w:rFonts w:cs="Calibri"/>
          <w:szCs w:val="24"/>
          <w:lang w:val="es-ES"/>
        </w:rPr>
      </w:pPr>
      <w:r>
        <w:rPr>
          <w:lang w:val="es-ES"/>
        </w:rPr>
        <w:t>i)</w:t>
      </w:r>
      <w:r>
        <w:rPr>
          <w:lang w:val="es-ES"/>
        </w:rPr>
        <w:tab/>
      </w:r>
      <w:r w:rsidRPr="00DB4FBD">
        <w:rPr>
          <w:lang w:val="es-ES"/>
        </w:rPr>
        <w:t>Para el periodo comprendido entre el 1 de enero de 2026 y el 31 de diciembre de</w:t>
      </w:r>
      <w:r w:rsidR="001E1C47">
        <w:rPr>
          <w:lang w:val="es-ES"/>
        </w:rPr>
        <w:t> </w:t>
      </w:r>
      <w:r w:rsidRPr="005606B8">
        <w:rPr>
          <w:lang w:val="es-ES"/>
        </w:rPr>
        <w:t>2027</w:t>
      </w:r>
      <w:r w:rsidRPr="00DB4FBD">
        <w:rPr>
          <w:lang w:val="es-ES"/>
        </w:rPr>
        <w:t xml:space="preserve">, se debería fijar y limitar la recuperación de los costes indirectos de la UIT en el </w:t>
      </w:r>
      <w:r w:rsidRPr="00DB4FBD">
        <w:rPr>
          <w:b/>
          <w:bCs/>
          <w:lang w:val="es-ES"/>
        </w:rPr>
        <w:t>40</w:t>
      </w:r>
      <w:r w:rsidR="00A70AFA">
        <w:rPr>
          <w:b/>
          <w:bCs/>
          <w:lang w:val="es-ES"/>
        </w:rPr>
        <w:t> </w:t>
      </w:r>
      <w:r w:rsidRPr="00DB4FBD">
        <w:rPr>
          <w:b/>
          <w:bCs/>
          <w:lang w:val="es-ES"/>
        </w:rPr>
        <w:t>%</w:t>
      </w:r>
      <w:r w:rsidR="001E1C47">
        <w:rPr>
          <w:b/>
          <w:bCs/>
          <w:lang w:val="es-ES"/>
        </w:rPr>
        <w:t> </w:t>
      </w:r>
      <w:r w:rsidRPr="00DB4FBD">
        <w:rPr>
          <w:b/>
          <w:bCs/>
          <w:lang w:val="es-ES"/>
        </w:rPr>
        <w:t>de los costes directos en que incurra la UIT</w:t>
      </w:r>
      <w:r w:rsidRPr="00DB4FBD">
        <w:rPr>
          <w:lang w:val="es-ES"/>
        </w:rPr>
        <w:t>. La UIT reconoce que este porcentaje supera los valores de referencia internacionales recomendados, aunque representa un nivel de recuperación razonable teniendo en cuenta los costes corrientes reales de la UIT.</w:t>
      </w:r>
    </w:p>
    <w:p w14:paraId="747C0E3D" w14:textId="773FD68A" w:rsidR="00C55BA3" w:rsidRPr="00DB4FBD" w:rsidRDefault="00C55BA3" w:rsidP="0076504A">
      <w:pPr>
        <w:pStyle w:val="enumlev1"/>
        <w:jc w:val="both"/>
        <w:rPr>
          <w:rFonts w:cs="Calibri"/>
          <w:szCs w:val="24"/>
          <w:lang w:val="es-ES"/>
        </w:rPr>
      </w:pPr>
      <w:proofErr w:type="spellStart"/>
      <w:r>
        <w:rPr>
          <w:lang w:val="es-ES"/>
        </w:rPr>
        <w:t>ii</w:t>
      </w:r>
      <w:proofErr w:type="spellEnd"/>
      <w:r>
        <w:rPr>
          <w:lang w:val="es-ES"/>
        </w:rPr>
        <w:t>)</w:t>
      </w:r>
      <w:r>
        <w:rPr>
          <w:lang w:val="es-ES"/>
        </w:rPr>
        <w:tab/>
      </w:r>
      <w:r w:rsidRPr="00DB4FBD">
        <w:rPr>
          <w:lang w:val="es-ES"/>
        </w:rPr>
        <w:t xml:space="preserve">La Secretaria General someterá a la aprobación del Consejo de 2027 un primer informe sobre el enfoque de recuperación completa de los costes de </w:t>
      </w:r>
      <w:proofErr w:type="spellStart"/>
      <w:r w:rsidRPr="00DB4FBD">
        <w:rPr>
          <w:lang w:val="es-ES"/>
        </w:rPr>
        <w:t>SNF</w:t>
      </w:r>
      <w:proofErr w:type="spellEnd"/>
      <w:r w:rsidRPr="00DB4FBD">
        <w:rPr>
          <w:lang w:val="es-ES"/>
        </w:rPr>
        <w:t xml:space="preserve"> y propondrá reducir el límite de los costes indirectos a </w:t>
      </w:r>
      <w:r w:rsidRPr="00DB4FBD">
        <w:rPr>
          <w:b/>
          <w:bCs/>
          <w:lang w:val="es-ES"/>
        </w:rPr>
        <w:t>no más del 35</w:t>
      </w:r>
      <w:r w:rsidR="00A70AFA">
        <w:rPr>
          <w:b/>
          <w:bCs/>
          <w:lang w:val="es-ES"/>
        </w:rPr>
        <w:t> </w:t>
      </w:r>
      <w:r w:rsidRPr="00DB4FBD">
        <w:rPr>
          <w:b/>
          <w:bCs/>
          <w:lang w:val="es-ES"/>
        </w:rPr>
        <w:t xml:space="preserve">% de los costes directos </w:t>
      </w:r>
      <w:r w:rsidRPr="00DB4FBD">
        <w:rPr>
          <w:lang w:val="es-ES"/>
        </w:rPr>
        <w:t>a partir del 1</w:t>
      </w:r>
      <w:r w:rsidR="005606B8">
        <w:rPr>
          <w:lang w:val="es-ES"/>
        </w:rPr>
        <w:t> </w:t>
      </w:r>
      <w:r w:rsidRPr="00DB4FBD">
        <w:rPr>
          <w:lang w:val="es-ES"/>
        </w:rPr>
        <w:t>de enero de 2028.</w:t>
      </w:r>
    </w:p>
    <w:p w14:paraId="563B3D6F" w14:textId="5FB1CEBB" w:rsidR="00C55BA3" w:rsidRPr="00DB4FBD" w:rsidRDefault="00C55BA3" w:rsidP="0076504A">
      <w:pPr>
        <w:pStyle w:val="enumlev1"/>
        <w:jc w:val="both"/>
        <w:rPr>
          <w:rFonts w:cs="Calibri"/>
          <w:szCs w:val="24"/>
          <w:lang w:val="es-ES"/>
        </w:rPr>
      </w:pPr>
      <w:proofErr w:type="spellStart"/>
      <w:r>
        <w:rPr>
          <w:lang w:val="es-ES"/>
        </w:rPr>
        <w:t>iii</w:t>
      </w:r>
      <w:proofErr w:type="spellEnd"/>
      <w:r>
        <w:rPr>
          <w:lang w:val="es-ES"/>
        </w:rPr>
        <w:t>)</w:t>
      </w:r>
      <w:r>
        <w:rPr>
          <w:lang w:val="es-ES"/>
        </w:rPr>
        <w:tab/>
      </w:r>
      <w:r w:rsidRPr="00DB4FBD">
        <w:rPr>
          <w:lang w:val="es-ES"/>
        </w:rPr>
        <w:t xml:space="preserve">En la reunión de 2029 del Consejo se propondrá otro informe sobre la recuperación íntegra de los costes, aplicable a partir del 1 de enero de 2030, lo que reducirá el límite de recuperación de los costes indirectos a </w:t>
      </w:r>
      <w:r w:rsidRPr="00DB4FBD">
        <w:rPr>
          <w:b/>
          <w:bCs/>
          <w:lang w:val="es-ES"/>
        </w:rPr>
        <w:t>no más del 30</w:t>
      </w:r>
      <w:r w:rsidR="00A70AFA">
        <w:rPr>
          <w:b/>
          <w:bCs/>
          <w:lang w:val="es-ES"/>
        </w:rPr>
        <w:t> </w:t>
      </w:r>
      <w:r w:rsidRPr="00DB4FBD">
        <w:rPr>
          <w:b/>
          <w:bCs/>
          <w:lang w:val="es-ES"/>
        </w:rPr>
        <w:t>% de los costes directos</w:t>
      </w:r>
      <w:r w:rsidRPr="00DB4FBD">
        <w:rPr>
          <w:lang w:val="es-ES"/>
        </w:rPr>
        <w:t>.</w:t>
      </w:r>
    </w:p>
    <w:p w14:paraId="39B0AE28" w14:textId="37E22383" w:rsidR="00C55BA3" w:rsidRPr="00DB4FBD" w:rsidRDefault="00C55BA3" w:rsidP="0076504A">
      <w:pPr>
        <w:jc w:val="both"/>
        <w:rPr>
          <w:rFonts w:cs="Calibri"/>
          <w:szCs w:val="24"/>
          <w:lang w:val="es-ES"/>
        </w:rPr>
      </w:pPr>
      <w:r w:rsidRPr="00DB4FBD">
        <w:rPr>
          <w:lang w:val="es-ES"/>
        </w:rPr>
        <w:t>10</w:t>
      </w:r>
      <w:r w:rsidRPr="00DB4FBD">
        <w:rPr>
          <w:lang w:val="es-ES"/>
        </w:rPr>
        <w:tab/>
      </w:r>
      <w:r w:rsidRPr="00C95E1A">
        <w:rPr>
          <w:lang w:val="es-ES"/>
        </w:rPr>
        <w:t>Aunque</w:t>
      </w:r>
      <w:r w:rsidRPr="00DB4FBD">
        <w:rPr>
          <w:lang w:val="es-ES"/>
        </w:rPr>
        <w:t xml:space="preserve"> la UIT no recuperará todos sus gastos al comienzo de estas reducciones progresivas, la Secretaría propone combinar la aplicación estructurada de un modelo de atribución total de los costes, las eficiencias operacionales y la optimización del servicio para reducir los costes reales hasta los límites establecidos. Este enfoque gradual para alcanzar niveles eficientes y razonables de costes indirectos es coherente con la Resolución</w:t>
      </w:r>
      <w:r w:rsidR="005606B8">
        <w:rPr>
          <w:lang w:val="es-ES"/>
        </w:rPr>
        <w:t> </w:t>
      </w:r>
      <w:r w:rsidRPr="00DB4FBD">
        <w:rPr>
          <w:lang w:val="es-ES"/>
        </w:rPr>
        <w:t>91 (Rev.</w:t>
      </w:r>
      <w:r w:rsidR="005606B8">
        <w:rPr>
          <w:lang w:val="es-ES"/>
        </w:rPr>
        <w:t> </w:t>
      </w:r>
      <w:r w:rsidRPr="00DB4FBD">
        <w:rPr>
          <w:lang w:val="es-ES"/>
        </w:rPr>
        <w:t>Guadalajara, 2010) y el Anexo 2 de la Decisión 5 (Rev. Bucarest, 2022).</w:t>
      </w:r>
    </w:p>
    <w:p w14:paraId="4A15FE69" w14:textId="77777777" w:rsidR="00C55BA3" w:rsidRPr="00DB4FBD" w:rsidRDefault="00C55BA3" w:rsidP="00C55BA3">
      <w:pPr>
        <w:pStyle w:val="Headingb"/>
        <w:rPr>
          <w:rFonts w:cs="Calibri"/>
          <w:lang w:val="es-ES"/>
        </w:rPr>
      </w:pPr>
      <w:r w:rsidRPr="00DB4FBD">
        <w:rPr>
          <w:lang w:val="es-ES"/>
        </w:rPr>
        <w:t>Cálculo de los costes directos e indirectos</w:t>
      </w:r>
    </w:p>
    <w:p w14:paraId="48CDDFBB" w14:textId="5B28F7C7" w:rsidR="00C55BA3" w:rsidRPr="00DB4FBD" w:rsidRDefault="00C55BA3" w:rsidP="0076504A">
      <w:pPr>
        <w:jc w:val="both"/>
        <w:rPr>
          <w:rFonts w:cs="Calibri"/>
          <w:lang w:val="es-ES"/>
        </w:rPr>
      </w:pPr>
      <w:r w:rsidRPr="00DB4FBD">
        <w:rPr>
          <w:lang w:val="es-ES"/>
        </w:rPr>
        <w:t>11</w:t>
      </w:r>
      <w:r w:rsidRPr="00DB4FBD">
        <w:rPr>
          <w:lang w:val="es-ES"/>
        </w:rPr>
        <w:tab/>
        <w:t xml:space="preserve">Los costes directos de la UIT se estiman en </w:t>
      </w:r>
      <w:r w:rsidRPr="00DB4FBD">
        <w:rPr>
          <w:b/>
          <w:bCs/>
          <w:lang w:val="es-ES"/>
        </w:rPr>
        <w:t xml:space="preserve">11,0 millones CHF </w:t>
      </w:r>
      <w:r w:rsidRPr="00DB4FBD">
        <w:rPr>
          <w:lang w:val="es-ES"/>
        </w:rPr>
        <w:t xml:space="preserve">desde 2006, cuando la Conferencia de Plenipotenciarios fijó el valor corriente de la unidad contributiva. Debido a las presiones inflacionistas, la UIT ha ajustado estos costes para reflejar los aumentos reales de acuerdo con el índice de precios al consumo (IPC) de Ginebra, que se calcula que ha </w:t>
      </w:r>
      <w:r w:rsidRPr="00DB4FBD">
        <w:rPr>
          <w:lang w:val="es-ES"/>
        </w:rPr>
        <w:lastRenderedPageBreak/>
        <w:t xml:space="preserve">aumentado un </w:t>
      </w:r>
      <w:r w:rsidRPr="00DB4FBD">
        <w:rPr>
          <w:b/>
          <w:bCs/>
          <w:lang w:val="es-ES"/>
        </w:rPr>
        <w:t>10,6</w:t>
      </w:r>
      <w:r w:rsidR="00A70AFA">
        <w:rPr>
          <w:b/>
          <w:bCs/>
          <w:lang w:val="es-ES"/>
        </w:rPr>
        <w:t> </w:t>
      </w:r>
      <w:r w:rsidRPr="00DB4FBD">
        <w:rPr>
          <w:b/>
          <w:bCs/>
          <w:lang w:val="es-ES"/>
        </w:rPr>
        <w:t>%</w:t>
      </w:r>
      <w:r w:rsidRPr="00DB4FBD">
        <w:rPr>
          <w:lang w:val="es-ES"/>
        </w:rPr>
        <w:t xml:space="preserve">. Por consiguiente, actualmente el valor real de los costes directos es de </w:t>
      </w:r>
      <w:r w:rsidRPr="00DB4FBD">
        <w:rPr>
          <w:b/>
          <w:bCs/>
          <w:lang w:val="es-ES"/>
        </w:rPr>
        <w:t>12</w:t>
      </w:r>
      <w:r w:rsidR="00C95E1A">
        <w:rPr>
          <w:b/>
          <w:bCs/>
          <w:lang w:val="es-ES"/>
        </w:rPr>
        <w:t> </w:t>
      </w:r>
      <w:r w:rsidRPr="00DB4FBD">
        <w:rPr>
          <w:b/>
          <w:bCs/>
          <w:lang w:val="es-ES"/>
        </w:rPr>
        <w:t>166</w:t>
      </w:r>
      <w:r w:rsidR="00C95E1A">
        <w:rPr>
          <w:b/>
          <w:bCs/>
          <w:lang w:val="es-ES"/>
        </w:rPr>
        <w:t> </w:t>
      </w:r>
      <w:r w:rsidRPr="00DB4FBD">
        <w:rPr>
          <w:b/>
          <w:bCs/>
          <w:lang w:val="es-ES"/>
        </w:rPr>
        <w:t>000</w:t>
      </w:r>
      <w:r w:rsidR="00C95E1A">
        <w:rPr>
          <w:b/>
          <w:bCs/>
          <w:lang w:val="es-ES"/>
        </w:rPr>
        <w:t> </w:t>
      </w:r>
      <w:r w:rsidRPr="00DB4FBD">
        <w:rPr>
          <w:b/>
          <w:bCs/>
          <w:lang w:val="es-ES"/>
        </w:rPr>
        <w:t>CHF</w:t>
      </w:r>
      <w:r w:rsidRPr="00DB4FBD">
        <w:rPr>
          <w:lang w:val="es-ES"/>
        </w:rPr>
        <w:t xml:space="preserve">. </w:t>
      </w:r>
    </w:p>
    <w:p w14:paraId="1D0CDDC1" w14:textId="1FAB731C" w:rsidR="00C55BA3" w:rsidRPr="00DB4FBD" w:rsidRDefault="00C55BA3" w:rsidP="0076504A">
      <w:pPr>
        <w:jc w:val="both"/>
        <w:rPr>
          <w:rFonts w:cs="Calibri"/>
          <w:b/>
          <w:bCs/>
          <w:lang w:val="es-ES"/>
        </w:rPr>
      </w:pPr>
      <w:r w:rsidRPr="00DB4FBD">
        <w:rPr>
          <w:lang w:val="es-ES"/>
        </w:rPr>
        <w:t>12</w:t>
      </w:r>
      <w:r w:rsidRPr="00DB4FBD">
        <w:rPr>
          <w:lang w:val="es-ES"/>
        </w:rPr>
        <w:tab/>
        <w:t>Si se utilizaran las reducciones progresivas propuestas más arriba, el límite del 40</w:t>
      </w:r>
      <w:r w:rsidR="00A70AFA">
        <w:rPr>
          <w:lang w:val="es-ES"/>
        </w:rPr>
        <w:t> </w:t>
      </w:r>
      <w:r w:rsidRPr="00DB4FBD">
        <w:rPr>
          <w:lang w:val="es-ES"/>
        </w:rPr>
        <w:t xml:space="preserve">% para los costes indirectos se traduciría en </w:t>
      </w:r>
      <w:r w:rsidRPr="00DB4FBD">
        <w:rPr>
          <w:b/>
          <w:bCs/>
          <w:lang w:val="es-ES"/>
        </w:rPr>
        <w:t xml:space="preserve">4 866 400 CHF </w:t>
      </w:r>
      <w:r w:rsidRPr="00DB4FBD">
        <w:rPr>
          <w:lang w:val="es-ES"/>
        </w:rPr>
        <w:t>de costes indirectos</w:t>
      </w:r>
      <w:r w:rsidRPr="00DB4FBD">
        <w:rPr>
          <w:b/>
          <w:bCs/>
          <w:lang w:val="es-ES"/>
        </w:rPr>
        <w:t xml:space="preserve">, </w:t>
      </w:r>
      <w:r w:rsidRPr="00DB4FBD">
        <w:rPr>
          <w:lang w:val="es-ES"/>
        </w:rPr>
        <w:t xml:space="preserve">que se recaudarían de las tasas de </w:t>
      </w:r>
      <w:proofErr w:type="spellStart"/>
      <w:r w:rsidRPr="00DB4FBD">
        <w:rPr>
          <w:lang w:val="es-ES"/>
        </w:rPr>
        <w:t>SNF</w:t>
      </w:r>
      <w:proofErr w:type="spellEnd"/>
      <w:r w:rsidRPr="00DB4FBD">
        <w:rPr>
          <w:lang w:val="es-ES"/>
        </w:rPr>
        <w:t xml:space="preserve"> a partir del 1 de enero de 2026. El importe total que habría que recuperar de las tasas de </w:t>
      </w:r>
      <w:proofErr w:type="spellStart"/>
      <w:r w:rsidRPr="00DB4FBD">
        <w:rPr>
          <w:lang w:val="es-ES"/>
        </w:rPr>
        <w:t>SNF</w:t>
      </w:r>
      <w:proofErr w:type="spellEnd"/>
      <w:r w:rsidRPr="00DB4FBD">
        <w:rPr>
          <w:lang w:val="es-ES"/>
        </w:rPr>
        <w:t xml:space="preserve"> ascendería a </w:t>
      </w:r>
      <w:r w:rsidRPr="00DB4FBD">
        <w:rPr>
          <w:b/>
          <w:bCs/>
          <w:lang w:val="es-ES"/>
        </w:rPr>
        <w:t>17</w:t>
      </w:r>
      <w:r w:rsidR="00C95E1A">
        <w:rPr>
          <w:b/>
          <w:bCs/>
          <w:lang w:val="es-ES"/>
        </w:rPr>
        <w:t> </w:t>
      </w:r>
      <w:r w:rsidRPr="00DB4FBD">
        <w:rPr>
          <w:b/>
          <w:bCs/>
          <w:lang w:val="es-ES"/>
        </w:rPr>
        <w:t>032</w:t>
      </w:r>
      <w:r w:rsidR="00C95E1A">
        <w:rPr>
          <w:b/>
          <w:bCs/>
          <w:lang w:val="es-ES"/>
        </w:rPr>
        <w:t> </w:t>
      </w:r>
      <w:r w:rsidRPr="00DB4FBD">
        <w:rPr>
          <w:b/>
          <w:bCs/>
          <w:lang w:val="es-ES"/>
        </w:rPr>
        <w:t>400</w:t>
      </w:r>
      <w:r w:rsidR="00C95E1A">
        <w:rPr>
          <w:b/>
          <w:bCs/>
          <w:lang w:val="es-ES"/>
        </w:rPr>
        <w:t> </w:t>
      </w:r>
      <w:r w:rsidRPr="00DB4FBD">
        <w:rPr>
          <w:b/>
          <w:bCs/>
          <w:lang w:val="es-ES"/>
        </w:rPr>
        <w:t>CHF</w:t>
      </w:r>
      <w:r w:rsidRPr="00DB4FBD">
        <w:rPr>
          <w:lang w:val="es-ES"/>
        </w:rPr>
        <w:t>.</w:t>
      </w:r>
    </w:p>
    <w:p w14:paraId="11A40045" w14:textId="77777777" w:rsidR="00C55BA3" w:rsidRPr="00DB4FBD" w:rsidRDefault="00C55BA3" w:rsidP="00C55BA3">
      <w:pPr>
        <w:pStyle w:val="Headingb"/>
        <w:rPr>
          <w:rFonts w:cs="Calibri"/>
          <w:lang w:val="es-ES"/>
        </w:rPr>
      </w:pPr>
      <w:r w:rsidRPr="00DB4FBD">
        <w:rPr>
          <w:lang w:val="es-ES"/>
        </w:rPr>
        <w:t xml:space="preserve">Provisión para el desarrollo de </w:t>
      </w:r>
      <w:r w:rsidRPr="00C95E1A">
        <w:rPr>
          <w:i/>
          <w:iCs/>
          <w:lang w:val="es-ES"/>
        </w:rPr>
        <w:t>software</w:t>
      </w:r>
    </w:p>
    <w:p w14:paraId="5BAB11A9" w14:textId="56AF22BF" w:rsidR="00C55BA3" w:rsidRPr="00DB4FBD" w:rsidRDefault="00C55BA3" w:rsidP="0076504A">
      <w:pPr>
        <w:jc w:val="both"/>
        <w:rPr>
          <w:rFonts w:cs="Calibri"/>
          <w:lang w:val="es-ES"/>
        </w:rPr>
      </w:pPr>
      <w:r w:rsidRPr="00DB4FBD">
        <w:rPr>
          <w:lang w:val="es-ES"/>
        </w:rPr>
        <w:t>13</w:t>
      </w:r>
      <w:r w:rsidRPr="00DB4FBD">
        <w:rPr>
          <w:lang w:val="es-ES"/>
        </w:rPr>
        <w:tab/>
        <w:t xml:space="preserve">La Secretaría observa que el </w:t>
      </w:r>
      <w:proofErr w:type="spellStart"/>
      <w:r w:rsidRPr="00DB4FBD">
        <w:rPr>
          <w:lang w:val="es-ES"/>
        </w:rPr>
        <w:t>EG-DEC482</w:t>
      </w:r>
      <w:proofErr w:type="spellEnd"/>
      <w:r w:rsidRPr="00DB4FBD">
        <w:rPr>
          <w:lang w:val="es-ES"/>
        </w:rPr>
        <w:t xml:space="preserve"> no tuvo en consideración los gastos necesarios para garantizar que las notificaciones puedan seguir tramitándose de manera eficiente habida cuenta del aumento de los volúmenes. Para solucionar este problema, la Secretaría propone añadir una suma adicional de </w:t>
      </w:r>
      <w:r w:rsidRPr="00DB4FBD">
        <w:rPr>
          <w:b/>
          <w:bCs/>
          <w:lang w:val="es-ES"/>
        </w:rPr>
        <w:t>1</w:t>
      </w:r>
      <w:r w:rsidR="00C95E1A">
        <w:rPr>
          <w:b/>
          <w:bCs/>
          <w:lang w:val="es-ES"/>
        </w:rPr>
        <w:t> </w:t>
      </w:r>
      <w:r w:rsidRPr="00DB4FBD">
        <w:rPr>
          <w:b/>
          <w:bCs/>
          <w:lang w:val="es-ES"/>
        </w:rPr>
        <w:t>000</w:t>
      </w:r>
      <w:r w:rsidR="00C95E1A">
        <w:rPr>
          <w:b/>
          <w:bCs/>
          <w:lang w:val="es-ES"/>
        </w:rPr>
        <w:t> </w:t>
      </w:r>
      <w:r w:rsidRPr="00DB4FBD">
        <w:rPr>
          <w:b/>
          <w:bCs/>
          <w:lang w:val="es-ES"/>
        </w:rPr>
        <w:t>000</w:t>
      </w:r>
      <w:r w:rsidR="00C95E1A">
        <w:rPr>
          <w:b/>
          <w:bCs/>
          <w:lang w:val="es-ES"/>
        </w:rPr>
        <w:t> </w:t>
      </w:r>
      <w:r w:rsidRPr="00DB4FBD">
        <w:rPr>
          <w:b/>
          <w:bCs/>
          <w:lang w:val="es-ES"/>
        </w:rPr>
        <w:t>CHF</w:t>
      </w:r>
      <w:r w:rsidRPr="00DB4FBD">
        <w:rPr>
          <w:lang w:val="es-ES"/>
        </w:rPr>
        <w:t xml:space="preserve"> por año, que se recaudará como parte de las tasas de </w:t>
      </w:r>
      <w:proofErr w:type="spellStart"/>
      <w:r w:rsidRPr="00DB4FBD">
        <w:rPr>
          <w:lang w:val="es-ES"/>
        </w:rPr>
        <w:t>SNF</w:t>
      </w:r>
      <w:proofErr w:type="spellEnd"/>
      <w:r w:rsidRPr="00DB4FBD">
        <w:rPr>
          <w:lang w:val="es-ES"/>
        </w:rPr>
        <w:t>. Este importe se depositará en el Fondo de Capital de las TIC y se destinará a la actualización y modernización de las aplicaciones informáticas de la</w:t>
      </w:r>
      <w:r w:rsidR="00C95E1A">
        <w:rPr>
          <w:lang w:val="es-ES"/>
        </w:rPr>
        <w:t> </w:t>
      </w:r>
      <w:r w:rsidRPr="00DB4FBD">
        <w:rPr>
          <w:lang w:val="es-ES"/>
        </w:rPr>
        <w:t xml:space="preserve">BR utilizadas para las </w:t>
      </w:r>
      <w:proofErr w:type="spellStart"/>
      <w:r w:rsidRPr="00DB4FBD">
        <w:rPr>
          <w:lang w:val="es-ES"/>
        </w:rPr>
        <w:t>SNF</w:t>
      </w:r>
      <w:proofErr w:type="spellEnd"/>
      <w:r w:rsidRPr="00DB4FBD">
        <w:rPr>
          <w:lang w:val="es-ES"/>
        </w:rPr>
        <w:t>.</w:t>
      </w:r>
    </w:p>
    <w:p w14:paraId="4CD15BE2" w14:textId="77777777" w:rsidR="00C55BA3" w:rsidRPr="00DB4FBD" w:rsidRDefault="00C55BA3" w:rsidP="00C55BA3">
      <w:pPr>
        <w:pStyle w:val="Headingb"/>
        <w:rPr>
          <w:rFonts w:cs="Calibri"/>
          <w:lang w:val="es-ES"/>
        </w:rPr>
      </w:pPr>
      <w:r w:rsidRPr="00DB4FBD">
        <w:rPr>
          <w:lang w:val="es-ES"/>
        </w:rPr>
        <w:t>Método de aplicación de los límites aprobados</w:t>
      </w:r>
    </w:p>
    <w:p w14:paraId="16BEBEA0" w14:textId="395DD040" w:rsidR="00C55BA3" w:rsidRPr="00DB4FBD" w:rsidRDefault="00C55BA3" w:rsidP="0076504A">
      <w:pPr>
        <w:jc w:val="both"/>
        <w:rPr>
          <w:rFonts w:cs="Calibri"/>
          <w:b/>
          <w:bCs/>
          <w:lang w:val="es-ES"/>
        </w:rPr>
      </w:pPr>
      <w:r w:rsidRPr="00DB4FBD">
        <w:rPr>
          <w:lang w:val="es-ES"/>
        </w:rPr>
        <w:t>14</w:t>
      </w:r>
      <w:r w:rsidRPr="00DB4FBD">
        <w:rPr>
          <w:lang w:val="es-ES"/>
        </w:rPr>
        <w:tab/>
        <w:t xml:space="preserve">La Secretaría solicita al Consejo que autorice la aplicación de los límites utilizando un multiplicador de las tasas fijadas por el </w:t>
      </w:r>
      <w:proofErr w:type="spellStart"/>
      <w:r w:rsidRPr="00DB4FBD">
        <w:rPr>
          <w:lang w:val="es-ES"/>
        </w:rPr>
        <w:t>EG-DEC482</w:t>
      </w:r>
      <w:proofErr w:type="spellEnd"/>
      <w:r w:rsidRPr="00DB4FBD">
        <w:rPr>
          <w:lang w:val="es-ES"/>
        </w:rPr>
        <w:t xml:space="preserve"> en el Documento</w:t>
      </w:r>
      <w:r w:rsidR="00C95E1A">
        <w:rPr>
          <w:lang w:val="es-ES"/>
        </w:rPr>
        <w:t> </w:t>
      </w:r>
      <w:proofErr w:type="spellStart"/>
      <w:r>
        <w:fldChar w:fldCharType="begin"/>
      </w:r>
      <w:r>
        <w:instrText>HYPERLINK "https://www.itu.int/md/S25-CL-C-0010/en"</w:instrText>
      </w:r>
      <w:r>
        <w:fldChar w:fldCharType="separate"/>
      </w:r>
      <w:r w:rsidRPr="00DB4FBD">
        <w:rPr>
          <w:rStyle w:val="Hyperlink"/>
          <w:rFonts w:cs="Calibri"/>
          <w:lang w:val="es-ES"/>
        </w:rPr>
        <w:t>C25</w:t>
      </w:r>
      <w:proofErr w:type="spellEnd"/>
      <w:r w:rsidRPr="00DB4FBD">
        <w:rPr>
          <w:rStyle w:val="Hyperlink"/>
          <w:rFonts w:cs="Calibri"/>
          <w:lang w:val="es-ES"/>
        </w:rPr>
        <w:t>/10</w:t>
      </w:r>
      <w:r>
        <w:fldChar w:fldCharType="end"/>
      </w:r>
      <w:r w:rsidRPr="00DB4FBD">
        <w:rPr>
          <w:lang w:val="es-ES"/>
        </w:rPr>
        <w:t xml:space="preserve">, sobre la base de la recuperación prevista de acuerdo con las nuevas tasas y los niveles actuales de notificación, a fin de alcanzar el nivel de recuperación aprobado. Actualmente, la Secretaría está calculando las tasas estimadas que se recaudarían sobre la base de las recomendaciones presentadas por el </w:t>
      </w:r>
      <w:proofErr w:type="spellStart"/>
      <w:r w:rsidRPr="00DB4FBD">
        <w:rPr>
          <w:lang w:val="es-ES"/>
        </w:rPr>
        <w:t>EG-DEC482</w:t>
      </w:r>
      <w:proofErr w:type="spellEnd"/>
      <w:r w:rsidRPr="00DB4FBD">
        <w:rPr>
          <w:lang w:val="es-ES"/>
        </w:rPr>
        <w:t xml:space="preserve"> al Consejo en el Documento</w:t>
      </w:r>
      <w:r w:rsidR="00C95E1A">
        <w:rPr>
          <w:lang w:val="es-ES"/>
        </w:rPr>
        <w:t> </w:t>
      </w:r>
      <w:proofErr w:type="spellStart"/>
      <w:r>
        <w:fldChar w:fldCharType="begin"/>
      </w:r>
      <w:r>
        <w:instrText>HYPERLINK "https://www.itu.int/md/S25-CL-C-0010/en"</w:instrText>
      </w:r>
      <w:r>
        <w:fldChar w:fldCharType="separate"/>
      </w:r>
      <w:r w:rsidRPr="00DB4FBD">
        <w:rPr>
          <w:rStyle w:val="Hyperlink"/>
          <w:rFonts w:cs="Calibri"/>
          <w:lang w:val="es-ES"/>
        </w:rPr>
        <w:t>C25</w:t>
      </w:r>
      <w:proofErr w:type="spellEnd"/>
      <w:r w:rsidRPr="00DB4FBD">
        <w:rPr>
          <w:rStyle w:val="Hyperlink"/>
          <w:rFonts w:cs="Calibri"/>
          <w:lang w:val="es-ES"/>
        </w:rPr>
        <w:t>/10</w:t>
      </w:r>
      <w:r>
        <w:fldChar w:fldCharType="end"/>
      </w:r>
      <w:r w:rsidRPr="00DB4FBD">
        <w:rPr>
          <w:lang w:val="es-ES"/>
        </w:rPr>
        <w:t xml:space="preserve">; sin embargo, se propone, y la Secretaria General solicita, que el Consejo apruebe la adición de un multiplicador estándar a todas las tasas propuestas, de la cuantía necesaria para lograr unos ingresos totales de </w:t>
      </w:r>
      <w:r w:rsidRPr="00DB4FBD">
        <w:rPr>
          <w:b/>
          <w:bCs/>
          <w:lang w:val="es-ES"/>
        </w:rPr>
        <w:t>18</w:t>
      </w:r>
      <w:r w:rsidR="00C95E1A">
        <w:rPr>
          <w:b/>
          <w:bCs/>
          <w:lang w:val="es-ES"/>
        </w:rPr>
        <w:t> </w:t>
      </w:r>
      <w:r w:rsidRPr="00DB4FBD">
        <w:rPr>
          <w:b/>
          <w:bCs/>
          <w:lang w:val="es-ES"/>
        </w:rPr>
        <w:t>032</w:t>
      </w:r>
      <w:r w:rsidR="00C95E1A">
        <w:rPr>
          <w:b/>
          <w:bCs/>
          <w:lang w:val="es-ES"/>
        </w:rPr>
        <w:t> </w:t>
      </w:r>
      <w:r w:rsidRPr="00DB4FBD">
        <w:rPr>
          <w:b/>
          <w:bCs/>
          <w:lang w:val="es-ES"/>
        </w:rPr>
        <w:t>400</w:t>
      </w:r>
      <w:r w:rsidR="00C95E1A">
        <w:rPr>
          <w:b/>
          <w:bCs/>
          <w:lang w:val="es-ES"/>
        </w:rPr>
        <w:t> </w:t>
      </w:r>
      <w:r w:rsidRPr="00DB4FBD">
        <w:rPr>
          <w:b/>
          <w:bCs/>
          <w:lang w:val="es-ES"/>
        </w:rPr>
        <w:t>CHF</w:t>
      </w:r>
      <w:r w:rsidRPr="00DB4FBD">
        <w:rPr>
          <w:lang w:val="es-ES"/>
        </w:rPr>
        <w:t xml:space="preserve">. Si se aprueba, la Secretaría calculará las tasas correspondientes y las publicará para su aplicación a partir del </w:t>
      </w:r>
      <w:r w:rsidRPr="00DB4FBD">
        <w:rPr>
          <w:b/>
          <w:bCs/>
          <w:lang w:val="es-ES"/>
        </w:rPr>
        <w:t>1 de enero de 2026</w:t>
      </w:r>
      <w:r w:rsidRPr="00DB4FBD">
        <w:rPr>
          <w:lang w:val="es-ES"/>
        </w:rPr>
        <w:t>.</w:t>
      </w:r>
    </w:p>
    <w:p w14:paraId="2EA3CB94" w14:textId="77777777" w:rsidR="00C55BA3" w:rsidRPr="00DB4FBD" w:rsidRDefault="00C55BA3" w:rsidP="00C55BA3">
      <w:pPr>
        <w:rPr>
          <w:rFonts w:cs="Calibri"/>
          <w:szCs w:val="24"/>
          <w:lang w:val="es-ES"/>
        </w:rPr>
      </w:pPr>
      <w:r w:rsidRPr="00DB4FBD">
        <w:rPr>
          <w:rFonts w:cs="Calibri"/>
          <w:szCs w:val="24"/>
          <w:lang w:val="es-ES"/>
        </w:rPr>
        <w:br w:type="page"/>
      </w:r>
    </w:p>
    <w:p w14:paraId="5CC5C33B" w14:textId="77777777" w:rsidR="00C55BA3" w:rsidRPr="00DB4FBD" w:rsidRDefault="00C55BA3" w:rsidP="00C55BA3">
      <w:pPr>
        <w:pStyle w:val="AnnexNo"/>
        <w:rPr>
          <w:lang w:val="es-ES"/>
        </w:rPr>
      </w:pPr>
      <w:bookmarkStart w:id="2" w:name="Annex_1"/>
      <w:r w:rsidRPr="00DB4FBD">
        <w:rPr>
          <w:lang w:val="es-ES"/>
        </w:rPr>
        <w:lastRenderedPageBreak/>
        <w:t>Anexo 1</w:t>
      </w:r>
      <w:bookmarkEnd w:id="2"/>
    </w:p>
    <w:p w14:paraId="29DF9FCD" w14:textId="77777777" w:rsidR="00C55BA3" w:rsidRPr="00DB4FBD" w:rsidRDefault="00C55BA3" w:rsidP="00C55BA3">
      <w:pPr>
        <w:pStyle w:val="Annextitle"/>
        <w:rPr>
          <w:lang w:val="es-ES"/>
        </w:rPr>
      </w:pPr>
      <w:r w:rsidRPr="00DB4FBD">
        <w:rPr>
          <w:bCs/>
          <w:lang w:val="es-ES"/>
        </w:rPr>
        <w:t>Evaluación comparativa de la atribución de costes indirectos en las organizaciones internacionales</w:t>
      </w:r>
    </w:p>
    <w:p w14:paraId="03024E7F" w14:textId="57C21774" w:rsidR="00C55BA3" w:rsidRPr="00DB4FBD" w:rsidRDefault="00C55BA3" w:rsidP="0076504A">
      <w:pPr>
        <w:jc w:val="both"/>
        <w:rPr>
          <w:rFonts w:cs="Calibri"/>
          <w:szCs w:val="24"/>
          <w:lang w:val="es-ES"/>
        </w:rPr>
      </w:pPr>
      <w:r w:rsidRPr="00DB4FBD">
        <w:rPr>
          <w:lang w:val="es-ES"/>
        </w:rPr>
        <w:t xml:space="preserve">A fin de establecer una atribución razonable de los costes indirectos, la Secretaría propone utilizar los puntos de referencia establecidos por instituciones internacionales reconocidas como orientación de los niveles adecuados. Se han identificado dos estudios recientes que proponen fijar las atribuciones de costes indirectos en el rango </w:t>
      </w:r>
      <w:r w:rsidRPr="00DB4FBD">
        <w:rPr>
          <w:b/>
          <w:bCs/>
          <w:lang w:val="es-ES"/>
        </w:rPr>
        <w:t>del 25</w:t>
      </w:r>
      <w:r w:rsidR="00A70AFA">
        <w:rPr>
          <w:b/>
          <w:bCs/>
          <w:lang w:val="es-ES"/>
        </w:rPr>
        <w:t> </w:t>
      </w:r>
      <w:r w:rsidRPr="00DB4FBD">
        <w:rPr>
          <w:b/>
          <w:bCs/>
          <w:lang w:val="es-ES"/>
        </w:rPr>
        <w:t>% al 30</w:t>
      </w:r>
      <w:r w:rsidR="00A70AFA">
        <w:rPr>
          <w:b/>
          <w:bCs/>
          <w:lang w:val="es-ES"/>
        </w:rPr>
        <w:t> </w:t>
      </w:r>
      <w:r w:rsidRPr="00DB4FBD">
        <w:rPr>
          <w:b/>
          <w:bCs/>
          <w:lang w:val="es-ES"/>
        </w:rPr>
        <w:t>% de los costes directos</w:t>
      </w:r>
      <w:r w:rsidRPr="00DB4FBD">
        <w:rPr>
          <w:lang w:val="es-ES"/>
        </w:rPr>
        <w:t>, dependiendo de la naturaleza y complejidad de los servicios proporcionados.</w:t>
      </w:r>
    </w:p>
    <w:p w14:paraId="0A8A1B82" w14:textId="1D435E5D" w:rsidR="00C55BA3" w:rsidRPr="00DB4FBD" w:rsidRDefault="00C55BA3" w:rsidP="00C55BA3">
      <w:pPr>
        <w:pStyle w:val="Heading1"/>
        <w:rPr>
          <w:rFonts w:cs="Calibri"/>
          <w:szCs w:val="24"/>
          <w:lang w:val="es-ES"/>
        </w:rPr>
      </w:pPr>
      <w:r>
        <w:rPr>
          <w:lang w:val="es-ES"/>
        </w:rPr>
        <w:t>1</w:t>
      </w:r>
      <w:r>
        <w:rPr>
          <w:lang w:val="es-ES"/>
        </w:rPr>
        <w:tab/>
      </w:r>
      <w:r w:rsidRPr="000A3ED6">
        <w:rPr>
          <w:lang w:val="es-ES"/>
        </w:rPr>
        <w:t>Estudios</w:t>
      </w:r>
      <w:r w:rsidRPr="00DB4FBD">
        <w:rPr>
          <w:lang w:val="es-ES"/>
        </w:rPr>
        <w:t xml:space="preserve"> del Banco Mundial y de la </w:t>
      </w:r>
      <w:proofErr w:type="spellStart"/>
      <w:r w:rsidRPr="00DB4FBD">
        <w:rPr>
          <w:lang w:val="es-ES"/>
        </w:rPr>
        <w:t>CFI</w:t>
      </w:r>
      <w:proofErr w:type="spellEnd"/>
    </w:p>
    <w:p w14:paraId="6F4DF4A3" w14:textId="4C0AA2F8" w:rsidR="00C55BA3" w:rsidRPr="00DB4FBD" w:rsidRDefault="00C55BA3" w:rsidP="0076504A">
      <w:pPr>
        <w:pStyle w:val="enumlev1"/>
        <w:jc w:val="both"/>
        <w:rPr>
          <w:rFonts w:cs="Calibri"/>
          <w:szCs w:val="24"/>
          <w:lang w:val="es-ES"/>
        </w:rPr>
      </w:pPr>
      <w:r w:rsidRPr="00C55BA3">
        <w:rPr>
          <w:lang w:val="es-ES"/>
        </w:rPr>
        <w:t>•</w:t>
      </w:r>
      <w:r>
        <w:rPr>
          <w:lang w:val="es-ES"/>
        </w:rPr>
        <w:tab/>
      </w:r>
      <w:r w:rsidRPr="00DB4FBD">
        <w:rPr>
          <w:lang w:val="es-ES"/>
        </w:rPr>
        <w:t>De acuerdo con los marcos de recuperación de costes del Banco Mundial y la Corporación Financiera Internacional (</w:t>
      </w:r>
      <w:proofErr w:type="spellStart"/>
      <w:r w:rsidRPr="00DB4FBD">
        <w:rPr>
          <w:lang w:val="es-ES"/>
        </w:rPr>
        <w:t>CFI</w:t>
      </w:r>
      <w:proofErr w:type="spellEnd"/>
      <w:r w:rsidRPr="00DB4FBD">
        <w:rPr>
          <w:lang w:val="es-ES"/>
        </w:rPr>
        <w:t xml:space="preserve">), en condiciones idóneas los gastos generales administrativos de las entidades del sector público no deberían exceder del </w:t>
      </w:r>
      <w:r w:rsidRPr="00DB4FBD">
        <w:rPr>
          <w:b/>
          <w:bCs/>
          <w:lang w:val="es-ES"/>
        </w:rPr>
        <w:t>30</w:t>
      </w:r>
      <w:r w:rsidR="00A70AFA">
        <w:rPr>
          <w:b/>
          <w:bCs/>
          <w:lang w:val="es-ES"/>
        </w:rPr>
        <w:t> </w:t>
      </w:r>
      <w:r w:rsidRPr="00DB4FBD">
        <w:rPr>
          <w:b/>
          <w:bCs/>
          <w:lang w:val="es-ES"/>
        </w:rPr>
        <w:t xml:space="preserve">% </w:t>
      </w:r>
      <w:r w:rsidRPr="00DB4FBD">
        <w:rPr>
          <w:lang w:val="es-ES"/>
        </w:rPr>
        <w:t>de los gastos operativos directos, haciendo hincapié en la adopción de un enfoque equilibrado para la recuperación de costes y la transparencia.</w:t>
      </w:r>
    </w:p>
    <w:p w14:paraId="1CAEFAB5" w14:textId="302E8162" w:rsidR="00C55BA3" w:rsidRPr="009D6AC7" w:rsidRDefault="00C55BA3" w:rsidP="0076504A">
      <w:pPr>
        <w:pStyle w:val="enumlev1"/>
        <w:jc w:val="both"/>
        <w:rPr>
          <w:rFonts w:cs="Calibri"/>
          <w:szCs w:val="24"/>
          <w:lang w:val="en-US"/>
        </w:rPr>
      </w:pPr>
      <w:r w:rsidRPr="00C55BA3">
        <w:rPr>
          <w:lang w:val="en-US"/>
        </w:rPr>
        <w:t>•</w:t>
      </w:r>
      <w:r w:rsidRPr="00C55BA3">
        <w:rPr>
          <w:lang w:val="en-US"/>
        </w:rPr>
        <w:tab/>
      </w:r>
      <w:proofErr w:type="spellStart"/>
      <w:r w:rsidRPr="009D6AC7">
        <w:rPr>
          <w:lang w:val="en-US"/>
        </w:rPr>
        <w:t>Referencia</w:t>
      </w:r>
      <w:proofErr w:type="spellEnd"/>
      <w:r w:rsidRPr="009D6AC7">
        <w:rPr>
          <w:lang w:val="en-US"/>
        </w:rPr>
        <w:t xml:space="preserve">: CFI (2020), </w:t>
      </w:r>
      <w:r w:rsidRPr="009D6AC7">
        <w:rPr>
          <w:i/>
          <w:iCs/>
          <w:lang w:val="en-US"/>
        </w:rPr>
        <w:t>Guidelines for Project Cost Allocation and Cost Recovery</w:t>
      </w:r>
      <w:r w:rsidRPr="009D6AC7">
        <w:rPr>
          <w:lang w:val="en-US"/>
        </w:rPr>
        <w:t>, Grupo Banco Mundial, Washington DC.</w:t>
      </w:r>
    </w:p>
    <w:p w14:paraId="7FD4B2DD" w14:textId="3C87CEA8" w:rsidR="00C55BA3" w:rsidRPr="00DB4FBD" w:rsidRDefault="00C55BA3" w:rsidP="00C55BA3">
      <w:pPr>
        <w:pStyle w:val="Heading1"/>
        <w:rPr>
          <w:rFonts w:cs="Calibri"/>
          <w:szCs w:val="24"/>
          <w:lang w:val="es-ES"/>
        </w:rPr>
      </w:pPr>
      <w:r>
        <w:rPr>
          <w:lang w:val="es-ES"/>
        </w:rPr>
        <w:t>2</w:t>
      </w:r>
      <w:r>
        <w:rPr>
          <w:lang w:val="es-ES"/>
        </w:rPr>
        <w:tab/>
      </w:r>
      <w:r w:rsidRPr="00DB4FBD">
        <w:rPr>
          <w:lang w:val="es-ES"/>
        </w:rPr>
        <w:t>Régimen Común de las Naciones Unidas (PNUD y UNICEF)</w:t>
      </w:r>
    </w:p>
    <w:p w14:paraId="1DDEC292" w14:textId="53E39574" w:rsidR="00C55BA3" w:rsidRPr="00DB4FBD" w:rsidRDefault="00C55BA3" w:rsidP="0076504A">
      <w:pPr>
        <w:pStyle w:val="enumlev1"/>
        <w:jc w:val="both"/>
        <w:rPr>
          <w:rFonts w:cs="Calibri"/>
          <w:szCs w:val="24"/>
          <w:lang w:val="es-ES"/>
        </w:rPr>
      </w:pPr>
      <w:r w:rsidRPr="00C55BA3">
        <w:rPr>
          <w:lang w:val="es-ES"/>
        </w:rPr>
        <w:t>•</w:t>
      </w:r>
      <w:r>
        <w:rPr>
          <w:lang w:val="es-ES"/>
        </w:rPr>
        <w:tab/>
      </w:r>
      <w:r w:rsidRPr="00DB4FBD">
        <w:rPr>
          <w:lang w:val="es-ES"/>
        </w:rPr>
        <w:t xml:space="preserve">Las directrices sobre los gastos de apoyo a los programas (PSC) del Programa de las Naciones Unidas para el Desarrollo (PNUD) y del Fondo de las Naciones Unidas para la Infancia (UNICEF) recomiendan explícitamente limitar la recuperación de los costes indirectos (gastos generales) al </w:t>
      </w:r>
      <w:r w:rsidRPr="00DB4FBD">
        <w:rPr>
          <w:b/>
          <w:bCs/>
          <w:lang w:val="es-ES"/>
        </w:rPr>
        <w:t>25</w:t>
      </w:r>
      <w:r w:rsidR="00A70AFA">
        <w:rPr>
          <w:b/>
          <w:bCs/>
          <w:lang w:val="es-ES"/>
        </w:rPr>
        <w:t> </w:t>
      </w:r>
      <w:r w:rsidRPr="00DB4FBD">
        <w:rPr>
          <w:b/>
          <w:bCs/>
          <w:lang w:val="es-ES"/>
        </w:rPr>
        <w:t>%-30</w:t>
      </w:r>
      <w:r w:rsidR="00A70AFA">
        <w:rPr>
          <w:b/>
          <w:bCs/>
          <w:lang w:val="es-ES"/>
        </w:rPr>
        <w:t> </w:t>
      </w:r>
      <w:r w:rsidRPr="00DB4FBD">
        <w:rPr>
          <w:b/>
          <w:bCs/>
          <w:lang w:val="es-ES"/>
        </w:rPr>
        <w:t>%</w:t>
      </w:r>
      <w:r w:rsidRPr="000A3ED6">
        <w:rPr>
          <w:lang w:val="es-ES"/>
        </w:rPr>
        <w:t xml:space="preserve"> </w:t>
      </w:r>
      <w:r w:rsidRPr="00DB4FBD">
        <w:rPr>
          <w:lang w:val="es-ES"/>
        </w:rPr>
        <w:t>de los costes directos de los proyectos como máximo.</w:t>
      </w:r>
    </w:p>
    <w:p w14:paraId="05DB1F4D" w14:textId="1A7FFA68" w:rsidR="00C55BA3" w:rsidRPr="00DB4FBD" w:rsidRDefault="00C55BA3" w:rsidP="0076504A">
      <w:pPr>
        <w:pStyle w:val="enumlev1"/>
        <w:jc w:val="both"/>
        <w:rPr>
          <w:rFonts w:cs="Calibri"/>
          <w:szCs w:val="24"/>
          <w:lang w:val="es-ES"/>
        </w:rPr>
      </w:pPr>
      <w:r w:rsidRPr="00C55BA3">
        <w:rPr>
          <w:lang w:val="es-ES"/>
        </w:rPr>
        <w:t>•</w:t>
      </w:r>
      <w:r>
        <w:rPr>
          <w:lang w:val="es-ES"/>
        </w:rPr>
        <w:tab/>
      </w:r>
      <w:r w:rsidRPr="00DB4FBD">
        <w:rPr>
          <w:lang w:val="es-ES"/>
        </w:rPr>
        <w:t xml:space="preserve">Referencia: PNUD (2019), </w:t>
      </w:r>
      <w:proofErr w:type="spellStart"/>
      <w:r w:rsidRPr="00DB4FBD">
        <w:rPr>
          <w:i/>
          <w:iCs/>
          <w:lang w:val="es-ES"/>
        </w:rPr>
        <w:t>Cost</w:t>
      </w:r>
      <w:proofErr w:type="spellEnd"/>
      <w:r w:rsidRPr="00DB4FBD">
        <w:rPr>
          <w:i/>
          <w:iCs/>
          <w:lang w:val="es-ES"/>
        </w:rPr>
        <w:t xml:space="preserve"> </w:t>
      </w:r>
      <w:proofErr w:type="spellStart"/>
      <w:r w:rsidRPr="00DB4FBD">
        <w:rPr>
          <w:i/>
          <w:iCs/>
          <w:lang w:val="es-ES"/>
        </w:rPr>
        <w:t>Recovery</w:t>
      </w:r>
      <w:proofErr w:type="spellEnd"/>
      <w:r w:rsidRPr="00DB4FBD">
        <w:rPr>
          <w:i/>
          <w:iCs/>
          <w:lang w:val="es-ES"/>
        </w:rPr>
        <w:t xml:space="preserve"> and </w:t>
      </w:r>
      <w:proofErr w:type="spellStart"/>
      <w:r w:rsidRPr="00DB4FBD">
        <w:rPr>
          <w:i/>
          <w:iCs/>
          <w:lang w:val="es-ES"/>
        </w:rPr>
        <w:t>Cost</w:t>
      </w:r>
      <w:proofErr w:type="spellEnd"/>
      <w:r w:rsidRPr="00DB4FBD">
        <w:rPr>
          <w:i/>
          <w:iCs/>
          <w:lang w:val="es-ES"/>
        </w:rPr>
        <w:t xml:space="preserve"> </w:t>
      </w:r>
      <w:proofErr w:type="spellStart"/>
      <w:r w:rsidRPr="00DB4FBD">
        <w:rPr>
          <w:i/>
          <w:iCs/>
          <w:lang w:val="es-ES"/>
        </w:rPr>
        <w:t>Classification</w:t>
      </w:r>
      <w:proofErr w:type="spellEnd"/>
      <w:r w:rsidRPr="00DB4FBD">
        <w:rPr>
          <w:i/>
          <w:iCs/>
          <w:lang w:val="es-ES"/>
        </w:rPr>
        <w:t xml:space="preserve"> </w:t>
      </w:r>
      <w:proofErr w:type="spellStart"/>
      <w:r w:rsidRPr="00DB4FBD">
        <w:rPr>
          <w:i/>
          <w:iCs/>
          <w:lang w:val="es-ES"/>
        </w:rPr>
        <w:t>Guidelines</w:t>
      </w:r>
      <w:proofErr w:type="spellEnd"/>
      <w:r w:rsidRPr="00DB4FBD">
        <w:rPr>
          <w:lang w:val="es-ES"/>
        </w:rPr>
        <w:t>, Programa de las Naciones Unidas para el Desarrollo, Nueva York.</w:t>
      </w:r>
    </w:p>
    <w:p w14:paraId="424C92A8" w14:textId="7A991E1B" w:rsidR="00C55BA3" w:rsidRPr="00DB4FBD" w:rsidRDefault="00C55BA3" w:rsidP="0076504A">
      <w:pPr>
        <w:pStyle w:val="enumlev1"/>
        <w:jc w:val="both"/>
        <w:rPr>
          <w:rFonts w:cs="Calibri"/>
          <w:szCs w:val="24"/>
          <w:lang w:val="es-ES"/>
        </w:rPr>
      </w:pPr>
      <w:r w:rsidRPr="00C55BA3">
        <w:rPr>
          <w:lang w:val="es-ES"/>
        </w:rPr>
        <w:t>•</w:t>
      </w:r>
      <w:r>
        <w:rPr>
          <w:lang w:val="es-ES"/>
        </w:rPr>
        <w:tab/>
      </w:r>
      <w:r w:rsidRPr="00DB4FBD">
        <w:rPr>
          <w:lang w:val="es-ES"/>
        </w:rPr>
        <w:t xml:space="preserve">Referencia: UNICEF (2020), </w:t>
      </w:r>
      <w:r w:rsidRPr="00DB4FBD">
        <w:rPr>
          <w:i/>
          <w:iCs/>
          <w:lang w:val="es-ES"/>
        </w:rPr>
        <w:t xml:space="preserve">UNICEF </w:t>
      </w:r>
      <w:proofErr w:type="spellStart"/>
      <w:r w:rsidRPr="00DB4FBD">
        <w:rPr>
          <w:i/>
          <w:iCs/>
          <w:lang w:val="es-ES"/>
        </w:rPr>
        <w:t>Cost</w:t>
      </w:r>
      <w:proofErr w:type="spellEnd"/>
      <w:r w:rsidRPr="00DB4FBD">
        <w:rPr>
          <w:i/>
          <w:iCs/>
          <w:lang w:val="es-ES"/>
        </w:rPr>
        <w:t xml:space="preserve"> </w:t>
      </w:r>
      <w:proofErr w:type="spellStart"/>
      <w:r w:rsidRPr="00DB4FBD">
        <w:rPr>
          <w:i/>
          <w:iCs/>
          <w:lang w:val="es-ES"/>
        </w:rPr>
        <w:t>Recovery</w:t>
      </w:r>
      <w:proofErr w:type="spellEnd"/>
      <w:r w:rsidRPr="00DB4FBD">
        <w:rPr>
          <w:i/>
          <w:iCs/>
          <w:lang w:val="es-ES"/>
        </w:rPr>
        <w:t xml:space="preserve"> </w:t>
      </w:r>
      <w:proofErr w:type="spellStart"/>
      <w:r w:rsidRPr="00DB4FBD">
        <w:rPr>
          <w:i/>
          <w:iCs/>
          <w:lang w:val="es-ES"/>
        </w:rPr>
        <w:t>Policy</w:t>
      </w:r>
      <w:proofErr w:type="spellEnd"/>
      <w:r w:rsidRPr="00DB4FBD">
        <w:rPr>
          <w:lang w:val="es-ES"/>
        </w:rPr>
        <w:t>, Documento de la Junta Ejecutiva del Fondo de las Naciones Unidas para la Infancia, Nueva York.</w:t>
      </w:r>
    </w:p>
    <w:p w14:paraId="0EA30E07" w14:textId="77777777" w:rsidR="00C55BA3" w:rsidRPr="00DB4FBD" w:rsidRDefault="00C55BA3" w:rsidP="00C55BA3">
      <w:pPr>
        <w:rPr>
          <w:rFonts w:cs="Calibri"/>
          <w:szCs w:val="24"/>
          <w:lang w:val="es-ES"/>
        </w:rPr>
      </w:pPr>
      <w:r w:rsidRPr="00DB4FBD">
        <w:rPr>
          <w:rFonts w:cs="Calibri"/>
          <w:szCs w:val="24"/>
          <w:lang w:val="es-ES"/>
        </w:rPr>
        <w:br w:type="page"/>
      </w:r>
    </w:p>
    <w:p w14:paraId="205DD19A" w14:textId="77777777" w:rsidR="00C55BA3" w:rsidRPr="00DB4FBD" w:rsidRDefault="00C55BA3" w:rsidP="00C55BA3">
      <w:pPr>
        <w:pStyle w:val="AnnexNo"/>
        <w:rPr>
          <w:lang w:val="es-ES"/>
        </w:rPr>
      </w:pPr>
      <w:bookmarkStart w:id="3" w:name="Annex_2"/>
      <w:r w:rsidRPr="00C55BA3">
        <w:lastRenderedPageBreak/>
        <w:t>ANEXO</w:t>
      </w:r>
      <w:r w:rsidRPr="00DB4FBD">
        <w:rPr>
          <w:lang w:val="es-ES"/>
        </w:rPr>
        <w:t xml:space="preserve"> 2</w:t>
      </w:r>
      <w:bookmarkEnd w:id="3"/>
    </w:p>
    <w:p w14:paraId="4A3EB71E" w14:textId="77777777" w:rsidR="00C55BA3" w:rsidRPr="00DB4FBD" w:rsidRDefault="00C55BA3" w:rsidP="0076504A">
      <w:pPr>
        <w:jc w:val="both"/>
        <w:rPr>
          <w:lang w:val="es-ES"/>
        </w:rPr>
      </w:pPr>
      <w:r w:rsidRPr="00DB4FBD">
        <w:rPr>
          <w:lang w:val="es-ES"/>
        </w:rPr>
        <w:t>En el análisis resumido que figura a continuación se presentan la metodología utilizada, los factores clave de los costes indirectos y las categorías de costes.</w:t>
      </w:r>
    </w:p>
    <w:p w14:paraId="6303E040" w14:textId="6FC34591" w:rsidR="00C55BA3" w:rsidRPr="00DB4FBD" w:rsidRDefault="00C55BA3" w:rsidP="00C55BA3">
      <w:pPr>
        <w:jc w:val="center"/>
        <w:rPr>
          <w:rFonts w:cs="Calibri"/>
          <w:b/>
          <w:bCs/>
          <w:szCs w:val="24"/>
          <w:lang w:val="es-ES"/>
        </w:rPr>
      </w:pPr>
      <w:r w:rsidRPr="00DB4FBD">
        <w:rPr>
          <w:b/>
          <w:bCs/>
          <w:lang w:val="es-ES"/>
        </w:rPr>
        <w:t>Resumen de las categorías del sistema de costes basadas en las actividades</w:t>
      </w:r>
      <w:r w:rsidR="000A3ED6">
        <w:rPr>
          <w:b/>
          <w:bCs/>
          <w:lang w:val="es-ES"/>
        </w:rPr>
        <w:br/>
      </w:r>
      <w:r w:rsidRPr="00DB4FBD">
        <w:rPr>
          <w:b/>
          <w:bCs/>
          <w:lang w:val="es-ES"/>
        </w:rPr>
        <w:t>y estimación de los gastos conexos</w:t>
      </w:r>
    </w:p>
    <w:p w14:paraId="26BED5BD" w14:textId="77777777" w:rsidR="00C55BA3" w:rsidRPr="00DB4FBD" w:rsidRDefault="00C55BA3" w:rsidP="0076504A">
      <w:pPr>
        <w:jc w:val="both"/>
        <w:rPr>
          <w:rFonts w:cs="Calibri"/>
          <w:szCs w:val="24"/>
          <w:lang w:val="es-ES"/>
        </w:rPr>
      </w:pPr>
      <w:r w:rsidRPr="00DB4FBD">
        <w:rPr>
          <w:lang w:val="es-ES"/>
        </w:rPr>
        <w:t xml:space="preserve">La UIT ha realizado un examen preliminar de sus costes indirectos. Un primer ejercicio consiste en determinar las categorías de costes que están directamente relacionadas con el trabajo de </w:t>
      </w:r>
      <w:proofErr w:type="spellStart"/>
      <w:r w:rsidRPr="00DB4FBD">
        <w:rPr>
          <w:lang w:val="es-ES"/>
        </w:rPr>
        <w:t>SNF</w:t>
      </w:r>
      <w:proofErr w:type="spellEnd"/>
      <w:r w:rsidRPr="00DB4FBD">
        <w:rPr>
          <w:lang w:val="es-ES"/>
        </w:rPr>
        <w:t xml:space="preserve">. Se han determinado las categorías siguientes: </w:t>
      </w:r>
    </w:p>
    <w:p w14:paraId="021A6903" w14:textId="743FFDA5" w:rsidR="00C55BA3" w:rsidRPr="00DB4FBD" w:rsidRDefault="00C55BA3" w:rsidP="0076504A">
      <w:pPr>
        <w:pStyle w:val="enumlev1"/>
        <w:jc w:val="both"/>
        <w:rPr>
          <w:rFonts w:cs="Calibri"/>
          <w:szCs w:val="24"/>
          <w:lang w:val="es-ES"/>
        </w:rPr>
      </w:pPr>
      <w:r w:rsidRPr="00C55BA3">
        <w:rPr>
          <w:lang w:val="es-ES"/>
        </w:rPr>
        <w:t>•</w:t>
      </w:r>
      <w:r>
        <w:rPr>
          <w:lang w:val="es-ES"/>
        </w:rPr>
        <w:tab/>
      </w:r>
      <w:r w:rsidRPr="00DB4FBD">
        <w:rPr>
          <w:lang w:val="es-ES"/>
        </w:rPr>
        <w:t>apoyo en materia de tecnologías de la información (TI);</w:t>
      </w:r>
    </w:p>
    <w:p w14:paraId="4A3B5827" w14:textId="54D1BD92" w:rsidR="00C55BA3" w:rsidRPr="00DB4FBD" w:rsidRDefault="00C55BA3" w:rsidP="0076504A">
      <w:pPr>
        <w:pStyle w:val="enumlev1"/>
        <w:jc w:val="both"/>
        <w:rPr>
          <w:rFonts w:cs="Calibri"/>
          <w:szCs w:val="24"/>
          <w:lang w:val="es-ES"/>
        </w:rPr>
      </w:pPr>
      <w:r w:rsidRPr="00C55BA3">
        <w:rPr>
          <w:lang w:val="es-ES"/>
        </w:rPr>
        <w:t>•</w:t>
      </w:r>
      <w:r>
        <w:rPr>
          <w:lang w:val="es-ES"/>
        </w:rPr>
        <w:tab/>
      </w:r>
      <w:r w:rsidRPr="00DB4FBD">
        <w:rPr>
          <w:lang w:val="es-ES"/>
        </w:rPr>
        <w:t>infraestructuras y servicios públicos;</w:t>
      </w:r>
    </w:p>
    <w:p w14:paraId="61B1B59F" w14:textId="15C07C55" w:rsidR="00C55BA3" w:rsidRPr="00DB4FBD" w:rsidRDefault="00C55BA3" w:rsidP="0076504A">
      <w:pPr>
        <w:pStyle w:val="enumlev1"/>
        <w:jc w:val="both"/>
        <w:rPr>
          <w:rFonts w:cs="Calibri"/>
          <w:szCs w:val="24"/>
          <w:lang w:val="es-ES"/>
        </w:rPr>
      </w:pPr>
      <w:r w:rsidRPr="00C55BA3">
        <w:rPr>
          <w:lang w:val="es-ES"/>
        </w:rPr>
        <w:t>•</w:t>
      </w:r>
      <w:r>
        <w:rPr>
          <w:lang w:val="es-ES"/>
        </w:rPr>
        <w:tab/>
      </w:r>
      <w:r w:rsidRPr="00DB4FBD">
        <w:rPr>
          <w:lang w:val="es-ES"/>
        </w:rPr>
        <w:t>recursos humanos;</w:t>
      </w:r>
    </w:p>
    <w:p w14:paraId="7991835A" w14:textId="6DBF5F90" w:rsidR="00C55BA3" w:rsidRPr="00DB4FBD" w:rsidRDefault="00C55BA3" w:rsidP="0076504A">
      <w:pPr>
        <w:pStyle w:val="enumlev1"/>
        <w:jc w:val="both"/>
        <w:rPr>
          <w:rFonts w:cs="Calibri"/>
          <w:szCs w:val="24"/>
          <w:lang w:val="es-ES"/>
        </w:rPr>
      </w:pPr>
      <w:r w:rsidRPr="00C55BA3">
        <w:rPr>
          <w:lang w:val="es-ES"/>
        </w:rPr>
        <w:t>•</w:t>
      </w:r>
      <w:r>
        <w:rPr>
          <w:lang w:val="es-ES"/>
        </w:rPr>
        <w:tab/>
      </w:r>
      <w:r w:rsidRPr="00DB4FBD">
        <w:rPr>
          <w:lang w:val="es-ES"/>
        </w:rPr>
        <w:t>servicios financieros y jurídicos;</w:t>
      </w:r>
    </w:p>
    <w:p w14:paraId="5E6917CB" w14:textId="6E2C935A" w:rsidR="00C55BA3" w:rsidRPr="00DB4FBD" w:rsidRDefault="00C55BA3" w:rsidP="0076504A">
      <w:pPr>
        <w:pStyle w:val="enumlev1"/>
        <w:jc w:val="both"/>
        <w:rPr>
          <w:rFonts w:cs="Calibri"/>
          <w:szCs w:val="24"/>
          <w:lang w:val="es-ES"/>
        </w:rPr>
      </w:pPr>
      <w:r w:rsidRPr="00C55BA3">
        <w:rPr>
          <w:lang w:val="es-ES"/>
        </w:rPr>
        <w:t>•</w:t>
      </w:r>
      <w:r>
        <w:rPr>
          <w:lang w:val="es-ES"/>
        </w:rPr>
        <w:tab/>
      </w:r>
      <w:r w:rsidRPr="00DB4FBD">
        <w:rPr>
          <w:lang w:val="es-ES"/>
        </w:rPr>
        <w:t>gastos generales administrativos.</w:t>
      </w:r>
    </w:p>
    <w:p w14:paraId="00C2A995" w14:textId="3420156C" w:rsidR="00C55BA3" w:rsidRPr="00DB4FBD" w:rsidRDefault="00C55BA3" w:rsidP="0076504A">
      <w:pPr>
        <w:jc w:val="both"/>
        <w:rPr>
          <w:rFonts w:cs="Calibri"/>
          <w:szCs w:val="24"/>
          <w:lang w:val="es-ES"/>
        </w:rPr>
      </w:pPr>
      <w:r w:rsidRPr="00DB4FBD">
        <w:rPr>
          <w:lang w:val="es-ES"/>
        </w:rPr>
        <w:t>El paso siguiente,</w:t>
      </w:r>
      <w:r w:rsidR="000A3ED6">
        <w:rPr>
          <w:lang w:val="es-ES"/>
        </w:rPr>
        <w:t xml:space="preserve"> </w:t>
      </w:r>
      <w:r w:rsidRPr="00DB4FBD">
        <w:rPr>
          <w:lang w:val="es-ES"/>
        </w:rPr>
        <w:t>que se presenta más abajo, consiste en determinar el nivel de actividad que da lugar a estos costos, es decir, cuáles son los costes directos asociados a las categorías de costes mencionadas.</w:t>
      </w:r>
    </w:p>
    <w:p w14:paraId="46F05CA5" w14:textId="19D8CF4D" w:rsidR="00C55BA3" w:rsidRPr="00DB4FBD" w:rsidRDefault="00C55BA3" w:rsidP="00C55BA3">
      <w:pPr>
        <w:jc w:val="center"/>
        <w:rPr>
          <w:rFonts w:cs="Calibri"/>
          <w:b/>
          <w:bCs/>
          <w:szCs w:val="24"/>
          <w:lang w:val="es-ES"/>
        </w:rPr>
      </w:pPr>
      <w:r w:rsidRPr="00DB4FBD">
        <w:rPr>
          <w:b/>
          <w:bCs/>
          <w:lang w:val="es-ES"/>
        </w:rPr>
        <w:t>Principios de atribución completa de los costes con miras</w:t>
      </w:r>
      <w:r w:rsidR="000A3ED6">
        <w:rPr>
          <w:b/>
          <w:bCs/>
          <w:lang w:val="es-ES"/>
        </w:rPr>
        <w:br/>
        <w:t>a</w:t>
      </w:r>
      <w:r w:rsidRPr="00DB4FBD">
        <w:rPr>
          <w:b/>
          <w:bCs/>
          <w:lang w:val="es-ES"/>
        </w:rPr>
        <w:t xml:space="preserve"> la determinación de los costes de </w:t>
      </w:r>
      <w:proofErr w:type="spellStart"/>
      <w:r w:rsidRPr="00DB4FBD">
        <w:rPr>
          <w:b/>
          <w:bCs/>
          <w:lang w:val="es-ES"/>
        </w:rPr>
        <w:t>SNF</w:t>
      </w:r>
      <w:proofErr w:type="spellEnd"/>
    </w:p>
    <w:p w14:paraId="0E1F0388" w14:textId="238DE069" w:rsidR="00C55BA3" w:rsidRPr="00DB4FBD" w:rsidRDefault="00C55BA3" w:rsidP="0076504A">
      <w:pPr>
        <w:jc w:val="both"/>
        <w:rPr>
          <w:rFonts w:cs="Calibri"/>
          <w:szCs w:val="24"/>
          <w:lang w:val="es-ES"/>
        </w:rPr>
      </w:pPr>
      <w:r w:rsidRPr="00DB4FBD">
        <w:rPr>
          <w:lang w:val="es-ES"/>
        </w:rPr>
        <w:t>En el contexto de las notificaciones de redes de satélites (</w:t>
      </w:r>
      <w:proofErr w:type="spellStart"/>
      <w:r w:rsidRPr="00DB4FBD">
        <w:rPr>
          <w:lang w:val="es-ES"/>
        </w:rPr>
        <w:t>SNF</w:t>
      </w:r>
      <w:proofErr w:type="spellEnd"/>
      <w:r w:rsidRPr="00DB4FBD">
        <w:rPr>
          <w:lang w:val="es-ES"/>
        </w:rPr>
        <w:t xml:space="preserve">) de la UIT, la adopción de un modelo detallado de atribución total de costes aportaría más claridad en relación con el uso real de los recursos en el contexto de los diferentes procesos de </w:t>
      </w:r>
      <w:proofErr w:type="spellStart"/>
      <w:r w:rsidRPr="00DB4FBD">
        <w:rPr>
          <w:lang w:val="es-ES"/>
        </w:rPr>
        <w:t>SNF</w:t>
      </w:r>
      <w:proofErr w:type="spellEnd"/>
      <w:r w:rsidRPr="00DB4FBD">
        <w:rPr>
          <w:lang w:val="es-ES"/>
        </w:rPr>
        <w:t xml:space="preserve"> (publicación, coordinación, notificación y plan). El actual modelo de atribución de costes indirectos reservaba aproximadamente el 107</w:t>
      </w:r>
      <w:r w:rsidR="00A70AFA">
        <w:rPr>
          <w:lang w:val="es-ES"/>
        </w:rPr>
        <w:t> </w:t>
      </w:r>
      <w:r w:rsidRPr="00DB4FBD">
        <w:rPr>
          <w:lang w:val="es-ES"/>
        </w:rPr>
        <w:t xml:space="preserve">% de los costes generales indirectos para el total de operaciones de </w:t>
      </w:r>
      <w:proofErr w:type="spellStart"/>
      <w:r w:rsidRPr="00DB4FBD">
        <w:rPr>
          <w:lang w:val="es-ES"/>
        </w:rPr>
        <w:t>SNF</w:t>
      </w:r>
      <w:proofErr w:type="spellEnd"/>
      <w:r w:rsidRPr="00DB4FBD">
        <w:rPr>
          <w:lang w:val="es-ES"/>
        </w:rPr>
        <w:t>, lo que resulta excesivo si se compara con las normas internacionales (normalmente entre el 25</w:t>
      </w:r>
      <w:r w:rsidR="00A70AFA">
        <w:rPr>
          <w:lang w:val="es-ES"/>
        </w:rPr>
        <w:t> </w:t>
      </w:r>
      <w:r w:rsidRPr="00DB4FBD">
        <w:rPr>
          <w:lang w:val="es-ES"/>
        </w:rPr>
        <w:t>% y el 30</w:t>
      </w:r>
      <w:r w:rsidR="00A70AFA">
        <w:rPr>
          <w:lang w:val="es-ES"/>
        </w:rPr>
        <w:t> </w:t>
      </w:r>
      <w:r w:rsidRPr="00DB4FBD">
        <w:rPr>
          <w:lang w:val="es-ES"/>
        </w:rPr>
        <w:t>%).</w:t>
      </w:r>
    </w:p>
    <w:p w14:paraId="56D73253" w14:textId="5B63624A" w:rsidR="00C55BA3" w:rsidRPr="00DB4FBD" w:rsidRDefault="00C55BA3" w:rsidP="0076504A">
      <w:pPr>
        <w:jc w:val="both"/>
        <w:rPr>
          <w:rFonts w:cs="Calibri"/>
          <w:szCs w:val="24"/>
          <w:lang w:val="es-ES"/>
        </w:rPr>
      </w:pPr>
      <w:r w:rsidRPr="00DB4FBD">
        <w:rPr>
          <w:lang w:val="es-ES"/>
        </w:rPr>
        <w:t xml:space="preserve">Sobre la base de los análisis anteriores y reconociendo la necesidad de mejora, se seguirá un enfoque estructurado y detallado de atribución de costes. Este enfoque incluirá categorías y factores de costes claramente definidos, esto es, las actividades que representen con mayor precisión la utilización de los recursos en el marco de los procesos de </w:t>
      </w:r>
      <w:proofErr w:type="spellStart"/>
      <w:r w:rsidRPr="00DB4FBD">
        <w:rPr>
          <w:lang w:val="es-ES"/>
        </w:rPr>
        <w:t>SNF</w:t>
      </w:r>
      <w:proofErr w:type="spellEnd"/>
      <w:r w:rsidRPr="00DB4FBD">
        <w:rPr>
          <w:lang w:val="es-ES"/>
        </w:rPr>
        <w:t xml:space="preserve"> de conformidad con la enmienda y justificación de la atribución de costes de </w:t>
      </w:r>
      <w:proofErr w:type="spellStart"/>
      <w:r w:rsidRPr="00DB4FBD">
        <w:rPr>
          <w:lang w:val="es-ES"/>
        </w:rPr>
        <w:t>SNF</w:t>
      </w:r>
      <w:proofErr w:type="spellEnd"/>
      <w:r w:rsidRPr="00DB4FBD">
        <w:rPr>
          <w:lang w:val="es-ES"/>
        </w:rPr>
        <w:t xml:space="preserve"> basada en la Resolución</w:t>
      </w:r>
      <w:r w:rsidR="000A3ED6">
        <w:rPr>
          <w:lang w:val="es-ES"/>
        </w:rPr>
        <w:t> </w:t>
      </w:r>
      <w:r w:rsidRPr="00DB4FBD">
        <w:rPr>
          <w:lang w:val="es-ES"/>
        </w:rPr>
        <w:t>91 (Rev. Guadalajara, 2010).</w:t>
      </w:r>
    </w:p>
    <w:p w14:paraId="18B283A7" w14:textId="77777777" w:rsidR="00C55BA3" w:rsidRPr="00DB4FBD" w:rsidRDefault="00C55BA3" w:rsidP="00C55BA3">
      <w:pPr>
        <w:jc w:val="center"/>
        <w:rPr>
          <w:rFonts w:cs="Calibri"/>
          <w:b/>
          <w:bCs/>
          <w:szCs w:val="24"/>
          <w:lang w:val="es-ES"/>
        </w:rPr>
      </w:pPr>
      <w:r w:rsidRPr="00DB4FBD">
        <w:rPr>
          <w:b/>
          <w:bCs/>
          <w:lang w:val="es-ES"/>
        </w:rPr>
        <w:t>Principios clave del modelo de atribución total de los costes</w:t>
      </w:r>
    </w:p>
    <w:p w14:paraId="13716DEB" w14:textId="77777777" w:rsidR="00C55BA3" w:rsidRPr="00DB4FBD" w:rsidRDefault="00C55BA3" w:rsidP="0076504A">
      <w:pPr>
        <w:jc w:val="both"/>
        <w:rPr>
          <w:rFonts w:cs="Calibri"/>
          <w:szCs w:val="24"/>
          <w:lang w:val="es-ES"/>
        </w:rPr>
      </w:pPr>
      <w:r w:rsidRPr="00DB4FBD">
        <w:rPr>
          <w:b/>
          <w:bCs/>
          <w:lang w:val="es-ES"/>
        </w:rPr>
        <w:t>Categorías de costes:</w:t>
      </w:r>
      <w:r w:rsidRPr="00DB4FBD">
        <w:rPr>
          <w:lang w:val="es-ES"/>
        </w:rPr>
        <w:t xml:space="preserve"> </w:t>
      </w:r>
      <w:r w:rsidRPr="00DB4FBD">
        <w:rPr>
          <w:b/>
          <w:bCs/>
          <w:lang w:val="es-ES"/>
        </w:rPr>
        <w:t xml:space="preserve">La atribución total de los costes </w:t>
      </w:r>
      <w:r w:rsidRPr="00DB4FBD">
        <w:rPr>
          <w:lang w:val="es-ES"/>
        </w:rPr>
        <w:t xml:space="preserve">requiere clasificar los costes indirectos en grupos lógicos o "categorías de costes", que representan tipos similares de gastos generales. </w:t>
      </w:r>
    </w:p>
    <w:p w14:paraId="01929875" w14:textId="77777777" w:rsidR="00C55BA3" w:rsidRPr="00DB4FBD" w:rsidRDefault="00C55BA3" w:rsidP="0076504A">
      <w:pPr>
        <w:pStyle w:val="Headingb"/>
        <w:jc w:val="both"/>
        <w:rPr>
          <w:rFonts w:cs="Calibri"/>
          <w:szCs w:val="24"/>
          <w:lang w:val="es-ES"/>
        </w:rPr>
      </w:pPr>
      <w:r w:rsidRPr="00DB4FBD">
        <w:rPr>
          <w:lang w:val="es-ES"/>
        </w:rPr>
        <w:t>Costes directos</w:t>
      </w:r>
    </w:p>
    <w:p w14:paraId="6FEF69F0" w14:textId="77777777" w:rsidR="00C55BA3" w:rsidRPr="00DB4FBD" w:rsidRDefault="00C55BA3" w:rsidP="00A926E0">
      <w:pPr>
        <w:keepNext/>
        <w:jc w:val="both"/>
        <w:rPr>
          <w:rFonts w:cs="Calibri"/>
          <w:lang w:val="es-ES"/>
        </w:rPr>
      </w:pPr>
      <w:r w:rsidRPr="00DB4FBD">
        <w:rPr>
          <w:lang w:val="es-ES"/>
        </w:rPr>
        <w:t xml:space="preserve">Los costes directos explícitamente vinculados a los servicios de </w:t>
      </w:r>
      <w:proofErr w:type="spellStart"/>
      <w:r w:rsidRPr="00DB4FBD">
        <w:rPr>
          <w:lang w:val="es-ES"/>
        </w:rPr>
        <w:t>SNF</w:t>
      </w:r>
      <w:proofErr w:type="spellEnd"/>
      <w:r w:rsidRPr="00DB4FBD">
        <w:rPr>
          <w:lang w:val="es-ES"/>
        </w:rPr>
        <w:t xml:space="preserve"> (es decir, la tramitación de notificaciones de satélites, incluida la validación de la admisibilidad, el examen técnico y reglamentario para la coordinación y notificación, la gestión de los planes espaciales, la </w:t>
      </w:r>
      <w:r w:rsidRPr="00DB4FBD">
        <w:rPr>
          <w:lang w:val="es-ES"/>
        </w:rPr>
        <w:lastRenderedPageBreak/>
        <w:t>publicación de Secciones Especiales y la ayuda a las administraciones para la presentación de contribuciones) comprenden principalmente:</w:t>
      </w:r>
    </w:p>
    <w:p w14:paraId="4EC00730" w14:textId="59775F4F" w:rsidR="00C55BA3" w:rsidRPr="00DB4FBD" w:rsidRDefault="00C55BA3" w:rsidP="0076504A">
      <w:pPr>
        <w:pStyle w:val="enumlev1"/>
        <w:jc w:val="both"/>
        <w:rPr>
          <w:rFonts w:cs="Calibri"/>
          <w:szCs w:val="24"/>
          <w:lang w:val="es-ES"/>
        </w:rPr>
      </w:pPr>
      <w:r w:rsidRPr="00C55BA3">
        <w:rPr>
          <w:lang w:val="es-ES"/>
        </w:rPr>
        <w:t>•</w:t>
      </w:r>
      <w:r>
        <w:rPr>
          <w:lang w:val="es-ES"/>
        </w:rPr>
        <w:tab/>
      </w:r>
      <w:r w:rsidRPr="00DB4FBD">
        <w:rPr>
          <w:lang w:val="es-ES"/>
        </w:rPr>
        <w:t xml:space="preserve">salarios, prestaciones y gastos generales del personal de la BR asignado directamente a tareas de </w:t>
      </w:r>
      <w:proofErr w:type="spellStart"/>
      <w:r w:rsidRPr="00DB4FBD">
        <w:rPr>
          <w:lang w:val="es-ES"/>
        </w:rPr>
        <w:t>SNF</w:t>
      </w:r>
      <w:proofErr w:type="spellEnd"/>
      <w:r w:rsidRPr="00DB4FBD">
        <w:rPr>
          <w:lang w:val="es-ES"/>
        </w:rPr>
        <w:t>;</w:t>
      </w:r>
    </w:p>
    <w:p w14:paraId="37E08A24" w14:textId="2BD5EAE2" w:rsidR="00C55BA3" w:rsidRPr="00DB4FBD" w:rsidRDefault="00C55BA3" w:rsidP="0076504A">
      <w:pPr>
        <w:pStyle w:val="enumlev1"/>
        <w:jc w:val="both"/>
        <w:rPr>
          <w:rFonts w:cs="Calibri"/>
          <w:lang w:val="es-ES"/>
        </w:rPr>
      </w:pPr>
      <w:r w:rsidRPr="00C55BA3">
        <w:rPr>
          <w:lang w:val="es-ES"/>
        </w:rPr>
        <w:t>•</w:t>
      </w:r>
      <w:r>
        <w:rPr>
          <w:lang w:val="es-ES"/>
        </w:rPr>
        <w:tab/>
      </w:r>
      <w:r w:rsidRPr="00DB4FBD">
        <w:rPr>
          <w:lang w:val="es-ES"/>
        </w:rPr>
        <w:t xml:space="preserve">capacitación y desarrollo profesional exclusivos para el personal de la </w:t>
      </w:r>
      <w:proofErr w:type="spellStart"/>
      <w:r w:rsidRPr="00DB4FBD">
        <w:rPr>
          <w:lang w:val="es-ES"/>
        </w:rPr>
        <w:t>SNF</w:t>
      </w:r>
      <w:proofErr w:type="spellEnd"/>
      <w:r w:rsidRPr="00DB4FBD">
        <w:rPr>
          <w:lang w:val="es-ES"/>
        </w:rPr>
        <w:t>;</w:t>
      </w:r>
    </w:p>
    <w:p w14:paraId="3C20486B" w14:textId="6690ED15" w:rsidR="00C55BA3" w:rsidRPr="00DB4FBD" w:rsidRDefault="00C55BA3" w:rsidP="0076504A">
      <w:pPr>
        <w:pStyle w:val="enumlev1"/>
        <w:jc w:val="both"/>
        <w:rPr>
          <w:rFonts w:cs="Calibri"/>
          <w:lang w:val="es-ES"/>
        </w:rPr>
      </w:pPr>
      <w:r w:rsidRPr="00C55BA3">
        <w:rPr>
          <w:lang w:val="es-ES"/>
        </w:rPr>
        <w:t>•</w:t>
      </w:r>
      <w:r>
        <w:rPr>
          <w:lang w:val="es-ES"/>
        </w:rPr>
        <w:tab/>
      </w:r>
      <w:r w:rsidRPr="00DB4FBD">
        <w:rPr>
          <w:lang w:val="es-ES"/>
        </w:rPr>
        <w:t>recursos técnicos:</w:t>
      </w:r>
    </w:p>
    <w:p w14:paraId="3D86F355" w14:textId="3DB7B5DC" w:rsidR="00C55BA3" w:rsidRPr="00DB4FBD" w:rsidRDefault="00C55BA3" w:rsidP="0076504A">
      <w:pPr>
        <w:pStyle w:val="enumlev2"/>
        <w:jc w:val="both"/>
        <w:rPr>
          <w:rFonts w:cs="Calibri"/>
          <w:lang w:val="es-ES"/>
        </w:rPr>
      </w:pPr>
      <w:r w:rsidRPr="00C55BA3">
        <w:rPr>
          <w:lang w:val="es-ES"/>
        </w:rPr>
        <w:t>–</w:t>
      </w:r>
      <w:r>
        <w:rPr>
          <w:lang w:val="es-ES"/>
        </w:rPr>
        <w:tab/>
      </w:r>
      <w:r w:rsidRPr="00DB4FBD">
        <w:rPr>
          <w:lang w:val="es-ES"/>
        </w:rPr>
        <w:t xml:space="preserve">desarrollo, mantenimiento y actualización de sistemas de TI dedicados y licencias de </w:t>
      </w:r>
      <w:r w:rsidRPr="00DB4FBD">
        <w:rPr>
          <w:i/>
          <w:iCs/>
          <w:lang w:val="es-ES"/>
        </w:rPr>
        <w:t xml:space="preserve">software </w:t>
      </w:r>
      <w:r w:rsidRPr="00DB4FBD">
        <w:rPr>
          <w:lang w:val="es-ES"/>
        </w:rPr>
        <w:t xml:space="preserve">operativo específicas de </w:t>
      </w:r>
      <w:proofErr w:type="spellStart"/>
      <w:r w:rsidRPr="00DB4FBD">
        <w:rPr>
          <w:lang w:val="es-ES"/>
        </w:rPr>
        <w:t>SNF</w:t>
      </w:r>
      <w:proofErr w:type="spellEnd"/>
      <w:r w:rsidRPr="00DB4FBD">
        <w:rPr>
          <w:lang w:val="es-ES"/>
        </w:rPr>
        <w:t>;</w:t>
      </w:r>
    </w:p>
    <w:p w14:paraId="7D31E223" w14:textId="3C2257F2" w:rsidR="00C55BA3" w:rsidRPr="00DB4FBD" w:rsidRDefault="00C55BA3" w:rsidP="0076504A">
      <w:pPr>
        <w:pStyle w:val="enumlev2"/>
        <w:jc w:val="both"/>
        <w:rPr>
          <w:rFonts w:cs="Calibri"/>
          <w:lang w:val="es-ES"/>
        </w:rPr>
      </w:pPr>
      <w:r w:rsidRPr="00C55BA3">
        <w:rPr>
          <w:lang w:val="es-ES"/>
        </w:rPr>
        <w:t>–</w:t>
      </w:r>
      <w:r>
        <w:rPr>
          <w:lang w:val="es-ES"/>
        </w:rPr>
        <w:tab/>
      </w:r>
      <w:r w:rsidRPr="00DB4FBD">
        <w:rPr>
          <w:lang w:val="es-ES"/>
        </w:rPr>
        <w:t xml:space="preserve">costes directos de equipos (servidores, equipo informático especializado, licencias de </w:t>
      </w:r>
      <w:r w:rsidRPr="00DB4FBD">
        <w:rPr>
          <w:i/>
          <w:iCs/>
          <w:lang w:val="es-ES"/>
        </w:rPr>
        <w:t xml:space="preserve">software </w:t>
      </w:r>
      <w:proofErr w:type="spellStart"/>
      <w:r w:rsidRPr="00DB4FBD">
        <w:rPr>
          <w:lang w:val="es-ES"/>
        </w:rPr>
        <w:t>SNF</w:t>
      </w:r>
      <w:proofErr w:type="spellEnd"/>
      <w:r w:rsidRPr="00DB4FBD">
        <w:rPr>
          <w:lang w:val="es-ES"/>
        </w:rPr>
        <w:t>);</w:t>
      </w:r>
    </w:p>
    <w:p w14:paraId="7DBD45E2" w14:textId="53A32F8E" w:rsidR="00C55BA3" w:rsidRPr="00DB4FBD" w:rsidRDefault="00C55BA3" w:rsidP="0076504A">
      <w:pPr>
        <w:pStyle w:val="enumlev1"/>
        <w:jc w:val="both"/>
        <w:rPr>
          <w:rFonts w:cs="Calibri"/>
          <w:szCs w:val="24"/>
          <w:lang w:val="es-ES"/>
        </w:rPr>
      </w:pPr>
      <w:r w:rsidRPr="00C55BA3">
        <w:rPr>
          <w:lang w:val="es-ES"/>
        </w:rPr>
        <w:t>•</w:t>
      </w:r>
      <w:r>
        <w:rPr>
          <w:lang w:val="es-ES"/>
        </w:rPr>
        <w:tab/>
      </w:r>
      <w:r w:rsidRPr="00DB4FBD">
        <w:rPr>
          <w:lang w:val="es-ES"/>
        </w:rPr>
        <w:t xml:space="preserve">gastos de viaje relacionados con las reuniones de coordinación y conferencias internacionales requeridas por la </w:t>
      </w:r>
      <w:proofErr w:type="spellStart"/>
      <w:r w:rsidRPr="00DB4FBD">
        <w:rPr>
          <w:lang w:val="es-ES"/>
        </w:rPr>
        <w:t>SNF</w:t>
      </w:r>
      <w:proofErr w:type="spellEnd"/>
      <w:r w:rsidRPr="00DB4FBD">
        <w:rPr>
          <w:lang w:val="es-ES"/>
        </w:rPr>
        <w:t>.</w:t>
      </w:r>
    </w:p>
    <w:p w14:paraId="612EE1F7" w14:textId="77777777" w:rsidR="00C55BA3" w:rsidRPr="00DB4FBD" w:rsidRDefault="00C55BA3" w:rsidP="00C55BA3">
      <w:pPr>
        <w:pStyle w:val="Headingb"/>
        <w:rPr>
          <w:rFonts w:cs="Calibri"/>
          <w:szCs w:val="24"/>
          <w:lang w:val="es-ES"/>
        </w:rPr>
      </w:pPr>
      <w:r w:rsidRPr="00DB4FBD">
        <w:rPr>
          <w:lang w:val="es-ES"/>
        </w:rPr>
        <w:t>Costes indirectos</w:t>
      </w:r>
    </w:p>
    <w:p w14:paraId="5E9FAC1A" w14:textId="77777777" w:rsidR="00C55BA3" w:rsidRPr="00DB4FBD" w:rsidRDefault="00C55BA3" w:rsidP="00C55BA3">
      <w:pPr>
        <w:rPr>
          <w:rFonts w:cs="Calibri"/>
          <w:szCs w:val="24"/>
          <w:lang w:val="es-ES"/>
        </w:rPr>
      </w:pPr>
      <w:r w:rsidRPr="00DB4FBD">
        <w:rPr>
          <w:lang w:val="es-ES"/>
        </w:rPr>
        <w:t xml:space="preserve">Para las operaciones de </w:t>
      </w:r>
      <w:proofErr w:type="spellStart"/>
      <w:r w:rsidRPr="00DB4FBD">
        <w:rPr>
          <w:lang w:val="es-ES"/>
        </w:rPr>
        <w:t>SNF</w:t>
      </w:r>
      <w:proofErr w:type="spellEnd"/>
      <w:r w:rsidRPr="00DB4FBD">
        <w:rPr>
          <w:lang w:val="es-ES"/>
        </w:rPr>
        <w:t xml:space="preserve"> de la UIT, las categorías de costes indirectos recomendados son:</w:t>
      </w:r>
    </w:p>
    <w:p w14:paraId="2E9A4673" w14:textId="7181578C" w:rsidR="00C55BA3" w:rsidRPr="00DB4FBD" w:rsidRDefault="00C55BA3" w:rsidP="00C55BA3">
      <w:pPr>
        <w:pStyle w:val="enumlev1"/>
        <w:rPr>
          <w:rFonts w:cs="Calibri"/>
          <w:szCs w:val="24"/>
          <w:lang w:val="es-ES"/>
        </w:rPr>
      </w:pPr>
      <w:r w:rsidRPr="00C55BA3">
        <w:rPr>
          <w:lang w:val="es-ES"/>
        </w:rPr>
        <w:t>•</w:t>
      </w:r>
      <w:r>
        <w:rPr>
          <w:lang w:val="es-ES"/>
        </w:rPr>
        <w:tab/>
      </w:r>
      <w:r w:rsidRPr="00DB4FBD">
        <w:rPr>
          <w:lang w:val="es-ES"/>
        </w:rPr>
        <w:t>apoyo en materia de TI;</w:t>
      </w:r>
    </w:p>
    <w:p w14:paraId="6F8D7DEB" w14:textId="5D158C33" w:rsidR="00C55BA3" w:rsidRPr="00DB4FBD" w:rsidRDefault="00C55BA3" w:rsidP="00C55BA3">
      <w:pPr>
        <w:pStyle w:val="enumlev1"/>
        <w:rPr>
          <w:rFonts w:cs="Calibri"/>
          <w:szCs w:val="24"/>
          <w:lang w:val="es-ES"/>
        </w:rPr>
      </w:pPr>
      <w:r w:rsidRPr="00C55BA3">
        <w:rPr>
          <w:lang w:val="es-ES"/>
        </w:rPr>
        <w:t>•</w:t>
      </w:r>
      <w:r>
        <w:rPr>
          <w:lang w:val="es-ES"/>
        </w:rPr>
        <w:tab/>
      </w:r>
      <w:r w:rsidRPr="00DB4FBD">
        <w:rPr>
          <w:lang w:val="es-ES"/>
        </w:rPr>
        <w:t>infraestructuras y servicios públicos;</w:t>
      </w:r>
    </w:p>
    <w:p w14:paraId="22249FE7" w14:textId="4FDB4836" w:rsidR="00C55BA3" w:rsidRPr="00DB4FBD" w:rsidRDefault="00C55BA3" w:rsidP="00C55BA3">
      <w:pPr>
        <w:pStyle w:val="enumlev1"/>
        <w:rPr>
          <w:rFonts w:cs="Calibri"/>
          <w:szCs w:val="24"/>
          <w:lang w:val="es-ES"/>
        </w:rPr>
      </w:pPr>
      <w:r w:rsidRPr="00C55BA3">
        <w:rPr>
          <w:lang w:val="es-ES"/>
        </w:rPr>
        <w:t>•</w:t>
      </w:r>
      <w:r>
        <w:rPr>
          <w:lang w:val="es-ES"/>
        </w:rPr>
        <w:tab/>
      </w:r>
      <w:r w:rsidRPr="00DB4FBD">
        <w:rPr>
          <w:lang w:val="es-ES"/>
        </w:rPr>
        <w:t>servicios de recursos humanos (RR.HH.);</w:t>
      </w:r>
    </w:p>
    <w:p w14:paraId="72171A63" w14:textId="37D62FDC" w:rsidR="00C55BA3" w:rsidRPr="00DB4FBD" w:rsidRDefault="00C55BA3" w:rsidP="00C55BA3">
      <w:pPr>
        <w:pStyle w:val="enumlev1"/>
        <w:rPr>
          <w:rFonts w:cs="Calibri"/>
          <w:szCs w:val="24"/>
          <w:lang w:val="es-ES"/>
        </w:rPr>
      </w:pPr>
      <w:r w:rsidRPr="00C55BA3">
        <w:rPr>
          <w:lang w:val="es-ES"/>
        </w:rPr>
        <w:t>•</w:t>
      </w:r>
      <w:r>
        <w:rPr>
          <w:lang w:val="es-ES"/>
        </w:rPr>
        <w:tab/>
      </w:r>
      <w:r w:rsidRPr="00DB4FBD">
        <w:rPr>
          <w:lang w:val="es-ES"/>
        </w:rPr>
        <w:t>servicios financieros y jurídicos;</w:t>
      </w:r>
    </w:p>
    <w:p w14:paraId="7B5C2E04" w14:textId="65BA8E0E" w:rsidR="00C55BA3" w:rsidRPr="00DB4FBD" w:rsidRDefault="00C55BA3" w:rsidP="00C55BA3">
      <w:pPr>
        <w:pStyle w:val="enumlev1"/>
        <w:rPr>
          <w:rFonts w:cs="Calibri"/>
          <w:szCs w:val="24"/>
          <w:lang w:val="es-ES"/>
        </w:rPr>
      </w:pPr>
      <w:r w:rsidRPr="00C55BA3">
        <w:rPr>
          <w:lang w:val="es-ES"/>
        </w:rPr>
        <w:t>•</w:t>
      </w:r>
      <w:r>
        <w:rPr>
          <w:lang w:val="es-ES"/>
        </w:rPr>
        <w:tab/>
      </w:r>
      <w:r w:rsidRPr="00DB4FBD">
        <w:rPr>
          <w:lang w:val="es-ES"/>
        </w:rPr>
        <w:t>gastos generales administrativos.</w:t>
      </w:r>
    </w:p>
    <w:p w14:paraId="1A5E3895" w14:textId="5E06D667" w:rsidR="00C55BA3" w:rsidRPr="00DB4FBD" w:rsidRDefault="00C55BA3" w:rsidP="00C55BA3">
      <w:pPr>
        <w:pStyle w:val="Headingb"/>
        <w:rPr>
          <w:rFonts w:cs="Calibri"/>
          <w:szCs w:val="24"/>
          <w:lang w:val="es-ES"/>
        </w:rPr>
      </w:pPr>
      <w:r w:rsidRPr="00DB4FBD">
        <w:rPr>
          <w:lang w:val="es-ES"/>
        </w:rPr>
        <w:t>Factores de costes</w:t>
      </w:r>
    </w:p>
    <w:p w14:paraId="2BAD599D" w14:textId="77777777" w:rsidR="00C55BA3" w:rsidRPr="00DB4FBD" w:rsidRDefault="00C55BA3" w:rsidP="0076504A">
      <w:pPr>
        <w:jc w:val="both"/>
        <w:rPr>
          <w:rFonts w:cs="Calibri"/>
          <w:szCs w:val="24"/>
          <w:lang w:val="es-ES"/>
        </w:rPr>
      </w:pPr>
      <w:r w:rsidRPr="00DB4FBD">
        <w:rPr>
          <w:lang w:val="es-ES"/>
        </w:rPr>
        <w:t xml:space="preserve">Los factores de costes son métricas que reflejan hasta qué punto las actividades de </w:t>
      </w:r>
      <w:proofErr w:type="spellStart"/>
      <w:r w:rsidRPr="00DB4FBD">
        <w:rPr>
          <w:lang w:val="es-ES"/>
        </w:rPr>
        <w:t>SNF</w:t>
      </w:r>
      <w:proofErr w:type="spellEnd"/>
      <w:r w:rsidRPr="00DB4FBD">
        <w:rPr>
          <w:lang w:val="es-ES"/>
        </w:rPr>
        <w:t xml:space="preserve"> utilizan cada categoría de costes indirectos. Se propondrán los siguientes factores:</w:t>
      </w:r>
    </w:p>
    <w:p w14:paraId="34539954" w14:textId="03CCC84B" w:rsidR="00C55BA3" w:rsidRPr="00DB4FBD" w:rsidRDefault="00C55BA3" w:rsidP="0076504A">
      <w:pPr>
        <w:pStyle w:val="enumlev1"/>
        <w:jc w:val="both"/>
        <w:rPr>
          <w:rFonts w:cs="Calibri"/>
          <w:szCs w:val="24"/>
          <w:lang w:val="es-ES"/>
        </w:rPr>
      </w:pPr>
      <w:r w:rsidRPr="00C55BA3">
        <w:rPr>
          <w:b/>
          <w:bCs/>
          <w:lang w:val="es-ES"/>
        </w:rPr>
        <w:t>•</w:t>
      </w:r>
      <w:r>
        <w:rPr>
          <w:b/>
          <w:bCs/>
          <w:lang w:val="es-ES"/>
        </w:rPr>
        <w:tab/>
      </w:r>
      <w:r w:rsidRPr="00DB4FBD">
        <w:rPr>
          <w:b/>
          <w:bCs/>
          <w:lang w:val="es-ES"/>
        </w:rPr>
        <w:t>apoyo en materia de TI</w:t>
      </w:r>
      <w:r w:rsidRPr="00DB4FBD">
        <w:rPr>
          <w:lang w:val="es-ES"/>
        </w:rPr>
        <w:t xml:space="preserve">: número de solicitudes de TI, uso del sistema, volumen de almacenamiento específico para las operaciones de </w:t>
      </w:r>
      <w:proofErr w:type="spellStart"/>
      <w:r w:rsidRPr="00DB4FBD">
        <w:rPr>
          <w:lang w:val="es-ES"/>
        </w:rPr>
        <w:t>SNF</w:t>
      </w:r>
      <w:proofErr w:type="spellEnd"/>
      <w:r w:rsidRPr="00DB4FBD">
        <w:rPr>
          <w:lang w:val="es-ES"/>
        </w:rPr>
        <w:t>;</w:t>
      </w:r>
    </w:p>
    <w:p w14:paraId="062DF553" w14:textId="77967A1D" w:rsidR="00C55BA3" w:rsidRPr="00DB4FBD" w:rsidRDefault="00C55BA3" w:rsidP="0076504A">
      <w:pPr>
        <w:pStyle w:val="enumlev1"/>
        <w:jc w:val="both"/>
        <w:rPr>
          <w:rFonts w:cs="Calibri"/>
          <w:szCs w:val="24"/>
          <w:lang w:val="es-ES"/>
        </w:rPr>
      </w:pPr>
      <w:r w:rsidRPr="00C55BA3">
        <w:rPr>
          <w:b/>
          <w:bCs/>
          <w:lang w:val="es-ES"/>
        </w:rPr>
        <w:t>•</w:t>
      </w:r>
      <w:r>
        <w:rPr>
          <w:b/>
          <w:bCs/>
          <w:lang w:val="es-ES"/>
        </w:rPr>
        <w:tab/>
      </w:r>
      <w:r w:rsidRPr="00DB4FBD">
        <w:rPr>
          <w:b/>
          <w:bCs/>
          <w:lang w:val="es-ES"/>
        </w:rPr>
        <w:t xml:space="preserve">infraestructuras y servicios públicos: </w:t>
      </w:r>
      <w:r w:rsidRPr="00DB4FBD">
        <w:rPr>
          <w:lang w:val="es-ES"/>
        </w:rPr>
        <w:t>espacio de oficina ocupado o empleados equivalentes a tiempo completo (</w:t>
      </w:r>
      <w:proofErr w:type="spellStart"/>
      <w:r w:rsidRPr="00DB4FBD">
        <w:rPr>
          <w:lang w:val="es-ES"/>
        </w:rPr>
        <w:t>FTE</w:t>
      </w:r>
      <w:proofErr w:type="spellEnd"/>
      <w:r w:rsidRPr="00DB4FBD">
        <w:rPr>
          <w:lang w:val="es-ES"/>
        </w:rPr>
        <w:t xml:space="preserve">) que participan en tareas de </w:t>
      </w:r>
      <w:proofErr w:type="spellStart"/>
      <w:r w:rsidRPr="00DB4FBD">
        <w:rPr>
          <w:lang w:val="es-ES"/>
        </w:rPr>
        <w:t>SNF</w:t>
      </w:r>
      <w:proofErr w:type="spellEnd"/>
      <w:r w:rsidRPr="00DB4FBD">
        <w:rPr>
          <w:lang w:val="es-ES"/>
        </w:rPr>
        <w:t>;</w:t>
      </w:r>
    </w:p>
    <w:p w14:paraId="2C292168" w14:textId="540E29E2" w:rsidR="00C55BA3" w:rsidRPr="00DB4FBD" w:rsidRDefault="00C55BA3" w:rsidP="0076504A">
      <w:pPr>
        <w:pStyle w:val="enumlev1"/>
        <w:jc w:val="both"/>
        <w:rPr>
          <w:rFonts w:cs="Calibri"/>
          <w:szCs w:val="24"/>
          <w:lang w:val="es-ES"/>
        </w:rPr>
      </w:pPr>
      <w:r w:rsidRPr="00C55BA3">
        <w:rPr>
          <w:b/>
          <w:bCs/>
          <w:lang w:val="es-ES"/>
        </w:rPr>
        <w:t>•</w:t>
      </w:r>
      <w:r>
        <w:rPr>
          <w:b/>
          <w:bCs/>
          <w:lang w:val="es-ES"/>
        </w:rPr>
        <w:tab/>
      </w:r>
      <w:r w:rsidRPr="00DB4FBD">
        <w:rPr>
          <w:b/>
          <w:bCs/>
          <w:lang w:val="es-ES"/>
        </w:rPr>
        <w:t xml:space="preserve">recursos humanos: </w:t>
      </w:r>
      <w:r w:rsidRPr="00DB4FBD">
        <w:rPr>
          <w:lang w:val="es-ES"/>
        </w:rPr>
        <w:t xml:space="preserve">número de empleados dedicados a la </w:t>
      </w:r>
      <w:proofErr w:type="spellStart"/>
      <w:r w:rsidRPr="00DB4FBD">
        <w:rPr>
          <w:lang w:val="es-ES"/>
        </w:rPr>
        <w:t>SNF</w:t>
      </w:r>
      <w:proofErr w:type="spellEnd"/>
      <w:r w:rsidRPr="00DB4FBD">
        <w:rPr>
          <w:lang w:val="es-ES"/>
        </w:rPr>
        <w:t xml:space="preserve"> o transacciones específicas de RR.HH. de interés para la </w:t>
      </w:r>
      <w:proofErr w:type="spellStart"/>
      <w:r w:rsidRPr="00DB4FBD">
        <w:rPr>
          <w:lang w:val="es-ES"/>
        </w:rPr>
        <w:t>SNF</w:t>
      </w:r>
      <w:proofErr w:type="spellEnd"/>
      <w:r w:rsidRPr="00DB4FBD">
        <w:rPr>
          <w:lang w:val="es-ES"/>
        </w:rPr>
        <w:t>;</w:t>
      </w:r>
    </w:p>
    <w:p w14:paraId="40F36BB9" w14:textId="3D3A0FD9" w:rsidR="00C55BA3" w:rsidRPr="00DB4FBD" w:rsidRDefault="00C55BA3" w:rsidP="0076504A">
      <w:pPr>
        <w:pStyle w:val="enumlev1"/>
        <w:jc w:val="both"/>
        <w:rPr>
          <w:rFonts w:cs="Calibri"/>
          <w:szCs w:val="24"/>
          <w:lang w:val="es-ES"/>
        </w:rPr>
      </w:pPr>
      <w:r w:rsidRPr="00C55BA3">
        <w:rPr>
          <w:b/>
          <w:bCs/>
          <w:lang w:val="es-ES"/>
        </w:rPr>
        <w:t>•</w:t>
      </w:r>
      <w:r>
        <w:rPr>
          <w:b/>
          <w:bCs/>
          <w:lang w:val="es-ES"/>
        </w:rPr>
        <w:tab/>
      </w:r>
      <w:r w:rsidRPr="00DB4FBD">
        <w:rPr>
          <w:b/>
          <w:bCs/>
          <w:lang w:val="es-ES"/>
        </w:rPr>
        <w:t>servicios financieros y jurídicos:</w:t>
      </w:r>
      <w:r w:rsidRPr="00DB4FBD">
        <w:rPr>
          <w:lang w:val="es-ES"/>
        </w:rPr>
        <w:t xml:space="preserve"> volumen y complejidad de las transacciones relacionadas con la </w:t>
      </w:r>
      <w:proofErr w:type="spellStart"/>
      <w:r w:rsidRPr="00DB4FBD">
        <w:rPr>
          <w:lang w:val="es-ES"/>
        </w:rPr>
        <w:t>SNF</w:t>
      </w:r>
      <w:proofErr w:type="spellEnd"/>
      <w:r w:rsidRPr="00DB4FBD">
        <w:rPr>
          <w:lang w:val="es-ES"/>
        </w:rPr>
        <w:t xml:space="preserve"> que exigen la presentación de información sobre supervisión, sistemas, procesamiento y situación financiera;</w:t>
      </w:r>
    </w:p>
    <w:p w14:paraId="212D4B08" w14:textId="05D82B1D" w:rsidR="00F92BED" w:rsidRDefault="00C55BA3" w:rsidP="0076504A">
      <w:pPr>
        <w:pStyle w:val="enumlev1"/>
        <w:jc w:val="both"/>
        <w:rPr>
          <w:lang w:val="es-ES"/>
        </w:rPr>
      </w:pPr>
      <w:r w:rsidRPr="00C55BA3">
        <w:rPr>
          <w:b/>
          <w:bCs/>
          <w:lang w:val="es-ES"/>
        </w:rPr>
        <w:t>•</w:t>
      </w:r>
      <w:r>
        <w:rPr>
          <w:b/>
          <w:bCs/>
          <w:lang w:val="es-ES"/>
        </w:rPr>
        <w:tab/>
      </w:r>
      <w:r w:rsidRPr="00DB4FBD">
        <w:rPr>
          <w:b/>
          <w:bCs/>
          <w:lang w:val="es-ES"/>
        </w:rPr>
        <w:t xml:space="preserve">gastos generales administrativos: </w:t>
      </w:r>
      <w:r w:rsidRPr="00DB4FBD">
        <w:rPr>
          <w:lang w:val="es-ES"/>
        </w:rPr>
        <w:t xml:space="preserve">horas de soporte administrativo, volumen de actividad de compras y contrataciones y gestión de políticas relacionadas con la </w:t>
      </w:r>
      <w:proofErr w:type="spellStart"/>
      <w:r w:rsidRPr="00DB4FBD">
        <w:rPr>
          <w:lang w:val="es-ES"/>
        </w:rPr>
        <w:t>SNF</w:t>
      </w:r>
      <w:proofErr w:type="spellEnd"/>
      <w:r w:rsidRPr="00DB4FBD">
        <w:rPr>
          <w:lang w:val="es-ES"/>
        </w:rPr>
        <w:t>.</w:t>
      </w:r>
    </w:p>
    <w:p w14:paraId="359706B6" w14:textId="77777777" w:rsidR="0076504A" w:rsidRDefault="0076504A" w:rsidP="0076504A">
      <w:pPr>
        <w:pStyle w:val="enumlev1"/>
        <w:jc w:val="both"/>
      </w:pPr>
    </w:p>
    <w:p w14:paraId="7576A184" w14:textId="77777777" w:rsidR="00F92BED" w:rsidRPr="00F92BED" w:rsidRDefault="00F92BED" w:rsidP="00F92BED">
      <w:pPr>
        <w:jc w:val="center"/>
      </w:pPr>
      <w:r>
        <w:t>______________</w:t>
      </w:r>
    </w:p>
    <w:sectPr w:rsidR="00F92BED" w:rsidRPr="00F92BED" w:rsidSect="00C538FC">
      <w:footerReference w:type="default" r:id="rId10"/>
      <w:headerReference w:type="first" r:id="rId11"/>
      <w:footerReference w:type="first" r:id="rId12"/>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BE973" w14:textId="77777777" w:rsidR="00C55BA3" w:rsidRDefault="00C55BA3">
      <w:r>
        <w:separator/>
      </w:r>
    </w:p>
  </w:endnote>
  <w:endnote w:type="continuationSeparator" w:id="0">
    <w:p w14:paraId="247DE6A7" w14:textId="77777777" w:rsidR="00C55BA3" w:rsidRDefault="00C55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107E6F34" w14:textId="77777777" w:rsidTr="00E31DCE">
      <w:trPr>
        <w:jc w:val="center"/>
      </w:trPr>
      <w:tc>
        <w:tcPr>
          <w:tcW w:w="1803" w:type="dxa"/>
          <w:vAlign w:val="center"/>
        </w:tcPr>
        <w:p w14:paraId="1EF9999C" w14:textId="5BF2FD52" w:rsidR="003273A4" w:rsidRDefault="002946E2" w:rsidP="003273A4">
          <w:pPr>
            <w:pStyle w:val="Header"/>
            <w:jc w:val="left"/>
            <w:rPr>
              <w:noProof/>
            </w:rPr>
          </w:pPr>
          <w:r>
            <w:rPr>
              <w:noProof/>
            </w:rPr>
            <w:t xml:space="preserve">gDoc </w:t>
          </w:r>
          <w:r w:rsidR="00C55BA3">
            <w:rPr>
              <w:lang w:val="es-ES"/>
            </w:rPr>
            <w:t>2501084</w:t>
          </w:r>
        </w:p>
      </w:tc>
      <w:tc>
        <w:tcPr>
          <w:tcW w:w="8261" w:type="dxa"/>
        </w:tcPr>
        <w:p w14:paraId="6886A540" w14:textId="5FC4EDAD"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BB6FD8">
            <w:rPr>
              <w:bCs/>
            </w:rPr>
            <w:t>5</w:t>
          </w:r>
          <w:proofErr w:type="spellEnd"/>
          <w:r w:rsidRPr="00623AE3">
            <w:rPr>
              <w:bCs/>
            </w:rPr>
            <w:t>/</w:t>
          </w:r>
          <w:r w:rsidR="00C55BA3">
            <w:rPr>
              <w:bCs/>
            </w:rPr>
            <w:t>64</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5D7CE765"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1C445AEB" w14:textId="77777777" w:rsidTr="00E31DCE">
      <w:trPr>
        <w:jc w:val="center"/>
      </w:trPr>
      <w:tc>
        <w:tcPr>
          <w:tcW w:w="1803" w:type="dxa"/>
          <w:vAlign w:val="center"/>
        </w:tcPr>
        <w:p w14:paraId="69133D45" w14:textId="77777777" w:rsidR="00F24B71" w:rsidRPr="002946E2" w:rsidRDefault="002946E2" w:rsidP="00F24B71">
          <w:pPr>
            <w:pStyle w:val="Header"/>
            <w:jc w:val="left"/>
            <w:rPr>
              <w:noProof/>
            </w:rPr>
          </w:pPr>
          <w:hyperlink r:id="rId1" w:history="1">
            <w:r w:rsidRPr="002946E2">
              <w:rPr>
                <w:rStyle w:val="Hyperlink"/>
                <w:noProof/>
                <w:color w:val="4F81BD" w:themeColor="accent1"/>
                <w:u w:val="none"/>
              </w:rPr>
              <w:t>council.itu.int/2025</w:t>
            </w:r>
          </w:hyperlink>
          <w:r w:rsidRPr="002946E2">
            <w:rPr>
              <w:noProof/>
            </w:rPr>
            <w:t xml:space="preserve"> </w:t>
          </w:r>
        </w:p>
      </w:tc>
      <w:tc>
        <w:tcPr>
          <w:tcW w:w="8261" w:type="dxa"/>
        </w:tcPr>
        <w:p w14:paraId="22226333" w14:textId="500F47F9"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BB6FD8">
            <w:rPr>
              <w:bCs/>
            </w:rPr>
            <w:t>5</w:t>
          </w:r>
          <w:proofErr w:type="spellEnd"/>
          <w:r w:rsidRPr="00623AE3">
            <w:rPr>
              <w:bCs/>
            </w:rPr>
            <w:t>/</w:t>
          </w:r>
          <w:r w:rsidR="00C55BA3">
            <w:rPr>
              <w:bCs/>
            </w:rPr>
            <w:t>64</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0560B67A"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F3199" w14:textId="77777777" w:rsidR="00C55BA3" w:rsidRDefault="00C55BA3">
      <w:r>
        <w:t>____________________</w:t>
      </w:r>
    </w:p>
  </w:footnote>
  <w:footnote w:type="continuationSeparator" w:id="0">
    <w:p w14:paraId="32842B8F" w14:textId="77777777" w:rsidR="00C55BA3" w:rsidRDefault="00C55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666D09" w:rsidRPr="00784011" w14:paraId="72EF64EC" w14:textId="77777777" w:rsidTr="00666D09">
      <w:trPr>
        <w:trHeight w:val="1104"/>
        <w:jc w:val="center"/>
      </w:trPr>
      <w:tc>
        <w:tcPr>
          <w:tcW w:w="5998" w:type="dxa"/>
          <w:vAlign w:val="center"/>
        </w:tcPr>
        <w:p w14:paraId="1366F189" w14:textId="77777777" w:rsidR="00666D09" w:rsidRDefault="00666D09" w:rsidP="001559F5">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4667F92F" wp14:editId="1DCF6335">
                <wp:extent cx="3672000" cy="612867"/>
                <wp:effectExtent l="0" t="0" r="0" b="0"/>
                <wp:docPr id="1200703869"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703869" name="Picture 1"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72000" cy="612867"/>
                        </a:xfrm>
                        <a:prstGeom prst="rect">
                          <a:avLst/>
                        </a:prstGeom>
                      </pic:spPr>
                    </pic:pic>
                  </a:graphicData>
                </a:graphic>
              </wp:inline>
            </w:drawing>
          </w:r>
        </w:p>
      </w:tc>
      <w:tc>
        <w:tcPr>
          <w:tcW w:w="4022" w:type="dxa"/>
        </w:tcPr>
        <w:p w14:paraId="6F4CDE0C" w14:textId="77777777" w:rsidR="00666D09" w:rsidRDefault="00666D09" w:rsidP="001559F5">
          <w:pPr>
            <w:pStyle w:val="Header"/>
            <w:jc w:val="right"/>
            <w:rPr>
              <w:rFonts w:ascii="Arial" w:hAnsi="Arial" w:cs="Arial"/>
              <w:b/>
              <w:bCs/>
              <w:color w:val="009CD6"/>
              <w:szCs w:val="18"/>
            </w:rPr>
          </w:pPr>
        </w:p>
      </w:tc>
    </w:tr>
  </w:tbl>
  <w:p w14:paraId="64FFA798" w14:textId="77777777" w:rsidR="001559F5" w:rsidRDefault="001559F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381DA7A5" wp14:editId="64B5320A">
              <wp:simplePos x="0" y="0"/>
              <wp:positionH relativeFrom="page">
                <wp:posOffset>13005</wp:posOffset>
              </wp:positionH>
              <wp:positionV relativeFrom="topMargin">
                <wp:posOffset>659765</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2B204" id="Rectangle 5" o:spid="_x0000_s1026" style="position:absolute;margin-left:1pt;margin-top:51.9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558C"/>
    <w:multiLevelType w:val="hybridMultilevel"/>
    <w:tmpl w:val="235AB0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2F45BA"/>
    <w:multiLevelType w:val="hybridMultilevel"/>
    <w:tmpl w:val="75162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A22C29"/>
    <w:multiLevelType w:val="hybridMultilevel"/>
    <w:tmpl w:val="9B1C0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9B1A45"/>
    <w:multiLevelType w:val="multilevel"/>
    <w:tmpl w:val="9620F564"/>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704511"/>
    <w:multiLevelType w:val="multilevel"/>
    <w:tmpl w:val="7E4A6038"/>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05697A"/>
    <w:multiLevelType w:val="multilevel"/>
    <w:tmpl w:val="C72EBF6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646652"/>
    <w:multiLevelType w:val="multilevel"/>
    <w:tmpl w:val="57F001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21509E"/>
    <w:multiLevelType w:val="multilevel"/>
    <w:tmpl w:val="D18C82E0"/>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78C0D10"/>
    <w:multiLevelType w:val="hybridMultilevel"/>
    <w:tmpl w:val="A7EED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665667">
    <w:abstractNumId w:val="5"/>
  </w:num>
  <w:num w:numId="2" w16cid:durableId="328798403">
    <w:abstractNumId w:val="4"/>
  </w:num>
  <w:num w:numId="3" w16cid:durableId="695930416">
    <w:abstractNumId w:val="3"/>
  </w:num>
  <w:num w:numId="4" w16cid:durableId="179587135">
    <w:abstractNumId w:val="6"/>
  </w:num>
  <w:num w:numId="5" w16cid:durableId="1637106458">
    <w:abstractNumId w:val="8"/>
  </w:num>
  <w:num w:numId="6" w16cid:durableId="1838765446">
    <w:abstractNumId w:val="1"/>
  </w:num>
  <w:num w:numId="7" w16cid:durableId="1308170425">
    <w:abstractNumId w:val="2"/>
  </w:num>
  <w:num w:numId="8" w16cid:durableId="597635481">
    <w:abstractNumId w:val="0"/>
  </w:num>
  <w:num w:numId="9" w16cid:durableId="322673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BA3"/>
    <w:rsid w:val="000007D1"/>
    <w:rsid w:val="0006007D"/>
    <w:rsid w:val="00093EEB"/>
    <w:rsid w:val="000A3ED6"/>
    <w:rsid w:val="000B0D00"/>
    <w:rsid w:val="000B7C15"/>
    <w:rsid w:val="000D1D0F"/>
    <w:rsid w:val="000E3F07"/>
    <w:rsid w:val="000F5290"/>
    <w:rsid w:val="0010165C"/>
    <w:rsid w:val="00146BFB"/>
    <w:rsid w:val="001559F5"/>
    <w:rsid w:val="00157AC4"/>
    <w:rsid w:val="0016169C"/>
    <w:rsid w:val="001B6E2B"/>
    <w:rsid w:val="001E1C47"/>
    <w:rsid w:val="001F14A2"/>
    <w:rsid w:val="002801AA"/>
    <w:rsid w:val="002946E2"/>
    <w:rsid w:val="002C3F32"/>
    <w:rsid w:val="002C4676"/>
    <w:rsid w:val="002C70B0"/>
    <w:rsid w:val="002F3CC4"/>
    <w:rsid w:val="003032E2"/>
    <w:rsid w:val="0031300A"/>
    <w:rsid w:val="003273A4"/>
    <w:rsid w:val="0034796E"/>
    <w:rsid w:val="00473962"/>
    <w:rsid w:val="004B5D49"/>
    <w:rsid w:val="004D3A3C"/>
    <w:rsid w:val="00513630"/>
    <w:rsid w:val="00560125"/>
    <w:rsid w:val="005606B8"/>
    <w:rsid w:val="00585553"/>
    <w:rsid w:val="005B34D9"/>
    <w:rsid w:val="005D0CCF"/>
    <w:rsid w:val="005F3BCB"/>
    <w:rsid w:val="005F410F"/>
    <w:rsid w:val="0060149A"/>
    <w:rsid w:val="00601924"/>
    <w:rsid w:val="006447EA"/>
    <w:rsid w:val="0064481D"/>
    <w:rsid w:val="0064731F"/>
    <w:rsid w:val="00664572"/>
    <w:rsid w:val="00666D09"/>
    <w:rsid w:val="006710F6"/>
    <w:rsid w:val="00677A97"/>
    <w:rsid w:val="006C1B56"/>
    <w:rsid w:val="006D4761"/>
    <w:rsid w:val="00726872"/>
    <w:rsid w:val="00760F1C"/>
    <w:rsid w:val="0076504A"/>
    <w:rsid w:val="007657F0"/>
    <w:rsid w:val="0077110E"/>
    <w:rsid w:val="0077252D"/>
    <w:rsid w:val="007955DA"/>
    <w:rsid w:val="007E5DD3"/>
    <w:rsid w:val="007F2F3E"/>
    <w:rsid w:val="007F350B"/>
    <w:rsid w:val="00820BE4"/>
    <w:rsid w:val="008451E8"/>
    <w:rsid w:val="008D6143"/>
    <w:rsid w:val="008F6ABC"/>
    <w:rsid w:val="00913B9C"/>
    <w:rsid w:val="00927F93"/>
    <w:rsid w:val="00956E77"/>
    <w:rsid w:val="00966CEE"/>
    <w:rsid w:val="009A338E"/>
    <w:rsid w:val="009F4811"/>
    <w:rsid w:val="00A70AFA"/>
    <w:rsid w:val="00A926E0"/>
    <w:rsid w:val="00A94438"/>
    <w:rsid w:val="00AA390C"/>
    <w:rsid w:val="00B0200A"/>
    <w:rsid w:val="00B060DF"/>
    <w:rsid w:val="00B26704"/>
    <w:rsid w:val="00B574DB"/>
    <w:rsid w:val="00B826C2"/>
    <w:rsid w:val="00B8298E"/>
    <w:rsid w:val="00BB6FD8"/>
    <w:rsid w:val="00BD0723"/>
    <w:rsid w:val="00BD2518"/>
    <w:rsid w:val="00BF1D1C"/>
    <w:rsid w:val="00C20C59"/>
    <w:rsid w:val="00C2727F"/>
    <w:rsid w:val="00C538FC"/>
    <w:rsid w:val="00C55B1F"/>
    <w:rsid w:val="00C55BA3"/>
    <w:rsid w:val="00C95E1A"/>
    <w:rsid w:val="00CF1A67"/>
    <w:rsid w:val="00CF7FF5"/>
    <w:rsid w:val="00D2750E"/>
    <w:rsid w:val="00D375E0"/>
    <w:rsid w:val="00D50A36"/>
    <w:rsid w:val="00D62446"/>
    <w:rsid w:val="00D76DE3"/>
    <w:rsid w:val="00DA4EA2"/>
    <w:rsid w:val="00DC3D3E"/>
    <w:rsid w:val="00DE2C90"/>
    <w:rsid w:val="00DE3B24"/>
    <w:rsid w:val="00E06947"/>
    <w:rsid w:val="00E11319"/>
    <w:rsid w:val="00E11FC2"/>
    <w:rsid w:val="00E21444"/>
    <w:rsid w:val="00E34072"/>
    <w:rsid w:val="00E3592D"/>
    <w:rsid w:val="00E44F43"/>
    <w:rsid w:val="00E50D76"/>
    <w:rsid w:val="00E8018B"/>
    <w:rsid w:val="00E92DE8"/>
    <w:rsid w:val="00EB1212"/>
    <w:rsid w:val="00ED65AB"/>
    <w:rsid w:val="00F12850"/>
    <w:rsid w:val="00F24B71"/>
    <w:rsid w:val="00F33BF4"/>
    <w:rsid w:val="00F7105E"/>
    <w:rsid w:val="00F75F57"/>
    <w:rsid w:val="00F82FEE"/>
    <w:rsid w:val="00F86BA9"/>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22E7E"/>
  <w15:docId w15:val="{FD0C5C8A-DF3D-42D5-9F51-A0CDC98F5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2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qFormat/>
    <w:rsid w:val="000B0D00"/>
    <w:pPr>
      <w:spacing w:before="720"/>
      <w:jc w:val="center"/>
    </w:pPr>
    <w:rPr>
      <w:caps/>
      <w:sz w:val="28"/>
    </w:rPr>
  </w:style>
  <w:style w:type="paragraph" w:customStyle="1" w:styleId="Annextitle">
    <w:name w:val="Annex_title"/>
    <w:basedOn w:val="Normal"/>
    <w:next w:val="Normal"/>
    <w:qFormat/>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76504A"/>
    <w:rPr>
      <w:color w:val="0070C0"/>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Title1"/>
    <w:qFormat/>
    <w:rsid w:val="00F92BED"/>
    <w:pPr>
      <w:framePr w:hSpace="181" w:wrap="around" w:vAnchor="page" w:hAnchor="page" w:x="1821" w:y="2314"/>
      <w:spacing w:before="120" w:after="160"/>
      <w:jc w:val="left"/>
    </w:pPr>
    <w:rPr>
      <w:rFonts w:cstheme="minorHAnsi"/>
      <w:caps w:val="0"/>
      <w:sz w:val="32"/>
      <w:szCs w:val="32"/>
    </w:rPr>
  </w:style>
  <w:style w:type="character" w:customStyle="1" w:styleId="HeaderChar">
    <w:name w:val="Header Char"/>
    <w:basedOn w:val="DefaultParagraphFont"/>
    <w:link w:val="Header"/>
    <w:uiPriority w:val="99"/>
    <w:rsid w:val="001559F5"/>
    <w:rPr>
      <w:rFonts w:ascii="Calibri" w:hAnsi="Calibri"/>
      <w:sz w:val="18"/>
      <w:lang w:val="es-ES_tradnl" w:eastAsia="en-US"/>
    </w:rPr>
  </w:style>
  <w:style w:type="table" w:styleId="TableGrid">
    <w:name w:val="Table Grid"/>
    <w:basedOn w:val="TableNormal"/>
    <w:uiPriority w:val="39"/>
    <w:rsid w:val="001559F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B6FD8"/>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styleId="ListParagraph">
    <w:name w:val="List Paragraph"/>
    <w:basedOn w:val="Normal"/>
    <w:uiPriority w:val="34"/>
    <w:qFormat/>
    <w:rsid w:val="00C55BA3"/>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HAnsi" w:hAnsiTheme="minorHAnsi" w:cstheme="minorBidi"/>
      <w:kern w:val="2"/>
      <w:sz w:val="22"/>
      <w:szCs w:val="22"/>
      <w:lang w:val="en-GB"/>
      <w14:ligatures w14:val="standardContextual"/>
    </w:rPr>
  </w:style>
  <w:style w:type="paragraph" w:styleId="CommentText">
    <w:name w:val="annotation text"/>
    <w:basedOn w:val="Normal"/>
    <w:link w:val="CommentTextChar"/>
    <w:uiPriority w:val="99"/>
    <w:unhideWhenUsed/>
    <w:rsid w:val="00C55BA3"/>
    <w:pPr>
      <w:tabs>
        <w:tab w:val="clear" w:pos="567"/>
        <w:tab w:val="clear" w:pos="1134"/>
        <w:tab w:val="clear" w:pos="1701"/>
        <w:tab w:val="clear" w:pos="2268"/>
        <w:tab w:val="clear" w:pos="2835"/>
      </w:tabs>
      <w:overflowPunct/>
      <w:autoSpaceDE/>
      <w:autoSpaceDN/>
      <w:adjustRightInd/>
      <w:spacing w:before="0" w:after="160"/>
      <w:textAlignment w:val="auto"/>
    </w:pPr>
    <w:rPr>
      <w:rFonts w:asciiTheme="minorHAnsi" w:eastAsiaTheme="minorHAnsi" w:hAnsiTheme="minorHAnsi" w:cstheme="minorBidi"/>
      <w:kern w:val="2"/>
      <w:sz w:val="20"/>
      <w:lang w:val="en-GB"/>
      <w14:ligatures w14:val="standardContextual"/>
    </w:rPr>
  </w:style>
  <w:style w:type="character" w:customStyle="1" w:styleId="CommentTextChar">
    <w:name w:val="Comment Text Char"/>
    <w:basedOn w:val="DefaultParagraphFont"/>
    <w:link w:val="CommentText"/>
    <w:uiPriority w:val="99"/>
    <w:rsid w:val="00C55BA3"/>
    <w:rPr>
      <w:rFonts w:asciiTheme="minorHAnsi" w:eastAsiaTheme="minorHAnsi" w:hAnsiTheme="minorHAnsi" w:cstheme="minorBidi"/>
      <w:kern w:val="2"/>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091-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tu.int/md/S25-CL-C-0010/e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tu.int/md/S14-CL-C-0102/en"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ala\AppData\Roaming\Microsoft\Templates\POOL%20S%20-%20ITU\GS\PS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PS_Council25.dotx</Template>
  <TotalTime>1</TotalTime>
  <Pages>7</Pages>
  <Words>2562</Words>
  <Characters>13688</Characters>
  <Application>Microsoft Office Word</Application>
  <DocSecurity>0</DocSecurity>
  <Lines>241</Lines>
  <Paragraphs>92</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16193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Metodología propuesta para el cálculo de la recuperación de costes de SNF</dc:title>
  <dc:subject>Consejo 2025 de la UIT</dc:subject>
  <cp:keywords>C2025, C25, Council-25</cp:keywords>
  <dc:description/>
  <cp:lastPrinted>2006-03-24T09:51:00Z</cp:lastPrinted>
  <dcterms:created xsi:type="dcterms:W3CDTF">2025-05-26T12:30:00Z</dcterms:created>
  <dcterms:modified xsi:type="dcterms:W3CDTF">2025-05-26T12:30:00Z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