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813E5E" w14:paraId="775DC796" w14:textId="77777777" w:rsidTr="00DA770A">
        <w:trPr>
          <w:cantSplit/>
          <w:trHeight w:val="23"/>
        </w:trPr>
        <w:tc>
          <w:tcPr>
            <w:tcW w:w="3969" w:type="dxa"/>
            <w:vMerge w:val="restart"/>
            <w:tcMar>
              <w:left w:w="0" w:type="dxa"/>
            </w:tcMar>
          </w:tcPr>
          <w:p w14:paraId="202FBDFA" w14:textId="39D7BA10" w:rsidR="00796BD3" w:rsidRPr="00E85629" w:rsidRDefault="0033025A" w:rsidP="00DA770A">
            <w:pPr>
              <w:tabs>
                <w:tab w:val="clear" w:pos="1588"/>
                <w:tab w:val="clear" w:pos="1985"/>
                <w:tab w:val="left" w:pos="851"/>
                <w:tab w:val="center" w:pos="1930"/>
              </w:tabs>
              <w:spacing w:before="0" w:line="240" w:lineRule="atLeast"/>
              <w:rPr>
                <w:b/>
              </w:rPr>
            </w:pPr>
            <w:bookmarkStart w:id="0" w:name="dmeeting" w:colFirst="0" w:colLast="0"/>
            <w:bookmarkStart w:id="1" w:name="dnum" w:colFirst="1" w:colLast="1"/>
            <w:bookmarkStart w:id="2" w:name="_Hlk133421839"/>
            <w:r w:rsidRPr="0033025A">
              <w:rPr>
                <w:b/>
              </w:rPr>
              <w:t>Пункт повестки дня:</w:t>
            </w:r>
            <w:r w:rsidR="007F2A5C">
              <w:rPr>
                <w:b/>
              </w:rPr>
              <w:t xml:space="preserve"> ADM 1</w:t>
            </w:r>
          </w:p>
        </w:tc>
        <w:tc>
          <w:tcPr>
            <w:tcW w:w="5245" w:type="dxa"/>
          </w:tcPr>
          <w:p w14:paraId="6297DF48" w14:textId="3583BE7E" w:rsidR="00796BD3" w:rsidRPr="00E85629" w:rsidRDefault="0033025A" w:rsidP="00DA770A">
            <w:pPr>
              <w:tabs>
                <w:tab w:val="left" w:pos="851"/>
              </w:tabs>
              <w:spacing w:before="0" w:line="240" w:lineRule="atLeast"/>
              <w:jc w:val="right"/>
              <w:rPr>
                <w:b/>
              </w:rPr>
            </w:pPr>
            <w:r w:rsidRPr="0033025A">
              <w:rPr>
                <w:b/>
              </w:rPr>
              <w:t xml:space="preserve">Документ </w:t>
            </w:r>
            <w:r w:rsidR="00796BD3">
              <w:rPr>
                <w:b/>
              </w:rPr>
              <w:t>C2</w:t>
            </w:r>
            <w:r w:rsidR="00D631AA">
              <w:rPr>
                <w:b/>
              </w:rPr>
              <w:t>5</w:t>
            </w:r>
            <w:r w:rsidR="00796BD3">
              <w:rPr>
                <w:b/>
              </w:rPr>
              <w:t>/</w:t>
            </w:r>
            <w:r w:rsidR="007F2A5C">
              <w:rPr>
                <w:b/>
              </w:rPr>
              <w:t>64</w:t>
            </w:r>
            <w:r w:rsidR="00796BD3">
              <w:rPr>
                <w:b/>
              </w:rPr>
              <w:t>-R</w:t>
            </w:r>
          </w:p>
        </w:tc>
      </w:tr>
      <w:tr w:rsidR="00796BD3" w:rsidRPr="00813E5E" w14:paraId="0854DEA9" w14:textId="77777777" w:rsidTr="00DA770A">
        <w:trPr>
          <w:cantSplit/>
        </w:trPr>
        <w:tc>
          <w:tcPr>
            <w:tcW w:w="3969" w:type="dxa"/>
            <w:vMerge/>
          </w:tcPr>
          <w:p w14:paraId="63BEBE0D" w14:textId="77777777" w:rsidR="00796BD3" w:rsidRPr="00813E5E" w:rsidRDefault="00796BD3" w:rsidP="00DA770A">
            <w:pPr>
              <w:tabs>
                <w:tab w:val="left" w:pos="851"/>
              </w:tabs>
              <w:spacing w:line="240" w:lineRule="atLeast"/>
              <w:rPr>
                <w:b/>
              </w:rPr>
            </w:pPr>
            <w:bookmarkStart w:id="3" w:name="ddate" w:colFirst="1" w:colLast="1"/>
            <w:bookmarkEnd w:id="0"/>
            <w:bookmarkEnd w:id="1"/>
          </w:p>
        </w:tc>
        <w:tc>
          <w:tcPr>
            <w:tcW w:w="5245" w:type="dxa"/>
          </w:tcPr>
          <w:p w14:paraId="278DDC9B" w14:textId="10DEEF1B" w:rsidR="00796BD3" w:rsidRPr="007F2A5C" w:rsidRDefault="007F2A5C" w:rsidP="00DA770A">
            <w:pPr>
              <w:tabs>
                <w:tab w:val="left" w:pos="851"/>
              </w:tabs>
              <w:spacing w:before="0"/>
              <w:jc w:val="right"/>
              <w:rPr>
                <w:b/>
                <w:lang w:val="ru-RU"/>
              </w:rPr>
            </w:pPr>
            <w:r>
              <w:rPr>
                <w:b/>
                <w:lang w:val="ru-RU"/>
              </w:rPr>
              <w:t>1 мая 2025 года</w:t>
            </w:r>
          </w:p>
        </w:tc>
      </w:tr>
      <w:tr w:rsidR="00796BD3" w:rsidRPr="00813E5E" w14:paraId="0D05E1B6" w14:textId="77777777" w:rsidTr="00DA770A">
        <w:trPr>
          <w:cantSplit/>
          <w:trHeight w:val="23"/>
        </w:trPr>
        <w:tc>
          <w:tcPr>
            <w:tcW w:w="3969" w:type="dxa"/>
            <w:vMerge/>
          </w:tcPr>
          <w:p w14:paraId="3AEE9D49" w14:textId="77777777" w:rsidR="00796BD3" w:rsidRPr="00813E5E" w:rsidRDefault="00796BD3" w:rsidP="00DA770A">
            <w:pPr>
              <w:tabs>
                <w:tab w:val="left" w:pos="851"/>
              </w:tabs>
              <w:spacing w:line="240" w:lineRule="atLeast"/>
              <w:rPr>
                <w:b/>
              </w:rPr>
            </w:pPr>
            <w:bookmarkStart w:id="4" w:name="dorlang" w:colFirst="1" w:colLast="1"/>
            <w:bookmarkEnd w:id="3"/>
          </w:p>
        </w:tc>
        <w:tc>
          <w:tcPr>
            <w:tcW w:w="5245" w:type="dxa"/>
          </w:tcPr>
          <w:p w14:paraId="6F14D395" w14:textId="77777777" w:rsidR="00796BD3" w:rsidRPr="00E85629" w:rsidRDefault="0033025A" w:rsidP="00DA770A">
            <w:pPr>
              <w:tabs>
                <w:tab w:val="left" w:pos="851"/>
              </w:tabs>
              <w:spacing w:before="0" w:line="240" w:lineRule="atLeast"/>
              <w:jc w:val="right"/>
              <w:rPr>
                <w:b/>
              </w:rPr>
            </w:pPr>
            <w:r w:rsidRPr="0033025A">
              <w:rPr>
                <w:b/>
              </w:rPr>
              <w:t>Оригинал: английский</w:t>
            </w:r>
          </w:p>
        </w:tc>
      </w:tr>
      <w:tr w:rsidR="00796BD3" w:rsidRPr="00813E5E" w14:paraId="6D07D0CD" w14:textId="77777777" w:rsidTr="00DA770A">
        <w:trPr>
          <w:cantSplit/>
          <w:trHeight w:val="23"/>
        </w:trPr>
        <w:tc>
          <w:tcPr>
            <w:tcW w:w="3969" w:type="dxa"/>
          </w:tcPr>
          <w:p w14:paraId="35B0A9DB" w14:textId="77777777" w:rsidR="00796BD3" w:rsidRPr="00813E5E" w:rsidRDefault="00796BD3" w:rsidP="00DA770A">
            <w:pPr>
              <w:tabs>
                <w:tab w:val="left" w:pos="851"/>
              </w:tabs>
              <w:spacing w:line="240" w:lineRule="atLeast"/>
              <w:rPr>
                <w:b/>
              </w:rPr>
            </w:pPr>
          </w:p>
        </w:tc>
        <w:tc>
          <w:tcPr>
            <w:tcW w:w="5245" w:type="dxa"/>
          </w:tcPr>
          <w:p w14:paraId="55710CE0" w14:textId="77777777" w:rsidR="00796BD3" w:rsidRDefault="00796BD3" w:rsidP="00DA770A">
            <w:pPr>
              <w:tabs>
                <w:tab w:val="left" w:pos="851"/>
              </w:tabs>
              <w:spacing w:before="0" w:line="240" w:lineRule="atLeast"/>
              <w:jc w:val="right"/>
              <w:rPr>
                <w:b/>
              </w:rPr>
            </w:pPr>
          </w:p>
        </w:tc>
      </w:tr>
      <w:tr w:rsidR="00796BD3" w:rsidRPr="00813E5E" w14:paraId="07418437" w14:textId="77777777" w:rsidTr="00DA770A">
        <w:trPr>
          <w:cantSplit/>
        </w:trPr>
        <w:tc>
          <w:tcPr>
            <w:tcW w:w="9214" w:type="dxa"/>
            <w:gridSpan w:val="2"/>
            <w:tcMar>
              <w:left w:w="0" w:type="dxa"/>
            </w:tcMar>
          </w:tcPr>
          <w:p w14:paraId="5FE24A19" w14:textId="77777777" w:rsidR="00796BD3" w:rsidRPr="00672F8A" w:rsidRDefault="0033025A" w:rsidP="00DA770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D400C5" w14:paraId="1C2D969E" w14:textId="77777777" w:rsidTr="00DA770A">
        <w:trPr>
          <w:cantSplit/>
        </w:trPr>
        <w:tc>
          <w:tcPr>
            <w:tcW w:w="9214" w:type="dxa"/>
            <w:gridSpan w:val="2"/>
            <w:tcMar>
              <w:left w:w="0" w:type="dxa"/>
            </w:tcMar>
          </w:tcPr>
          <w:p w14:paraId="7779F15E" w14:textId="6A9EC74B" w:rsidR="00796BD3" w:rsidRPr="007F2A5C" w:rsidRDefault="007F2A5C" w:rsidP="00731B05">
            <w:pPr>
              <w:pStyle w:val="Subtitle"/>
              <w:framePr w:hSpace="0" w:wrap="auto" w:hAnchor="text" w:xAlign="left" w:yAlign="inline"/>
              <w:rPr>
                <w:lang w:val="ru-RU"/>
              </w:rPr>
            </w:pPr>
            <w:bookmarkStart w:id="6" w:name="_Hlk196858311"/>
            <w:bookmarkStart w:id="7" w:name="dtitle1" w:colFirst="0" w:colLast="0"/>
            <w:bookmarkEnd w:id="5"/>
            <w:r w:rsidRPr="007F2A5C">
              <w:rPr>
                <w:rFonts w:cs="Calibri"/>
                <w:spacing w:val="-6"/>
                <w:sz w:val="32"/>
                <w:szCs w:val="24"/>
                <w:lang w:val="ru-RU"/>
              </w:rPr>
              <w:t>Предлагаемая методика расчета возмещения затрат на обработку заявок на регистрацию спутниковых сетей</w:t>
            </w:r>
            <w:bookmarkEnd w:id="6"/>
          </w:p>
        </w:tc>
      </w:tr>
      <w:tr w:rsidR="00796BD3" w:rsidRPr="007F2A5C" w14:paraId="64320A14" w14:textId="77777777" w:rsidTr="00DA770A">
        <w:trPr>
          <w:cantSplit/>
        </w:trPr>
        <w:tc>
          <w:tcPr>
            <w:tcW w:w="9214" w:type="dxa"/>
            <w:gridSpan w:val="2"/>
            <w:tcBorders>
              <w:top w:val="single" w:sz="4" w:space="0" w:color="auto"/>
              <w:bottom w:val="single" w:sz="4" w:space="0" w:color="auto"/>
            </w:tcBorders>
            <w:tcMar>
              <w:left w:w="0" w:type="dxa"/>
            </w:tcMar>
          </w:tcPr>
          <w:p w14:paraId="1BF7DB6E" w14:textId="75B8E7CF" w:rsidR="00796BD3" w:rsidRPr="00D400C5" w:rsidRDefault="0033025A" w:rsidP="00DA770A">
            <w:pPr>
              <w:spacing w:before="160"/>
              <w:rPr>
                <w:b/>
                <w:bCs/>
                <w:sz w:val="24"/>
                <w:szCs w:val="24"/>
                <w:lang w:val="ru-RU"/>
              </w:rPr>
            </w:pPr>
            <w:r w:rsidRPr="00D631AA">
              <w:rPr>
                <w:b/>
                <w:bCs/>
                <w:sz w:val="24"/>
                <w:szCs w:val="24"/>
                <w:lang w:val="ru-RU"/>
              </w:rPr>
              <w:t>Назначение</w:t>
            </w:r>
          </w:p>
          <w:p w14:paraId="0EA9CF00" w14:textId="2F74F74F" w:rsidR="00796BD3" w:rsidRPr="00D631AA" w:rsidRDefault="007F2A5C" w:rsidP="00DA770A">
            <w:pPr>
              <w:rPr>
                <w:lang w:val="ru-RU"/>
              </w:rPr>
            </w:pPr>
            <w:r w:rsidRPr="007F2A5C">
              <w:rPr>
                <w:lang w:val="ru-RU"/>
              </w:rPr>
              <w:t xml:space="preserve">В настоящем документе предлагается пересмотренная методика расчета полных затрат, связанных с обработкой заявок на регистрацию спутниковых сетей, с применением метода распределения полных затрат в соответствии с Решением 535, а также метода постепенного ограничения объема возмещения таких полных затрат на основе определенных контрольных показателей в соответствии с Резолюцией 91 (Пересм. </w:t>
            </w:r>
            <w:r w:rsidRPr="00EF49C7">
              <w:rPr>
                <w:lang w:val="ru-RU"/>
              </w:rPr>
              <w:t>Гвадалахара, 2010 г.).</w:t>
            </w:r>
          </w:p>
          <w:p w14:paraId="2376E3C8" w14:textId="77777777" w:rsidR="00796BD3" w:rsidRPr="00D631AA" w:rsidRDefault="0033025A" w:rsidP="00DA770A">
            <w:pPr>
              <w:spacing w:before="160"/>
              <w:rPr>
                <w:b/>
                <w:bCs/>
                <w:sz w:val="24"/>
                <w:szCs w:val="24"/>
                <w:lang w:val="ru-RU"/>
              </w:rPr>
            </w:pPr>
            <w:r w:rsidRPr="00D631AA">
              <w:rPr>
                <w:b/>
                <w:bCs/>
                <w:sz w:val="24"/>
                <w:szCs w:val="24"/>
                <w:lang w:val="ru-RU"/>
              </w:rPr>
              <w:t>Необходимые действия Совета</w:t>
            </w:r>
          </w:p>
          <w:p w14:paraId="230D2CA6" w14:textId="2A4D0728" w:rsidR="00796BD3" w:rsidRPr="007F2A5C" w:rsidRDefault="007F2A5C" w:rsidP="00DA770A">
            <w:pPr>
              <w:rPr>
                <w:lang w:val="ru-RU"/>
              </w:rPr>
            </w:pPr>
            <w:r w:rsidRPr="007F2A5C">
              <w:rPr>
                <w:lang w:val="ru-RU"/>
              </w:rPr>
              <w:t xml:space="preserve">Совету предлагается </w:t>
            </w:r>
            <w:r w:rsidRPr="007F2A5C">
              <w:rPr>
                <w:b/>
                <w:bCs/>
                <w:lang w:val="ru-RU"/>
              </w:rPr>
              <w:t>утвердить</w:t>
            </w:r>
            <w:r w:rsidRPr="007F2A5C">
              <w:rPr>
                <w:lang w:val="ru-RU"/>
              </w:rPr>
              <w:t xml:space="preserve"> предлагаемую в настоящем документе методику расчета размера сборов за обработку заявок на регистрацию спутниковых сетей, необходимого для возмещения затрат.</w:t>
            </w:r>
          </w:p>
          <w:p w14:paraId="4B76B099" w14:textId="77777777" w:rsidR="00796BD3" w:rsidRPr="00D631AA" w:rsidRDefault="0033025A" w:rsidP="00DA770A">
            <w:pPr>
              <w:spacing w:before="160"/>
              <w:rPr>
                <w:b/>
                <w:bCs/>
                <w:sz w:val="24"/>
                <w:szCs w:val="24"/>
                <w:lang w:val="ru-RU"/>
              </w:rPr>
            </w:pPr>
            <w:r w:rsidRPr="00D631AA">
              <w:rPr>
                <w:b/>
                <w:bCs/>
                <w:sz w:val="24"/>
                <w:szCs w:val="24"/>
                <w:lang w:val="ru-RU"/>
              </w:rPr>
              <w:t>Соответствующая увязка со Стратегическим планом</w:t>
            </w:r>
          </w:p>
          <w:p w14:paraId="2361C4AF" w14:textId="55F5BA41" w:rsidR="00796BD3" w:rsidRPr="00D631AA" w:rsidRDefault="007F2A5C" w:rsidP="00DA770A">
            <w:pPr>
              <w:rPr>
                <w:lang w:val="ru-RU"/>
              </w:rPr>
            </w:pPr>
            <w:r w:rsidRPr="00EF49C7">
              <w:rPr>
                <w:lang w:val="ru-RU"/>
              </w:rPr>
              <w:t>Отсутствует.</w:t>
            </w:r>
          </w:p>
          <w:p w14:paraId="78C34503" w14:textId="1C8F93D1" w:rsidR="00796BD3" w:rsidRPr="00D400C5" w:rsidRDefault="0033025A" w:rsidP="00DA770A">
            <w:pPr>
              <w:spacing w:before="160"/>
              <w:rPr>
                <w:b/>
                <w:bCs/>
                <w:sz w:val="24"/>
                <w:szCs w:val="24"/>
                <w:lang w:val="ru-RU"/>
              </w:rPr>
            </w:pPr>
            <w:r w:rsidRPr="00D631AA">
              <w:rPr>
                <w:b/>
                <w:bCs/>
                <w:sz w:val="24"/>
                <w:szCs w:val="24"/>
                <w:lang w:val="ru-RU"/>
              </w:rPr>
              <w:t>Финансовые последствия</w:t>
            </w:r>
          </w:p>
          <w:p w14:paraId="722C7C22" w14:textId="29C6DAA6" w:rsidR="00345D2A" w:rsidRPr="007F2A5C" w:rsidRDefault="007F2A5C" w:rsidP="00DA770A">
            <w:pPr>
              <w:spacing w:before="160"/>
              <w:rPr>
                <w:szCs w:val="22"/>
                <w:lang w:val="ru-RU"/>
              </w:rPr>
            </w:pPr>
            <w:r w:rsidRPr="007F2A5C">
              <w:rPr>
                <w:lang w:val="ru-RU"/>
              </w:rPr>
              <w:t xml:space="preserve">Увеличение годового дохода МСЭ, связанного с возмещением затрат на обработку заявок на регистрацию спутниковых сетей, для достижения показателя общего дохода в размере до </w:t>
            </w:r>
            <w:r w:rsidRPr="007F2A5C">
              <w:rPr>
                <w:b/>
                <w:bCs/>
                <w:lang w:val="ru-RU"/>
              </w:rPr>
              <w:t>18</w:t>
            </w:r>
            <w:r>
              <w:rPr>
                <w:b/>
                <w:bCs/>
                <w:lang w:val="ru-RU"/>
              </w:rPr>
              <w:t> </w:t>
            </w:r>
            <w:r w:rsidRPr="007F2A5C">
              <w:rPr>
                <w:b/>
                <w:bCs/>
                <w:lang w:val="ru-RU"/>
              </w:rPr>
              <w:t>032 400</w:t>
            </w:r>
            <w:r w:rsidRPr="007F2A5C">
              <w:rPr>
                <w:lang w:val="ru-RU"/>
              </w:rPr>
              <w:t xml:space="preserve"> швейцарских франков.</w:t>
            </w:r>
          </w:p>
          <w:p w14:paraId="763B8351" w14:textId="77777777" w:rsidR="00796BD3" w:rsidRPr="00731B05" w:rsidRDefault="00796BD3" w:rsidP="00DA770A">
            <w:pPr>
              <w:spacing w:before="160"/>
              <w:rPr>
                <w:caps/>
                <w:sz w:val="20"/>
                <w:szCs w:val="18"/>
                <w:lang w:val="ru-RU"/>
              </w:rPr>
            </w:pPr>
            <w:r w:rsidRPr="00731B05">
              <w:rPr>
                <w:sz w:val="20"/>
                <w:szCs w:val="18"/>
                <w:lang w:val="ru-RU"/>
              </w:rPr>
              <w:t>__________________</w:t>
            </w:r>
          </w:p>
          <w:p w14:paraId="6429A4BF" w14:textId="77777777" w:rsidR="00796BD3" w:rsidRPr="00731B05" w:rsidRDefault="0033025A" w:rsidP="00DA770A">
            <w:pPr>
              <w:spacing w:before="160"/>
              <w:rPr>
                <w:b/>
                <w:bCs/>
                <w:sz w:val="26"/>
                <w:szCs w:val="26"/>
                <w:lang w:val="ru-RU"/>
              </w:rPr>
            </w:pPr>
            <w:r w:rsidRPr="00731B05">
              <w:rPr>
                <w:b/>
                <w:bCs/>
                <w:sz w:val="24"/>
                <w:szCs w:val="24"/>
                <w:lang w:val="ru-RU"/>
              </w:rPr>
              <w:t>Справочные материалы</w:t>
            </w:r>
          </w:p>
          <w:p w14:paraId="6BD542EC" w14:textId="77777777" w:rsidR="007F2A5C" w:rsidRPr="007F2A5C" w:rsidRDefault="007F2A5C" w:rsidP="007F2A5C">
            <w:pPr>
              <w:rPr>
                <w:i/>
                <w:iCs/>
                <w:szCs w:val="22"/>
                <w:lang w:val="ru-RU"/>
              </w:rPr>
            </w:pPr>
            <w:r w:rsidRPr="007F2A5C">
              <w:rPr>
                <w:i/>
                <w:iCs/>
                <w:szCs w:val="22"/>
                <w:lang w:val="ru-RU"/>
              </w:rPr>
              <w:t xml:space="preserve">Документ </w:t>
            </w:r>
            <w:hyperlink r:id="rId7" w:history="1">
              <w:r w:rsidRPr="00FC4B0A">
                <w:rPr>
                  <w:rStyle w:val="Hyperlink"/>
                  <w:i/>
                  <w:iCs/>
                  <w:szCs w:val="22"/>
                </w:rPr>
                <w:t>C</w:t>
              </w:r>
              <w:r w:rsidRPr="007F2A5C">
                <w:rPr>
                  <w:rStyle w:val="Hyperlink"/>
                  <w:i/>
                  <w:iCs/>
                  <w:szCs w:val="22"/>
                  <w:lang w:val="ru-RU"/>
                </w:rPr>
                <w:t>25/10</w:t>
              </w:r>
            </w:hyperlink>
          </w:p>
          <w:p w14:paraId="6F753BD6" w14:textId="11E1E1D5" w:rsidR="007F2A5C" w:rsidRPr="00FC4B0A" w:rsidRDefault="007F2A5C" w:rsidP="007F2A5C">
            <w:pPr>
              <w:spacing w:before="0"/>
              <w:rPr>
                <w:rFonts w:cs="Calibri"/>
                <w:i/>
                <w:iCs/>
                <w:szCs w:val="22"/>
              </w:rPr>
            </w:pPr>
            <w:hyperlink r:id="rId8" w:history="1">
              <w:r w:rsidRPr="007F2A5C">
                <w:rPr>
                  <w:rStyle w:val="Hyperlink"/>
                  <w:rFonts w:cs="Calibri"/>
                  <w:i/>
                  <w:iCs/>
                  <w:szCs w:val="22"/>
                  <w:lang w:val="ru-RU"/>
                </w:rPr>
                <w:t xml:space="preserve">Резолюция 91 (Пересм. Гвадалахара, 2010 г.) </w:t>
              </w:r>
              <w:r w:rsidRPr="00FC4B0A">
                <w:rPr>
                  <w:rStyle w:val="Hyperlink"/>
                  <w:rFonts w:cs="Calibri"/>
                  <w:i/>
                  <w:iCs/>
                  <w:szCs w:val="22"/>
                </w:rPr>
                <w:t>Полномочной конференции</w:t>
              </w:r>
            </w:hyperlink>
          </w:p>
          <w:p w14:paraId="2CA22A00" w14:textId="7F85745A" w:rsidR="00796BD3" w:rsidRPr="00731B05" w:rsidRDefault="007F2A5C" w:rsidP="007F2A5C">
            <w:pPr>
              <w:spacing w:before="0" w:after="160"/>
              <w:rPr>
                <w:i/>
                <w:iCs/>
                <w:lang w:val="ru-RU"/>
              </w:rPr>
            </w:pPr>
            <w:hyperlink r:id="rId9" w:history="1">
              <w:r w:rsidRPr="00FC4B0A">
                <w:rPr>
                  <w:rStyle w:val="Hyperlink"/>
                  <w:rFonts w:cs="Calibri"/>
                  <w:i/>
                  <w:iCs/>
                  <w:szCs w:val="22"/>
                </w:rPr>
                <w:t>Решение 535 (Изм., 2014 г.) Совета</w:t>
              </w:r>
            </w:hyperlink>
          </w:p>
        </w:tc>
      </w:tr>
      <w:bookmarkEnd w:id="2"/>
      <w:bookmarkEnd w:id="7"/>
    </w:tbl>
    <w:p w14:paraId="6EB9976D" w14:textId="77777777" w:rsidR="00796BD3" w:rsidRPr="00731B05" w:rsidRDefault="00796BD3" w:rsidP="00796BD3">
      <w:pPr>
        <w:rPr>
          <w:lang w:val="ru-RU"/>
        </w:rPr>
      </w:pPr>
    </w:p>
    <w:p w14:paraId="60F31B98" w14:textId="77777777" w:rsidR="00165D06" w:rsidRPr="00731B05" w:rsidRDefault="00165D06">
      <w:pPr>
        <w:tabs>
          <w:tab w:val="clear" w:pos="794"/>
          <w:tab w:val="clear" w:pos="1191"/>
          <w:tab w:val="clear" w:pos="1588"/>
          <w:tab w:val="clear" w:pos="1985"/>
        </w:tabs>
        <w:overflowPunct/>
        <w:autoSpaceDE/>
        <w:autoSpaceDN/>
        <w:adjustRightInd/>
        <w:spacing w:before="0"/>
        <w:textAlignment w:val="auto"/>
        <w:rPr>
          <w:lang w:val="ru-RU"/>
        </w:rPr>
      </w:pPr>
      <w:r w:rsidRPr="00731B05">
        <w:rPr>
          <w:lang w:val="ru-RU"/>
        </w:rPr>
        <w:br w:type="page"/>
      </w:r>
    </w:p>
    <w:p w14:paraId="48ACB082" w14:textId="77777777" w:rsidR="007F2A5C" w:rsidRPr="00F43646" w:rsidRDefault="007F2A5C" w:rsidP="007F2A5C">
      <w:pPr>
        <w:pStyle w:val="Headingb"/>
        <w:rPr>
          <w:lang w:val="ru-RU"/>
        </w:rPr>
      </w:pPr>
      <w:r w:rsidRPr="00F43646">
        <w:rPr>
          <w:lang w:val="ru-RU"/>
        </w:rPr>
        <w:lastRenderedPageBreak/>
        <w:t>Введение</w:t>
      </w:r>
    </w:p>
    <w:p w14:paraId="23FC4152" w14:textId="5197FDF5" w:rsidR="007F2A5C" w:rsidRPr="007F2A5C" w:rsidRDefault="007F2A5C" w:rsidP="00D51FA2">
      <w:pPr>
        <w:jc w:val="both"/>
        <w:rPr>
          <w:lang w:val="ru-RU"/>
        </w:rPr>
      </w:pPr>
      <w:r w:rsidRPr="007F2A5C">
        <w:rPr>
          <w:lang w:val="ru-RU"/>
        </w:rPr>
        <w:t>1</w:t>
      </w:r>
      <w:r w:rsidRPr="007F2A5C">
        <w:rPr>
          <w:lang w:val="ru-RU"/>
        </w:rPr>
        <w:tab/>
        <w:t>Стремясь выполнить Резолюцию 91 (Пересм. Гвадалахара, 2010 г.) Полномочной конференции и Решение 535 Совета, Секретариат разработал модель затрат, которая предусматривает распределение соответствующих долей затрат МСЭ, связанных с обработкой заявок на регистрацию спутниковых сетей (</w:t>
      </w:r>
      <w:r w:rsidRPr="007861E6">
        <w:t>SNF</w:t>
      </w:r>
      <w:r w:rsidRPr="007F2A5C">
        <w:rPr>
          <w:lang w:val="ru-RU"/>
        </w:rPr>
        <w:t xml:space="preserve">). Общая сумма затрат, рассчитанная с использованием этой модели, составила </w:t>
      </w:r>
      <w:r w:rsidRPr="007F2A5C">
        <w:rPr>
          <w:b/>
          <w:bCs/>
          <w:lang w:val="ru-RU"/>
        </w:rPr>
        <w:t>22,81 млн. швейцарских франков</w:t>
      </w:r>
      <w:r w:rsidRPr="007F2A5C">
        <w:rPr>
          <w:lang w:val="ru-RU"/>
        </w:rPr>
        <w:t xml:space="preserve">, из которых </w:t>
      </w:r>
      <w:r w:rsidRPr="007F2A5C">
        <w:rPr>
          <w:b/>
          <w:bCs/>
          <w:lang w:val="ru-RU"/>
        </w:rPr>
        <w:t>11</w:t>
      </w:r>
      <w:r w:rsidR="0025336D">
        <w:rPr>
          <w:b/>
          <w:bCs/>
        </w:rPr>
        <w:t> </w:t>
      </w:r>
      <w:r w:rsidRPr="007F2A5C">
        <w:rPr>
          <w:b/>
          <w:bCs/>
          <w:lang w:val="ru-RU"/>
        </w:rPr>
        <w:t>млн.</w:t>
      </w:r>
      <w:r w:rsidR="0025336D">
        <w:rPr>
          <w:b/>
          <w:bCs/>
        </w:rPr>
        <w:t> </w:t>
      </w:r>
      <w:r w:rsidRPr="007F2A5C">
        <w:rPr>
          <w:b/>
          <w:bCs/>
          <w:lang w:val="ru-RU"/>
        </w:rPr>
        <w:t>швейцарских франков</w:t>
      </w:r>
      <w:r w:rsidRPr="007F2A5C">
        <w:rPr>
          <w:lang w:val="ru-RU"/>
        </w:rPr>
        <w:t xml:space="preserve"> – </w:t>
      </w:r>
      <w:r w:rsidRPr="007F2A5C">
        <w:rPr>
          <w:b/>
          <w:bCs/>
          <w:lang w:val="ru-RU"/>
        </w:rPr>
        <w:t>прямые затраты</w:t>
      </w:r>
      <w:r w:rsidRPr="007F2A5C">
        <w:rPr>
          <w:lang w:val="ru-RU"/>
        </w:rPr>
        <w:t xml:space="preserve">, а остальное – </w:t>
      </w:r>
      <w:r w:rsidRPr="007F2A5C">
        <w:rPr>
          <w:b/>
          <w:bCs/>
          <w:lang w:val="ru-RU"/>
        </w:rPr>
        <w:t>11,81 млн. швейцарских франков</w:t>
      </w:r>
      <w:r w:rsidRPr="007F2A5C">
        <w:rPr>
          <w:lang w:val="ru-RU"/>
        </w:rPr>
        <w:t xml:space="preserve"> – </w:t>
      </w:r>
      <w:r w:rsidRPr="007F2A5C">
        <w:rPr>
          <w:b/>
          <w:bCs/>
          <w:lang w:val="ru-RU"/>
        </w:rPr>
        <w:t>косвенные затраты</w:t>
      </w:r>
      <w:r w:rsidRPr="007F2A5C">
        <w:rPr>
          <w:lang w:val="ru-RU"/>
        </w:rPr>
        <w:t xml:space="preserve">. Это означает, что в настоящее время текущие "накладные расходы" МСЭ, связанные с </w:t>
      </w:r>
      <w:r w:rsidRPr="007861E6">
        <w:t>SNF</w:t>
      </w:r>
      <w:r w:rsidRPr="007F2A5C">
        <w:rPr>
          <w:lang w:val="ru-RU"/>
        </w:rPr>
        <w:t xml:space="preserve">, составляют </w:t>
      </w:r>
      <w:r w:rsidRPr="007F2A5C">
        <w:rPr>
          <w:b/>
          <w:bCs/>
          <w:lang w:val="ru-RU"/>
        </w:rPr>
        <w:t>107%</w:t>
      </w:r>
      <w:r w:rsidRPr="007F2A5C">
        <w:rPr>
          <w:lang w:val="ru-RU"/>
        </w:rPr>
        <w:t xml:space="preserve"> понесенных </w:t>
      </w:r>
      <w:r w:rsidRPr="007F2A5C">
        <w:rPr>
          <w:b/>
          <w:bCs/>
          <w:lang w:val="ru-RU"/>
        </w:rPr>
        <w:t>прямых затрат</w:t>
      </w:r>
      <w:r w:rsidRPr="007F2A5C">
        <w:rPr>
          <w:lang w:val="ru-RU"/>
        </w:rPr>
        <w:t>. Секретариат понимает, что такой уровень косвенных затрат неприемлем для заинтересованных сторон, и, согласно отзывам, полученным в ходе собраний Группы экспертов по Решению 482 (ГЭ</w:t>
      </w:r>
      <w:r w:rsidR="0025336D" w:rsidRPr="0025336D">
        <w:rPr>
          <w:lang w:val="ru-RU"/>
        </w:rPr>
        <w:noBreakHyphen/>
      </w:r>
      <w:r w:rsidRPr="007F2A5C">
        <w:rPr>
          <w:lang w:val="ru-RU"/>
        </w:rPr>
        <w:t xml:space="preserve">РЕШ482) и рабочих групп Совета, это отрицательно сказалось на способности Членов обеспечить взимание сборов за </w:t>
      </w:r>
      <w:r w:rsidRPr="007861E6">
        <w:t>SNF</w:t>
      </w:r>
      <w:r w:rsidRPr="007F2A5C">
        <w:rPr>
          <w:lang w:val="ru-RU"/>
        </w:rPr>
        <w:t xml:space="preserve"> в таком размере, который гарантирует, что Государства</w:t>
      </w:r>
      <w:r w:rsidR="0025336D">
        <w:t> </w:t>
      </w:r>
      <w:r w:rsidRPr="007F2A5C">
        <w:rPr>
          <w:lang w:val="ru-RU"/>
        </w:rPr>
        <w:t xml:space="preserve">− Члены МСЭ не субсидируют затраты на обработку заявок, выполняемую МСЭ. </w:t>
      </w:r>
    </w:p>
    <w:p w14:paraId="1F62B551" w14:textId="4D8E26A0" w:rsidR="007F2A5C" w:rsidRPr="007F2A5C" w:rsidRDefault="007F2A5C" w:rsidP="00D51FA2">
      <w:pPr>
        <w:jc w:val="both"/>
        <w:rPr>
          <w:lang w:val="ru-RU"/>
        </w:rPr>
      </w:pPr>
      <w:r w:rsidRPr="007F2A5C">
        <w:rPr>
          <w:lang w:val="ru-RU"/>
        </w:rPr>
        <w:t>2</w:t>
      </w:r>
      <w:r w:rsidRPr="007F2A5C">
        <w:rPr>
          <w:lang w:val="ru-RU"/>
        </w:rPr>
        <w:tab/>
        <w:t>По оценкам Секретариата, высокий уровень затрат, рассчитанных с использованием модели затрат, обусловили следующие факторы:</w:t>
      </w:r>
    </w:p>
    <w:p w14:paraId="28D2A5B1" w14:textId="1E15C359" w:rsidR="007F2A5C" w:rsidRPr="007F2A5C" w:rsidRDefault="007F2A5C" w:rsidP="00D51FA2">
      <w:pPr>
        <w:pStyle w:val="enumlev1"/>
        <w:jc w:val="both"/>
        <w:rPr>
          <w:lang w:val="ru-RU"/>
        </w:rPr>
      </w:pPr>
      <w:r w:rsidRPr="007F2A5C">
        <w:rPr>
          <w:lang w:val="ru-RU"/>
        </w:rPr>
        <w:t>•</w:t>
      </w:r>
      <w:r w:rsidRPr="007F2A5C">
        <w:rPr>
          <w:lang w:val="ru-RU"/>
        </w:rPr>
        <w:tab/>
        <w:t>отсутствие ясности или консенсуса в отношении того, какие аспекты работы МСЭ могут обоснованно считаться связанными с обработкой заявок на регистрацию спутниковых сетей;</w:t>
      </w:r>
    </w:p>
    <w:p w14:paraId="342B32CB" w14:textId="7E5D52DC" w:rsidR="007F2A5C" w:rsidRPr="007F2A5C" w:rsidRDefault="007F2A5C" w:rsidP="00D51FA2">
      <w:pPr>
        <w:pStyle w:val="enumlev1"/>
        <w:jc w:val="both"/>
        <w:rPr>
          <w:lang w:val="ru-RU"/>
        </w:rPr>
      </w:pPr>
      <w:r w:rsidRPr="007F2A5C">
        <w:rPr>
          <w:lang w:val="ru-RU"/>
        </w:rPr>
        <w:t>•</w:t>
      </w:r>
      <w:r w:rsidRPr="007F2A5C">
        <w:rPr>
          <w:lang w:val="ru-RU"/>
        </w:rPr>
        <w:tab/>
        <w:t>недостатки, снижающие эффективность организационной структуры и механизм работы Секретариата МСЭ, и связанные с ними высокие затраты.</w:t>
      </w:r>
    </w:p>
    <w:p w14:paraId="78487820" w14:textId="77777777" w:rsidR="007F2A5C" w:rsidRPr="007F2A5C" w:rsidRDefault="007F2A5C" w:rsidP="007F2A5C">
      <w:pPr>
        <w:pStyle w:val="Headingb"/>
        <w:rPr>
          <w:lang w:val="ru-RU"/>
        </w:rPr>
      </w:pPr>
      <w:r w:rsidRPr="007F2A5C">
        <w:rPr>
          <w:lang w:val="ru-RU"/>
        </w:rPr>
        <w:t>Обсуждение вопроса о внесении изменений в методику</w:t>
      </w:r>
    </w:p>
    <w:p w14:paraId="0F35506D" w14:textId="26D495C2" w:rsidR="007F2A5C" w:rsidRPr="007F2A5C" w:rsidRDefault="007F2A5C" w:rsidP="00D51FA2">
      <w:pPr>
        <w:jc w:val="both"/>
        <w:rPr>
          <w:rFonts w:cs="Calibri"/>
          <w:szCs w:val="24"/>
          <w:lang w:val="ru-RU"/>
        </w:rPr>
      </w:pPr>
      <w:r w:rsidRPr="007F2A5C">
        <w:rPr>
          <w:rFonts w:cs="Calibri"/>
          <w:szCs w:val="24"/>
          <w:lang w:val="ru-RU"/>
        </w:rPr>
        <w:t>3</w:t>
      </w:r>
      <w:r w:rsidRPr="007F2A5C">
        <w:rPr>
          <w:rFonts w:cs="Calibri"/>
          <w:szCs w:val="24"/>
          <w:lang w:val="ru-RU"/>
        </w:rPr>
        <w:tab/>
        <w:t xml:space="preserve">В связи с этим Секретариат рассмотрел новые методики, которые можно было бы использовать для расчета затрат, связанных с </w:t>
      </w:r>
      <w:r w:rsidRPr="005F28A2">
        <w:rPr>
          <w:rFonts w:cs="Calibri"/>
          <w:szCs w:val="24"/>
        </w:rPr>
        <w:t>SNF</w:t>
      </w:r>
      <w:r w:rsidRPr="007F2A5C">
        <w:rPr>
          <w:rFonts w:cs="Calibri"/>
          <w:szCs w:val="24"/>
          <w:lang w:val="ru-RU"/>
        </w:rPr>
        <w:t xml:space="preserve">, и которые соответствовали бы принципам Резолюции 91, но в то же время отражали бы целесообразный и обоснованный уровень косвенных затрат ("накладных расходов"). В связи с этим Секретариат предлагает использовать сравнительный анализ в сочетании с методом распределения полных затрат для расчета размера сборов, </w:t>
      </w:r>
      <w:r w:rsidRPr="007F2A5C">
        <w:rPr>
          <w:lang w:val="ru-RU"/>
        </w:rPr>
        <w:t>который</w:t>
      </w:r>
      <w:r w:rsidRPr="007F2A5C">
        <w:rPr>
          <w:rFonts w:cs="Calibri"/>
          <w:szCs w:val="24"/>
          <w:lang w:val="ru-RU"/>
        </w:rPr>
        <w:t xml:space="preserve"> будет скорректирован немедленно, после чего будет корректироваться раз в четыре (4) года по решению Совета.</w:t>
      </w:r>
    </w:p>
    <w:p w14:paraId="0B5B0F30" w14:textId="3F186B2E" w:rsidR="007F2A5C" w:rsidRPr="007F2A5C" w:rsidRDefault="007F2A5C" w:rsidP="00D51FA2">
      <w:pPr>
        <w:jc w:val="both"/>
        <w:rPr>
          <w:rFonts w:cs="Calibri"/>
          <w:szCs w:val="24"/>
          <w:lang w:val="ru-RU"/>
        </w:rPr>
      </w:pPr>
      <w:r w:rsidRPr="007F2A5C">
        <w:rPr>
          <w:rFonts w:cs="Calibri"/>
          <w:szCs w:val="24"/>
          <w:lang w:val="ru-RU"/>
        </w:rPr>
        <w:t>4</w:t>
      </w:r>
      <w:r w:rsidRPr="007F2A5C">
        <w:rPr>
          <w:rFonts w:cs="Calibri"/>
          <w:szCs w:val="24"/>
          <w:lang w:val="ru-RU"/>
        </w:rPr>
        <w:tab/>
        <w:t xml:space="preserve">В </w:t>
      </w:r>
      <w:hyperlink w:anchor="Annex_1" w:history="1">
        <w:r w:rsidRPr="007F2A5C">
          <w:rPr>
            <w:rStyle w:val="Hyperlink"/>
            <w:rFonts w:cs="Calibri"/>
            <w:szCs w:val="24"/>
            <w:lang w:val="ru-RU"/>
          </w:rPr>
          <w:t>Приложении 1</w:t>
        </w:r>
      </w:hyperlink>
      <w:r w:rsidRPr="007F2A5C">
        <w:rPr>
          <w:rFonts w:cs="Calibri"/>
          <w:szCs w:val="24"/>
          <w:lang w:val="ru-RU"/>
        </w:rPr>
        <w:t xml:space="preserve"> представлен анализ результатов аналогичной работы (работы, выполненной аналогичными организациями). Результаты исследований, проведенных Всемирным банком и ООН, </w:t>
      </w:r>
      <w:r w:rsidRPr="007F2A5C">
        <w:rPr>
          <w:lang w:val="ru-RU"/>
        </w:rPr>
        <w:t>показывают</w:t>
      </w:r>
      <w:r w:rsidRPr="007F2A5C">
        <w:rPr>
          <w:rFonts w:cs="Calibri"/>
          <w:szCs w:val="24"/>
          <w:lang w:val="ru-RU"/>
        </w:rPr>
        <w:t>, что экономически целесообразный уровень накладных расходов должен составлять от 25% до 30% прямых затрат.</w:t>
      </w:r>
    </w:p>
    <w:p w14:paraId="3F6250A5" w14:textId="44820958" w:rsidR="007F2A5C" w:rsidRPr="007F2A5C" w:rsidRDefault="007F2A5C" w:rsidP="00D51FA2">
      <w:pPr>
        <w:jc w:val="both"/>
        <w:rPr>
          <w:rFonts w:cs="Calibri"/>
          <w:szCs w:val="24"/>
          <w:lang w:val="ru-RU"/>
        </w:rPr>
      </w:pPr>
      <w:r w:rsidRPr="007F2A5C">
        <w:rPr>
          <w:rFonts w:cs="Calibri"/>
          <w:szCs w:val="24"/>
          <w:lang w:val="ru-RU"/>
        </w:rPr>
        <w:t>5</w:t>
      </w:r>
      <w:r w:rsidRPr="007F2A5C">
        <w:rPr>
          <w:rFonts w:cs="Calibri"/>
          <w:szCs w:val="24"/>
          <w:lang w:val="ru-RU"/>
        </w:rPr>
        <w:tab/>
        <w:t>Секретариат признает, что с учетом результатов этих сравнений текущий уровень косвенных затрат МСЭ, превышающий 100% прямых расходов, является чрезмерным. Вместе с тем Секретариат осознает, что усилия по устранению недостатков и рациональному распределению затрат требуют времени. Нынешний уровень затрат не может быть снижен немедленно, а устранение недостатков потребует дополнительных инвестиций в современные инструменты и навыки для снижения накладных расходов.</w:t>
      </w:r>
    </w:p>
    <w:p w14:paraId="39BCAA3A" w14:textId="4BAD54F4" w:rsidR="007F2A5C" w:rsidRPr="007F2A5C" w:rsidRDefault="007F2A5C" w:rsidP="00D51FA2">
      <w:pPr>
        <w:jc w:val="both"/>
        <w:rPr>
          <w:rFonts w:cs="Calibri"/>
          <w:szCs w:val="24"/>
          <w:lang w:val="ru-RU"/>
        </w:rPr>
      </w:pPr>
      <w:r w:rsidRPr="007F2A5C">
        <w:rPr>
          <w:rFonts w:cs="Calibri"/>
          <w:szCs w:val="24"/>
          <w:lang w:val="ru-RU"/>
        </w:rPr>
        <w:t>6</w:t>
      </w:r>
      <w:r w:rsidRPr="007F2A5C">
        <w:rPr>
          <w:rFonts w:cs="Calibri"/>
          <w:szCs w:val="24"/>
          <w:lang w:val="ru-RU"/>
        </w:rPr>
        <w:tab/>
        <w:t>Это позволило бы повысить прозрачность, точно отражать использование ресурсов и обеспечить соответствие международным контрольным показателям в отношении возмещения косвенных затрат. Однако для надлежащего применения методики детализированного распределения полных затрат потребуется следующее:</w:t>
      </w:r>
    </w:p>
    <w:p w14:paraId="15DB3635" w14:textId="488D6CE8" w:rsidR="007F2A5C" w:rsidRPr="00EF49C7" w:rsidRDefault="007F2A5C" w:rsidP="00D51FA2">
      <w:pPr>
        <w:pStyle w:val="enumlev1"/>
        <w:jc w:val="both"/>
        <w:rPr>
          <w:lang w:val="ru-RU"/>
        </w:rPr>
      </w:pPr>
      <w:r w:rsidRPr="00EF49C7">
        <w:rPr>
          <w:lang w:val="ru-RU"/>
        </w:rPr>
        <w:t>•</w:t>
      </w:r>
      <w:r w:rsidRPr="00EF49C7">
        <w:rPr>
          <w:lang w:val="ru-RU"/>
        </w:rPr>
        <w:tab/>
        <w:t>проанализировать категории затрат, которые следует надлежащим образом включить в расчет, в соответствии с принципами Резолюции 91;</w:t>
      </w:r>
    </w:p>
    <w:p w14:paraId="15BB5F81" w14:textId="5A6CA44E" w:rsidR="007F2A5C" w:rsidRPr="00EF49C7" w:rsidRDefault="007F2A5C" w:rsidP="00D51FA2">
      <w:pPr>
        <w:pStyle w:val="enumlev1"/>
        <w:jc w:val="both"/>
        <w:rPr>
          <w:lang w:val="ru-RU"/>
        </w:rPr>
      </w:pPr>
      <w:r w:rsidRPr="00EF49C7">
        <w:rPr>
          <w:lang w:val="ru-RU"/>
        </w:rPr>
        <w:lastRenderedPageBreak/>
        <w:t>•</w:t>
      </w:r>
      <w:r w:rsidRPr="00EF49C7">
        <w:rPr>
          <w:lang w:val="ru-RU"/>
        </w:rPr>
        <w:tab/>
        <w:t>внедрить и проанализировать систему учета затрат для всех продуктов и услуг, предоставляемых МСЭ. В настоящее время эта работа планируется в контексте Стратегического и Финансового планов на 2028−2031 годы.</w:t>
      </w:r>
    </w:p>
    <w:p w14:paraId="504B9FF2" w14:textId="5FC44F9D" w:rsidR="007F2A5C" w:rsidRPr="007F2A5C" w:rsidRDefault="007F2A5C" w:rsidP="00D51FA2">
      <w:pPr>
        <w:jc w:val="both"/>
        <w:rPr>
          <w:rFonts w:cs="Calibri"/>
          <w:szCs w:val="24"/>
          <w:lang w:val="ru-RU"/>
        </w:rPr>
      </w:pPr>
      <w:r w:rsidRPr="007F2A5C">
        <w:rPr>
          <w:rFonts w:cs="Calibri"/>
          <w:szCs w:val="24"/>
          <w:lang w:val="ru-RU"/>
        </w:rPr>
        <w:t>7</w:t>
      </w:r>
      <w:r w:rsidRPr="007F2A5C">
        <w:rPr>
          <w:rFonts w:cs="Calibri"/>
          <w:szCs w:val="24"/>
          <w:lang w:val="ru-RU"/>
        </w:rPr>
        <w:tab/>
        <w:t xml:space="preserve">Для эффективного осуществления этих мероприятий потребуется время, и вряд ли эта работа будет </w:t>
      </w:r>
      <w:r w:rsidRPr="007F2A5C">
        <w:rPr>
          <w:lang w:val="ru-RU"/>
        </w:rPr>
        <w:t>завершена</w:t>
      </w:r>
      <w:r w:rsidRPr="007F2A5C">
        <w:rPr>
          <w:rFonts w:cs="Calibri"/>
          <w:szCs w:val="24"/>
          <w:lang w:val="ru-RU"/>
        </w:rPr>
        <w:t xml:space="preserve"> в течение текущего цикла финансового планирования. В</w:t>
      </w:r>
      <w:r w:rsidR="0025336D">
        <w:rPr>
          <w:rFonts w:cs="Calibri"/>
          <w:szCs w:val="24"/>
        </w:rPr>
        <w:t> </w:t>
      </w:r>
      <w:hyperlink w:anchor="Annex_2" w:history="1">
        <w:r w:rsidRPr="007F2A5C">
          <w:rPr>
            <w:rStyle w:val="Hyperlink"/>
            <w:rFonts w:cs="Calibri"/>
            <w:szCs w:val="24"/>
            <w:lang w:val="ru-RU"/>
          </w:rPr>
          <w:t>Приложении</w:t>
        </w:r>
        <w:r w:rsidR="0025336D">
          <w:rPr>
            <w:rStyle w:val="Hyperlink"/>
            <w:rFonts w:cs="Calibri"/>
            <w:szCs w:val="24"/>
          </w:rPr>
          <w:t> </w:t>
        </w:r>
        <w:r w:rsidRPr="007F2A5C">
          <w:rPr>
            <w:rStyle w:val="Hyperlink"/>
            <w:rFonts w:cs="Calibri"/>
            <w:szCs w:val="24"/>
            <w:lang w:val="ru-RU"/>
          </w:rPr>
          <w:t>2</w:t>
        </w:r>
      </w:hyperlink>
      <w:r w:rsidRPr="007F2A5C">
        <w:rPr>
          <w:rFonts w:cs="Calibri"/>
          <w:szCs w:val="24"/>
          <w:lang w:val="ru-RU"/>
        </w:rPr>
        <w:t xml:space="preserve"> приводится описание метода распределения затрат, который предлагает применять Секретариат.</w:t>
      </w:r>
    </w:p>
    <w:p w14:paraId="0043D6B8" w14:textId="63C5296B" w:rsidR="007F2A5C" w:rsidRPr="007F2A5C" w:rsidRDefault="007F2A5C" w:rsidP="00D51FA2">
      <w:pPr>
        <w:jc w:val="both"/>
        <w:rPr>
          <w:rFonts w:cs="Calibri"/>
          <w:szCs w:val="24"/>
          <w:lang w:val="ru-RU"/>
        </w:rPr>
      </w:pPr>
      <w:r w:rsidRPr="007F2A5C">
        <w:rPr>
          <w:rFonts w:cs="Calibri"/>
          <w:szCs w:val="24"/>
          <w:lang w:val="ru-RU"/>
        </w:rPr>
        <w:t>8</w:t>
      </w:r>
      <w:r w:rsidRPr="007F2A5C">
        <w:rPr>
          <w:rFonts w:cs="Calibri"/>
          <w:szCs w:val="24"/>
          <w:lang w:val="ru-RU"/>
        </w:rPr>
        <w:tab/>
        <w:t xml:space="preserve">При этом </w:t>
      </w:r>
      <w:r w:rsidRPr="007F2A5C">
        <w:rPr>
          <w:lang w:val="ru-RU"/>
        </w:rPr>
        <w:t>Секретариат</w:t>
      </w:r>
      <w:r w:rsidRPr="007F2A5C">
        <w:rPr>
          <w:rFonts w:cs="Calibri"/>
          <w:szCs w:val="24"/>
          <w:lang w:val="ru-RU"/>
        </w:rPr>
        <w:t xml:space="preserve"> отмечает, что в случае задержек в этой работе сохранится нынешняя ситуация, при которой сборы за </w:t>
      </w:r>
      <w:r>
        <w:rPr>
          <w:rFonts w:cs="Calibri"/>
          <w:szCs w:val="24"/>
          <w:lang w:val="en-US"/>
        </w:rPr>
        <w:t>SNF</w:t>
      </w:r>
      <w:r w:rsidRPr="007F2A5C">
        <w:rPr>
          <w:rFonts w:cs="Calibri"/>
          <w:szCs w:val="24"/>
          <w:lang w:val="ru-RU"/>
        </w:rPr>
        <w:t xml:space="preserve"> не покрывают фактические затраты, понесенные МСЭ в связи с предоставлением этой услуги, а это значит, что МСЭ не выполняет положения Резолюции 91 и имеет значительный дефицит, который Государства-Члены должны покрывать за счет своих начисленных взносов.</w:t>
      </w:r>
    </w:p>
    <w:p w14:paraId="4590EF1D" w14:textId="092F2E54" w:rsidR="007F2A5C" w:rsidRPr="00EF49C7" w:rsidRDefault="007F2A5C" w:rsidP="00D51FA2">
      <w:pPr>
        <w:pStyle w:val="Headingb"/>
        <w:jc w:val="both"/>
        <w:rPr>
          <w:lang w:val="ru-RU"/>
        </w:rPr>
      </w:pPr>
      <w:r w:rsidRPr="007F2A5C">
        <w:rPr>
          <w:lang w:val="ru-RU"/>
        </w:rPr>
        <w:t>Предлагаемое увеличение сборов и постепенное сокращение полных затрат</w:t>
      </w:r>
    </w:p>
    <w:p w14:paraId="6432140F" w14:textId="20A5AB69" w:rsidR="007F2A5C" w:rsidRPr="007F2A5C" w:rsidRDefault="007F2A5C" w:rsidP="00D51FA2">
      <w:pPr>
        <w:jc w:val="both"/>
        <w:rPr>
          <w:rFonts w:cs="Calibri"/>
          <w:szCs w:val="24"/>
          <w:lang w:val="ru-RU"/>
        </w:rPr>
      </w:pPr>
      <w:r w:rsidRPr="007F2A5C">
        <w:rPr>
          <w:rFonts w:cs="Calibri"/>
          <w:szCs w:val="24"/>
          <w:lang w:val="ru-RU"/>
        </w:rPr>
        <w:t>9</w:t>
      </w:r>
      <w:r w:rsidRPr="007F2A5C">
        <w:rPr>
          <w:rFonts w:cs="Calibri"/>
          <w:szCs w:val="24"/>
          <w:lang w:val="ru-RU"/>
        </w:rPr>
        <w:tab/>
      </w:r>
      <w:r w:rsidRPr="007F2A5C">
        <w:rPr>
          <w:lang w:val="ru-RU"/>
        </w:rPr>
        <w:t>Секретариат</w:t>
      </w:r>
      <w:r w:rsidRPr="007F2A5C">
        <w:rPr>
          <w:rFonts w:cs="Calibri"/>
          <w:szCs w:val="24"/>
          <w:lang w:val="ru-RU"/>
        </w:rPr>
        <w:t xml:space="preserve"> предлагает Совету утвердить возмещение МСЭ полных затрат, понесенных МСЭ в связи с </w:t>
      </w:r>
      <w:r w:rsidRPr="005F28A2">
        <w:rPr>
          <w:rFonts w:cs="Calibri"/>
          <w:szCs w:val="24"/>
        </w:rPr>
        <w:t>SNF</w:t>
      </w:r>
      <w:r w:rsidRPr="007F2A5C">
        <w:rPr>
          <w:rFonts w:cs="Calibri"/>
          <w:szCs w:val="24"/>
          <w:lang w:val="ru-RU"/>
        </w:rPr>
        <w:t xml:space="preserve">, при определенных ограничениях, установленных в соответствии с пунктом 4 </w:t>
      </w:r>
      <w:r w:rsidRPr="00B352FB">
        <w:rPr>
          <w:rFonts w:cs="Calibri"/>
          <w:szCs w:val="24"/>
        </w:rPr>
        <w:t>v</w:t>
      </w:r>
      <w:r w:rsidRPr="007F2A5C">
        <w:rPr>
          <w:rFonts w:cs="Calibri"/>
          <w:szCs w:val="24"/>
          <w:lang w:val="ru-RU"/>
        </w:rPr>
        <w:t xml:space="preserve">) раздела </w:t>
      </w:r>
      <w:r w:rsidRPr="007F2A5C">
        <w:rPr>
          <w:rFonts w:cs="Calibri"/>
          <w:i/>
          <w:iCs/>
          <w:szCs w:val="24"/>
          <w:lang w:val="ru-RU"/>
        </w:rPr>
        <w:t>решает</w:t>
      </w:r>
      <w:r w:rsidRPr="007F2A5C">
        <w:rPr>
          <w:rFonts w:cs="Calibri"/>
          <w:szCs w:val="24"/>
          <w:lang w:val="ru-RU"/>
        </w:rPr>
        <w:t xml:space="preserve"> Резолюции 91, а именно:</w:t>
      </w:r>
    </w:p>
    <w:p w14:paraId="70387A95" w14:textId="10AF8B28" w:rsidR="007F2A5C" w:rsidRPr="00EF49C7" w:rsidRDefault="007F2A5C" w:rsidP="00D51FA2">
      <w:pPr>
        <w:pStyle w:val="enumlev1"/>
        <w:jc w:val="both"/>
        <w:rPr>
          <w:lang w:val="ru-RU"/>
        </w:rPr>
      </w:pPr>
      <w:r>
        <w:t>i</w:t>
      </w:r>
      <w:r w:rsidRPr="007F2A5C">
        <w:rPr>
          <w:lang w:val="ru-RU"/>
        </w:rPr>
        <w:tab/>
        <w:t xml:space="preserve">На период с 1 января 2026 года по 31 декабря 2027 года уровень возмещения МСЭ косвенных затрат следует установить в размере </w:t>
      </w:r>
      <w:r w:rsidRPr="007F2A5C">
        <w:rPr>
          <w:b/>
          <w:bCs/>
          <w:lang w:val="ru-RU"/>
        </w:rPr>
        <w:t>40% от прямых затрат, понесенных МСЭ</w:t>
      </w:r>
      <w:r w:rsidRPr="007F2A5C">
        <w:rPr>
          <w:lang w:val="ru-RU"/>
        </w:rPr>
        <w:t xml:space="preserve">, и ограничить этой величиной. </w:t>
      </w:r>
      <w:r w:rsidRPr="00EF49C7">
        <w:rPr>
          <w:lang w:val="ru-RU"/>
        </w:rPr>
        <w:t>МСЭ признает, что эта величина превышает рекомендуемые международные контрольные показатели, однако такой уровень возмещения представляется разумным, учитывая текущие фактические затраты МСЭ.</w:t>
      </w:r>
    </w:p>
    <w:p w14:paraId="41C39EFD" w14:textId="7210FC64" w:rsidR="007F2A5C" w:rsidRPr="0025336D" w:rsidRDefault="007F2A5C" w:rsidP="00D51FA2">
      <w:pPr>
        <w:pStyle w:val="enumlev1"/>
        <w:jc w:val="both"/>
        <w:rPr>
          <w:lang w:val="ru-RU"/>
        </w:rPr>
      </w:pPr>
      <w:r>
        <w:t>ii</w:t>
      </w:r>
      <w:r w:rsidRPr="0025336D">
        <w:rPr>
          <w:lang w:val="ru-RU"/>
        </w:rPr>
        <w:tab/>
      </w:r>
      <w:r w:rsidRPr="007F2A5C">
        <w:rPr>
          <w:lang w:val="ru-RU"/>
        </w:rPr>
        <w:t>Генеральный секретарь должен представить для утверждения Советом 2027</w:t>
      </w:r>
      <w:r>
        <w:t> </w:t>
      </w:r>
      <w:r w:rsidRPr="007F2A5C">
        <w:rPr>
          <w:lang w:val="ru-RU"/>
        </w:rPr>
        <w:t xml:space="preserve">года первый отчет о применении метода возмещения полных затрат, связанных с </w:t>
      </w:r>
      <w:r w:rsidRPr="15E373A1">
        <w:t>SNF</w:t>
      </w:r>
      <w:r w:rsidRPr="007F2A5C">
        <w:rPr>
          <w:lang w:val="ru-RU"/>
        </w:rPr>
        <w:t xml:space="preserve">, и предложить снизить предел возмещения косвенных затрат до уровня, </w:t>
      </w:r>
      <w:r w:rsidRPr="007F2A5C">
        <w:rPr>
          <w:b/>
          <w:bCs/>
          <w:lang w:val="ru-RU"/>
        </w:rPr>
        <w:t>не превышающего 35% прямых затрат</w:t>
      </w:r>
      <w:r w:rsidRPr="007F2A5C">
        <w:rPr>
          <w:lang w:val="ru-RU"/>
        </w:rPr>
        <w:t>, который будет применяться с 1 января 2028 года.</w:t>
      </w:r>
    </w:p>
    <w:p w14:paraId="08B7294E" w14:textId="397A36B4" w:rsidR="007F2A5C" w:rsidRPr="00EF49C7" w:rsidRDefault="007F2A5C" w:rsidP="00D51FA2">
      <w:pPr>
        <w:pStyle w:val="enumlev1"/>
        <w:jc w:val="both"/>
        <w:rPr>
          <w:lang w:val="ru-RU"/>
        </w:rPr>
      </w:pPr>
      <w:r>
        <w:t>iii</w:t>
      </w:r>
      <w:r w:rsidRPr="007F2A5C">
        <w:rPr>
          <w:lang w:val="ru-RU"/>
        </w:rPr>
        <w:tab/>
        <w:t xml:space="preserve">На Совете 2029 года будет представлен следующий отчет о детализированном методе возмещения полных затрат, в котором будет предложено применять этот метод начиная с 1 января 2030 года, что снизит действующий предел возмещения косвенных затрат до уровня, </w:t>
      </w:r>
      <w:r w:rsidRPr="007F2A5C">
        <w:rPr>
          <w:b/>
          <w:bCs/>
          <w:lang w:val="ru-RU"/>
        </w:rPr>
        <w:t>не превышающего 30% прямых затрат</w:t>
      </w:r>
      <w:r w:rsidRPr="007F2A5C">
        <w:rPr>
          <w:lang w:val="ru-RU"/>
        </w:rPr>
        <w:t>.</w:t>
      </w:r>
    </w:p>
    <w:p w14:paraId="75B83D32" w14:textId="43334332" w:rsidR="007F2A5C" w:rsidRPr="007F2A5C" w:rsidRDefault="007F2A5C" w:rsidP="00D51FA2">
      <w:pPr>
        <w:jc w:val="both"/>
        <w:rPr>
          <w:rFonts w:cs="Calibri"/>
          <w:szCs w:val="24"/>
          <w:lang w:val="ru-RU"/>
        </w:rPr>
      </w:pPr>
      <w:r w:rsidRPr="007F2A5C">
        <w:rPr>
          <w:rFonts w:cs="Calibri"/>
          <w:szCs w:val="24"/>
          <w:lang w:val="ru-RU"/>
        </w:rPr>
        <w:t>10</w:t>
      </w:r>
      <w:r w:rsidRPr="007F2A5C">
        <w:rPr>
          <w:rFonts w:cs="Calibri"/>
          <w:szCs w:val="24"/>
          <w:lang w:val="ru-RU"/>
        </w:rPr>
        <w:tab/>
        <w:t xml:space="preserve">Притом что в начале этого поэтапного сокращения МСЭ не будет возмещать свои затраты в полном объеме, Секретариат предлагает обеспечить сокращение фактических затрат до уровня, </w:t>
      </w:r>
      <w:r w:rsidRPr="007F2A5C">
        <w:rPr>
          <w:lang w:val="ru-RU"/>
        </w:rPr>
        <w:t>ограниченного</w:t>
      </w:r>
      <w:r w:rsidRPr="007F2A5C">
        <w:rPr>
          <w:rFonts w:cs="Calibri"/>
          <w:szCs w:val="24"/>
          <w:lang w:val="ru-RU"/>
        </w:rPr>
        <w:t xml:space="preserve"> установленными пределами, структурированно применяя модель распределения полных затрат в сочетании с повышением эффективности деятельности и оптимизацией обслуживания. Такой поэтапный подход к снижению косвенных затрат до эффективных и разумных уровней согласуется с Резолюцией 91 (Пересм. Гвадалахара, 2010 г.) и Приложением 2 к Решению 5 (Пересм. Бухарест, 2022 г.).</w:t>
      </w:r>
    </w:p>
    <w:p w14:paraId="38109948" w14:textId="77777777" w:rsidR="007F2A5C" w:rsidRPr="007F2A5C" w:rsidRDefault="007F2A5C" w:rsidP="00D51FA2">
      <w:pPr>
        <w:pStyle w:val="Headingb"/>
        <w:jc w:val="both"/>
        <w:rPr>
          <w:lang w:val="ru-RU"/>
        </w:rPr>
      </w:pPr>
      <w:r w:rsidRPr="007F2A5C">
        <w:rPr>
          <w:lang w:val="ru-RU"/>
        </w:rPr>
        <w:t>Расчет прямых и косвенных затрат</w:t>
      </w:r>
    </w:p>
    <w:p w14:paraId="6FD52B35" w14:textId="6D85DB19" w:rsidR="007F2A5C" w:rsidRPr="007F2A5C" w:rsidRDefault="007F2A5C" w:rsidP="00D51FA2">
      <w:pPr>
        <w:jc w:val="both"/>
        <w:rPr>
          <w:rFonts w:cs="Calibri"/>
          <w:lang w:val="ru-RU"/>
        </w:rPr>
      </w:pPr>
      <w:r w:rsidRPr="007F2A5C">
        <w:rPr>
          <w:rFonts w:cs="Calibri"/>
          <w:lang w:val="ru-RU"/>
        </w:rPr>
        <w:t>11</w:t>
      </w:r>
      <w:r w:rsidRPr="007F2A5C">
        <w:rPr>
          <w:lang w:val="ru-RU"/>
        </w:rPr>
        <w:tab/>
      </w:r>
      <w:r w:rsidRPr="007F2A5C">
        <w:rPr>
          <w:rFonts w:cs="Calibri"/>
          <w:lang w:val="ru-RU"/>
        </w:rPr>
        <w:t xml:space="preserve">По оценкам, прямые затраты МСЭ составили </w:t>
      </w:r>
      <w:r w:rsidRPr="007F2A5C">
        <w:rPr>
          <w:rFonts w:cs="Calibri"/>
          <w:b/>
          <w:bCs/>
          <w:lang w:val="ru-RU"/>
        </w:rPr>
        <w:t>11,0 млн. швейцарских франков</w:t>
      </w:r>
      <w:r w:rsidRPr="007F2A5C">
        <w:rPr>
          <w:rFonts w:cs="Calibri"/>
          <w:lang w:val="ru-RU"/>
        </w:rPr>
        <w:t xml:space="preserve"> за период с 2006 года, когда Полномочная конференция установила текущее значение величины единицы взноса. Из-за инфляционного давления МСЭ скорректировал эти затраты с учетом их фактического роста, о котором свидетельствует индекс потребительских цен в Женеве, предполагающий увеличение на </w:t>
      </w:r>
      <w:r w:rsidRPr="007F2A5C">
        <w:rPr>
          <w:rFonts w:cs="Calibri"/>
          <w:b/>
          <w:bCs/>
          <w:lang w:val="ru-RU"/>
        </w:rPr>
        <w:t>10,6%</w:t>
      </w:r>
      <w:r w:rsidRPr="007F2A5C">
        <w:rPr>
          <w:rFonts w:cs="Calibri"/>
          <w:lang w:val="ru-RU"/>
        </w:rPr>
        <w:t xml:space="preserve">. Таким образом, реальная приведенная стоимость прямых затрат составляет </w:t>
      </w:r>
      <w:r w:rsidRPr="007F2A5C">
        <w:rPr>
          <w:rFonts w:cs="Calibri"/>
          <w:b/>
          <w:bCs/>
          <w:lang w:val="ru-RU"/>
        </w:rPr>
        <w:t>12 166 000 швейцарских франков</w:t>
      </w:r>
      <w:r w:rsidRPr="007F2A5C">
        <w:rPr>
          <w:rFonts w:cs="Calibri"/>
          <w:lang w:val="ru-RU"/>
        </w:rPr>
        <w:t xml:space="preserve">. </w:t>
      </w:r>
    </w:p>
    <w:p w14:paraId="5FE7781A" w14:textId="0458F123" w:rsidR="007F2A5C" w:rsidRPr="007F2A5C" w:rsidRDefault="007F2A5C" w:rsidP="00D51FA2">
      <w:pPr>
        <w:jc w:val="both"/>
        <w:rPr>
          <w:rFonts w:cs="Calibri"/>
          <w:b/>
          <w:bCs/>
          <w:lang w:val="ru-RU"/>
        </w:rPr>
      </w:pPr>
      <w:r w:rsidRPr="007F2A5C">
        <w:rPr>
          <w:rFonts w:cs="Calibri"/>
          <w:lang w:val="ru-RU"/>
        </w:rPr>
        <w:t>12</w:t>
      </w:r>
      <w:r w:rsidRPr="007F2A5C">
        <w:rPr>
          <w:lang w:val="ru-RU"/>
        </w:rPr>
        <w:tab/>
      </w:r>
      <w:r w:rsidRPr="007F2A5C">
        <w:rPr>
          <w:rFonts w:cs="Calibri"/>
          <w:lang w:val="ru-RU"/>
        </w:rPr>
        <w:t xml:space="preserve">Если использовать предложенные выше поэтапные сокращения, то ограничение косвенных </w:t>
      </w:r>
      <w:r w:rsidRPr="007F2A5C">
        <w:rPr>
          <w:lang w:val="ru-RU"/>
        </w:rPr>
        <w:t>затрат</w:t>
      </w:r>
      <w:r w:rsidRPr="007F2A5C">
        <w:rPr>
          <w:rFonts w:cs="Calibri"/>
          <w:lang w:val="ru-RU"/>
        </w:rPr>
        <w:t xml:space="preserve"> уровнем, не превышающим </w:t>
      </w:r>
      <w:r w:rsidRPr="007F2A5C">
        <w:rPr>
          <w:rFonts w:cs="Calibri"/>
          <w:b/>
          <w:bCs/>
          <w:lang w:val="ru-RU"/>
        </w:rPr>
        <w:t>40%</w:t>
      </w:r>
      <w:r w:rsidRPr="007F2A5C">
        <w:rPr>
          <w:rFonts w:cs="Calibri"/>
          <w:lang w:val="ru-RU"/>
        </w:rPr>
        <w:t xml:space="preserve"> прямых затрат, приведет к тому, что объем косвенных затрат, полученных за счет сборов за </w:t>
      </w:r>
      <w:r w:rsidRPr="00FC4B0A">
        <w:rPr>
          <w:rFonts w:cs="Calibri"/>
          <w:lang w:val="en-US"/>
        </w:rPr>
        <w:t>SNF</w:t>
      </w:r>
      <w:r w:rsidRPr="007F2A5C">
        <w:rPr>
          <w:rFonts w:cs="Calibri"/>
          <w:lang w:val="ru-RU"/>
        </w:rPr>
        <w:t>, с 1 января 2026</w:t>
      </w:r>
      <w:r w:rsidRPr="00FC4B0A">
        <w:rPr>
          <w:rFonts w:cs="Calibri"/>
        </w:rPr>
        <w:t> </w:t>
      </w:r>
      <w:r w:rsidRPr="007F2A5C">
        <w:rPr>
          <w:rFonts w:cs="Calibri"/>
          <w:lang w:val="ru-RU"/>
        </w:rPr>
        <w:t xml:space="preserve">года составит </w:t>
      </w:r>
      <w:r w:rsidRPr="007F2A5C">
        <w:rPr>
          <w:rFonts w:cs="Calibri"/>
          <w:b/>
          <w:bCs/>
          <w:lang w:val="ru-RU"/>
        </w:rPr>
        <w:lastRenderedPageBreak/>
        <w:t>4</w:t>
      </w:r>
      <w:r w:rsidRPr="00FC4B0A">
        <w:rPr>
          <w:rFonts w:cs="Calibri"/>
          <w:b/>
          <w:bCs/>
        </w:rPr>
        <w:t> </w:t>
      </w:r>
      <w:r w:rsidRPr="007F2A5C">
        <w:rPr>
          <w:rFonts w:cs="Calibri"/>
          <w:b/>
          <w:bCs/>
          <w:lang w:val="ru-RU"/>
        </w:rPr>
        <w:t>866</w:t>
      </w:r>
      <w:r w:rsidRPr="00FC4B0A">
        <w:rPr>
          <w:rFonts w:cs="Calibri"/>
          <w:b/>
          <w:bCs/>
        </w:rPr>
        <w:t> </w:t>
      </w:r>
      <w:r w:rsidRPr="007F2A5C">
        <w:rPr>
          <w:rFonts w:cs="Calibri"/>
          <w:b/>
          <w:bCs/>
          <w:lang w:val="ru-RU"/>
        </w:rPr>
        <w:t>400</w:t>
      </w:r>
      <w:r w:rsidR="0025336D">
        <w:rPr>
          <w:rFonts w:cs="Calibri"/>
          <w:b/>
          <w:bCs/>
        </w:rPr>
        <w:t> </w:t>
      </w:r>
      <w:r w:rsidRPr="007F2A5C">
        <w:rPr>
          <w:rFonts w:cs="Calibri"/>
          <w:b/>
          <w:bCs/>
          <w:lang w:val="ru-RU"/>
        </w:rPr>
        <w:t>швейцарских франков</w:t>
      </w:r>
      <w:r w:rsidRPr="007F2A5C">
        <w:rPr>
          <w:rFonts w:cs="Calibri"/>
          <w:lang w:val="ru-RU"/>
        </w:rPr>
        <w:t xml:space="preserve">. Общая сумма, которую необходимо будет получить в виде сборов за </w:t>
      </w:r>
      <w:r w:rsidRPr="00FC4B0A">
        <w:rPr>
          <w:rFonts w:cs="Calibri"/>
          <w:lang w:val="en-US"/>
        </w:rPr>
        <w:t>SNF</w:t>
      </w:r>
      <w:r w:rsidRPr="007F2A5C">
        <w:rPr>
          <w:rFonts w:cs="Calibri"/>
          <w:lang w:val="ru-RU"/>
        </w:rPr>
        <w:t xml:space="preserve">, составит </w:t>
      </w:r>
      <w:r w:rsidRPr="007F2A5C">
        <w:rPr>
          <w:rFonts w:cs="Calibri"/>
          <w:b/>
          <w:bCs/>
          <w:lang w:val="ru-RU"/>
        </w:rPr>
        <w:t>17</w:t>
      </w:r>
      <w:r w:rsidRPr="00FC4B0A">
        <w:rPr>
          <w:rFonts w:cs="Calibri"/>
          <w:b/>
          <w:bCs/>
        </w:rPr>
        <w:t> </w:t>
      </w:r>
      <w:r w:rsidRPr="007F2A5C">
        <w:rPr>
          <w:rFonts w:cs="Calibri"/>
          <w:b/>
          <w:bCs/>
          <w:lang w:val="ru-RU"/>
        </w:rPr>
        <w:t>032</w:t>
      </w:r>
      <w:r w:rsidRPr="00FC4B0A">
        <w:rPr>
          <w:rFonts w:cs="Calibri"/>
          <w:b/>
          <w:bCs/>
        </w:rPr>
        <w:t> </w:t>
      </w:r>
      <w:r w:rsidRPr="007F2A5C">
        <w:rPr>
          <w:rFonts w:cs="Calibri"/>
          <w:b/>
          <w:bCs/>
          <w:lang w:val="ru-RU"/>
        </w:rPr>
        <w:t>400</w:t>
      </w:r>
      <w:r w:rsidRPr="00FC4B0A">
        <w:rPr>
          <w:rFonts w:cs="Calibri"/>
          <w:b/>
          <w:bCs/>
        </w:rPr>
        <w:t> </w:t>
      </w:r>
      <w:r w:rsidRPr="007F2A5C">
        <w:rPr>
          <w:rFonts w:cs="Calibri"/>
          <w:b/>
          <w:bCs/>
          <w:lang w:val="ru-RU"/>
        </w:rPr>
        <w:t>швейцарских франков</w:t>
      </w:r>
      <w:r w:rsidRPr="007F2A5C">
        <w:rPr>
          <w:rFonts w:cs="Calibri"/>
          <w:lang w:val="ru-RU"/>
        </w:rPr>
        <w:t>.</w:t>
      </w:r>
    </w:p>
    <w:p w14:paraId="4DF7745B" w14:textId="77777777" w:rsidR="007F2A5C" w:rsidRPr="007F2A5C" w:rsidRDefault="007F2A5C" w:rsidP="00D51FA2">
      <w:pPr>
        <w:pStyle w:val="Headingb"/>
        <w:jc w:val="both"/>
        <w:rPr>
          <w:lang w:val="ru-RU"/>
        </w:rPr>
      </w:pPr>
      <w:r w:rsidRPr="007F2A5C">
        <w:rPr>
          <w:lang w:val="ru-RU"/>
        </w:rPr>
        <w:t>Ассигнования на разработку программного обеспечения</w:t>
      </w:r>
    </w:p>
    <w:p w14:paraId="2937AB04" w14:textId="59884FA5" w:rsidR="007F2A5C" w:rsidRPr="007F2A5C" w:rsidRDefault="007F2A5C" w:rsidP="00D51FA2">
      <w:pPr>
        <w:jc w:val="both"/>
        <w:rPr>
          <w:rFonts w:cs="Calibri"/>
          <w:lang w:val="ru-RU"/>
        </w:rPr>
      </w:pPr>
      <w:r w:rsidRPr="007F2A5C">
        <w:rPr>
          <w:rFonts w:cs="Calibri"/>
          <w:lang w:val="ru-RU"/>
        </w:rPr>
        <w:t>13</w:t>
      </w:r>
      <w:r w:rsidRPr="007F2A5C">
        <w:rPr>
          <w:lang w:val="ru-RU"/>
        </w:rPr>
        <w:tab/>
      </w:r>
      <w:r w:rsidRPr="007F2A5C">
        <w:rPr>
          <w:rFonts w:cs="Calibri"/>
          <w:lang w:val="ru-RU"/>
        </w:rPr>
        <w:t xml:space="preserve">Секретариат отмечает, что в ГЭ-РЕШ482 не были указаны расходы, необходимые для обеспечения </w:t>
      </w:r>
      <w:r w:rsidRPr="007F2A5C">
        <w:rPr>
          <w:lang w:val="ru-RU"/>
        </w:rPr>
        <w:t>дальнейшей</w:t>
      </w:r>
      <w:r w:rsidRPr="007F2A5C">
        <w:rPr>
          <w:rFonts w:cs="Calibri"/>
          <w:lang w:val="ru-RU"/>
        </w:rPr>
        <w:t xml:space="preserve"> эффективной обработки заявок с учетом возросших объемов. Чтобы решить эту вопрос, Секретариат предлагает установить дополнительную сумму в размере </w:t>
      </w:r>
      <w:r w:rsidRPr="007F2A5C">
        <w:rPr>
          <w:rFonts w:cs="Calibri"/>
          <w:b/>
          <w:bCs/>
          <w:lang w:val="ru-RU"/>
        </w:rPr>
        <w:t>1</w:t>
      </w:r>
      <w:r>
        <w:rPr>
          <w:rFonts w:cs="Calibri"/>
          <w:b/>
          <w:bCs/>
        </w:rPr>
        <w:t> </w:t>
      </w:r>
      <w:r w:rsidRPr="007F2A5C">
        <w:rPr>
          <w:rFonts w:cs="Calibri"/>
          <w:b/>
          <w:bCs/>
          <w:lang w:val="ru-RU"/>
        </w:rPr>
        <w:t>000</w:t>
      </w:r>
      <w:r>
        <w:rPr>
          <w:rFonts w:cs="Calibri"/>
          <w:b/>
          <w:bCs/>
        </w:rPr>
        <w:t> </w:t>
      </w:r>
      <w:r w:rsidRPr="007F2A5C">
        <w:rPr>
          <w:rFonts w:cs="Calibri"/>
          <w:b/>
          <w:bCs/>
          <w:lang w:val="ru-RU"/>
        </w:rPr>
        <w:t>000 швейцарских франков</w:t>
      </w:r>
      <w:r w:rsidRPr="007F2A5C">
        <w:rPr>
          <w:rFonts w:cs="Calibri"/>
          <w:lang w:val="ru-RU"/>
        </w:rPr>
        <w:t xml:space="preserve"> в год, которая будет взиматься как часть сборов за </w:t>
      </w:r>
      <w:r w:rsidRPr="00921E85">
        <w:rPr>
          <w:rFonts w:cs="Calibri"/>
        </w:rPr>
        <w:t>SNF</w:t>
      </w:r>
      <w:r w:rsidRPr="007F2A5C">
        <w:rPr>
          <w:rFonts w:cs="Calibri"/>
          <w:lang w:val="ru-RU"/>
        </w:rPr>
        <w:t xml:space="preserve">. Эта сумма будет перечисляться в Капитальный фонд ИКТ и использоваться для обновления и модернизации программного обеспечения, используемого для </w:t>
      </w:r>
      <w:r w:rsidRPr="00921E85">
        <w:rPr>
          <w:rFonts w:cs="Calibri"/>
        </w:rPr>
        <w:t>SNF</w:t>
      </w:r>
      <w:r w:rsidRPr="007F2A5C">
        <w:rPr>
          <w:rFonts w:cs="Calibri"/>
          <w:lang w:val="ru-RU"/>
        </w:rPr>
        <w:t>.</w:t>
      </w:r>
    </w:p>
    <w:p w14:paraId="57A877C4" w14:textId="77777777" w:rsidR="007F2A5C" w:rsidRPr="007F2A5C" w:rsidRDefault="007F2A5C" w:rsidP="00D51FA2">
      <w:pPr>
        <w:pStyle w:val="Headingb"/>
        <w:jc w:val="both"/>
        <w:rPr>
          <w:lang w:val="ru-RU"/>
        </w:rPr>
      </w:pPr>
      <w:r w:rsidRPr="007F2A5C">
        <w:rPr>
          <w:lang w:val="ru-RU"/>
        </w:rPr>
        <w:t>Метод применения утвержденных пределов</w:t>
      </w:r>
    </w:p>
    <w:p w14:paraId="750786B2" w14:textId="187A53DD" w:rsidR="007F2A5C" w:rsidRPr="007F2A5C" w:rsidRDefault="007F2A5C" w:rsidP="00D51FA2">
      <w:pPr>
        <w:jc w:val="both"/>
        <w:rPr>
          <w:rFonts w:cs="Calibri"/>
          <w:b/>
          <w:bCs/>
          <w:lang w:val="ru-RU"/>
        </w:rPr>
      </w:pPr>
      <w:r w:rsidRPr="007F2A5C">
        <w:rPr>
          <w:rFonts w:cs="Calibri"/>
          <w:lang w:val="ru-RU"/>
        </w:rPr>
        <w:t>14</w:t>
      </w:r>
      <w:r w:rsidRPr="007F2A5C">
        <w:rPr>
          <w:lang w:val="ru-RU"/>
        </w:rPr>
        <w:tab/>
      </w:r>
      <w:r w:rsidRPr="007F2A5C">
        <w:rPr>
          <w:rFonts w:cs="Calibri"/>
          <w:lang w:val="ru-RU"/>
        </w:rPr>
        <w:t>Секретариат предлагает Совету утвердить применение пределов с использованием повышающего коэффициента сборов, установленного ГЭ-РЕШ482 в Документе</w:t>
      </w:r>
      <w:r>
        <w:rPr>
          <w:rFonts w:cs="Calibri"/>
        </w:rPr>
        <w:t> </w:t>
      </w:r>
      <w:hyperlink r:id="rId10" w:history="1">
        <w:r w:rsidRPr="00921E85">
          <w:rPr>
            <w:rStyle w:val="Hyperlink"/>
            <w:rFonts w:cs="Calibri"/>
          </w:rPr>
          <w:t>C</w:t>
        </w:r>
        <w:r w:rsidRPr="007F2A5C">
          <w:rPr>
            <w:rStyle w:val="Hyperlink"/>
            <w:rFonts w:cs="Calibri"/>
            <w:lang w:val="ru-RU"/>
          </w:rPr>
          <w:t>25/10</w:t>
        </w:r>
      </w:hyperlink>
      <w:r w:rsidRPr="007F2A5C">
        <w:rPr>
          <w:rFonts w:cs="Calibri"/>
          <w:lang w:val="ru-RU"/>
        </w:rPr>
        <w:t xml:space="preserve">, имея в виду </w:t>
      </w:r>
      <w:r w:rsidRPr="007F2A5C">
        <w:rPr>
          <w:lang w:val="ru-RU"/>
        </w:rPr>
        <w:t>ожидаемый</w:t>
      </w:r>
      <w:r w:rsidRPr="007F2A5C">
        <w:rPr>
          <w:rFonts w:cs="Calibri"/>
          <w:lang w:val="ru-RU"/>
        </w:rPr>
        <w:t xml:space="preserve"> уровень возмещения с учетом новых сборов и текущего объема подаваемых заявок, для того чтобы достичь утвержденного уровня возмещения. Секретариат находится в процессе расчета размера сборов, которые будут взиматься в соответствии с рекомендациями ГЭ-РЕШ482, представленными Совету в Документе </w:t>
      </w:r>
      <w:hyperlink r:id="rId11" w:history="1">
        <w:r w:rsidRPr="00921E85">
          <w:rPr>
            <w:rStyle w:val="Hyperlink"/>
            <w:rFonts w:cs="Calibri"/>
          </w:rPr>
          <w:t>C</w:t>
        </w:r>
        <w:r w:rsidRPr="007F2A5C">
          <w:rPr>
            <w:rStyle w:val="Hyperlink"/>
            <w:rFonts w:cs="Calibri"/>
            <w:lang w:val="ru-RU"/>
          </w:rPr>
          <w:t>25/10</w:t>
        </w:r>
      </w:hyperlink>
      <w:r w:rsidRPr="007F2A5C">
        <w:rPr>
          <w:rFonts w:cs="Calibri"/>
          <w:lang w:val="ru-RU"/>
        </w:rPr>
        <w:t xml:space="preserve">, однако это предлагается, и Генеральный секретарь просит Совет утвердить использование стандартного повышающего коэффициента применительно ко всем предлагаемым сборам в размере, необходимом для того, чтобы общий доход достиг </w:t>
      </w:r>
      <w:r w:rsidRPr="007F2A5C">
        <w:rPr>
          <w:rFonts w:cs="Calibri"/>
          <w:b/>
          <w:bCs/>
          <w:lang w:val="ru-RU"/>
        </w:rPr>
        <w:t>18</w:t>
      </w:r>
      <w:r>
        <w:rPr>
          <w:rFonts w:cs="Calibri"/>
          <w:b/>
          <w:bCs/>
        </w:rPr>
        <w:t> </w:t>
      </w:r>
      <w:r w:rsidRPr="007F2A5C">
        <w:rPr>
          <w:rFonts w:cs="Calibri"/>
          <w:b/>
          <w:bCs/>
          <w:lang w:val="ru-RU"/>
        </w:rPr>
        <w:t>032</w:t>
      </w:r>
      <w:r>
        <w:rPr>
          <w:rFonts w:cs="Calibri"/>
          <w:b/>
          <w:bCs/>
        </w:rPr>
        <w:t> </w:t>
      </w:r>
      <w:r w:rsidRPr="007F2A5C">
        <w:rPr>
          <w:rFonts w:cs="Calibri"/>
          <w:b/>
          <w:bCs/>
          <w:lang w:val="ru-RU"/>
        </w:rPr>
        <w:t>400 швейцарских франков</w:t>
      </w:r>
      <w:r w:rsidRPr="007F2A5C">
        <w:rPr>
          <w:rFonts w:cs="Calibri"/>
          <w:lang w:val="ru-RU"/>
        </w:rPr>
        <w:t xml:space="preserve">. В случае утверждения Секретариат рассчитает необходимый размер сборов и опубликует их для применения начиная с </w:t>
      </w:r>
      <w:r w:rsidRPr="007F2A5C">
        <w:rPr>
          <w:rFonts w:cs="Calibri"/>
          <w:b/>
          <w:bCs/>
          <w:lang w:val="ru-RU"/>
        </w:rPr>
        <w:t>1 января 2026 года</w:t>
      </w:r>
      <w:r w:rsidRPr="007F2A5C">
        <w:rPr>
          <w:rFonts w:cs="Calibri"/>
          <w:lang w:val="ru-RU"/>
        </w:rPr>
        <w:t>.</w:t>
      </w:r>
    </w:p>
    <w:p w14:paraId="3CC75B77" w14:textId="77777777" w:rsidR="007F2A5C" w:rsidRPr="007F2A5C" w:rsidRDefault="007F2A5C" w:rsidP="007F2A5C">
      <w:pPr>
        <w:rPr>
          <w:rFonts w:cs="Calibri"/>
          <w:szCs w:val="24"/>
          <w:lang w:val="ru-RU"/>
        </w:rPr>
      </w:pPr>
      <w:r w:rsidRPr="007F2A5C">
        <w:rPr>
          <w:rFonts w:cs="Calibri"/>
          <w:szCs w:val="24"/>
          <w:lang w:val="ru-RU"/>
        </w:rPr>
        <w:br w:type="page"/>
      </w:r>
    </w:p>
    <w:p w14:paraId="470CC75C" w14:textId="77777777" w:rsidR="007F2A5C" w:rsidRPr="007F2A5C" w:rsidRDefault="007F2A5C" w:rsidP="007F2A5C">
      <w:pPr>
        <w:pStyle w:val="AnnexNo"/>
        <w:rPr>
          <w:lang w:val="ru-RU"/>
        </w:rPr>
      </w:pPr>
      <w:bookmarkStart w:id="8" w:name="Annex_1"/>
      <w:r w:rsidRPr="007F2A5C">
        <w:rPr>
          <w:lang w:val="ru-RU"/>
        </w:rPr>
        <w:lastRenderedPageBreak/>
        <w:t>ПРИЛОЖЕНИЕ 1</w:t>
      </w:r>
      <w:bookmarkEnd w:id="8"/>
    </w:p>
    <w:p w14:paraId="5048FA2C" w14:textId="77777777" w:rsidR="007F2A5C" w:rsidRPr="007F2A5C" w:rsidRDefault="007F2A5C" w:rsidP="007F2A5C">
      <w:pPr>
        <w:pStyle w:val="Annextitle"/>
        <w:rPr>
          <w:lang w:val="ru-RU"/>
        </w:rPr>
      </w:pPr>
      <w:r w:rsidRPr="007F2A5C">
        <w:rPr>
          <w:lang w:val="ru-RU"/>
        </w:rPr>
        <w:t xml:space="preserve">Сравнение с контрольными показателями распределения </w:t>
      </w:r>
      <w:r w:rsidRPr="007F2A5C">
        <w:rPr>
          <w:lang w:val="ru-RU"/>
        </w:rPr>
        <w:br/>
        <w:t>косвенных затрат в международных организациях</w:t>
      </w:r>
    </w:p>
    <w:p w14:paraId="1AB25D74" w14:textId="77777777" w:rsidR="007F2A5C" w:rsidRPr="007F2A5C" w:rsidRDefault="007F2A5C" w:rsidP="00D51FA2">
      <w:pPr>
        <w:jc w:val="both"/>
        <w:rPr>
          <w:rFonts w:cs="Calibri"/>
          <w:szCs w:val="24"/>
          <w:lang w:val="ru-RU"/>
        </w:rPr>
      </w:pPr>
      <w:r w:rsidRPr="007F2A5C">
        <w:rPr>
          <w:rFonts w:cs="Calibri"/>
          <w:szCs w:val="24"/>
          <w:lang w:val="ru-RU"/>
        </w:rPr>
        <w:t xml:space="preserve">Для того, чтобы установить разумную величину распределения косвенных затрат, Секретариат предлагает руководствоваться контрольными показателями, установленными признанными международными учреждениями, для определения соответствующих величин. Были использованы результаты двух недавно проведенных исследований, которые предполагают распределение косвенных затрат в диапазоне от </w:t>
      </w:r>
      <w:r w:rsidRPr="007F2A5C">
        <w:rPr>
          <w:rFonts w:cs="Calibri"/>
          <w:b/>
          <w:bCs/>
          <w:szCs w:val="24"/>
          <w:lang w:val="ru-RU"/>
        </w:rPr>
        <w:t>25% до 30% от прямых затрат</w:t>
      </w:r>
      <w:r w:rsidRPr="007F2A5C">
        <w:rPr>
          <w:rFonts w:cs="Calibri"/>
          <w:szCs w:val="24"/>
          <w:lang w:val="ru-RU"/>
        </w:rPr>
        <w:t>, в зависимости от характера и сложности предоставляемых услуг.</w:t>
      </w:r>
    </w:p>
    <w:p w14:paraId="47B7DB18" w14:textId="2494D53C" w:rsidR="007F2A5C" w:rsidRPr="00E606AA" w:rsidRDefault="007F2A5C" w:rsidP="00D51FA2">
      <w:pPr>
        <w:pStyle w:val="enumlev1"/>
        <w:jc w:val="both"/>
        <w:rPr>
          <w:lang w:val="ru-RU"/>
        </w:rPr>
      </w:pPr>
      <w:r w:rsidRPr="007F2A5C">
        <w:rPr>
          <w:b/>
          <w:bCs/>
          <w:lang w:val="ru-RU"/>
        </w:rPr>
        <w:t>1</w:t>
      </w:r>
      <w:r w:rsidRPr="007F2A5C">
        <w:rPr>
          <w:b/>
          <w:bCs/>
          <w:lang w:val="ru-RU"/>
        </w:rPr>
        <w:tab/>
        <w:t>Исследования Всемирного банка и МФК</w:t>
      </w:r>
      <w:r w:rsidR="00E606AA" w:rsidRPr="00E606AA">
        <w:rPr>
          <w:lang w:val="ru-RU"/>
        </w:rPr>
        <w:t>:</w:t>
      </w:r>
    </w:p>
    <w:p w14:paraId="735D0B25" w14:textId="7D3939BF" w:rsidR="007F2A5C" w:rsidRPr="007F2A5C" w:rsidRDefault="007F2A5C" w:rsidP="00D51FA2">
      <w:pPr>
        <w:pStyle w:val="enumlev2"/>
        <w:jc w:val="both"/>
        <w:rPr>
          <w:lang w:val="ru-RU"/>
        </w:rPr>
      </w:pPr>
      <w:r w:rsidRPr="007F2A5C">
        <w:rPr>
          <w:lang w:val="ru-RU"/>
        </w:rPr>
        <w:t>•</w:t>
      </w:r>
      <w:r w:rsidRPr="007F2A5C">
        <w:rPr>
          <w:lang w:val="ru-RU"/>
        </w:rPr>
        <w:tab/>
        <w:t xml:space="preserve">Согласно системе возмещения затрат Всемирного банка и Международной финансовой корпорации (МФК), административные накладные расходы в организациях государственного сектора в идеальном варианте не должны превышать </w:t>
      </w:r>
      <w:r w:rsidRPr="007F2A5C">
        <w:rPr>
          <w:b/>
          <w:bCs/>
          <w:lang w:val="ru-RU"/>
        </w:rPr>
        <w:t>30%</w:t>
      </w:r>
      <w:r w:rsidRPr="007F2A5C">
        <w:rPr>
          <w:lang w:val="ru-RU"/>
        </w:rPr>
        <w:t xml:space="preserve"> прямых текущих расходов, что является сбалансированным подходом к возмещению затрат и обеспечению прозрачности.</w:t>
      </w:r>
    </w:p>
    <w:p w14:paraId="53818C11" w14:textId="39A01424" w:rsidR="007F2A5C" w:rsidRPr="00921E85" w:rsidRDefault="007F2A5C" w:rsidP="00D51FA2">
      <w:pPr>
        <w:pStyle w:val="enumlev2"/>
        <w:jc w:val="both"/>
        <w:rPr>
          <w:rFonts w:cs="Calibri"/>
          <w:szCs w:val="24"/>
        </w:rPr>
      </w:pPr>
      <w:r w:rsidRPr="007F2A5C">
        <w:t>•</w:t>
      </w:r>
      <w:r w:rsidRPr="007F2A5C">
        <w:tab/>
      </w:r>
      <w:r w:rsidRPr="007F2A5C">
        <w:rPr>
          <w:lang w:val="ru-RU"/>
        </w:rPr>
        <w:t>Источник</w:t>
      </w:r>
      <w:r w:rsidRPr="00921E85">
        <w:rPr>
          <w:rFonts w:cs="Calibri"/>
          <w:szCs w:val="24"/>
        </w:rPr>
        <w:t xml:space="preserve">: IFC (2020), </w:t>
      </w:r>
      <w:r w:rsidRPr="00921E85">
        <w:rPr>
          <w:rFonts w:cs="Calibri"/>
          <w:i/>
          <w:iCs/>
          <w:szCs w:val="24"/>
        </w:rPr>
        <w:t>Guidelines for Project Cost Allocation and Cost Recovery</w:t>
      </w:r>
      <w:r w:rsidRPr="00921E85">
        <w:rPr>
          <w:rFonts w:cs="Calibri"/>
          <w:szCs w:val="24"/>
        </w:rPr>
        <w:t>, World Bank Group, Washington DC.</w:t>
      </w:r>
    </w:p>
    <w:p w14:paraId="2BE74B4F" w14:textId="06B71636" w:rsidR="007F2A5C" w:rsidRPr="007F2A5C" w:rsidRDefault="007F2A5C" w:rsidP="00D51FA2">
      <w:pPr>
        <w:pStyle w:val="enumlev1"/>
        <w:jc w:val="both"/>
        <w:rPr>
          <w:lang w:val="ru-RU"/>
        </w:rPr>
      </w:pPr>
      <w:r w:rsidRPr="007F2A5C">
        <w:rPr>
          <w:b/>
          <w:bCs/>
          <w:lang w:val="ru-RU"/>
        </w:rPr>
        <w:t>2</w:t>
      </w:r>
      <w:r w:rsidRPr="007F2A5C">
        <w:rPr>
          <w:b/>
          <w:bCs/>
          <w:lang w:val="ru-RU"/>
        </w:rPr>
        <w:tab/>
        <w:t>Общая система Организации Объединенных Наций (ПРООН и ЮНИСЕФ)</w:t>
      </w:r>
      <w:r w:rsidRPr="007F2A5C">
        <w:rPr>
          <w:lang w:val="ru-RU"/>
        </w:rPr>
        <w:t>:</w:t>
      </w:r>
    </w:p>
    <w:p w14:paraId="6340D516" w14:textId="678C72D4" w:rsidR="007F2A5C" w:rsidRPr="007F2A5C" w:rsidRDefault="007F2A5C" w:rsidP="00D51FA2">
      <w:pPr>
        <w:pStyle w:val="enumlev2"/>
        <w:jc w:val="both"/>
        <w:rPr>
          <w:lang w:val="ru-RU"/>
        </w:rPr>
      </w:pPr>
      <w:r w:rsidRPr="007F2A5C">
        <w:rPr>
          <w:lang w:val="ru-RU"/>
        </w:rPr>
        <w:t>•</w:t>
      </w:r>
      <w:r w:rsidRPr="007F2A5C">
        <w:rPr>
          <w:lang w:val="ru-RU"/>
        </w:rPr>
        <w:tab/>
        <w:t>Руководящие принципы Программы развития Организации Объединенных Наций (ПРООН) и Детского фонда Организации Объединенных Наций (ЮНИСЕФ) в отношении затрат на обслуживание программ (</w:t>
      </w:r>
      <w:r w:rsidRPr="00D9086B">
        <w:t>PSC</w:t>
      </w:r>
      <w:r w:rsidRPr="007F2A5C">
        <w:rPr>
          <w:lang w:val="ru-RU"/>
        </w:rPr>
        <w:t xml:space="preserve">) прямо рекомендуют ограничивать возмещение косвенных затрат (накладных расходов) уровнем, не превышающим </w:t>
      </w:r>
      <w:r w:rsidRPr="007F2A5C">
        <w:rPr>
          <w:b/>
          <w:bCs/>
          <w:lang w:val="ru-RU"/>
        </w:rPr>
        <w:t>25</w:t>
      </w:r>
      <w:r w:rsidR="00E606AA">
        <w:rPr>
          <w:rFonts w:cs="Calibri"/>
          <w:szCs w:val="24"/>
          <w:lang w:val="ru-RU"/>
        </w:rPr>
        <w:t>-</w:t>
      </w:r>
      <w:r w:rsidRPr="007F2A5C">
        <w:rPr>
          <w:b/>
          <w:bCs/>
          <w:lang w:val="ru-RU"/>
        </w:rPr>
        <w:t>30%</w:t>
      </w:r>
      <w:r w:rsidRPr="007F2A5C">
        <w:rPr>
          <w:lang w:val="ru-RU"/>
        </w:rPr>
        <w:t xml:space="preserve"> прямых затрат по проекту.</w:t>
      </w:r>
    </w:p>
    <w:p w14:paraId="493BA075" w14:textId="399D170F" w:rsidR="007F2A5C" w:rsidRPr="00921E85" w:rsidRDefault="007F2A5C" w:rsidP="00D51FA2">
      <w:pPr>
        <w:pStyle w:val="enumlev2"/>
        <w:jc w:val="both"/>
      </w:pPr>
      <w:r w:rsidRPr="007F2A5C">
        <w:t>•</w:t>
      </w:r>
      <w:r w:rsidRPr="007F2A5C">
        <w:tab/>
      </w:r>
      <w:r>
        <w:t>Источник</w:t>
      </w:r>
      <w:r w:rsidRPr="00921E85">
        <w:t xml:space="preserve">: UNDP (2019), </w:t>
      </w:r>
      <w:r w:rsidRPr="00921E85">
        <w:rPr>
          <w:i/>
          <w:iCs/>
        </w:rPr>
        <w:t>Cost Recovery and Cost Classification Guidelines</w:t>
      </w:r>
      <w:r w:rsidRPr="00921E85">
        <w:t>, United Nations Development Programme, New York.</w:t>
      </w:r>
    </w:p>
    <w:p w14:paraId="0F877ED3" w14:textId="5A8A7B7B" w:rsidR="007F2A5C" w:rsidRPr="00921E85" w:rsidRDefault="007F2A5C" w:rsidP="00D51FA2">
      <w:pPr>
        <w:pStyle w:val="enumlev2"/>
        <w:jc w:val="both"/>
      </w:pPr>
      <w:r w:rsidRPr="007F2A5C">
        <w:t>•</w:t>
      </w:r>
      <w:r w:rsidRPr="007F2A5C">
        <w:tab/>
      </w:r>
      <w:r>
        <w:t>Источник</w:t>
      </w:r>
      <w:r w:rsidRPr="00921E85">
        <w:t xml:space="preserve">: UNICEF (2020), </w:t>
      </w:r>
      <w:r w:rsidRPr="00921E85">
        <w:rPr>
          <w:i/>
          <w:iCs/>
        </w:rPr>
        <w:t>UNICEF Cost Recovery Policy</w:t>
      </w:r>
      <w:r w:rsidRPr="00921E85">
        <w:t>, United Nations Children's Fund Executive Board Document, New York.</w:t>
      </w:r>
    </w:p>
    <w:p w14:paraId="5C1921B8" w14:textId="77777777" w:rsidR="007F2A5C" w:rsidRPr="00921E85" w:rsidRDefault="007F2A5C" w:rsidP="007F2A5C">
      <w:pPr>
        <w:rPr>
          <w:rFonts w:cs="Calibri"/>
          <w:szCs w:val="24"/>
        </w:rPr>
      </w:pPr>
      <w:r w:rsidRPr="00921E85">
        <w:rPr>
          <w:rFonts w:cs="Calibri"/>
          <w:szCs w:val="24"/>
        </w:rPr>
        <w:br w:type="page"/>
      </w:r>
    </w:p>
    <w:p w14:paraId="4B2F6B1B" w14:textId="77777777" w:rsidR="007F2A5C" w:rsidRPr="007F2A5C" w:rsidRDefault="007F2A5C" w:rsidP="007F2A5C">
      <w:pPr>
        <w:pStyle w:val="AnnexNo"/>
        <w:rPr>
          <w:lang w:val="ru-RU"/>
        </w:rPr>
      </w:pPr>
      <w:bookmarkStart w:id="9" w:name="Annex_2"/>
      <w:r w:rsidRPr="007F2A5C">
        <w:rPr>
          <w:lang w:val="ru-RU"/>
        </w:rPr>
        <w:lastRenderedPageBreak/>
        <w:t>ПРИЛОЖЕНИЕ 2</w:t>
      </w:r>
      <w:bookmarkEnd w:id="9"/>
    </w:p>
    <w:p w14:paraId="752CCDC9" w14:textId="77777777" w:rsidR="007F2A5C" w:rsidRPr="007F2A5C" w:rsidRDefault="007F2A5C" w:rsidP="00D51FA2">
      <w:pPr>
        <w:pStyle w:val="Normalaftertitle"/>
        <w:jc w:val="both"/>
        <w:rPr>
          <w:lang w:val="ru-RU"/>
        </w:rPr>
      </w:pPr>
      <w:r w:rsidRPr="007F2A5C">
        <w:rPr>
          <w:lang w:val="ru-RU"/>
        </w:rPr>
        <w:t xml:space="preserve">В приведенном ниже кратком </w:t>
      </w:r>
      <w:r w:rsidRPr="00EF49C7">
        <w:rPr>
          <w:lang w:val="ru-RU"/>
        </w:rPr>
        <w:t>изложении</w:t>
      </w:r>
      <w:r w:rsidRPr="007F2A5C">
        <w:rPr>
          <w:lang w:val="ru-RU"/>
        </w:rPr>
        <w:t xml:space="preserve"> результатов анализа описана используемая методология, ключевые факторы, влияющие на косвенные затраты, и группы затрат.</w:t>
      </w:r>
    </w:p>
    <w:p w14:paraId="52DF9633" w14:textId="6F1B3BB2" w:rsidR="007F2A5C" w:rsidRPr="00EF49C7" w:rsidRDefault="007F2A5C" w:rsidP="00E606AA">
      <w:pPr>
        <w:spacing w:before="240"/>
        <w:jc w:val="center"/>
        <w:rPr>
          <w:rFonts w:cs="Calibri"/>
          <w:b/>
          <w:bCs/>
          <w:szCs w:val="24"/>
          <w:lang w:val="ru-RU"/>
        </w:rPr>
      </w:pPr>
      <w:r w:rsidRPr="007F2A5C">
        <w:rPr>
          <w:rFonts w:cs="Calibri"/>
          <w:b/>
          <w:bCs/>
          <w:szCs w:val="24"/>
          <w:lang w:val="ru-RU"/>
        </w:rPr>
        <w:t xml:space="preserve">Краткое описание групп затрат по видам деятельности и смета </w:t>
      </w:r>
      <w:r w:rsidRPr="007F2A5C">
        <w:rPr>
          <w:rFonts w:cs="Calibri"/>
          <w:b/>
          <w:bCs/>
          <w:szCs w:val="24"/>
          <w:lang w:val="ru-RU"/>
        </w:rPr>
        <w:br/>
        <w:t>соответствующих затрат</w:t>
      </w:r>
    </w:p>
    <w:p w14:paraId="6691F7DE" w14:textId="77777777" w:rsidR="007F2A5C" w:rsidRPr="007F2A5C" w:rsidRDefault="007F2A5C" w:rsidP="00D51FA2">
      <w:pPr>
        <w:jc w:val="both"/>
        <w:rPr>
          <w:lang w:val="ru-RU"/>
        </w:rPr>
      </w:pPr>
      <w:r w:rsidRPr="007F2A5C">
        <w:rPr>
          <w:lang w:val="ru-RU"/>
        </w:rPr>
        <w:t xml:space="preserve">МСЭ провел предварительный анализ своих косвенных затрат. Первым шагом является определение групп затрат, которые непосредственно связаны с </w:t>
      </w:r>
      <w:r>
        <w:rPr>
          <w:lang w:val="en-US"/>
        </w:rPr>
        <w:t>SNF</w:t>
      </w:r>
      <w:r w:rsidRPr="007F2A5C">
        <w:rPr>
          <w:lang w:val="ru-RU"/>
        </w:rPr>
        <w:t xml:space="preserve">. Они определены следующим образом: </w:t>
      </w:r>
    </w:p>
    <w:p w14:paraId="08DEFB95" w14:textId="5371C894" w:rsidR="007F2A5C" w:rsidRPr="00E606AA" w:rsidRDefault="00C661C2" w:rsidP="00D51FA2">
      <w:pPr>
        <w:pStyle w:val="enumlev1"/>
        <w:jc w:val="both"/>
        <w:rPr>
          <w:lang w:val="ru-RU"/>
        </w:rPr>
      </w:pPr>
      <w:r w:rsidRPr="00C661C2">
        <w:rPr>
          <w:lang w:val="ru-RU"/>
        </w:rPr>
        <w:t>–</w:t>
      </w:r>
      <w:r w:rsidR="007F2A5C" w:rsidRPr="007F2A5C">
        <w:rPr>
          <w:lang w:val="ru-RU"/>
        </w:rPr>
        <w:tab/>
        <w:t>информационно-технологическое обеспечение</w:t>
      </w:r>
      <w:r w:rsidR="00E606AA">
        <w:rPr>
          <w:lang w:val="ru-RU"/>
        </w:rPr>
        <w:t>;</w:t>
      </w:r>
    </w:p>
    <w:p w14:paraId="6D66473C" w14:textId="69DF5CB5" w:rsidR="007F2A5C" w:rsidRPr="007F2A5C" w:rsidRDefault="00C661C2" w:rsidP="00D51FA2">
      <w:pPr>
        <w:pStyle w:val="enumlev1"/>
        <w:jc w:val="both"/>
        <w:rPr>
          <w:lang w:val="ru-RU"/>
        </w:rPr>
      </w:pPr>
      <w:r w:rsidRPr="00C661C2">
        <w:rPr>
          <w:lang w:val="ru-RU"/>
        </w:rPr>
        <w:t>–</w:t>
      </w:r>
      <w:r w:rsidR="007F2A5C" w:rsidRPr="007F2A5C">
        <w:rPr>
          <w:lang w:val="ru-RU"/>
        </w:rPr>
        <w:tab/>
        <w:t>помещения и оборудование</w:t>
      </w:r>
      <w:r w:rsidR="00E606AA">
        <w:rPr>
          <w:lang w:val="ru-RU"/>
        </w:rPr>
        <w:t>;</w:t>
      </w:r>
    </w:p>
    <w:p w14:paraId="07C7CD46" w14:textId="15E9C75D" w:rsidR="007F2A5C" w:rsidRPr="007F2A5C" w:rsidRDefault="00C661C2" w:rsidP="00D51FA2">
      <w:pPr>
        <w:pStyle w:val="enumlev1"/>
        <w:jc w:val="both"/>
        <w:rPr>
          <w:lang w:val="ru-RU"/>
        </w:rPr>
      </w:pPr>
      <w:r w:rsidRPr="00C661C2">
        <w:rPr>
          <w:lang w:val="ru-RU"/>
        </w:rPr>
        <w:t>–</w:t>
      </w:r>
      <w:r w:rsidR="007F2A5C" w:rsidRPr="007F2A5C">
        <w:rPr>
          <w:lang w:val="ru-RU"/>
        </w:rPr>
        <w:tab/>
        <w:t>кадровые ресурсы</w:t>
      </w:r>
      <w:r w:rsidR="00E606AA">
        <w:rPr>
          <w:lang w:val="ru-RU"/>
        </w:rPr>
        <w:t>;</w:t>
      </w:r>
    </w:p>
    <w:p w14:paraId="171AAF4E" w14:textId="2F319DB5" w:rsidR="007F2A5C" w:rsidRPr="007F2A5C" w:rsidRDefault="00C661C2" w:rsidP="00D51FA2">
      <w:pPr>
        <w:pStyle w:val="enumlev1"/>
        <w:jc w:val="both"/>
        <w:rPr>
          <w:lang w:val="ru-RU"/>
        </w:rPr>
      </w:pPr>
      <w:r w:rsidRPr="00C661C2">
        <w:rPr>
          <w:lang w:val="ru-RU"/>
        </w:rPr>
        <w:t>–</w:t>
      </w:r>
      <w:r w:rsidR="007F2A5C" w:rsidRPr="007F2A5C">
        <w:rPr>
          <w:lang w:val="ru-RU"/>
        </w:rPr>
        <w:tab/>
        <w:t>финансовые и юридические услуги</w:t>
      </w:r>
      <w:r w:rsidR="00E606AA">
        <w:rPr>
          <w:lang w:val="ru-RU"/>
        </w:rPr>
        <w:t>;</w:t>
      </w:r>
      <w:r w:rsidR="007F2A5C" w:rsidRPr="007F2A5C">
        <w:rPr>
          <w:lang w:val="ru-RU"/>
        </w:rPr>
        <w:t xml:space="preserve"> и</w:t>
      </w:r>
    </w:p>
    <w:p w14:paraId="75C3F1A3" w14:textId="5C83C03A" w:rsidR="007F2A5C" w:rsidRPr="007F2A5C" w:rsidRDefault="00C661C2" w:rsidP="00D51FA2">
      <w:pPr>
        <w:pStyle w:val="enumlev1"/>
        <w:jc w:val="both"/>
        <w:rPr>
          <w:lang w:val="ru-RU"/>
        </w:rPr>
      </w:pPr>
      <w:r w:rsidRPr="00C661C2">
        <w:rPr>
          <w:lang w:val="ru-RU"/>
        </w:rPr>
        <w:t>–</w:t>
      </w:r>
      <w:r w:rsidR="007F2A5C" w:rsidRPr="007F2A5C">
        <w:rPr>
          <w:lang w:val="ru-RU"/>
        </w:rPr>
        <w:tab/>
        <w:t>административные накладные расходы.</w:t>
      </w:r>
    </w:p>
    <w:p w14:paraId="791A0428" w14:textId="77777777" w:rsidR="007F2A5C" w:rsidRPr="007F2A5C" w:rsidRDefault="007F2A5C" w:rsidP="00D51FA2">
      <w:pPr>
        <w:jc w:val="both"/>
        <w:rPr>
          <w:rFonts w:cs="Calibri"/>
          <w:szCs w:val="24"/>
          <w:lang w:val="ru-RU"/>
        </w:rPr>
      </w:pPr>
      <w:r w:rsidRPr="007F2A5C">
        <w:rPr>
          <w:rFonts w:cs="Calibri"/>
          <w:szCs w:val="24"/>
          <w:lang w:val="ru-RU"/>
        </w:rPr>
        <w:t>Следующий шаг, описанный в следующем разделе, заключается в определении уровня деятельности, который определяет эти затраты, т. е. каковы прямые затраты, определяющие вышеуказанные группы затрат.</w:t>
      </w:r>
    </w:p>
    <w:p w14:paraId="761E5BCD" w14:textId="2325758C" w:rsidR="007F2A5C" w:rsidRPr="00EF49C7" w:rsidRDefault="007F2A5C" w:rsidP="00E606AA">
      <w:pPr>
        <w:spacing w:before="240"/>
        <w:jc w:val="center"/>
        <w:rPr>
          <w:rFonts w:cs="Calibri"/>
          <w:b/>
          <w:bCs/>
          <w:szCs w:val="24"/>
          <w:lang w:val="ru-RU"/>
        </w:rPr>
      </w:pPr>
      <w:r w:rsidRPr="007F2A5C">
        <w:rPr>
          <w:rFonts w:cs="Calibri"/>
          <w:b/>
          <w:bCs/>
          <w:szCs w:val="24"/>
          <w:lang w:val="ru-RU"/>
        </w:rPr>
        <w:t xml:space="preserve">Принципы распределения полных затрат для определения затрат на </w:t>
      </w:r>
      <w:r w:rsidRPr="00921E85">
        <w:rPr>
          <w:rFonts w:cs="Calibri"/>
          <w:b/>
          <w:bCs/>
          <w:szCs w:val="24"/>
        </w:rPr>
        <w:t>SNF</w:t>
      </w:r>
    </w:p>
    <w:p w14:paraId="05B4CF9F" w14:textId="26C4DA08" w:rsidR="007F2A5C" w:rsidRPr="007F2A5C" w:rsidRDefault="007F2A5C" w:rsidP="00D51FA2">
      <w:pPr>
        <w:jc w:val="both"/>
        <w:rPr>
          <w:rFonts w:cs="Calibri"/>
          <w:szCs w:val="24"/>
          <w:lang w:val="ru-RU"/>
        </w:rPr>
      </w:pPr>
      <w:r w:rsidRPr="007F2A5C">
        <w:rPr>
          <w:rFonts w:cs="Calibri"/>
          <w:szCs w:val="24"/>
          <w:lang w:val="ru-RU"/>
        </w:rPr>
        <w:t>В контексте обработки МСЭ заявок на регистрацию спутниковых сетей (</w:t>
      </w:r>
      <w:r w:rsidRPr="00F9520E">
        <w:rPr>
          <w:rFonts w:cs="Calibri"/>
          <w:szCs w:val="24"/>
        </w:rPr>
        <w:t>SNF</w:t>
      </w:r>
      <w:r w:rsidRPr="007F2A5C">
        <w:rPr>
          <w:rFonts w:cs="Calibri"/>
          <w:szCs w:val="24"/>
          <w:lang w:val="ru-RU"/>
        </w:rPr>
        <w:t xml:space="preserve">) внедрение модели детализированного распределения полных затрат обеспечило бы ясность в отношении фактического использования ресурсов на различные процессы, связанные с </w:t>
      </w:r>
      <w:r w:rsidRPr="00F9520E">
        <w:rPr>
          <w:rFonts w:cs="Calibri"/>
          <w:szCs w:val="24"/>
        </w:rPr>
        <w:t>SNF</w:t>
      </w:r>
      <w:r w:rsidRPr="007F2A5C">
        <w:rPr>
          <w:rFonts w:cs="Calibri"/>
          <w:szCs w:val="24"/>
          <w:lang w:val="ru-RU"/>
        </w:rPr>
        <w:t xml:space="preserve"> (публикация, координация, заявление и план). В существующей модели распределения косвенных затрат косвенные накладные расходы на все операции, связанные с </w:t>
      </w:r>
      <w:r w:rsidRPr="00F9520E">
        <w:rPr>
          <w:rFonts w:cs="Calibri"/>
          <w:szCs w:val="24"/>
        </w:rPr>
        <w:t>SNF</w:t>
      </w:r>
      <w:r w:rsidRPr="007F2A5C">
        <w:rPr>
          <w:rFonts w:cs="Calibri"/>
          <w:szCs w:val="24"/>
          <w:lang w:val="ru-RU"/>
        </w:rPr>
        <w:t>, составляют 107%, что является слишком высоким показателем по сравнению с международными нормами (обычно 25</w:t>
      </w:r>
      <w:r w:rsidR="00E606AA">
        <w:rPr>
          <w:rFonts w:cs="Calibri"/>
          <w:szCs w:val="24"/>
          <w:lang w:val="ru-RU"/>
        </w:rPr>
        <w:t>-</w:t>
      </w:r>
      <w:r w:rsidRPr="007F2A5C">
        <w:rPr>
          <w:rFonts w:cs="Calibri"/>
          <w:szCs w:val="24"/>
          <w:lang w:val="ru-RU"/>
        </w:rPr>
        <w:t>30%).</w:t>
      </w:r>
    </w:p>
    <w:p w14:paraId="048DBBE4" w14:textId="6ED52AD8" w:rsidR="007F2A5C" w:rsidRPr="007F2A5C" w:rsidRDefault="007F2A5C" w:rsidP="00D51FA2">
      <w:pPr>
        <w:jc w:val="both"/>
        <w:rPr>
          <w:rFonts w:cs="Calibri"/>
          <w:szCs w:val="24"/>
          <w:lang w:val="ru-RU"/>
        </w:rPr>
      </w:pPr>
      <w:r w:rsidRPr="007F2A5C">
        <w:rPr>
          <w:rFonts w:cs="Calibri"/>
          <w:szCs w:val="24"/>
          <w:lang w:val="ru-RU"/>
        </w:rPr>
        <w:t xml:space="preserve">На основе результатов ранее проведенного анализа и с учетом необходимости их уточнения будет применяться структурированный и детализированный подход к распределению затрат. Будут четко определены группы затрат и факторы, определяющие их величину, </w:t>
      </w:r>
      <w:r w:rsidR="00E606AA" w:rsidRPr="007F2A5C">
        <w:rPr>
          <w:rFonts w:cs="Calibri"/>
          <w:szCs w:val="24"/>
          <w:lang w:val="ru-RU"/>
        </w:rPr>
        <w:t>−</w:t>
      </w:r>
      <w:r w:rsidRPr="007F2A5C">
        <w:rPr>
          <w:rFonts w:cs="Calibri"/>
          <w:szCs w:val="24"/>
          <w:lang w:val="ru-RU"/>
        </w:rPr>
        <w:t xml:space="preserve"> мероприятия, которые наиболее точно отражают использование ресурсов в рамках процессов </w:t>
      </w:r>
      <w:r w:rsidRPr="00F9520E">
        <w:rPr>
          <w:rFonts w:cs="Calibri"/>
          <w:szCs w:val="24"/>
        </w:rPr>
        <w:t>SNF</w:t>
      </w:r>
      <w:r w:rsidRPr="007F2A5C">
        <w:rPr>
          <w:rFonts w:cs="Calibri"/>
          <w:szCs w:val="24"/>
          <w:lang w:val="ru-RU"/>
        </w:rPr>
        <w:t xml:space="preserve"> в соответствии с поправками и обоснованием распределения затрат на </w:t>
      </w:r>
      <w:r w:rsidRPr="00F9520E">
        <w:rPr>
          <w:rFonts w:cs="Calibri"/>
          <w:szCs w:val="24"/>
        </w:rPr>
        <w:t>SNF</w:t>
      </w:r>
      <w:r w:rsidRPr="007F2A5C">
        <w:rPr>
          <w:rFonts w:cs="Calibri"/>
          <w:szCs w:val="24"/>
          <w:lang w:val="ru-RU"/>
        </w:rPr>
        <w:t>, основанными на Резолюции 91 (Пересм. Гвадалахара, 2010 г.).</w:t>
      </w:r>
    </w:p>
    <w:p w14:paraId="4C6DC4FD" w14:textId="77777777" w:rsidR="007F2A5C" w:rsidRPr="007F2A5C" w:rsidRDefault="007F2A5C" w:rsidP="00E606AA">
      <w:pPr>
        <w:spacing w:before="240"/>
        <w:jc w:val="center"/>
        <w:rPr>
          <w:rFonts w:cs="Calibri"/>
          <w:b/>
          <w:bCs/>
          <w:szCs w:val="24"/>
          <w:lang w:val="ru-RU"/>
        </w:rPr>
      </w:pPr>
      <w:r w:rsidRPr="007F2A5C">
        <w:rPr>
          <w:rFonts w:cs="Calibri"/>
          <w:b/>
          <w:bCs/>
          <w:szCs w:val="24"/>
          <w:lang w:val="ru-RU"/>
        </w:rPr>
        <w:t>Основные принципы модели распределения полных затрат</w:t>
      </w:r>
    </w:p>
    <w:p w14:paraId="2A2AE95D" w14:textId="77777777" w:rsidR="007F2A5C" w:rsidRPr="007F2A5C" w:rsidRDefault="007F2A5C" w:rsidP="00D51FA2">
      <w:pPr>
        <w:jc w:val="both"/>
        <w:rPr>
          <w:rFonts w:cs="Calibri"/>
          <w:szCs w:val="24"/>
          <w:lang w:val="ru-RU"/>
        </w:rPr>
      </w:pPr>
      <w:r w:rsidRPr="007F2A5C">
        <w:rPr>
          <w:rFonts w:cs="Calibri"/>
          <w:b/>
          <w:bCs/>
          <w:szCs w:val="24"/>
          <w:lang w:val="ru-RU"/>
        </w:rPr>
        <w:t>Категории затрат (группы затрат): для распределения полных затрат</w:t>
      </w:r>
      <w:r w:rsidRPr="00AE2C8A">
        <w:rPr>
          <w:rFonts w:cs="Calibri"/>
          <w:szCs w:val="24"/>
          <w:lang w:val="ru-RU"/>
        </w:rPr>
        <w:t xml:space="preserve"> </w:t>
      </w:r>
      <w:r w:rsidRPr="007F2A5C">
        <w:rPr>
          <w:rFonts w:cs="Calibri"/>
          <w:szCs w:val="24"/>
          <w:lang w:val="ru-RU"/>
        </w:rPr>
        <w:t>необходимо разделить косвенные затраты на логические группы или "группы затрат", представляющие аналогичные типы накладных расходов</w:t>
      </w:r>
      <w:r w:rsidRPr="00E606AA">
        <w:rPr>
          <w:rFonts w:cs="Calibri"/>
          <w:szCs w:val="24"/>
          <w:lang w:val="ru-RU"/>
        </w:rPr>
        <w:t>.</w:t>
      </w:r>
    </w:p>
    <w:p w14:paraId="4B476B41" w14:textId="77777777" w:rsidR="007F2A5C" w:rsidRPr="007F2A5C" w:rsidRDefault="007F2A5C" w:rsidP="00D51FA2">
      <w:pPr>
        <w:pStyle w:val="Headingb"/>
        <w:jc w:val="both"/>
        <w:rPr>
          <w:lang w:val="ru-RU"/>
        </w:rPr>
      </w:pPr>
      <w:r w:rsidRPr="007F2A5C">
        <w:rPr>
          <w:lang w:val="ru-RU"/>
        </w:rPr>
        <w:t>Прямые затраты</w:t>
      </w:r>
    </w:p>
    <w:p w14:paraId="0DEA679F" w14:textId="77777777" w:rsidR="007F2A5C" w:rsidRPr="007F2A5C" w:rsidRDefault="007F2A5C" w:rsidP="00D51FA2">
      <w:pPr>
        <w:jc w:val="both"/>
        <w:rPr>
          <w:lang w:val="ru-RU"/>
        </w:rPr>
      </w:pPr>
      <w:r w:rsidRPr="007F2A5C">
        <w:rPr>
          <w:lang w:val="ru-RU"/>
        </w:rPr>
        <w:t xml:space="preserve">Основные группы прямых затрат, непосредственно связанных с услугами </w:t>
      </w:r>
      <w:r w:rsidRPr="00F9520E">
        <w:rPr>
          <w:szCs w:val="24"/>
        </w:rPr>
        <w:t>SNF</w:t>
      </w:r>
      <w:r w:rsidRPr="007F2A5C">
        <w:rPr>
          <w:szCs w:val="24"/>
          <w:lang w:val="ru-RU"/>
        </w:rPr>
        <w:t xml:space="preserve"> </w:t>
      </w:r>
      <w:r w:rsidRPr="007F2A5C">
        <w:rPr>
          <w:lang w:val="ru-RU"/>
        </w:rPr>
        <w:t>(т. е. обработка заявок на регистрацию спутниковых сетей, включая проверку приемлемости, техническое и регламентарное рассмотрение для координации и заявления, управление планами космических служб, публикацию специальных секций и оказание администрациям помощи в представлении заявок), включают следующее:</w:t>
      </w:r>
    </w:p>
    <w:p w14:paraId="7495EB6B" w14:textId="507C329B" w:rsidR="007F2A5C" w:rsidRPr="007F2A5C" w:rsidRDefault="00C661C2" w:rsidP="00D51FA2">
      <w:pPr>
        <w:pStyle w:val="enumlev1"/>
        <w:jc w:val="both"/>
        <w:rPr>
          <w:szCs w:val="24"/>
          <w:lang w:val="ru-RU"/>
        </w:rPr>
      </w:pPr>
      <w:r w:rsidRPr="00C661C2">
        <w:rPr>
          <w:lang w:val="ru-RU"/>
        </w:rPr>
        <w:t>–</w:t>
      </w:r>
      <w:r w:rsidR="007F2A5C" w:rsidRPr="007F2A5C">
        <w:rPr>
          <w:lang w:val="ru-RU"/>
        </w:rPr>
        <w:tab/>
        <w:t xml:space="preserve">Оплата труда персонала БР, другие выплаты и льготы, а также накладные расходы непосредственно на выполнение функций, связанных с </w:t>
      </w:r>
      <w:r w:rsidR="007F2A5C" w:rsidRPr="00921E85">
        <w:t>SNF</w:t>
      </w:r>
      <w:r w:rsidR="007F2A5C" w:rsidRPr="007F2A5C">
        <w:rPr>
          <w:lang w:val="ru-RU"/>
        </w:rPr>
        <w:t>.</w:t>
      </w:r>
    </w:p>
    <w:p w14:paraId="36754B9A" w14:textId="00BB9EB1" w:rsidR="007F2A5C" w:rsidRPr="007F2A5C" w:rsidRDefault="00C661C2" w:rsidP="00D51FA2">
      <w:pPr>
        <w:pStyle w:val="enumlev1"/>
        <w:jc w:val="both"/>
        <w:rPr>
          <w:lang w:val="ru-RU"/>
        </w:rPr>
      </w:pPr>
      <w:r w:rsidRPr="00C661C2">
        <w:rPr>
          <w:lang w:val="ru-RU"/>
        </w:rPr>
        <w:lastRenderedPageBreak/>
        <w:t>–</w:t>
      </w:r>
      <w:r w:rsidR="007F2A5C" w:rsidRPr="007F2A5C">
        <w:rPr>
          <w:lang w:val="ru-RU"/>
        </w:rPr>
        <w:tab/>
        <w:t xml:space="preserve">Обучение и повышение квалификации исключительно сотрудников, занимающихся </w:t>
      </w:r>
      <w:r w:rsidR="007F2A5C" w:rsidRPr="00921E85">
        <w:t>SNF</w:t>
      </w:r>
      <w:r w:rsidR="007F2A5C" w:rsidRPr="007F2A5C">
        <w:rPr>
          <w:lang w:val="ru-RU"/>
        </w:rPr>
        <w:t>.</w:t>
      </w:r>
    </w:p>
    <w:p w14:paraId="4CE223CB" w14:textId="4190C117" w:rsidR="007F2A5C" w:rsidRPr="007F2A5C" w:rsidRDefault="00C661C2" w:rsidP="00D51FA2">
      <w:pPr>
        <w:pStyle w:val="enumlev1"/>
        <w:jc w:val="both"/>
        <w:rPr>
          <w:lang w:val="ru-RU"/>
        </w:rPr>
      </w:pPr>
      <w:r w:rsidRPr="00C661C2">
        <w:rPr>
          <w:lang w:val="ru-RU"/>
        </w:rPr>
        <w:t>–</w:t>
      </w:r>
      <w:r w:rsidR="007F2A5C" w:rsidRPr="007F2A5C">
        <w:rPr>
          <w:lang w:val="ru-RU"/>
        </w:rPr>
        <w:tab/>
        <w:t>Технические ресурсы:</w:t>
      </w:r>
    </w:p>
    <w:p w14:paraId="1A83FC37" w14:textId="0BFA2829" w:rsidR="007F2A5C" w:rsidRPr="007F2A5C" w:rsidRDefault="00C661C2" w:rsidP="00D51FA2">
      <w:pPr>
        <w:pStyle w:val="enumlev2"/>
        <w:jc w:val="both"/>
        <w:rPr>
          <w:lang w:val="ru-RU"/>
        </w:rPr>
      </w:pPr>
      <w:r w:rsidRPr="007F2A5C">
        <w:rPr>
          <w:lang w:val="ru-RU"/>
        </w:rPr>
        <w:t>•</w:t>
      </w:r>
      <w:r w:rsidR="007F2A5C" w:rsidRPr="00C661C2">
        <w:rPr>
          <w:lang w:val="ru-RU"/>
        </w:rPr>
        <w:tab/>
      </w:r>
      <w:r w:rsidR="007F2A5C" w:rsidRPr="007F2A5C">
        <w:rPr>
          <w:lang w:val="ru-RU"/>
        </w:rPr>
        <w:t xml:space="preserve">Разработка, материально-техническое обслуживание и модернизация специализированных ИТ-систем и лицензии на системное программное обеспечение, предназначенное для </w:t>
      </w:r>
      <w:r w:rsidR="007F2A5C" w:rsidRPr="00921E85">
        <w:t>SNF</w:t>
      </w:r>
      <w:r w:rsidR="007F2A5C" w:rsidRPr="007F2A5C">
        <w:rPr>
          <w:lang w:val="ru-RU"/>
        </w:rPr>
        <w:t>.</w:t>
      </w:r>
    </w:p>
    <w:p w14:paraId="546F78CF" w14:textId="2D8A3BF3" w:rsidR="007F2A5C" w:rsidRPr="007F2A5C" w:rsidRDefault="00C661C2" w:rsidP="00D51FA2">
      <w:pPr>
        <w:pStyle w:val="enumlev2"/>
        <w:jc w:val="both"/>
        <w:rPr>
          <w:lang w:val="ru-RU"/>
        </w:rPr>
      </w:pPr>
      <w:r w:rsidRPr="007F2A5C">
        <w:rPr>
          <w:lang w:val="ru-RU"/>
        </w:rPr>
        <w:t>•</w:t>
      </w:r>
      <w:r w:rsidR="007F2A5C" w:rsidRPr="007F2A5C">
        <w:rPr>
          <w:lang w:val="ru-RU"/>
        </w:rPr>
        <w:tab/>
        <w:t xml:space="preserve">Прямые затраты на оборудование (серверы, специализированное оборудование, лицензии на программное обеспечение для </w:t>
      </w:r>
      <w:r w:rsidR="007F2A5C" w:rsidRPr="00921E85">
        <w:t>SNF</w:t>
      </w:r>
      <w:r w:rsidR="007F2A5C" w:rsidRPr="007F2A5C">
        <w:rPr>
          <w:lang w:val="ru-RU"/>
        </w:rPr>
        <w:t>).</w:t>
      </w:r>
    </w:p>
    <w:p w14:paraId="537A8B31" w14:textId="0886CAC4" w:rsidR="007F2A5C" w:rsidRPr="007F2A5C" w:rsidRDefault="00C661C2" w:rsidP="00D51FA2">
      <w:pPr>
        <w:pStyle w:val="enumlev1"/>
        <w:jc w:val="both"/>
        <w:rPr>
          <w:lang w:val="ru-RU"/>
        </w:rPr>
      </w:pPr>
      <w:r w:rsidRPr="00C661C2">
        <w:rPr>
          <w:lang w:val="ru-RU"/>
        </w:rPr>
        <w:t>–</w:t>
      </w:r>
      <w:r w:rsidR="007F2A5C" w:rsidRPr="007F2A5C">
        <w:rPr>
          <w:lang w:val="ru-RU"/>
        </w:rPr>
        <w:tab/>
        <w:t xml:space="preserve">Командировочные расходы, связанные с координационными собраниями и международными конференциями, проводимыми в рамках </w:t>
      </w:r>
      <w:r w:rsidR="007F2A5C">
        <w:rPr>
          <w:lang w:val="en-US"/>
        </w:rPr>
        <w:t>SNF</w:t>
      </w:r>
      <w:r w:rsidR="007F2A5C" w:rsidRPr="007F2A5C">
        <w:rPr>
          <w:lang w:val="ru-RU"/>
        </w:rPr>
        <w:t>.</w:t>
      </w:r>
    </w:p>
    <w:p w14:paraId="1F3AC985" w14:textId="77777777" w:rsidR="007F2A5C" w:rsidRPr="007F2A5C" w:rsidRDefault="007F2A5C" w:rsidP="00D51FA2">
      <w:pPr>
        <w:pStyle w:val="Headingb"/>
        <w:jc w:val="both"/>
        <w:rPr>
          <w:lang w:val="ru-RU"/>
        </w:rPr>
      </w:pPr>
      <w:r w:rsidRPr="007F2A5C">
        <w:rPr>
          <w:lang w:val="ru-RU"/>
        </w:rPr>
        <w:t>Косвенные затраты</w:t>
      </w:r>
    </w:p>
    <w:p w14:paraId="2D51AA51" w14:textId="77777777" w:rsidR="007F2A5C" w:rsidRPr="007F2A5C" w:rsidRDefault="007F2A5C" w:rsidP="00D51FA2">
      <w:pPr>
        <w:jc w:val="both"/>
        <w:rPr>
          <w:lang w:val="ru-RU"/>
        </w:rPr>
      </w:pPr>
      <w:r w:rsidRPr="007F2A5C">
        <w:rPr>
          <w:lang w:val="ru-RU"/>
        </w:rPr>
        <w:t xml:space="preserve">Рекомендуемые группы косвенных затрат на выполняемые МСЭ функции </w:t>
      </w:r>
      <w:r w:rsidRPr="00921E85">
        <w:t>SNF</w:t>
      </w:r>
      <w:r w:rsidRPr="007F2A5C">
        <w:rPr>
          <w:lang w:val="ru-RU"/>
        </w:rPr>
        <w:t xml:space="preserve"> включают следующее:</w:t>
      </w:r>
    </w:p>
    <w:p w14:paraId="30FFA557" w14:textId="59DB72AF" w:rsidR="007F2A5C" w:rsidRPr="007F2A5C" w:rsidRDefault="00C661C2" w:rsidP="00D51FA2">
      <w:pPr>
        <w:pStyle w:val="enumlev1"/>
        <w:jc w:val="both"/>
        <w:rPr>
          <w:lang w:val="ru-RU"/>
        </w:rPr>
      </w:pPr>
      <w:r w:rsidRPr="00C661C2">
        <w:rPr>
          <w:lang w:val="ru-RU"/>
        </w:rPr>
        <w:t>–</w:t>
      </w:r>
      <w:r w:rsidR="007F2A5C" w:rsidRPr="007F2A5C">
        <w:rPr>
          <w:lang w:val="ru-RU"/>
        </w:rPr>
        <w:tab/>
        <w:t>информационно-технологическое (ИТ) обеспечение</w:t>
      </w:r>
      <w:r w:rsidR="00E606AA">
        <w:rPr>
          <w:lang w:val="ru-RU"/>
        </w:rPr>
        <w:t>;</w:t>
      </w:r>
    </w:p>
    <w:p w14:paraId="5A76D21F" w14:textId="668DFB09" w:rsidR="007F2A5C" w:rsidRPr="007F2A5C" w:rsidRDefault="00C661C2" w:rsidP="00D51FA2">
      <w:pPr>
        <w:pStyle w:val="enumlev1"/>
        <w:jc w:val="both"/>
        <w:rPr>
          <w:lang w:val="ru-RU"/>
        </w:rPr>
      </w:pPr>
      <w:r w:rsidRPr="00C661C2">
        <w:rPr>
          <w:lang w:val="ru-RU"/>
        </w:rPr>
        <w:t>–</w:t>
      </w:r>
      <w:r w:rsidR="007F2A5C" w:rsidRPr="007F2A5C">
        <w:rPr>
          <w:lang w:val="ru-RU"/>
        </w:rPr>
        <w:tab/>
        <w:t>помещения и оборудование</w:t>
      </w:r>
      <w:r w:rsidR="00E606AA">
        <w:rPr>
          <w:lang w:val="ru-RU"/>
        </w:rPr>
        <w:t>;</w:t>
      </w:r>
    </w:p>
    <w:p w14:paraId="1B67CF19" w14:textId="2B323434" w:rsidR="007F2A5C" w:rsidRPr="007F2A5C" w:rsidRDefault="00C661C2" w:rsidP="00D51FA2">
      <w:pPr>
        <w:pStyle w:val="enumlev1"/>
        <w:jc w:val="both"/>
        <w:rPr>
          <w:lang w:val="ru-RU"/>
        </w:rPr>
      </w:pPr>
      <w:r w:rsidRPr="00C661C2">
        <w:rPr>
          <w:lang w:val="ru-RU"/>
        </w:rPr>
        <w:t>–</w:t>
      </w:r>
      <w:r w:rsidR="007F2A5C" w:rsidRPr="007F2A5C">
        <w:rPr>
          <w:lang w:val="ru-RU"/>
        </w:rPr>
        <w:tab/>
        <w:t>кадровые ресурсы</w:t>
      </w:r>
      <w:r w:rsidR="00E606AA">
        <w:rPr>
          <w:lang w:val="ru-RU"/>
        </w:rPr>
        <w:t>;</w:t>
      </w:r>
    </w:p>
    <w:p w14:paraId="7880B1C5" w14:textId="4559E770" w:rsidR="007F2A5C" w:rsidRPr="007F2A5C" w:rsidRDefault="00C661C2" w:rsidP="00D51FA2">
      <w:pPr>
        <w:pStyle w:val="enumlev1"/>
        <w:jc w:val="both"/>
        <w:rPr>
          <w:lang w:val="ru-RU"/>
        </w:rPr>
      </w:pPr>
      <w:r w:rsidRPr="00C661C2">
        <w:rPr>
          <w:lang w:val="ru-RU"/>
        </w:rPr>
        <w:t>–</w:t>
      </w:r>
      <w:r w:rsidR="007F2A5C" w:rsidRPr="007F2A5C">
        <w:rPr>
          <w:lang w:val="ru-RU"/>
        </w:rPr>
        <w:tab/>
        <w:t>финансовые и юридические услуги</w:t>
      </w:r>
      <w:r w:rsidR="00E606AA">
        <w:rPr>
          <w:lang w:val="ru-RU"/>
        </w:rPr>
        <w:t>;</w:t>
      </w:r>
      <w:r w:rsidR="007F2A5C" w:rsidRPr="007F2A5C">
        <w:rPr>
          <w:lang w:val="ru-RU"/>
        </w:rPr>
        <w:t xml:space="preserve"> и</w:t>
      </w:r>
    </w:p>
    <w:p w14:paraId="7C30BB8A" w14:textId="25109060" w:rsidR="007F2A5C" w:rsidRPr="007F2A5C" w:rsidRDefault="00C661C2" w:rsidP="00D51FA2">
      <w:pPr>
        <w:pStyle w:val="enumlev1"/>
        <w:jc w:val="both"/>
        <w:rPr>
          <w:lang w:val="ru-RU"/>
        </w:rPr>
      </w:pPr>
      <w:r w:rsidRPr="00C661C2">
        <w:rPr>
          <w:lang w:val="ru-RU"/>
        </w:rPr>
        <w:t>–</w:t>
      </w:r>
      <w:r w:rsidR="007F2A5C" w:rsidRPr="007F2A5C">
        <w:rPr>
          <w:lang w:val="ru-RU"/>
        </w:rPr>
        <w:tab/>
        <w:t>административные накладные расходы</w:t>
      </w:r>
      <w:r w:rsidR="00E606AA">
        <w:rPr>
          <w:lang w:val="ru-RU"/>
        </w:rPr>
        <w:t>.</w:t>
      </w:r>
    </w:p>
    <w:p w14:paraId="74978967" w14:textId="560F470C" w:rsidR="007F2A5C" w:rsidRPr="00EF49C7" w:rsidRDefault="007F2A5C" w:rsidP="007F2A5C">
      <w:pPr>
        <w:pStyle w:val="Headingb"/>
        <w:rPr>
          <w:lang w:val="ru-RU"/>
        </w:rPr>
      </w:pPr>
      <w:r w:rsidRPr="007F2A5C">
        <w:rPr>
          <w:lang w:val="ru-RU"/>
        </w:rPr>
        <w:t>Факторы, определяющие затраты</w:t>
      </w:r>
    </w:p>
    <w:p w14:paraId="747F2063" w14:textId="09F08923" w:rsidR="007F2A5C" w:rsidRPr="007F2A5C" w:rsidRDefault="007F2A5C" w:rsidP="00D51FA2">
      <w:pPr>
        <w:jc w:val="both"/>
        <w:rPr>
          <w:lang w:val="ru-RU"/>
        </w:rPr>
      </w:pPr>
      <w:r w:rsidRPr="007F2A5C">
        <w:rPr>
          <w:lang w:val="ru-RU"/>
        </w:rPr>
        <w:t xml:space="preserve">Факторы, определяющие затраты, </w:t>
      </w:r>
      <w:r w:rsidR="00EF49C7">
        <w:rPr>
          <w:rFonts w:cs="Calibri"/>
          <w:lang w:val="ru-RU"/>
        </w:rPr>
        <w:t>−</w:t>
      </w:r>
      <w:r w:rsidRPr="007F2A5C">
        <w:rPr>
          <w:lang w:val="ru-RU"/>
        </w:rPr>
        <w:t xml:space="preserve"> это показатели того, насколько каждая из категорий косвенных затрат используется для деятельности по </w:t>
      </w:r>
      <w:r>
        <w:rPr>
          <w:lang w:val="en-US"/>
        </w:rPr>
        <w:t>SNF</w:t>
      </w:r>
      <w:r w:rsidRPr="007F2A5C">
        <w:rPr>
          <w:lang w:val="ru-RU"/>
        </w:rPr>
        <w:t>. Рекомендуется учитывать следующие факторы:</w:t>
      </w:r>
    </w:p>
    <w:p w14:paraId="4C0A6C6D" w14:textId="54ADE8CE" w:rsidR="007F2A5C" w:rsidRPr="007F2A5C" w:rsidRDefault="00C661C2" w:rsidP="00D51FA2">
      <w:pPr>
        <w:pStyle w:val="enumlev1"/>
        <w:jc w:val="both"/>
        <w:rPr>
          <w:lang w:val="ru-RU"/>
        </w:rPr>
      </w:pPr>
      <w:r w:rsidRPr="00C661C2">
        <w:rPr>
          <w:lang w:val="ru-RU"/>
        </w:rPr>
        <w:t>–</w:t>
      </w:r>
      <w:r w:rsidR="007F2A5C" w:rsidRPr="007F2A5C">
        <w:rPr>
          <w:lang w:val="ru-RU"/>
        </w:rPr>
        <w:tab/>
      </w:r>
      <w:r w:rsidR="007F2A5C" w:rsidRPr="007F2A5C">
        <w:rPr>
          <w:b/>
          <w:bCs/>
          <w:lang w:val="ru-RU"/>
        </w:rPr>
        <w:t>ИТ-обеспечение</w:t>
      </w:r>
      <w:r w:rsidR="007F2A5C" w:rsidRPr="00AE2C8A">
        <w:rPr>
          <w:lang w:val="ru-RU"/>
        </w:rPr>
        <w:t>:</w:t>
      </w:r>
      <w:r w:rsidR="007F2A5C" w:rsidRPr="007F2A5C">
        <w:rPr>
          <w:lang w:val="ru-RU"/>
        </w:rPr>
        <w:t xml:space="preserve"> количество запросов на ИТ-обслуживание, использование системы, объем хранилища данных по операциям </w:t>
      </w:r>
      <w:r w:rsidR="007F2A5C">
        <w:rPr>
          <w:lang w:val="en-US"/>
        </w:rPr>
        <w:t>SNF</w:t>
      </w:r>
      <w:r w:rsidR="007F2A5C" w:rsidRPr="007F2A5C">
        <w:rPr>
          <w:lang w:val="ru-RU"/>
        </w:rPr>
        <w:t>.</w:t>
      </w:r>
    </w:p>
    <w:p w14:paraId="46EE722E" w14:textId="7281A39E" w:rsidR="007F2A5C" w:rsidRPr="007F2A5C" w:rsidRDefault="00C661C2" w:rsidP="00D51FA2">
      <w:pPr>
        <w:pStyle w:val="enumlev1"/>
        <w:jc w:val="both"/>
        <w:rPr>
          <w:rFonts w:cs="Calibri"/>
          <w:szCs w:val="24"/>
          <w:lang w:val="ru-RU"/>
        </w:rPr>
      </w:pPr>
      <w:r w:rsidRPr="00C661C2">
        <w:rPr>
          <w:lang w:val="ru-RU"/>
        </w:rPr>
        <w:t>–</w:t>
      </w:r>
      <w:r w:rsidR="007F2A5C" w:rsidRPr="007F2A5C">
        <w:rPr>
          <w:lang w:val="ru-RU"/>
        </w:rPr>
        <w:tab/>
      </w:r>
      <w:r w:rsidR="007F2A5C" w:rsidRPr="007F2A5C">
        <w:rPr>
          <w:rFonts w:cs="Calibri"/>
          <w:b/>
          <w:bCs/>
          <w:szCs w:val="24"/>
          <w:lang w:val="ru-RU"/>
        </w:rPr>
        <w:t>Помещения и оборудование</w:t>
      </w:r>
      <w:r w:rsidR="007F2A5C" w:rsidRPr="00AE2C8A">
        <w:rPr>
          <w:rFonts w:cs="Calibri"/>
          <w:szCs w:val="24"/>
          <w:lang w:val="ru-RU"/>
        </w:rPr>
        <w:t>:</w:t>
      </w:r>
      <w:r w:rsidR="007F2A5C" w:rsidRPr="007F2A5C">
        <w:rPr>
          <w:rFonts w:cs="Calibri"/>
          <w:szCs w:val="24"/>
          <w:lang w:val="ru-RU"/>
        </w:rPr>
        <w:t xml:space="preserve"> служебные помещения, выделенные под </w:t>
      </w:r>
      <w:r w:rsidR="007F2A5C">
        <w:rPr>
          <w:rFonts w:cs="Calibri"/>
          <w:szCs w:val="24"/>
          <w:lang w:val="en-US"/>
        </w:rPr>
        <w:t>SNF</w:t>
      </w:r>
      <w:r w:rsidR="007F2A5C" w:rsidRPr="007F2A5C">
        <w:rPr>
          <w:rFonts w:cs="Calibri"/>
          <w:szCs w:val="24"/>
          <w:lang w:val="ru-RU"/>
        </w:rPr>
        <w:t xml:space="preserve">, или численность сотрудников, занимающихся </w:t>
      </w:r>
      <w:r w:rsidR="007F2A5C">
        <w:rPr>
          <w:rFonts w:cs="Calibri"/>
          <w:szCs w:val="24"/>
          <w:lang w:val="en-US"/>
        </w:rPr>
        <w:t>SNF</w:t>
      </w:r>
      <w:r w:rsidR="007F2A5C" w:rsidRPr="007F2A5C">
        <w:rPr>
          <w:rFonts w:cs="Calibri"/>
          <w:szCs w:val="24"/>
          <w:lang w:val="ru-RU"/>
        </w:rPr>
        <w:t xml:space="preserve">, в </w:t>
      </w:r>
      <w:r w:rsidR="007F2A5C" w:rsidRPr="007F2A5C">
        <w:rPr>
          <w:lang w:val="ru-RU"/>
        </w:rPr>
        <w:t>эквивалентах</w:t>
      </w:r>
      <w:r w:rsidR="007F2A5C" w:rsidRPr="007F2A5C">
        <w:rPr>
          <w:rFonts w:cs="Calibri"/>
          <w:szCs w:val="24"/>
          <w:lang w:val="ru-RU"/>
        </w:rPr>
        <w:t xml:space="preserve"> полной занятости.</w:t>
      </w:r>
    </w:p>
    <w:p w14:paraId="449F2DB8" w14:textId="2139913B" w:rsidR="007F2A5C" w:rsidRPr="007F2A5C" w:rsidRDefault="00C661C2" w:rsidP="00D51FA2">
      <w:pPr>
        <w:pStyle w:val="enumlev1"/>
        <w:jc w:val="both"/>
        <w:rPr>
          <w:rFonts w:cs="Calibri"/>
          <w:szCs w:val="24"/>
          <w:lang w:val="ru-RU"/>
        </w:rPr>
      </w:pPr>
      <w:r w:rsidRPr="00C661C2">
        <w:rPr>
          <w:lang w:val="ru-RU"/>
        </w:rPr>
        <w:t>–</w:t>
      </w:r>
      <w:r w:rsidR="007F2A5C" w:rsidRPr="007F2A5C">
        <w:rPr>
          <w:lang w:val="ru-RU"/>
        </w:rPr>
        <w:tab/>
      </w:r>
      <w:r w:rsidR="007F2A5C" w:rsidRPr="007F2A5C">
        <w:rPr>
          <w:rFonts w:cs="Calibri"/>
          <w:b/>
          <w:bCs/>
          <w:szCs w:val="24"/>
          <w:lang w:val="ru-RU"/>
        </w:rPr>
        <w:t>Кадровые ресурсы</w:t>
      </w:r>
      <w:r w:rsidR="007F2A5C" w:rsidRPr="00AE2C8A">
        <w:rPr>
          <w:rFonts w:cs="Calibri"/>
          <w:szCs w:val="24"/>
          <w:lang w:val="ru-RU"/>
        </w:rPr>
        <w:t>:</w:t>
      </w:r>
      <w:r w:rsidR="007F2A5C" w:rsidRPr="007F2A5C">
        <w:rPr>
          <w:rFonts w:cs="Calibri"/>
          <w:szCs w:val="24"/>
          <w:lang w:val="ru-RU"/>
        </w:rPr>
        <w:t xml:space="preserve"> численность сотрудников, </w:t>
      </w:r>
      <w:r w:rsidR="007F2A5C" w:rsidRPr="007F2A5C">
        <w:rPr>
          <w:lang w:val="ru-RU"/>
        </w:rPr>
        <w:t>занимающихся</w:t>
      </w:r>
      <w:r w:rsidR="007F2A5C" w:rsidRPr="007F2A5C">
        <w:rPr>
          <w:rFonts w:cs="Calibri"/>
          <w:szCs w:val="24"/>
          <w:lang w:val="ru-RU"/>
        </w:rPr>
        <w:t xml:space="preserve"> </w:t>
      </w:r>
      <w:r w:rsidR="007F2A5C" w:rsidRPr="00921E85">
        <w:rPr>
          <w:rFonts w:cs="Calibri"/>
          <w:szCs w:val="24"/>
        </w:rPr>
        <w:t>SNF</w:t>
      </w:r>
      <w:r w:rsidR="007F2A5C" w:rsidRPr="007F2A5C">
        <w:rPr>
          <w:rFonts w:cs="Calibri"/>
          <w:szCs w:val="24"/>
          <w:lang w:val="ru-RU"/>
        </w:rPr>
        <w:t xml:space="preserve">, или конкретные функции управления кадрами, связанные с </w:t>
      </w:r>
      <w:r w:rsidR="007F2A5C" w:rsidRPr="00921E85">
        <w:rPr>
          <w:rFonts w:cs="Calibri"/>
          <w:szCs w:val="24"/>
        </w:rPr>
        <w:t>SNF</w:t>
      </w:r>
      <w:r w:rsidR="007F2A5C" w:rsidRPr="007F2A5C">
        <w:rPr>
          <w:rFonts w:cs="Calibri"/>
          <w:szCs w:val="24"/>
          <w:lang w:val="ru-RU"/>
        </w:rPr>
        <w:t>.</w:t>
      </w:r>
    </w:p>
    <w:p w14:paraId="29A9D1F9" w14:textId="6DE64777" w:rsidR="007F2A5C" w:rsidRPr="007F2A5C" w:rsidRDefault="00C661C2" w:rsidP="00D51FA2">
      <w:pPr>
        <w:pStyle w:val="enumlev1"/>
        <w:jc w:val="both"/>
        <w:rPr>
          <w:rFonts w:cs="Calibri"/>
          <w:szCs w:val="24"/>
          <w:lang w:val="ru-RU"/>
        </w:rPr>
      </w:pPr>
      <w:r w:rsidRPr="00C661C2">
        <w:rPr>
          <w:lang w:val="ru-RU"/>
        </w:rPr>
        <w:t>–</w:t>
      </w:r>
      <w:r w:rsidR="007F2A5C" w:rsidRPr="007F2A5C">
        <w:rPr>
          <w:lang w:val="ru-RU"/>
        </w:rPr>
        <w:tab/>
      </w:r>
      <w:r w:rsidR="007F2A5C" w:rsidRPr="007F2A5C">
        <w:rPr>
          <w:rFonts w:cs="Calibri"/>
          <w:b/>
          <w:bCs/>
          <w:szCs w:val="24"/>
          <w:lang w:val="ru-RU"/>
        </w:rPr>
        <w:t>Финансовые и юридические услуги</w:t>
      </w:r>
      <w:r w:rsidR="007F2A5C" w:rsidRPr="00AE2C8A">
        <w:rPr>
          <w:rFonts w:cs="Calibri"/>
          <w:szCs w:val="24"/>
          <w:lang w:val="ru-RU"/>
        </w:rPr>
        <w:t xml:space="preserve">: </w:t>
      </w:r>
      <w:r w:rsidR="007F2A5C" w:rsidRPr="007F2A5C">
        <w:rPr>
          <w:rFonts w:cs="Calibri"/>
          <w:szCs w:val="24"/>
          <w:lang w:val="ru-RU"/>
        </w:rPr>
        <w:t xml:space="preserve">объем и сложность связанных с </w:t>
      </w:r>
      <w:r w:rsidR="007F2A5C" w:rsidRPr="00921E85">
        <w:rPr>
          <w:rFonts w:cs="Calibri"/>
          <w:szCs w:val="24"/>
        </w:rPr>
        <w:t>SNF</w:t>
      </w:r>
      <w:r w:rsidR="007F2A5C" w:rsidRPr="007F2A5C">
        <w:rPr>
          <w:rFonts w:cs="Calibri"/>
          <w:szCs w:val="24"/>
          <w:lang w:val="ru-RU"/>
        </w:rPr>
        <w:t xml:space="preserve"> операций, требующих осуществления надзора, наличия соответствующих систем, обработки данных и представления финансовой отчетности.</w:t>
      </w:r>
    </w:p>
    <w:p w14:paraId="72E90709" w14:textId="49CC4640" w:rsidR="007F2A5C" w:rsidRPr="007F2A5C" w:rsidRDefault="00C661C2" w:rsidP="00D51FA2">
      <w:pPr>
        <w:pStyle w:val="enumlev1"/>
        <w:jc w:val="both"/>
        <w:rPr>
          <w:rFonts w:cs="Calibri"/>
          <w:szCs w:val="24"/>
          <w:lang w:val="ru-RU"/>
        </w:rPr>
      </w:pPr>
      <w:r w:rsidRPr="00C661C2">
        <w:rPr>
          <w:lang w:val="ru-RU"/>
        </w:rPr>
        <w:t>–</w:t>
      </w:r>
      <w:r w:rsidR="007F2A5C" w:rsidRPr="007F2A5C">
        <w:rPr>
          <w:lang w:val="ru-RU"/>
        </w:rPr>
        <w:tab/>
      </w:r>
      <w:r w:rsidR="007F2A5C" w:rsidRPr="007F2A5C">
        <w:rPr>
          <w:rFonts w:cs="Calibri"/>
          <w:b/>
          <w:bCs/>
          <w:szCs w:val="24"/>
          <w:lang w:val="ru-RU"/>
        </w:rPr>
        <w:t>Административные накладные расходы</w:t>
      </w:r>
      <w:r w:rsidR="007F2A5C" w:rsidRPr="00AE2C8A">
        <w:rPr>
          <w:rFonts w:cs="Calibri"/>
          <w:szCs w:val="24"/>
          <w:lang w:val="ru-RU"/>
        </w:rPr>
        <w:t>:</w:t>
      </w:r>
      <w:r w:rsidR="007F2A5C" w:rsidRPr="007F2A5C">
        <w:rPr>
          <w:rFonts w:cs="Calibri"/>
          <w:szCs w:val="24"/>
          <w:lang w:val="ru-RU"/>
        </w:rPr>
        <w:t xml:space="preserve"> </w:t>
      </w:r>
      <w:r w:rsidR="007F2A5C" w:rsidRPr="007F2A5C">
        <w:rPr>
          <w:lang w:val="ru-RU"/>
        </w:rPr>
        <w:t>рабочее</w:t>
      </w:r>
      <w:r w:rsidR="007F2A5C" w:rsidRPr="007F2A5C">
        <w:rPr>
          <w:rFonts w:cs="Calibri"/>
          <w:szCs w:val="24"/>
          <w:lang w:val="ru-RU"/>
        </w:rPr>
        <w:t xml:space="preserve"> время административного персонала, объем закупочной деятельности и управление политикой, связанной с </w:t>
      </w:r>
      <w:r w:rsidR="007F2A5C" w:rsidRPr="00921E85">
        <w:rPr>
          <w:rFonts w:cs="Calibri"/>
          <w:szCs w:val="24"/>
        </w:rPr>
        <w:t>SNF</w:t>
      </w:r>
      <w:r w:rsidR="007F2A5C" w:rsidRPr="007F2A5C">
        <w:rPr>
          <w:rFonts w:cs="Calibri"/>
          <w:szCs w:val="24"/>
          <w:lang w:val="ru-RU"/>
        </w:rPr>
        <w:t>.</w:t>
      </w:r>
    </w:p>
    <w:p w14:paraId="69767EBE" w14:textId="75A7EF25" w:rsidR="00796BD3" w:rsidRPr="00796BD3" w:rsidRDefault="00C462C5" w:rsidP="007F2A5C">
      <w:pPr>
        <w:spacing w:before="720"/>
        <w:jc w:val="center"/>
      </w:pPr>
      <w:r>
        <w:t>______________</w:t>
      </w:r>
    </w:p>
    <w:sectPr w:rsidR="00796BD3" w:rsidRPr="00796BD3" w:rsidSect="00796BD3">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9B2A" w14:textId="77777777" w:rsidR="00022329" w:rsidRDefault="00022329">
      <w:r>
        <w:separator/>
      </w:r>
    </w:p>
  </w:endnote>
  <w:endnote w:type="continuationSeparator" w:id="0">
    <w:p w14:paraId="671FFF6A" w14:textId="77777777" w:rsidR="00022329" w:rsidRDefault="0002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2C6D419" w14:textId="77777777" w:rsidTr="00E31DCE">
      <w:trPr>
        <w:jc w:val="center"/>
      </w:trPr>
      <w:tc>
        <w:tcPr>
          <w:tcW w:w="1803" w:type="dxa"/>
          <w:vAlign w:val="center"/>
        </w:tcPr>
        <w:p w14:paraId="794BBD74" w14:textId="67CB43E3" w:rsidR="00672F8A" w:rsidRDefault="00672F8A" w:rsidP="00672F8A">
          <w:pPr>
            <w:pStyle w:val="Header"/>
            <w:jc w:val="left"/>
            <w:rPr>
              <w:noProof/>
            </w:rPr>
          </w:pPr>
        </w:p>
      </w:tc>
      <w:tc>
        <w:tcPr>
          <w:tcW w:w="8261" w:type="dxa"/>
        </w:tcPr>
        <w:p w14:paraId="69B0129C" w14:textId="3C631A20"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25336D">
            <w:rPr>
              <w:bCs/>
            </w:rPr>
            <w:t>64</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40C38C5D"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59252A8" w14:textId="77777777" w:rsidTr="00E31DCE">
      <w:trPr>
        <w:jc w:val="center"/>
      </w:trPr>
      <w:tc>
        <w:tcPr>
          <w:tcW w:w="1803" w:type="dxa"/>
          <w:vAlign w:val="center"/>
        </w:tcPr>
        <w:p w14:paraId="06743D96" w14:textId="42DFE8FF" w:rsidR="00672F8A" w:rsidRDefault="00D631AA" w:rsidP="00672F8A">
          <w:pPr>
            <w:pStyle w:val="Header"/>
            <w:jc w:val="left"/>
            <w:rPr>
              <w:noProof/>
            </w:rPr>
          </w:pPr>
          <w:r w:rsidRPr="00D631AA">
            <w:rPr>
              <w:color w:val="0563C1"/>
              <w:szCs w:val="14"/>
            </w:rPr>
            <w:t>council.itu.int/2025</w:t>
          </w:r>
        </w:p>
      </w:tc>
      <w:tc>
        <w:tcPr>
          <w:tcW w:w="8261" w:type="dxa"/>
        </w:tcPr>
        <w:p w14:paraId="346B5B17" w14:textId="36341D15"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7F2A5C">
            <w:rPr>
              <w:bCs/>
            </w:rPr>
            <w:t>64</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979AD9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C8E48" w14:textId="77777777" w:rsidR="00022329" w:rsidRDefault="00022329">
      <w:r>
        <w:t>____________________</w:t>
      </w:r>
    </w:p>
  </w:footnote>
  <w:footnote w:type="continuationSeparator" w:id="0">
    <w:p w14:paraId="69ADCCC5" w14:textId="77777777" w:rsidR="00022329" w:rsidRDefault="0002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7BB0AE95" w14:textId="77777777" w:rsidTr="00156890">
      <w:trPr>
        <w:trHeight w:val="1104"/>
        <w:jc w:val="center"/>
      </w:trPr>
      <w:tc>
        <w:tcPr>
          <w:tcW w:w="6359" w:type="dxa"/>
          <w:vAlign w:val="center"/>
        </w:tcPr>
        <w:p w14:paraId="65A9CAA7" w14:textId="548BDF22"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4FC0DEB" wp14:editId="19801713">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3DD05098" w14:textId="77777777" w:rsidR="00156890" w:rsidRDefault="00156890" w:rsidP="00796BD3">
          <w:pPr>
            <w:pStyle w:val="Header"/>
            <w:jc w:val="right"/>
            <w:rPr>
              <w:rFonts w:ascii="Arial" w:hAnsi="Arial" w:cs="Arial"/>
              <w:b/>
              <w:bCs/>
              <w:color w:val="009CD6"/>
              <w:szCs w:val="18"/>
            </w:rPr>
          </w:pPr>
        </w:p>
      </w:tc>
    </w:tr>
  </w:tbl>
  <w:p w14:paraId="008408D1" w14:textId="6452FD5C"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AF2FE86" wp14:editId="771B1545">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779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6558C"/>
    <w:multiLevelType w:val="hybridMultilevel"/>
    <w:tmpl w:val="235AB0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F45BA"/>
    <w:multiLevelType w:val="hybridMultilevel"/>
    <w:tmpl w:val="7516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2C29"/>
    <w:multiLevelType w:val="hybridMultilevel"/>
    <w:tmpl w:val="9B1C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B1A45"/>
    <w:multiLevelType w:val="multilevel"/>
    <w:tmpl w:val="9620F56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04511"/>
    <w:multiLevelType w:val="multilevel"/>
    <w:tmpl w:val="7E4A603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5697A"/>
    <w:multiLevelType w:val="multilevel"/>
    <w:tmpl w:val="C72EBF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46652"/>
    <w:multiLevelType w:val="multilevel"/>
    <w:tmpl w:val="57F00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1509E"/>
    <w:multiLevelType w:val="multilevel"/>
    <w:tmpl w:val="D18C82E0"/>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8C0D10"/>
    <w:multiLevelType w:val="hybridMultilevel"/>
    <w:tmpl w:val="A7EE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1622027705">
    <w:abstractNumId w:val="6"/>
  </w:num>
  <w:num w:numId="3" w16cid:durableId="2084334879">
    <w:abstractNumId w:val="5"/>
  </w:num>
  <w:num w:numId="4" w16cid:durableId="520048459">
    <w:abstractNumId w:val="4"/>
  </w:num>
  <w:num w:numId="5" w16cid:durableId="546769101">
    <w:abstractNumId w:val="7"/>
  </w:num>
  <w:num w:numId="6" w16cid:durableId="239950663">
    <w:abstractNumId w:val="9"/>
  </w:num>
  <w:num w:numId="7" w16cid:durableId="1517846379">
    <w:abstractNumId w:val="2"/>
  </w:num>
  <w:num w:numId="8" w16cid:durableId="760834986">
    <w:abstractNumId w:val="3"/>
  </w:num>
  <w:num w:numId="9" w16cid:durableId="1745180070">
    <w:abstractNumId w:val="1"/>
  </w:num>
  <w:num w:numId="10" w16cid:durableId="80303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16171"/>
    <w:rsid w:val="0002183E"/>
    <w:rsid w:val="00022329"/>
    <w:rsid w:val="000569B4"/>
    <w:rsid w:val="0006007D"/>
    <w:rsid w:val="0007184B"/>
    <w:rsid w:val="00080E82"/>
    <w:rsid w:val="000B2DE7"/>
    <w:rsid w:val="000E568E"/>
    <w:rsid w:val="0014229E"/>
    <w:rsid w:val="0014734F"/>
    <w:rsid w:val="00156890"/>
    <w:rsid w:val="0015710D"/>
    <w:rsid w:val="00163A32"/>
    <w:rsid w:val="00165D06"/>
    <w:rsid w:val="00192B41"/>
    <w:rsid w:val="001B7B09"/>
    <w:rsid w:val="001E6719"/>
    <w:rsid w:val="001E7F50"/>
    <w:rsid w:val="00225368"/>
    <w:rsid w:val="00227FF0"/>
    <w:rsid w:val="0025336D"/>
    <w:rsid w:val="00291EB6"/>
    <w:rsid w:val="002C3F32"/>
    <w:rsid w:val="002D2F57"/>
    <w:rsid w:val="002D48C5"/>
    <w:rsid w:val="0033025A"/>
    <w:rsid w:val="00345D2A"/>
    <w:rsid w:val="00375A9E"/>
    <w:rsid w:val="003B0DF8"/>
    <w:rsid w:val="003F099E"/>
    <w:rsid w:val="003F235E"/>
    <w:rsid w:val="00401FD7"/>
    <w:rsid w:val="004023E0"/>
    <w:rsid w:val="00403DD8"/>
    <w:rsid w:val="00442515"/>
    <w:rsid w:val="0045686C"/>
    <w:rsid w:val="004918C4"/>
    <w:rsid w:val="00497703"/>
    <w:rsid w:val="004A0374"/>
    <w:rsid w:val="004A45B5"/>
    <w:rsid w:val="004D0129"/>
    <w:rsid w:val="00515795"/>
    <w:rsid w:val="005A64D5"/>
    <w:rsid w:val="005B3DEC"/>
    <w:rsid w:val="00601994"/>
    <w:rsid w:val="00660449"/>
    <w:rsid w:val="00666387"/>
    <w:rsid w:val="00672F8A"/>
    <w:rsid w:val="006A4D1B"/>
    <w:rsid w:val="006E2D42"/>
    <w:rsid w:val="00703676"/>
    <w:rsid w:val="00707304"/>
    <w:rsid w:val="00731B05"/>
    <w:rsid w:val="00732269"/>
    <w:rsid w:val="00762555"/>
    <w:rsid w:val="0077110E"/>
    <w:rsid w:val="00785ABD"/>
    <w:rsid w:val="00796BD3"/>
    <w:rsid w:val="007A2DD4"/>
    <w:rsid w:val="007D38B5"/>
    <w:rsid w:val="007E7EA0"/>
    <w:rsid w:val="007F2A5C"/>
    <w:rsid w:val="00807255"/>
    <w:rsid w:val="0081023E"/>
    <w:rsid w:val="008173AA"/>
    <w:rsid w:val="00840A14"/>
    <w:rsid w:val="008428C3"/>
    <w:rsid w:val="008B4484"/>
    <w:rsid w:val="008B62B4"/>
    <w:rsid w:val="008C5836"/>
    <w:rsid w:val="008D2D7B"/>
    <w:rsid w:val="008E0737"/>
    <w:rsid w:val="008E1EFB"/>
    <w:rsid w:val="008F7C2C"/>
    <w:rsid w:val="00940E96"/>
    <w:rsid w:val="00950A82"/>
    <w:rsid w:val="009B0BAE"/>
    <w:rsid w:val="009C1C89"/>
    <w:rsid w:val="009F3448"/>
    <w:rsid w:val="00A01CF9"/>
    <w:rsid w:val="00A20B63"/>
    <w:rsid w:val="00A71773"/>
    <w:rsid w:val="00AE2C85"/>
    <w:rsid w:val="00AE2C8A"/>
    <w:rsid w:val="00B0107F"/>
    <w:rsid w:val="00B12A37"/>
    <w:rsid w:val="00B41837"/>
    <w:rsid w:val="00B517BC"/>
    <w:rsid w:val="00B63EF2"/>
    <w:rsid w:val="00BA7D89"/>
    <w:rsid w:val="00BC0D39"/>
    <w:rsid w:val="00BC7BC0"/>
    <w:rsid w:val="00BD57B7"/>
    <w:rsid w:val="00BE63E2"/>
    <w:rsid w:val="00C012E5"/>
    <w:rsid w:val="00C06509"/>
    <w:rsid w:val="00C42122"/>
    <w:rsid w:val="00C460E9"/>
    <w:rsid w:val="00C462C5"/>
    <w:rsid w:val="00C46D2E"/>
    <w:rsid w:val="00C54C1D"/>
    <w:rsid w:val="00C661C2"/>
    <w:rsid w:val="00CD2009"/>
    <w:rsid w:val="00CF629C"/>
    <w:rsid w:val="00D400C5"/>
    <w:rsid w:val="00D51FA2"/>
    <w:rsid w:val="00D631AA"/>
    <w:rsid w:val="00D92EEA"/>
    <w:rsid w:val="00DA5D4E"/>
    <w:rsid w:val="00DA770A"/>
    <w:rsid w:val="00E05752"/>
    <w:rsid w:val="00E176BA"/>
    <w:rsid w:val="00E423EC"/>
    <w:rsid w:val="00E55121"/>
    <w:rsid w:val="00E606AA"/>
    <w:rsid w:val="00EB4FCB"/>
    <w:rsid w:val="00EC6BC5"/>
    <w:rsid w:val="00EF49C7"/>
    <w:rsid w:val="00F348D0"/>
    <w:rsid w:val="00F35898"/>
    <w:rsid w:val="00F43646"/>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F7DF9"/>
  <w15:docId w15:val="{E3373710-F0C9-464E-B9D0-C039B75E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D51FA2"/>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227FF0"/>
    <w:pPr>
      <w:keepNext/>
      <w:keepLines/>
      <w:spacing w:before="480" w:after="80"/>
      <w:jc w:val="center"/>
    </w:pPr>
    <w:rPr>
      <w:caps/>
      <w:sz w:val="26"/>
    </w:rPr>
  </w:style>
  <w:style w:type="paragraph" w:customStyle="1" w:styleId="Annextitle">
    <w:name w:val="Annex_title"/>
    <w:basedOn w:val="Normal"/>
    <w:next w:val="Annexref"/>
    <w:qFormat/>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paragraph" w:styleId="ListParagraph">
    <w:name w:val="List Paragraph"/>
    <w:basedOn w:val="Normal"/>
    <w:uiPriority w:val="34"/>
    <w:qFormat/>
    <w:rsid w:val="007F2A5C"/>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Cs w:val="22"/>
      <w:lang w:val="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91-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S25-CL-C-0010/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5-CL-C-0010/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5-CL-C-0010/en" TargetMode="External"/><Relationship Id="rId4" Type="http://schemas.openxmlformats.org/officeDocument/2006/relationships/webSettings" Target="webSettings.xml"/><Relationship Id="rId9" Type="http://schemas.openxmlformats.org/officeDocument/2006/relationships/hyperlink" Target="https://www.itu.int/md/S14-CL-C-0102/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1969</Words>
  <Characters>13733</Characters>
  <Application>Microsoft Office Word</Application>
  <DocSecurity>0</DocSecurity>
  <Lines>250</Lines>
  <Paragraphs>94</Paragraphs>
  <ScaleCrop>false</ScaleCrop>
  <HeadingPairs>
    <vt:vector size="2" baseType="variant">
      <vt:variant>
        <vt:lpstr>Title</vt:lpstr>
      </vt:variant>
      <vt:variant>
        <vt:i4>1</vt:i4>
      </vt:variant>
    </vt:vector>
  </HeadingPairs>
  <TitlesOfParts>
    <vt:vector size="1" baseType="lpstr">
      <vt:lpstr>Proposed methodology for calculation of SNF cost recovery</vt:lpstr>
    </vt:vector>
  </TitlesOfParts>
  <Manager>General Secretariat - Pool</Manager>
  <Company>International Telecommunication Union (ITU)</Company>
  <LinksUpToDate>false</LinksUpToDate>
  <CharactersWithSpaces>15646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methodology for calculation of SNF cost recovery</dc:title>
  <dc:subject>ITU Council 2025</dc:subject>
  <cp:keywords>C2025, C25, Council-25</cp:keywords>
  <dc:description/>
  <cp:lastPrinted>2006-03-28T16:12:00Z</cp:lastPrinted>
  <dcterms:created xsi:type="dcterms:W3CDTF">2025-06-03T07:18:00Z</dcterms:created>
  <dcterms:modified xsi:type="dcterms:W3CDTF">2025-06-03T07:20:00Z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