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3E1C2769" w14:textId="77777777" w:rsidTr="00AD3606">
        <w:trPr>
          <w:cantSplit/>
          <w:trHeight w:val="23"/>
        </w:trPr>
        <w:tc>
          <w:tcPr>
            <w:tcW w:w="3969" w:type="dxa"/>
            <w:vMerge w:val="restart"/>
            <w:tcMar>
              <w:left w:w="0" w:type="dxa"/>
            </w:tcMar>
          </w:tcPr>
          <w:p w14:paraId="7147B863" w14:textId="11823E97" w:rsidR="00AD3606" w:rsidRPr="00C0458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Agenda item:</w:t>
            </w:r>
            <w:r w:rsidR="0076184D">
              <w:rPr>
                <w:b/>
              </w:rPr>
              <w:t xml:space="preserve"> ADM 1</w:t>
            </w:r>
            <w:r w:rsidRPr="00C0458D">
              <w:rPr>
                <w:b/>
              </w:rPr>
              <w:t xml:space="preserve"> </w:t>
            </w:r>
          </w:p>
        </w:tc>
        <w:tc>
          <w:tcPr>
            <w:tcW w:w="5245" w:type="dxa"/>
          </w:tcPr>
          <w:p w14:paraId="6779937E" w14:textId="295F4F99" w:rsidR="00AD3606" w:rsidRPr="00C0458D" w:rsidRDefault="00AD3606" w:rsidP="00472BAD">
            <w:pPr>
              <w:tabs>
                <w:tab w:val="left" w:pos="851"/>
              </w:tabs>
              <w:spacing w:before="0" w:line="240" w:lineRule="atLeast"/>
              <w:jc w:val="right"/>
              <w:rPr>
                <w:b/>
              </w:rPr>
            </w:pPr>
            <w:r w:rsidRPr="00C0458D">
              <w:rPr>
                <w:b/>
              </w:rPr>
              <w:t>Document C2</w:t>
            </w:r>
            <w:r w:rsidR="00BF1FDE" w:rsidRPr="00C0458D">
              <w:rPr>
                <w:b/>
              </w:rPr>
              <w:t>5</w:t>
            </w:r>
            <w:r w:rsidRPr="00C0458D">
              <w:rPr>
                <w:b/>
              </w:rPr>
              <w:t>/</w:t>
            </w:r>
            <w:r w:rsidR="00D35BA4">
              <w:rPr>
                <w:b/>
              </w:rPr>
              <w:t>64</w:t>
            </w:r>
            <w:r w:rsidRPr="00C0458D">
              <w:rPr>
                <w:b/>
              </w:rPr>
              <w:t>-E</w:t>
            </w:r>
          </w:p>
        </w:tc>
      </w:tr>
      <w:tr w:rsidR="00AD3606" w:rsidRPr="00C0458D" w14:paraId="3E3F9DA5" w14:textId="77777777" w:rsidTr="00AD3606">
        <w:trPr>
          <w:cantSplit/>
        </w:trPr>
        <w:tc>
          <w:tcPr>
            <w:tcW w:w="3969" w:type="dxa"/>
            <w:vMerge/>
          </w:tcPr>
          <w:p w14:paraId="5920AA6E"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50D2384C" w:rsidR="00AD3606" w:rsidRPr="00C0458D" w:rsidRDefault="00C75C66" w:rsidP="00AD3606">
            <w:pPr>
              <w:tabs>
                <w:tab w:val="left" w:pos="851"/>
              </w:tabs>
              <w:spacing w:before="0"/>
              <w:jc w:val="right"/>
              <w:rPr>
                <w:b/>
              </w:rPr>
            </w:pPr>
            <w:r>
              <w:rPr>
                <w:b/>
              </w:rPr>
              <w:t>1 May</w:t>
            </w:r>
            <w:r w:rsidR="00D35BA4">
              <w:rPr>
                <w:b/>
              </w:rPr>
              <w:t xml:space="preserve"> 2025</w:t>
            </w:r>
          </w:p>
        </w:tc>
      </w:tr>
      <w:tr w:rsidR="00AD3606" w:rsidRPr="00C0458D" w14:paraId="75730376" w14:textId="77777777" w:rsidTr="00AD3606">
        <w:trPr>
          <w:cantSplit/>
          <w:trHeight w:val="23"/>
        </w:trPr>
        <w:tc>
          <w:tcPr>
            <w:tcW w:w="3969" w:type="dxa"/>
            <w:vMerge/>
          </w:tcPr>
          <w:p w14:paraId="298F937E"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041A065E" w14:textId="77777777" w:rsidR="00AD3606" w:rsidRPr="00C0458D" w:rsidRDefault="00AD3606" w:rsidP="00AD3606">
            <w:pPr>
              <w:tabs>
                <w:tab w:val="left" w:pos="851"/>
              </w:tabs>
              <w:spacing w:before="0" w:line="240" w:lineRule="atLeast"/>
              <w:jc w:val="right"/>
              <w:rPr>
                <w:b/>
              </w:rPr>
            </w:pPr>
            <w:r w:rsidRPr="00C0458D">
              <w:rPr>
                <w:b/>
              </w:rPr>
              <w:t>Original: English</w:t>
            </w:r>
          </w:p>
        </w:tc>
      </w:tr>
      <w:tr w:rsidR="00472BAD" w:rsidRPr="00C0458D" w14:paraId="14DA91C4" w14:textId="77777777" w:rsidTr="00AD3606">
        <w:trPr>
          <w:cantSplit/>
          <w:trHeight w:val="23"/>
        </w:trPr>
        <w:tc>
          <w:tcPr>
            <w:tcW w:w="3969" w:type="dxa"/>
          </w:tcPr>
          <w:p w14:paraId="5858B25D" w14:textId="77777777" w:rsidR="00472BAD" w:rsidRPr="00C0458D" w:rsidRDefault="00472BAD" w:rsidP="00AD3606">
            <w:pPr>
              <w:tabs>
                <w:tab w:val="left" w:pos="851"/>
              </w:tabs>
              <w:spacing w:line="240" w:lineRule="atLeast"/>
              <w:rPr>
                <w:b/>
              </w:rPr>
            </w:pPr>
          </w:p>
        </w:tc>
        <w:tc>
          <w:tcPr>
            <w:tcW w:w="5245" w:type="dxa"/>
          </w:tcPr>
          <w:p w14:paraId="5DBF7439" w14:textId="77777777" w:rsidR="00472BAD" w:rsidRPr="00C0458D" w:rsidRDefault="00472BAD" w:rsidP="00AD3606">
            <w:pPr>
              <w:tabs>
                <w:tab w:val="left" w:pos="851"/>
              </w:tabs>
              <w:spacing w:before="0" w:line="240" w:lineRule="atLeast"/>
              <w:jc w:val="right"/>
              <w:rPr>
                <w:b/>
              </w:rPr>
            </w:pPr>
          </w:p>
        </w:tc>
      </w:tr>
      <w:tr w:rsidR="00AD3606" w:rsidRPr="00C0458D" w14:paraId="2481FF59" w14:textId="77777777" w:rsidTr="00AD3606">
        <w:trPr>
          <w:cantSplit/>
        </w:trPr>
        <w:tc>
          <w:tcPr>
            <w:tcW w:w="9214" w:type="dxa"/>
            <w:gridSpan w:val="2"/>
            <w:tcMar>
              <w:left w:w="0" w:type="dxa"/>
            </w:tcMar>
          </w:tcPr>
          <w:p w14:paraId="2016C4A0" w14:textId="77777777" w:rsidR="00AD3606" w:rsidRPr="000F7289" w:rsidRDefault="00AD3606" w:rsidP="000F7289">
            <w:pPr>
              <w:pStyle w:val="Source"/>
              <w:framePr w:hSpace="0" w:wrap="auto" w:vAnchor="margin" w:hAnchor="text" w:xAlign="left" w:yAlign="inline"/>
            </w:pPr>
            <w:bookmarkStart w:id="8" w:name="dsource" w:colFirst="0" w:colLast="0"/>
            <w:bookmarkEnd w:id="7"/>
            <w:r w:rsidRPr="000F7289">
              <w:t>Report by the Secretary-General</w:t>
            </w:r>
          </w:p>
        </w:tc>
      </w:tr>
      <w:tr w:rsidR="00AD3606" w:rsidRPr="00C0458D" w14:paraId="3A759762" w14:textId="77777777" w:rsidTr="00AD3606">
        <w:trPr>
          <w:cantSplit/>
        </w:trPr>
        <w:tc>
          <w:tcPr>
            <w:tcW w:w="9214" w:type="dxa"/>
            <w:gridSpan w:val="2"/>
            <w:tcMar>
              <w:left w:w="0" w:type="dxa"/>
            </w:tcMar>
          </w:tcPr>
          <w:p w14:paraId="2A2DCF47" w14:textId="5A0CFC0F" w:rsidR="00AD3606" w:rsidRPr="0076184D" w:rsidRDefault="0076184D" w:rsidP="0076184D">
            <w:pPr>
              <w:spacing w:after="160"/>
              <w:jc w:val="both"/>
              <w:rPr>
                <w:rFonts w:cs="Calibri"/>
                <w:spacing w:val="-6"/>
                <w:sz w:val="32"/>
                <w:szCs w:val="24"/>
              </w:rPr>
            </w:pPr>
            <w:bookmarkStart w:id="9" w:name="_Hlk196858311"/>
            <w:bookmarkStart w:id="10" w:name="dtitle1" w:colFirst="0" w:colLast="0"/>
            <w:bookmarkEnd w:id="8"/>
            <w:r w:rsidRPr="0076184D">
              <w:rPr>
                <w:rFonts w:cs="Calibri"/>
                <w:spacing w:val="-6"/>
                <w:sz w:val="32"/>
                <w:szCs w:val="24"/>
              </w:rPr>
              <w:t>PROPOSED METHODOLOGY FOR CALCULATION OF SNF COST RECOVERY</w:t>
            </w:r>
            <w:bookmarkEnd w:id="9"/>
          </w:p>
        </w:tc>
      </w:tr>
      <w:tr w:rsidR="00AD3606" w:rsidRPr="00C0458D" w14:paraId="72B25568" w14:textId="77777777" w:rsidTr="00AD3606">
        <w:trPr>
          <w:cantSplit/>
        </w:trPr>
        <w:tc>
          <w:tcPr>
            <w:tcW w:w="9214" w:type="dxa"/>
            <w:gridSpan w:val="2"/>
            <w:tcBorders>
              <w:top w:val="single" w:sz="4" w:space="0" w:color="auto"/>
              <w:bottom w:val="single" w:sz="4" w:space="0" w:color="auto"/>
            </w:tcBorders>
            <w:tcMar>
              <w:left w:w="0" w:type="dxa"/>
            </w:tcMar>
          </w:tcPr>
          <w:p w14:paraId="4C3D541B" w14:textId="1024FD2F" w:rsidR="00AD3606" w:rsidRPr="00C0458D" w:rsidRDefault="00F16BAB" w:rsidP="00F16BAB">
            <w:pPr>
              <w:spacing w:before="160"/>
              <w:rPr>
                <w:b/>
                <w:bCs/>
                <w:sz w:val="26"/>
                <w:szCs w:val="26"/>
              </w:rPr>
            </w:pPr>
            <w:r w:rsidRPr="00C0458D">
              <w:rPr>
                <w:b/>
                <w:bCs/>
                <w:sz w:val="26"/>
                <w:szCs w:val="26"/>
              </w:rPr>
              <w:t>Purpose</w:t>
            </w:r>
          </w:p>
          <w:p w14:paraId="67D070EA" w14:textId="38C916A8" w:rsidR="00AD3606" w:rsidRPr="000C0807" w:rsidRDefault="000C0807" w:rsidP="0076184D">
            <w:pPr>
              <w:jc w:val="both"/>
            </w:pPr>
            <w:r w:rsidRPr="000C0807">
              <w:t>This document proposes a revised meth</w:t>
            </w:r>
            <w:r>
              <w:t>odology for establishing the full costs attributable to Satellite Network Filings application of a Full Cost Allocation approach in accordance with Decision 535, and a graduated method for limiting the collection of those full costs based on appropriate benchmarks in accordance with Resolution 91 (Rev. Guadala</w:t>
            </w:r>
            <w:r w:rsidR="0076184D">
              <w:t>j</w:t>
            </w:r>
            <w:r>
              <w:t>ara</w:t>
            </w:r>
            <w:r w:rsidR="0076184D">
              <w:t>,</w:t>
            </w:r>
            <w:r>
              <w:t xml:space="preserve"> 2010).</w:t>
            </w:r>
          </w:p>
          <w:p w14:paraId="4288AA6F" w14:textId="77777777" w:rsidR="00AD3606" w:rsidRDefault="00AD3606" w:rsidP="00F16BAB">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0FFF2D9B" w14:textId="5CD9B5BA" w:rsidR="00722551" w:rsidRDefault="000C0807" w:rsidP="00722551">
            <w:r>
              <w:t xml:space="preserve">Council is requested to </w:t>
            </w:r>
            <w:r w:rsidRPr="0076184D">
              <w:rPr>
                <w:b/>
                <w:bCs/>
              </w:rPr>
              <w:t>approve</w:t>
            </w:r>
            <w:r>
              <w:t xml:space="preserve"> the methodologies proposed in this document for </w:t>
            </w:r>
            <w:r w:rsidR="690CA5C0">
              <w:t>setting of</w:t>
            </w:r>
            <w:r>
              <w:t xml:space="preserve"> Satellite Network Filing fees</w:t>
            </w:r>
            <w:r w:rsidR="4B9DE0AA">
              <w:t xml:space="preserve"> for cost recovery</w:t>
            </w:r>
            <w:r>
              <w:t>.</w:t>
            </w:r>
          </w:p>
          <w:p w14:paraId="4B855F83" w14:textId="7E0F2BB7" w:rsidR="00722551" w:rsidRDefault="00722551" w:rsidP="00722551">
            <w:pPr>
              <w:spacing w:before="160"/>
              <w:rPr>
                <w:b/>
                <w:bCs/>
                <w:sz w:val="26"/>
                <w:szCs w:val="26"/>
              </w:rPr>
            </w:pPr>
            <w:r>
              <w:rPr>
                <w:b/>
                <w:bCs/>
                <w:sz w:val="26"/>
                <w:szCs w:val="26"/>
              </w:rPr>
              <w:t>Relevant link</w:t>
            </w:r>
            <w:r w:rsidR="004B25A1">
              <w:rPr>
                <w:b/>
                <w:bCs/>
                <w:sz w:val="26"/>
                <w:szCs w:val="26"/>
              </w:rPr>
              <w:t>(s)</w:t>
            </w:r>
            <w:r>
              <w:rPr>
                <w:b/>
                <w:bCs/>
                <w:sz w:val="26"/>
                <w:szCs w:val="26"/>
              </w:rPr>
              <w:t xml:space="preserve"> with the Strategic Plan</w:t>
            </w:r>
          </w:p>
          <w:p w14:paraId="56ADF403" w14:textId="17585F3C" w:rsidR="00722551" w:rsidRPr="00F16BAB" w:rsidRDefault="0076184D" w:rsidP="00722551">
            <w:r>
              <w:t>n/a.</w:t>
            </w:r>
          </w:p>
          <w:p w14:paraId="6A77059B" w14:textId="270D1307" w:rsidR="00722551" w:rsidRDefault="00722551" w:rsidP="00722551">
            <w:pPr>
              <w:spacing w:before="160"/>
              <w:rPr>
                <w:b/>
                <w:bCs/>
                <w:sz w:val="26"/>
                <w:szCs w:val="26"/>
              </w:rPr>
            </w:pPr>
            <w:r>
              <w:rPr>
                <w:b/>
                <w:bCs/>
                <w:sz w:val="26"/>
                <w:szCs w:val="26"/>
              </w:rPr>
              <w:t>Financial implications</w:t>
            </w:r>
          </w:p>
          <w:p w14:paraId="731F0870" w14:textId="581370A1" w:rsidR="00453079" w:rsidRPr="00453079" w:rsidRDefault="36440CC5" w:rsidP="00F16BAB">
            <w:pPr>
              <w:spacing w:before="160"/>
            </w:pPr>
            <w:r w:rsidRPr="00AA53A8">
              <w:t>Increas</w:t>
            </w:r>
            <w:r w:rsidR="00AA53A8">
              <w:t>ing the</w:t>
            </w:r>
            <w:r w:rsidRPr="00AA53A8">
              <w:t xml:space="preserve"> </w:t>
            </w:r>
            <w:r w:rsidR="00AA53A8">
              <w:t>a</w:t>
            </w:r>
            <w:r w:rsidR="44F9BA00" w:rsidRPr="00AA53A8">
              <w:t>nnual</w:t>
            </w:r>
            <w:r w:rsidR="000C0807" w:rsidRPr="00AA53A8">
              <w:t xml:space="preserve"> revenue for ITU </w:t>
            </w:r>
            <w:r w:rsidR="6DF4E9BD" w:rsidRPr="00AA53A8">
              <w:t xml:space="preserve">related to </w:t>
            </w:r>
            <w:r w:rsidR="70CC6BB6" w:rsidRPr="00AA53A8">
              <w:t xml:space="preserve">cost recovery from </w:t>
            </w:r>
            <w:r w:rsidR="6DF4E9BD" w:rsidRPr="00AA53A8">
              <w:t xml:space="preserve">Satellite </w:t>
            </w:r>
            <w:r w:rsidR="01521065" w:rsidRPr="00AA53A8">
              <w:t>Network Filings</w:t>
            </w:r>
            <w:r w:rsidR="00AA53A8">
              <w:t>,</w:t>
            </w:r>
            <w:r w:rsidR="01521065" w:rsidRPr="00AA53A8">
              <w:t xml:space="preserve"> </w:t>
            </w:r>
            <w:r w:rsidR="00AA53A8">
              <w:t xml:space="preserve">to achieve total revenues </w:t>
            </w:r>
            <w:r w:rsidR="000C0807" w:rsidRPr="00AA53A8">
              <w:t xml:space="preserve">of </w:t>
            </w:r>
            <w:r w:rsidR="01521065" w:rsidRPr="00AA53A8">
              <w:t xml:space="preserve">up to </w:t>
            </w:r>
            <w:r w:rsidR="000C0807" w:rsidRPr="00AA53A8">
              <w:rPr>
                <w:b/>
                <w:bCs/>
              </w:rPr>
              <w:t>CHF</w:t>
            </w:r>
            <w:r w:rsidR="0076184D">
              <w:rPr>
                <w:b/>
              </w:rPr>
              <w:t> </w:t>
            </w:r>
            <w:r w:rsidR="357F0D35" w:rsidRPr="00AA53A8">
              <w:rPr>
                <w:b/>
              </w:rPr>
              <w:t>18</w:t>
            </w:r>
            <w:r w:rsidR="0076184D">
              <w:rPr>
                <w:b/>
              </w:rPr>
              <w:t> </w:t>
            </w:r>
            <w:r w:rsidR="357F0D35" w:rsidRPr="00AA53A8">
              <w:rPr>
                <w:b/>
              </w:rPr>
              <w:t>032</w:t>
            </w:r>
            <w:r w:rsidR="0076184D">
              <w:rPr>
                <w:b/>
              </w:rPr>
              <w:t> </w:t>
            </w:r>
            <w:r w:rsidR="357F0D35" w:rsidRPr="00AA53A8">
              <w:rPr>
                <w:b/>
              </w:rPr>
              <w:t>400</w:t>
            </w:r>
            <w:r w:rsidR="000C0807" w:rsidRPr="00AA53A8">
              <w:t>.</w:t>
            </w:r>
          </w:p>
          <w:p w14:paraId="08939791" w14:textId="77777777" w:rsidR="00C0458D" w:rsidRDefault="00C0458D">
            <w:r>
              <w:t>_______________</w:t>
            </w:r>
          </w:p>
          <w:p w14:paraId="212A584A" w14:textId="77777777" w:rsidR="00AD3606" w:rsidRPr="00C0458D" w:rsidRDefault="00AD3606" w:rsidP="00F16BAB">
            <w:pPr>
              <w:spacing w:before="160"/>
              <w:rPr>
                <w:b/>
                <w:bCs/>
                <w:sz w:val="26"/>
                <w:szCs w:val="26"/>
              </w:rPr>
            </w:pPr>
            <w:r w:rsidRPr="00C0458D">
              <w:rPr>
                <w:b/>
                <w:bCs/>
                <w:sz w:val="26"/>
                <w:szCs w:val="26"/>
              </w:rPr>
              <w:t>References</w:t>
            </w:r>
          </w:p>
          <w:p w14:paraId="2B0FDC57" w14:textId="60F5E9A9" w:rsidR="00AD3606" w:rsidRPr="0076184D" w:rsidRDefault="00AD584D" w:rsidP="0076184D">
            <w:pPr>
              <w:rPr>
                <w:i/>
                <w:iCs/>
                <w:sz w:val="22"/>
                <w:szCs w:val="22"/>
              </w:rPr>
            </w:pPr>
            <w:r w:rsidRPr="0076184D">
              <w:rPr>
                <w:i/>
                <w:iCs/>
                <w:sz w:val="22"/>
                <w:szCs w:val="22"/>
              </w:rPr>
              <w:t xml:space="preserve">Document </w:t>
            </w:r>
            <w:hyperlink r:id="rId11" w:history="1">
              <w:r w:rsidR="5124F6E1" w:rsidRPr="0076184D">
                <w:rPr>
                  <w:rStyle w:val="Hyperlink"/>
                  <w:i/>
                  <w:iCs/>
                  <w:sz w:val="22"/>
                  <w:szCs w:val="22"/>
                </w:rPr>
                <w:t>C25/10</w:t>
              </w:r>
            </w:hyperlink>
          </w:p>
          <w:p w14:paraId="0879C9DC" w14:textId="68626531" w:rsidR="00AD584D" w:rsidRPr="0076184D" w:rsidRDefault="00AD584D" w:rsidP="0076184D">
            <w:pPr>
              <w:spacing w:before="0"/>
              <w:rPr>
                <w:rFonts w:cs="Calibri"/>
                <w:i/>
                <w:iCs/>
                <w:sz w:val="22"/>
                <w:szCs w:val="22"/>
              </w:rPr>
            </w:pPr>
            <w:hyperlink r:id="rId12" w:history="1">
              <w:r w:rsidRPr="0076184D">
                <w:rPr>
                  <w:rStyle w:val="Hyperlink"/>
                  <w:rFonts w:cs="Calibri"/>
                  <w:i/>
                  <w:iCs/>
                  <w:sz w:val="22"/>
                  <w:szCs w:val="22"/>
                </w:rPr>
                <w:t>Resolution 91 (Rev. Guadala</w:t>
              </w:r>
              <w:r w:rsidR="0076184D" w:rsidRPr="0076184D">
                <w:rPr>
                  <w:rStyle w:val="Hyperlink"/>
                  <w:rFonts w:cs="Calibri"/>
                  <w:i/>
                  <w:iCs/>
                  <w:sz w:val="22"/>
                  <w:szCs w:val="22"/>
                </w:rPr>
                <w:t>j</w:t>
              </w:r>
              <w:r w:rsidRPr="0076184D">
                <w:rPr>
                  <w:rStyle w:val="Hyperlink"/>
                  <w:rFonts w:cs="Calibri"/>
                  <w:i/>
                  <w:iCs/>
                  <w:sz w:val="22"/>
                  <w:szCs w:val="22"/>
                </w:rPr>
                <w:t>ara, 2010</w:t>
              </w:r>
              <w:r w:rsidR="0076184D" w:rsidRPr="0076184D">
                <w:rPr>
                  <w:rStyle w:val="Hyperlink"/>
                  <w:rFonts w:cs="Calibri"/>
                  <w:i/>
                  <w:iCs/>
                  <w:sz w:val="22"/>
                  <w:szCs w:val="22"/>
                </w:rPr>
                <w:t>) of the Plenipotentiary Conference</w:t>
              </w:r>
            </w:hyperlink>
          </w:p>
          <w:p w14:paraId="7089D4B7" w14:textId="1894FC3D" w:rsidR="00AD584D" w:rsidRPr="00722551" w:rsidRDefault="00AD584D" w:rsidP="0076184D">
            <w:pPr>
              <w:spacing w:before="0" w:after="160"/>
              <w:rPr>
                <w:sz w:val="22"/>
                <w:szCs w:val="22"/>
              </w:rPr>
            </w:pPr>
            <w:hyperlink r:id="rId13" w:history="1">
              <w:r w:rsidRPr="0076184D">
                <w:rPr>
                  <w:rStyle w:val="Hyperlink"/>
                  <w:rFonts w:cs="Calibri"/>
                  <w:i/>
                  <w:iCs/>
                  <w:sz w:val="22"/>
                  <w:szCs w:val="22"/>
                </w:rPr>
                <w:t>Council Decision 535</w:t>
              </w:r>
              <w:r w:rsidR="00C54371" w:rsidRPr="0076184D">
                <w:rPr>
                  <w:rStyle w:val="Hyperlink"/>
                  <w:rFonts w:cs="Calibri"/>
                  <w:i/>
                  <w:iCs/>
                  <w:sz w:val="22"/>
                  <w:szCs w:val="22"/>
                </w:rPr>
                <w:t xml:space="preserve"> (Modified 2014)</w:t>
              </w:r>
            </w:hyperlink>
          </w:p>
        </w:tc>
      </w:tr>
    </w:tbl>
    <w:p w14:paraId="3E836A65"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52958905"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1"/>
    <w:p w14:paraId="4208AB89" w14:textId="77777777" w:rsidR="000C0807" w:rsidRPr="005F28A2" w:rsidRDefault="000C0807" w:rsidP="005F28A2">
      <w:pPr>
        <w:spacing w:line="276" w:lineRule="auto"/>
        <w:jc w:val="both"/>
        <w:rPr>
          <w:rFonts w:cs="Calibri"/>
          <w:b/>
          <w:bCs/>
          <w:szCs w:val="24"/>
        </w:rPr>
      </w:pPr>
      <w:r w:rsidRPr="005F28A2">
        <w:rPr>
          <w:rFonts w:cs="Calibri"/>
          <w:b/>
          <w:bCs/>
          <w:szCs w:val="24"/>
        </w:rPr>
        <w:lastRenderedPageBreak/>
        <w:t>Introduction</w:t>
      </w:r>
    </w:p>
    <w:p w14:paraId="61A9845A" w14:textId="6B270233" w:rsidR="000C0807" w:rsidRPr="005F28A2" w:rsidRDefault="005F28A2" w:rsidP="29075327">
      <w:pPr>
        <w:spacing w:line="276" w:lineRule="auto"/>
        <w:jc w:val="both"/>
        <w:rPr>
          <w:rFonts w:cs="Calibri"/>
        </w:rPr>
      </w:pPr>
      <w:r w:rsidRPr="29075327">
        <w:rPr>
          <w:rFonts w:cs="Calibri"/>
        </w:rPr>
        <w:t>1.</w:t>
      </w:r>
      <w:r>
        <w:tab/>
      </w:r>
      <w:r w:rsidR="000C0807" w:rsidRPr="29075327">
        <w:rPr>
          <w:rFonts w:cs="Calibri"/>
        </w:rPr>
        <w:t>In seeking to implement Resolution 91 (Rev. Guadala</w:t>
      </w:r>
      <w:r w:rsidR="0076184D">
        <w:rPr>
          <w:rFonts w:cs="Calibri"/>
        </w:rPr>
        <w:t>j</w:t>
      </w:r>
      <w:r w:rsidR="000C0807" w:rsidRPr="29075327">
        <w:rPr>
          <w:rFonts w:cs="Calibri"/>
        </w:rPr>
        <w:t>ara, 2010)</w:t>
      </w:r>
      <w:r w:rsidR="0076184D">
        <w:rPr>
          <w:rFonts w:cs="Calibri"/>
        </w:rPr>
        <w:t xml:space="preserve"> of the Plenipotentiary Conference</w:t>
      </w:r>
      <w:r w:rsidR="000C0807" w:rsidRPr="29075327">
        <w:rPr>
          <w:rFonts w:cs="Calibri"/>
        </w:rPr>
        <w:t xml:space="preserve">, and Council Decision 535, the </w:t>
      </w:r>
      <w:r w:rsidR="0076184D">
        <w:rPr>
          <w:rFonts w:cs="Calibri"/>
        </w:rPr>
        <w:t>s</w:t>
      </w:r>
      <w:r w:rsidR="000C0807" w:rsidRPr="29075327">
        <w:rPr>
          <w:rFonts w:cs="Calibri"/>
        </w:rPr>
        <w:t xml:space="preserve">ecretariat has designed a cost model which allocates appropriate proportions of ITU’s costs associated with Satellite Network Filings (SNF). The total costs have been estimated using this model at </w:t>
      </w:r>
      <w:r w:rsidR="000C0807" w:rsidRPr="29075327">
        <w:rPr>
          <w:rFonts w:cs="Calibri"/>
          <w:b/>
          <w:bCs/>
        </w:rPr>
        <w:t>CHF 22.81 million,</w:t>
      </w:r>
      <w:r w:rsidR="000C0807" w:rsidRPr="29075327">
        <w:rPr>
          <w:rFonts w:cs="Calibri"/>
        </w:rPr>
        <w:t xml:space="preserve"> of which </w:t>
      </w:r>
      <w:r w:rsidR="000C0807" w:rsidRPr="29075327">
        <w:rPr>
          <w:rFonts w:cs="Calibri"/>
          <w:b/>
          <w:bCs/>
        </w:rPr>
        <w:t>CHF 11 million</w:t>
      </w:r>
      <w:r w:rsidR="000C0807" w:rsidRPr="29075327">
        <w:rPr>
          <w:rFonts w:cs="Calibri"/>
        </w:rPr>
        <w:t xml:space="preserve"> are </w:t>
      </w:r>
      <w:r w:rsidR="000C0807" w:rsidRPr="29075327">
        <w:rPr>
          <w:rFonts w:cs="Calibri"/>
          <w:b/>
          <w:bCs/>
        </w:rPr>
        <w:t>direct costs</w:t>
      </w:r>
      <w:r w:rsidR="000C0807" w:rsidRPr="29075327">
        <w:rPr>
          <w:rFonts w:cs="Calibri"/>
        </w:rPr>
        <w:t xml:space="preserve"> and the balance</w:t>
      </w:r>
      <w:r w:rsidR="00A622C0">
        <w:rPr>
          <w:rFonts w:cs="Calibri"/>
        </w:rPr>
        <w:t xml:space="preserve"> of</w:t>
      </w:r>
      <w:r w:rsidR="000C0807" w:rsidRPr="29075327">
        <w:rPr>
          <w:rFonts w:cs="Calibri"/>
        </w:rPr>
        <w:t xml:space="preserve"> </w:t>
      </w:r>
      <w:r w:rsidR="000C0807" w:rsidRPr="29075327">
        <w:rPr>
          <w:rFonts w:cs="Calibri"/>
          <w:b/>
          <w:bCs/>
        </w:rPr>
        <w:t>CHF 11.81 million</w:t>
      </w:r>
      <w:r w:rsidR="000C0807" w:rsidRPr="29075327">
        <w:rPr>
          <w:rFonts w:cs="Calibri"/>
        </w:rPr>
        <w:t xml:space="preserve"> are </w:t>
      </w:r>
      <w:r w:rsidR="000C0807" w:rsidRPr="29075327">
        <w:rPr>
          <w:rFonts w:cs="Calibri"/>
          <w:b/>
          <w:bCs/>
        </w:rPr>
        <w:t>indirect costs</w:t>
      </w:r>
      <w:r w:rsidR="000C0807" w:rsidRPr="29075327">
        <w:rPr>
          <w:rFonts w:cs="Calibri"/>
        </w:rPr>
        <w:t xml:space="preserve">. This currently means that ITU’s current “overhead” attributable to SNF is </w:t>
      </w:r>
      <w:r w:rsidR="000C0807" w:rsidRPr="29075327">
        <w:rPr>
          <w:rFonts w:cs="Calibri"/>
          <w:b/>
          <w:bCs/>
        </w:rPr>
        <w:t>107%</w:t>
      </w:r>
      <w:r w:rsidR="000C0807" w:rsidRPr="29075327">
        <w:rPr>
          <w:rFonts w:cs="Calibri"/>
        </w:rPr>
        <w:t xml:space="preserve"> of the </w:t>
      </w:r>
      <w:r w:rsidR="000C0807" w:rsidRPr="29075327">
        <w:rPr>
          <w:rFonts w:cs="Calibri"/>
          <w:b/>
          <w:bCs/>
        </w:rPr>
        <w:t>direct costs</w:t>
      </w:r>
      <w:r w:rsidR="000C0807" w:rsidRPr="29075327">
        <w:rPr>
          <w:rFonts w:cs="Calibri"/>
        </w:rPr>
        <w:t xml:space="preserve"> incurred</w:t>
      </w:r>
      <w:r w:rsidR="000C0807" w:rsidRPr="29075327">
        <w:rPr>
          <w:rFonts w:cs="Calibri"/>
          <w:b/>
          <w:bCs/>
        </w:rPr>
        <w:t xml:space="preserve">. </w:t>
      </w:r>
      <w:r w:rsidR="000C0807" w:rsidRPr="29075327">
        <w:rPr>
          <w:rFonts w:cs="Calibri"/>
        </w:rPr>
        <w:t xml:space="preserve">The </w:t>
      </w:r>
      <w:r w:rsidR="0076184D">
        <w:rPr>
          <w:rFonts w:cs="Calibri"/>
        </w:rPr>
        <w:t>s</w:t>
      </w:r>
      <w:r w:rsidR="000C0807" w:rsidRPr="29075327">
        <w:rPr>
          <w:rFonts w:cs="Calibri"/>
        </w:rPr>
        <w:t xml:space="preserve">ecretariat understands that indirect costs at this level are unacceptable to stakeholders and based on feedback during the </w:t>
      </w:r>
      <w:r w:rsidR="003101C0">
        <w:rPr>
          <w:rFonts w:cs="Calibri"/>
        </w:rPr>
        <w:t>Expert Group on Decision 482 (</w:t>
      </w:r>
      <w:r w:rsidR="000C0807" w:rsidRPr="29075327">
        <w:rPr>
          <w:rFonts w:cs="Calibri"/>
        </w:rPr>
        <w:t>EG</w:t>
      </w:r>
      <w:r w:rsidR="0076184D">
        <w:rPr>
          <w:rFonts w:cs="Calibri"/>
        </w:rPr>
        <w:t>-DEC</w:t>
      </w:r>
      <w:r w:rsidR="000C0807" w:rsidRPr="29075327">
        <w:rPr>
          <w:rFonts w:cs="Calibri"/>
        </w:rPr>
        <w:t>482</w:t>
      </w:r>
      <w:r w:rsidR="003101C0">
        <w:rPr>
          <w:rFonts w:cs="Calibri"/>
        </w:rPr>
        <w:t>)</w:t>
      </w:r>
      <w:r w:rsidR="000C0807" w:rsidRPr="29075327">
        <w:rPr>
          <w:rFonts w:cs="Calibri"/>
        </w:rPr>
        <w:t xml:space="preserve"> and Council Working Group meetings, this has adversely impacted the ability of membership to arrive at a level of SNF fees which ensure that ITU’s member states do not subsidise the work done by ITU to process filings. </w:t>
      </w:r>
    </w:p>
    <w:p w14:paraId="3F476BE1" w14:textId="04B7961E" w:rsidR="000C0807" w:rsidRPr="005F28A2" w:rsidRDefault="005F28A2" w:rsidP="005F28A2">
      <w:pPr>
        <w:spacing w:line="276" w:lineRule="auto"/>
        <w:jc w:val="both"/>
        <w:rPr>
          <w:rFonts w:cs="Calibri"/>
          <w:szCs w:val="24"/>
        </w:rPr>
      </w:pPr>
      <w:r>
        <w:rPr>
          <w:rFonts w:cs="Calibri"/>
          <w:szCs w:val="24"/>
        </w:rPr>
        <w:t>2.</w:t>
      </w:r>
      <w:r>
        <w:rPr>
          <w:rFonts w:cs="Calibri"/>
          <w:szCs w:val="24"/>
        </w:rPr>
        <w:tab/>
      </w:r>
      <w:r w:rsidR="000C0807" w:rsidRPr="005F28A2">
        <w:rPr>
          <w:rFonts w:cs="Calibri"/>
          <w:szCs w:val="24"/>
        </w:rPr>
        <w:t xml:space="preserve">The high level of costs resulting from the cost model calculations, in the </w:t>
      </w:r>
      <w:r w:rsidR="0076184D">
        <w:rPr>
          <w:rFonts w:cs="Calibri"/>
          <w:szCs w:val="24"/>
        </w:rPr>
        <w:t>s</w:t>
      </w:r>
      <w:r w:rsidR="000C0807" w:rsidRPr="005F28A2">
        <w:rPr>
          <w:rFonts w:cs="Calibri"/>
          <w:szCs w:val="24"/>
        </w:rPr>
        <w:t>ecretariat’s estimation, results from the following factors:</w:t>
      </w:r>
    </w:p>
    <w:p w14:paraId="320261E4" w14:textId="77777777" w:rsidR="000C0807" w:rsidRPr="005F28A2" w:rsidRDefault="000C0807" w:rsidP="003101C0">
      <w:pPr>
        <w:pStyle w:val="ListParagraph"/>
        <w:numPr>
          <w:ilvl w:val="0"/>
          <w:numId w:val="7"/>
        </w:numPr>
        <w:spacing w:line="276" w:lineRule="auto"/>
        <w:ind w:left="993" w:hanging="426"/>
        <w:jc w:val="both"/>
        <w:rPr>
          <w:rFonts w:ascii="Calibri" w:hAnsi="Calibri" w:cs="Calibri"/>
          <w:sz w:val="24"/>
          <w:szCs w:val="24"/>
        </w:rPr>
      </w:pPr>
      <w:r w:rsidRPr="005F28A2">
        <w:rPr>
          <w:rFonts w:ascii="Calibri" w:hAnsi="Calibri" w:cs="Calibri"/>
          <w:sz w:val="24"/>
          <w:szCs w:val="24"/>
        </w:rPr>
        <w:t>The lack of clarity or consensus about which aspects of the work of the ITU can properly be considered as attributable to Satellite Network Filings.</w:t>
      </w:r>
    </w:p>
    <w:p w14:paraId="207248CA" w14:textId="2405776E" w:rsidR="000C0807" w:rsidRPr="005F28A2" w:rsidRDefault="000C0807" w:rsidP="003101C0">
      <w:pPr>
        <w:pStyle w:val="ListParagraph"/>
        <w:numPr>
          <w:ilvl w:val="0"/>
          <w:numId w:val="7"/>
        </w:numPr>
        <w:spacing w:line="276" w:lineRule="auto"/>
        <w:ind w:left="993" w:hanging="426"/>
        <w:jc w:val="both"/>
        <w:rPr>
          <w:rFonts w:ascii="Calibri" w:hAnsi="Calibri" w:cs="Calibri"/>
          <w:sz w:val="24"/>
          <w:szCs w:val="24"/>
        </w:rPr>
      </w:pPr>
      <w:r w:rsidRPr="005F28A2">
        <w:rPr>
          <w:rFonts w:ascii="Calibri" w:hAnsi="Calibri" w:cs="Calibri"/>
          <w:sz w:val="24"/>
          <w:szCs w:val="24"/>
        </w:rPr>
        <w:t xml:space="preserve">Inefficiencies and high costs inherent in the ITU </w:t>
      </w:r>
      <w:r w:rsidR="0076184D">
        <w:rPr>
          <w:rFonts w:ascii="Calibri" w:hAnsi="Calibri" w:cs="Calibri"/>
          <w:sz w:val="24"/>
          <w:szCs w:val="24"/>
        </w:rPr>
        <w:t>s</w:t>
      </w:r>
      <w:r w:rsidRPr="005F28A2">
        <w:rPr>
          <w:rFonts w:ascii="Calibri" w:hAnsi="Calibri" w:cs="Calibri"/>
          <w:sz w:val="24"/>
          <w:szCs w:val="24"/>
        </w:rPr>
        <w:t>ecretariat’s organizational structure and framework.</w:t>
      </w:r>
    </w:p>
    <w:p w14:paraId="5D255CF7" w14:textId="5312E8ED" w:rsidR="005F28A2" w:rsidRPr="005F28A2" w:rsidRDefault="005F28A2" w:rsidP="005F28A2">
      <w:pPr>
        <w:spacing w:line="276" w:lineRule="auto"/>
        <w:jc w:val="both"/>
        <w:rPr>
          <w:rFonts w:cs="Calibri"/>
          <w:b/>
          <w:bCs/>
          <w:szCs w:val="24"/>
        </w:rPr>
      </w:pPr>
      <w:r>
        <w:rPr>
          <w:rFonts w:cs="Calibri"/>
          <w:b/>
          <w:bCs/>
          <w:szCs w:val="24"/>
        </w:rPr>
        <w:t>Discussion on Changes to</w:t>
      </w:r>
      <w:r w:rsidRPr="005F28A2">
        <w:rPr>
          <w:rFonts w:cs="Calibri"/>
          <w:b/>
          <w:bCs/>
          <w:szCs w:val="24"/>
        </w:rPr>
        <w:t xml:space="preserve"> Methodolog</w:t>
      </w:r>
      <w:r>
        <w:rPr>
          <w:rFonts w:cs="Calibri"/>
          <w:b/>
          <w:bCs/>
          <w:szCs w:val="24"/>
        </w:rPr>
        <w:t>y</w:t>
      </w:r>
    </w:p>
    <w:p w14:paraId="5B5F2281" w14:textId="34B98168" w:rsidR="000C0807" w:rsidRPr="005F28A2" w:rsidRDefault="005F28A2" w:rsidP="005F28A2">
      <w:pPr>
        <w:spacing w:line="276" w:lineRule="auto"/>
        <w:jc w:val="both"/>
        <w:rPr>
          <w:rFonts w:cs="Calibri"/>
          <w:szCs w:val="24"/>
        </w:rPr>
      </w:pPr>
      <w:r>
        <w:rPr>
          <w:rFonts w:cs="Calibri"/>
          <w:szCs w:val="24"/>
        </w:rPr>
        <w:t>3.</w:t>
      </w:r>
      <w:r>
        <w:rPr>
          <w:rFonts w:cs="Calibri"/>
          <w:szCs w:val="24"/>
        </w:rPr>
        <w:tab/>
      </w:r>
      <w:r w:rsidR="000C0807" w:rsidRPr="005F28A2">
        <w:rPr>
          <w:rFonts w:cs="Calibri"/>
          <w:szCs w:val="24"/>
        </w:rPr>
        <w:t xml:space="preserve">The </w:t>
      </w:r>
      <w:r w:rsidR="0076184D">
        <w:rPr>
          <w:rFonts w:cs="Calibri"/>
          <w:szCs w:val="24"/>
        </w:rPr>
        <w:t>s</w:t>
      </w:r>
      <w:r w:rsidR="000C0807" w:rsidRPr="005F28A2">
        <w:rPr>
          <w:rFonts w:cs="Calibri"/>
          <w:szCs w:val="24"/>
        </w:rPr>
        <w:t xml:space="preserve">ecretariat has therefore considered new methodologies that could be used to calculate the costs assigned to SNF related work that would be consistent with the principles of Resolution </w:t>
      </w:r>
      <w:r w:rsidRPr="005F28A2">
        <w:rPr>
          <w:rFonts w:cs="Calibri"/>
          <w:szCs w:val="24"/>
        </w:rPr>
        <w:t>91 but</w:t>
      </w:r>
      <w:r w:rsidR="000C0807" w:rsidRPr="005F28A2">
        <w:rPr>
          <w:rFonts w:cs="Calibri"/>
          <w:szCs w:val="24"/>
        </w:rPr>
        <w:t xml:space="preserve"> would also reflect an efficient and reasonable level of indirect (</w:t>
      </w:r>
      <w:r w:rsidR="00F51EDB">
        <w:rPr>
          <w:rFonts w:cs="Calibri"/>
          <w:szCs w:val="24"/>
        </w:rPr>
        <w:t>“</w:t>
      </w:r>
      <w:r w:rsidR="000C0807" w:rsidRPr="005F28A2">
        <w:rPr>
          <w:rFonts w:cs="Calibri"/>
          <w:szCs w:val="24"/>
        </w:rPr>
        <w:t xml:space="preserve">overhead”) costs. In this regard, the </w:t>
      </w:r>
      <w:r w:rsidR="0076184D">
        <w:rPr>
          <w:rFonts w:cs="Calibri"/>
          <w:szCs w:val="24"/>
        </w:rPr>
        <w:t>s</w:t>
      </w:r>
      <w:r w:rsidR="000C0807" w:rsidRPr="005F28A2">
        <w:rPr>
          <w:rFonts w:cs="Calibri"/>
          <w:szCs w:val="24"/>
        </w:rPr>
        <w:t xml:space="preserve">ecretariat proposes to utilize a combination of benchmarking and full cost allocation methodology to calculate the fees, which would be adjusted immediately, and again in </w:t>
      </w:r>
      <w:r w:rsidR="00877DE2">
        <w:rPr>
          <w:rFonts w:cs="Calibri"/>
          <w:szCs w:val="24"/>
        </w:rPr>
        <w:t>four</w:t>
      </w:r>
      <w:r w:rsidR="000C0807" w:rsidRPr="005F28A2">
        <w:rPr>
          <w:rFonts w:cs="Calibri"/>
          <w:szCs w:val="24"/>
        </w:rPr>
        <w:t xml:space="preserve"> (</w:t>
      </w:r>
      <w:r w:rsidR="00877DE2">
        <w:rPr>
          <w:rFonts w:cs="Calibri"/>
          <w:szCs w:val="24"/>
        </w:rPr>
        <w:t>4</w:t>
      </w:r>
      <w:r w:rsidR="000C0807" w:rsidRPr="005F28A2">
        <w:rPr>
          <w:rFonts w:cs="Calibri"/>
          <w:szCs w:val="24"/>
        </w:rPr>
        <w:t>) year increments based on decisions by Council.</w:t>
      </w:r>
    </w:p>
    <w:p w14:paraId="6BBBA6BF" w14:textId="44AB4EE2" w:rsidR="000C0807" w:rsidRPr="005F28A2" w:rsidRDefault="005F28A2" w:rsidP="005F28A2">
      <w:pPr>
        <w:spacing w:line="276" w:lineRule="auto"/>
        <w:jc w:val="both"/>
        <w:rPr>
          <w:rFonts w:cs="Calibri"/>
          <w:szCs w:val="24"/>
        </w:rPr>
      </w:pPr>
      <w:r>
        <w:rPr>
          <w:rFonts w:cs="Calibri"/>
          <w:szCs w:val="24"/>
        </w:rPr>
        <w:t>4.</w:t>
      </w:r>
      <w:r>
        <w:rPr>
          <w:rFonts w:cs="Calibri"/>
          <w:szCs w:val="24"/>
        </w:rPr>
        <w:tab/>
      </w:r>
      <w:hyperlink w:anchor="Annex_1" w:history="1">
        <w:r w:rsidR="000C0807" w:rsidRPr="009D3733">
          <w:rPr>
            <w:rStyle w:val="Hyperlink"/>
            <w:rFonts w:cs="Calibri"/>
            <w:szCs w:val="24"/>
          </w:rPr>
          <w:t>Annex</w:t>
        </w:r>
        <w:r w:rsidR="00877DE2">
          <w:rPr>
            <w:rStyle w:val="Hyperlink"/>
            <w:rFonts w:cs="Calibri"/>
            <w:szCs w:val="24"/>
          </w:rPr>
          <w:t> </w:t>
        </w:r>
        <w:r w:rsidR="000C0807" w:rsidRPr="009D3733">
          <w:rPr>
            <w:rStyle w:val="Hyperlink"/>
            <w:rFonts w:cs="Calibri"/>
            <w:szCs w:val="24"/>
          </w:rPr>
          <w:t>1</w:t>
        </w:r>
      </w:hyperlink>
      <w:r w:rsidR="000C0807" w:rsidRPr="005F28A2">
        <w:rPr>
          <w:rFonts w:cs="Calibri"/>
          <w:szCs w:val="24"/>
        </w:rPr>
        <w:t xml:space="preserve"> provides an analysis of benchmark results from similar work/similar organizations. Studies conducted by the World Bank and the UN indicate that an appropriate range for overhead costs is between 25 and 30% of the direct costs.</w:t>
      </w:r>
    </w:p>
    <w:p w14:paraId="18F8DF35" w14:textId="30C27A3D" w:rsidR="000C0807" w:rsidRPr="005F28A2" w:rsidRDefault="005F28A2" w:rsidP="005F28A2">
      <w:pPr>
        <w:spacing w:line="276" w:lineRule="auto"/>
        <w:jc w:val="both"/>
        <w:rPr>
          <w:rFonts w:cs="Calibri"/>
          <w:szCs w:val="24"/>
        </w:rPr>
      </w:pPr>
      <w:r>
        <w:rPr>
          <w:rFonts w:cs="Calibri"/>
          <w:szCs w:val="24"/>
        </w:rPr>
        <w:t>5.</w:t>
      </w:r>
      <w:r>
        <w:rPr>
          <w:rFonts w:cs="Calibri"/>
          <w:szCs w:val="24"/>
        </w:rPr>
        <w:tab/>
      </w:r>
      <w:r w:rsidR="000C0807" w:rsidRPr="005F28A2">
        <w:rPr>
          <w:rFonts w:cs="Calibri"/>
          <w:szCs w:val="24"/>
        </w:rPr>
        <w:t xml:space="preserve">The </w:t>
      </w:r>
      <w:r w:rsidR="0076184D">
        <w:rPr>
          <w:rFonts w:cs="Calibri"/>
          <w:szCs w:val="24"/>
        </w:rPr>
        <w:t>s</w:t>
      </w:r>
      <w:r w:rsidR="000C0807" w:rsidRPr="005F28A2">
        <w:rPr>
          <w:rFonts w:cs="Calibri"/>
          <w:szCs w:val="24"/>
        </w:rPr>
        <w:t xml:space="preserve">ecretariat acknowledges that in the context of these benchmarks, the current level of ITU indirect costs of more than 100% of the direct expenses is excessive. However, the </w:t>
      </w:r>
      <w:r w:rsidR="0076184D">
        <w:rPr>
          <w:rFonts w:cs="Calibri"/>
          <w:szCs w:val="24"/>
        </w:rPr>
        <w:t>s</w:t>
      </w:r>
      <w:r w:rsidR="000C0807" w:rsidRPr="005F28A2">
        <w:rPr>
          <w:rFonts w:cs="Calibri"/>
          <w:szCs w:val="24"/>
        </w:rPr>
        <w:t>ecretariat is also conscious that efforts to address inefficiencies and realign costs in a sustainable manner require time. The current level of costs cannot be cut immediately, and efficiencies would require additional investment in modern tools and skills to reduce overheads.</w:t>
      </w:r>
    </w:p>
    <w:p w14:paraId="1E97A46F" w14:textId="4808C633" w:rsidR="000C0807" w:rsidRPr="005F28A2" w:rsidRDefault="005F28A2" w:rsidP="005F28A2">
      <w:pPr>
        <w:spacing w:line="276" w:lineRule="auto"/>
        <w:jc w:val="both"/>
        <w:rPr>
          <w:rFonts w:cs="Calibri"/>
          <w:szCs w:val="24"/>
        </w:rPr>
      </w:pPr>
      <w:r>
        <w:rPr>
          <w:rFonts w:cs="Calibri"/>
          <w:szCs w:val="24"/>
        </w:rPr>
        <w:t>6.</w:t>
      </w:r>
      <w:r>
        <w:rPr>
          <w:rFonts w:cs="Calibri"/>
          <w:szCs w:val="24"/>
        </w:rPr>
        <w:tab/>
      </w:r>
      <w:r w:rsidR="000C0807" w:rsidRPr="005F28A2">
        <w:rPr>
          <w:rFonts w:cs="Calibri"/>
          <w:szCs w:val="24"/>
        </w:rPr>
        <w:t>This would enhance transparency, accurately reflect resource usage, and align with international benchmarks for indirect cost recovery. However, proper implementation of a detailed full cost allocation methodology would require:</w:t>
      </w:r>
    </w:p>
    <w:p w14:paraId="3A8C084C" w14:textId="77777777" w:rsidR="000C0807" w:rsidRPr="005F28A2" w:rsidRDefault="000C0807" w:rsidP="003101C0">
      <w:pPr>
        <w:pStyle w:val="ListParagraph"/>
        <w:numPr>
          <w:ilvl w:val="0"/>
          <w:numId w:val="8"/>
        </w:numPr>
        <w:spacing w:line="276" w:lineRule="auto"/>
        <w:ind w:left="993" w:hanging="426"/>
        <w:jc w:val="both"/>
        <w:rPr>
          <w:rFonts w:ascii="Calibri" w:hAnsi="Calibri" w:cs="Calibri"/>
          <w:sz w:val="24"/>
          <w:szCs w:val="24"/>
        </w:rPr>
      </w:pPr>
      <w:r w:rsidRPr="005F28A2">
        <w:rPr>
          <w:rFonts w:ascii="Calibri" w:hAnsi="Calibri" w:cs="Calibri"/>
          <w:sz w:val="24"/>
          <w:szCs w:val="24"/>
        </w:rPr>
        <w:lastRenderedPageBreak/>
        <w:t>Review, in accordance with the principles set in Resolution 91, of the cost categories should properly be included.</w:t>
      </w:r>
    </w:p>
    <w:p w14:paraId="29271A83" w14:textId="0AF550E7" w:rsidR="000C0807" w:rsidRPr="005F28A2" w:rsidRDefault="000C0807" w:rsidP="003101C0">
      <w:pPr>
        <w:pStyle w:val="ListParagraph"/>
        <w:numPr>
          <w:ilvl w:val="0"/>
          <w:numId w:val="8"/>
        </w:numPr>
        <w:spacing w:line="276" w:lineRule="auto"/>
        <w:ind w:left="993" w:hanging="426"/>
        <w:jc w:val="both"/>
        <w:rPr>
          <w:rFonts w:ascii="Calibri" w:hAnsi="Calibri" w:cs="Calibri"/>
          <w:sz w:val="24"/>
          <w:szCs w:val="24"/>
        </w:rPr>
      </w:pPr>
      <w:r w:rsidRPr="005F28A2">
        <w:rPr>
          <w:rFonts w:ascii="Calibri" w:hAnsi="Calibri" w:cs="Calibri"/>
          <w:sz w:val="24"/>
          <w:szCs w:val="24"/>
        </w:rPr>
        <w:t>Introduction and review of cost accounting for all products and services provided by ITU. This work is being currently proposed in the context of the Strategic and Financial Plans 2028-2031.</w:t>
      </w:r>
    </w:p>
    <w:p w14:paraId="5C30D154" w14:textId="77F83758" w:rsidR="000C0807" w:rsidRPr="005F28A2" w:rsidRDefault="005F28A2" w:rsidP="005F28A2">
      <w:pPr>
        <w:spacing w:line="276" w:lineRule="auto"/>
        <w:jc w:val="both"/>
        <w:rPr>
          <w:rFonts w:cs="Calibri"/>
          <w:szCs w:val="24"/>
        </w:rPr>
      </w:pPr>
      <w:r>
        <w:rPr>
          <w:rFonts w:cs="Calibri"/>
          <w:szCs w:val="24"/>
        </w:rPr>
        <w:t>7.</w:t>
      </w:r>
      <w:r>
        <w:rPr>
          <w:rFonts w:cs="Calibri"/>
          <w:szCs w:val="24"/>
        </w:rPr>
        <w:tab/>
      </w:r>
      <w:r w:rsidR="000C0807" w:rsidRPr="005F28A2">
        <w:rPr>
          <w:rFonts w:cs="Calibri"/>
          <w:szCs w:val="24"/>
        </w:rPr>
        <w:t xml:space="preserve">These activities will take time to implement effectively and are unlikely to be completed during the current Financial Plan cycle. </w:t>
      </w:r>
      <w:hyperlink w:anchor="Annex_2" w:history="1">
        <w:r w:rsidR="000C0807" w:rsidRPr="009D3733">
          <w:rPr>
            <w:rStyle w:val="Hyperlink"/>
            <w:rFonts w:cs="Calibri"/>
            <w:szCs w:val="24"/>
          </w:rPr>
          <w:t>Annex 2</w:t>
        </w:r>
      </w:hyperlink>
      <w:r w:rsidR="000C0807" w:rsidRPr="005F28A2">
        <w:rPr>
          <w:rFonts w:cs="Calibri"/>
          <w:szCs w:val="24"/>
        </w:rPr>
        <w:t xml:space="preserve"> provides a description of the cost allocation approach that the </w:t>
      </w:r>
      <w:r w:rsidR="003101C0">
        <w:rPr>
          <w:rFonts w:cs="Calibri"/>
          <w:szCs w:val="24"/>
        </w:rPr>
        <w:t>s</w:t>
      </w:r>
      <w:r w:rsidR="000C0807" w:rsidRPr="005F28A2">
        <w:rPr>
          <w:rFonts w:cs="Calibri"/>
          <w:szCs w:val="24"/>
        </w:rPr>
        <w:t>ecretariat proposes to apply.</w:t>
      </w:r>
    </w:p>
    <w:p w14:paraId="57DB7721" w14:textId="230D4727" w:rsidR="000C0807" w:rsidRPr="005F28A2" w:rsidRDefault="005F28A2" w:rsidP="005F28A2">
      <w:pPr>
        <w:spacing w:line="276" w:lineRule="auto"/>
        <w:jc w:val="both"/>
        <w:rPr>
          <w:rFonts w:cs="Calibri"/>
          <w:szCs w:val="24"/>
        </w:rPr>
      </w:pPr>
      <w:r>
        <w:rPr>
          <w:rFonts w:cs="Calibri"/>
          <w:szCs w:val="24"/>
        </w:rPr>
        <w:t>8.</w:t>
      </w:r>
      <w:r>
        <w:rPr>
          <w:rFonts w:cs="Calibri"/>
          <w:szCs w:val="24"/>
        </w:rPr>
        <w:tab/>
      </w:r>
      <w:r w:rsidR="000C0807" w:rsidRPr="005F28A2">
        <w:rPr>
          <w:rFonts w:cs="Calibri"/>
          <w:szCs w:val="24"/>
        </w:rPr>
        <w:t xml:space="preserve">However, the </w:t>
      </w:r>
      <w:r w:rsidR="003101C0">
        <w:rPr>
          <w:rFonts w:cs="Calibri"/>
          <w:szCs w:val="24"/>
        </w:rPr>
        <w:t>s</w:t>
      </w:r>
      <w:r w:rsidR="000C0807" w:rsidRPr="005F28A2">
        <w:rPr>
          <w:rFonts w:cs="Calibri"/>
          <w:szCs w:val="24"/>
        </w:rPr>
        <w:t xml:space="preserve">ecretariat notes that the delay in this work will perpetuate the current situation in which cost recovery for SNF fees do not recover the actual costs incurred by ITU in providing the service, leaving ITU outside the provisions of Resolution 91 and with a significant deficit which must be covered by </w:t>
      </w:r>
      <w:r w:rsidR="003101C0" w:rsidRPr="005F28A2">
        <w:rPr>
          <w:rFonts w:cs="Calibri"/>
          <w:szCs w:val="24"/>
        </w:rPr>
        <w:t xml:space="preserve">Member States </w:t>
      </w:r>
      <w:r w:rsidR="000C0807" w:rsidRPr="005F28A2">
        <w:rPr>
          <w:rFonts w:cs="Calibri"/>
          <w:szCs w:val="24"/>
        </w:rPr>
        <w:t xml:space="preserve">through their assessed contributions. </w:t>
      </w:r>
    </w:p>
    <w:p w14:paraId="73FDD3D6" w14:textId="756D3BC5" w:rsidR="005F28A2" w:rsidRPr="005F28A2" w:rsidRDefault="005F28A2" w:rsidP="005F28A2">
      <w:pPr>
        <w:spacing w:line="276" w:lineRule="auto"/>
        <w:jc w:val="both"/>
        <w:rPr>
          <w:rFonts w:cs="Calibri"/>
          <w:b/>
          <w:bCs/>
          <w:szCs w:val="24"/>
        </w:rPr>
      </w:pPr>
      <w:r>
        <w:rPr>
          <w:rFonts w:cs="Calibri"/>
          <w:b/>
          <w:bCs/>
          <w:szCs w:val="24"/>
        </w:rPr>
        <w:t>Proposed Increase of Fees and Gradual Reduction of Full Costs</w:t>
      </w:r>
    </w:p>
    <w:p w14:paraId="1976113F" w14:textId="024C90B7" w:rsidR="000C0807" w:rsidRPr="005F28A2" w:rsidRDefault="005F28A2" w:rsidP="005F28A2">
      <w:pPr>
        <w:spacing w:line="276" w:lineRule="auto"/>
        <w:jc w:val="both"/>
        <w:rPr>
          <w:rFonts w:cs="Calibri"/>
          <w:szCs w:val="24"/>
        </w:rPr>
      </w:pPr>
      <w:r>
        <w:rPr>
          <w:rFonts w:cs="Calibri"/>
          <w:szCs w:val="24"/>
        </w:rPr>
        <w:t>9.</w:t>
      </w:r>
      <w:r>
        <w:rPr>
          <w:rFonts w:cs="Calibri"/>
          <w:szCs w:val="24"/>
        </w:rPr>
        <w:tab/>
      </w:r>
      <w:r w:rsidR="000C0807" w:rsidRPr="005F28A2">
        <w:rPr>
          <w:rFonts w:cs="Calibri"/>
          <w:szCs w:val="24"/>
        </w:rPr>
        <w:t xml:space="preserve">The </w:t>
      </w:r>
      <w:r w:rsidR="003101C0">
        <w:rPr>
          <w:rFonts w:cs="Calibri"/>
          <w:szCs w:val="24"/>
        </w:rPr>
        <w:t>s</w:t>
      </w:r>
      <w:r w:rsidR="000C0807" w:rsidRPr="005F28A2">
        <w:rPr>
          <w:rFonts w:cs="Calibri"/>
          <w:szCs w:val="24"/>
        </w:rPr>
        <w:t xml:space="preserve">ecretariat requests that the Council approve the recovery by ITU of the full costs incurred by ITU for SNF, subject to limits, set in accordance with Resolution 91 </w:t>
      </w:r>
      <w:r w:rsidR="000C0807" w:rsidRPr="003101C0">
        <w:rPr>
          <w:rFonts w:cs="Calibri"/>
          <w:i/>
          <w:iCs/>
          <w:szCs w:val="24"/>
        </w:rPr>
        <w:t>resolves</w:t>
      </w:r>
      <w:r w:rsidR="000C0807" w:rsidRPr="005F28A2">
        <w:rPr>
          <w:rFonts w:cs="Calibri"/>
          <w:szCs w:val="24"/>
        </w:rPr>
        <w:t xml:space="preserve"> 4 v), as follows:</w:t>
      </w:r>
    </w:p>
    <w:p w14:paraId="618052B6" w14:textId="77777777" w:rsidR="000C0807" w:rsidRPr="005F28A2" w:rsidRDefault="000C0807" w:rsidP="009D3733">
      <w:pPr>
        <w:pStyle w:val="ListParagraph"/>
        <w:numPr>
          <w:ilvl w:val="0"/>
          <w:numId w:val="9"/>
        </w:numPr>
        <w:spacing w:line="276" w:lineRule="auto"/>
        <w:ind w:left="993" w:hanging="426"/>
        <w:jc w:val="both"/>
        <w:rPr>
          <w:rFonts w:ascii="Calibri" w:hAnsi="Calibri" w:cs="Calibri"/>
          <w:sz w:val="24"/>
          <w:szCs w:val="24"/>
        </w:rPr>
      </w:pPr>
      <w:r w:rsidRPr="005F28A2">
        <w:rPr>
          <w:rFonts w:ascii="Calibri" w:hAnsi="Calibri" w:cs="Calibri"/>
          <w:sz w:val="24"/>
          <w:szCs w:val="24"/>
        </w:rPr>
        <w:t xml:space="preserve">For the period from 1 January 2026 to 31 December 2027, ITU’s recovery of indirect costs should be set at, and limited to, </w:t>
      </w:r>
      <w:r w:rsidRPr="005F28A2">
        <w:rPr>
          <w:rFonts w:ascii="Calibri" w:hAnsi="Calibri" w:cs="Calibri"/>
          <w:b/>
          <w:bCs/>
          <w:sz w:val="24"/>
          <w:szCs w:val="24"/>
        </w:rPr>
        <w:t>40% of the direct costs incurred</w:t>
      </w:r>
      <w:r w:rsidRPr="005F28A2">
        <w:rPr>
          <w:rFonts w:ascii="Calibri" w:hAnsi="Calibri" w:cs="Calibri"/>
          <w:sz w:val="24"/>
          <w:szCs w:val="24"/>
        </w:rPr>
        <w:t xml:space="preserve"> </w:t>
      </w:r>
      <w:r w:rsidRPr="005F28A2">
        <w:rPr>
          <w:rFonts w:ascii="Calibri" w:hAnsi="Calibri" w:cs="Calibri"/>
          <w:b/>
          <w:bCs/>
          <w:sz w:val="24"/>
          <w:szCs w:val="24"/>
        </w:rPr>
        <w:t>by ITU</w:t>
      </w:r>
      <w:r w:rsidRPr="005F28A2">
        <w:rPr>
          <w:rFonts w:ascii="Calibri" w:hAnsi="Calibri" w:cs="Calibri"/>
          <w:sz w:val="24"/>
          <w:szCs w:val="24"/>
        </w:rPr>
        <w:t xml:space="preserve">. ITU acknowledges that this exceeds the recommended international benchmarks however this represents a reasonable recovery level considering ITU’s current actual costs. </w:t>
      </w:r>
    </w:p>
    <w:p w14:paraId="12F1EC22" w14:textId="3033AE0B" w:rsidR="000C0807" w:rsidRPr="005F28A2" w:rsidRDefault="000C0807" w:rsidP="009D3733">
      <w:pPr>
        <w:pStyle w:val="ListParagraph"/>
        <w:numPr>
          <w:ilvl w:val="0"/>
          <w:numId w:val="9"/>
        </w:numPr>
        <w:spacing w:line="276" w:lineRule="auto"/>
        <w:ind w:left="993" w:hanging="426"/>
        <w:jc w:val="both"/>
        <w:rPr>
          <w:rFonts w:ascii="Calibri" w:hAnsi="Calibri" w:cs="Calibri"/>
          <w:sz w:val="24"/>
          <w:szCs w:val="24"/>
        </w:rPr>
      </w:pPr>
      <w:r w:rsidRPr="15E373A1">
        <w:rPr>
          <w:rFonts w:ascii="Calibri" w:hAnsi="Calibri" w:cs="Calibri"/>
          <w:sz w:val="24"/>
          <w:szCs w:val="24"/>
        </w:rPr>
        <w:t>The Secretary</w:t>
      </w:r>
      <w:r w:rsidR="003101C0">
        <w:rPr>
          <w:rFonts w:ascii="Calibri" w:hAnsi="Calibri" w:cs="Calibri"/>
          <w:sz w:val="24"/>
          <w:szCs w:val="24"/>
        </w:rPr>
        <w:t>-</w:t>
      </w:r>
      <w:r w:rsidRPr="15E373A1">
        <w:rPr>
          <w:rFonts w:ascii="Calibri" w:hAnsi="Calibri" w:cs="Calibri"/>
          <w:sz w:val="24"/>
          <w:szCs w:val="24"/>
        </w:rPr>
        <w:t xml:space="preserve">General shall submit to Council 2027 for approval, a first report on a full cost recovery approach for </w:t>
      </w:r>
      <w:r w:rsidR="00A622C0" w:rsidRPr="15E373A1">
        <w:rPr>
          <w:rFonts w:ascii="Calibri" w:hAnsi="Calibri" w:cs="Calibri"/>
          <w:sz w:val="24"/>
          <w:szCs w:val="24"/>
        </w:rPr>
        <w:t>SNF and</w:t>
      </w:r>
      <w:r w:rsidRPr="15E373A1">
        <w:rPr>
          <w:rFonts w:ascii="Calibri" w:hAnsi="Calibri" w:cs="Calibri"/>
          <w:sz w:val="24"/>
          <w:szCs w:val="24"/>
        </w:rPr>
        <w:t xml:space="preserve"> propose a reduction in the limit </w:t>
      </w:r>
      <w:r w:rsidRPr="53D74F50">
        <w:rPr>
          <w:rFonts w:ascii="Calibri" w:hAnsi="Calibri" w:cs="Calibri"/>
          <w:sz w:val="24"/>
          <w:szCs w:val="24"/>
        </w:rPr>
        <w:t xml:space="preserve">for </w:t>
      </w:r>
      <w:r w:rsidR="20032DB8" w:rsidRPr="53D74F50">
        <w:rPr>
          <w:rFonts w:ascii="Calibri" w:hAnsi="Calibri" w:cs="Calibri"/>
          <w:sz w:val="24"/>
          <w:szCs w:val="24"/>
        </w:rPr>
        <w:t>indirect costs</w:t>
      </w:r>
      <w:r w:rsidRPr="15E373A1">
        <w:rPr>
          <w:rFonts w:ascii="Calibri" w:hAnsi="Calibri" w:cs="Calibri"/>
          <w:sz w:val="24"/>
          <w:szCs w:val="24"/>
        </w:rPr>
        <w:t xml:space="preserve">, to </w:t>
      </w:r>
      <w:r w:rsidRPr="15E373A1">
        <w:rPr>
          <w:rFonts w:ascii="Calibri" w:hAnsi="Calibri" w:cs="Calibri"/>
          <w:b/>
          <w:bCs/>
          <w:sz w:val="24"/>
          <w:szCs w:val="24"/>
        </w:rPr>
        <w:t>no more than 35% of direct costs</w:t>
      </w:r>
      <w:r w:rsidRPr="15E373A1">
        <w:rPr>
          <w:rFonts w:ascii="Calibri" w:hAnsi="Calibri" w:cs="Calibri"/>
          <w:sz w:val="24"/>
          <w:szCs w:val="24"/>
        </w:rPr>
        <w:t xml:space="preserve">, which would apply from 1 January 2028. </w:t>
      </w:r>
    </w:p>
    <w:p w14:paraId="65FC89EC" w14:textId="553674F3" w:rsidR="000C0807" w:rsidRPr="005F28A2" w:rsidRDefault="000C0807" w:rsidP="009D3733">
      <w:pPr>
        <w:pStyle w:val="ListParagraph"/>
        <w:numPr>
          <w:ilvl w:val="0"/>
          <w:numId w:val="9"/>
        </w:numPr>
        <w:spacing w:line="276" w:lineRule="auto"/>
        <w:ind w:left="993" w:hanging="426"/>
        <w:jc w:val="both"/>
        <w:rPr>
          <w:rFonts w:ascii="Calibri" w:hAnsi="Calibri" w:cs="Calibri"/>
          <w:sz w:val="24"/>
          <w:szCs w:val="24"/>
        </w:rPr>
      </w:pPr>
      <w:r w:rsidRPr="15E373A1">
        <w:rPr>
          <w:rFonts w:ascii="Calibri" w:hAnsi="Calibri" w:cs="Calibri"/>
          <w:sz w:val="24"/>
          <w:szCs w:val="24"/>
        </w:rPr>
        <w:t xml:space="preserve">A further report on detailed full costs recovery will be proposed at Council 2029 for application from 1 January 2030, which will reduce the </w:t>
      </w:r>
      <w:r w:rsidRPr="53D74F50">
        <w:rPr>
          <w:rFonts w:ascii="Calibri" w:hAnsi="Calibri" w:cs="Calibri"/>
          <w:sz w:val="24"/>
          <w:szCs w:val="24"/>
        </w:rPr>
        <w:t>applicable recovery limit</w:t>
      </w:r>
      <w:r w:rsidRPr="15E373A1">
        <w:rPr>
          <w:rFonts w:ascii="Calibri" w:hAnsi="Calibri" w:cs="Calibri"/>
          <w:sz w:val="24"/>
          <w:szCs w:val="24"/>
        </w:rPr>
        <w:t xml:space="preserve"> </w:t>
      </w:r>
      <w:r w:rsidR="5D3E9C45" w:rsidRPr="15E373A1">
        <w:rPr>
          <w:rFonts w:ascii="Calibri" w:hAnsi="Calibri" w:cs="Calibri"/>
          <w:sz w:val="24"/>
          <w:szCs w:val="24"/>
        </w:rPr>
        <w:t xml:space="preserve">for indirect costs </w:t>
      </w:r>
      <w:r w:rsidRPr="15E373A1">
        <w:rPr>
          <w:rFonts w:ascii="Calibri" w:hAnsi="Calibri" w:cs="Calibri"/>
          <w:sz w:val="24"/>
          <w:szCs w:val="24"/>
        </w:rPr>
        <w:t xml:space="preserve">to </w:t>
      </w:r>
      <w:r w:rsidRPr="15E373A1">
        <w:rPr>
          <w:rFonts w:ascii="Calibri" w:hAnsi="Calibri" w:cs="Calibri"/>
          <w:b/>
          <w:bCs/>
          <w:sz w:val="24"/>
          <w:szCs w:val="24"/>
        </w:rPr>
        <w:t>no more than 30% of direct costs</w:t>
      </w:r>
      <w:r w:rsidRPr="15E373A1">
        <w:rPr>
          <w:rFonts w:ascii="Calibri" w:hAnsi="Calibri" w:cs="Calibri"/>
          <w:sz w:val="24"/>
          <w:szCs w:val="24"/>
        </w:rPr>
        <w:t xml:space="preserve">. </w:t>
      </w:r>
    </w:p>
    <w:p w14:paraId="24441E11" w14:textId="2DECCEC1" w:rsidR="000C0807" w:rsidRPr="005F28A2" w:rsidRDefault="005F28A2" w:rsidP="005F28A2">
      <w:pPr>
        <w:spacing w:line="276" w:lineRule="auto"/>
        <w:jc w:val="both"/>
        <w:rPr>
          <w:rFonts w:cs="Calibri"/>
          <w:szCs w:val="24"/>
        </w:rPr>
      </w:pPr>
      <w:r>
        <w:rPr>
          <w:rFonts w:cs="Calibri"/>
          <w:szCs w:val="24"/>
        </w:rPr>
        <w:t>10.</w:t>
      </w:r>
      <w:r>
        <w:rPr>
          <w:rFonts w:cs="Calibri"/>
          <w:szCs w:val="24"/>
        </w:rPr>
        <w:tab/>
      </w:r>
      <w:r w:rsidR="000C0807" w:rsidRPr="005F28A2">
        <w:rPr>
          <w:rFonts w:cs="Calibri"/>
          <w:szCs w:val="24"/>
        </w:rPr>
        <w:t xml:space="preserve">While at the commencement of these phased reductions, ITU will not collect its full costs, the </w:t>
      </w:r>
      <w:r w:rsidR="003101C0">
        <w:rPr>
          <w:rFonts w:cs="Calibri"/>
          <w:szCs w:val="24"/>
        </w:rPr>
        <w:t>s</w:t>
      </w:r>
      <w:r w:rsidR="000C0807" w:rsidRPr="005F28A2">
        <w:rPr>
          <w:rFonts w:cs="Calibri"/>
          <w:szCs w:val="24"/>
        </w:rPr>
        <w:t>ecretariat proposes to achieve reductions of the actual costs to the limits set using a combination of structured application of a full cost allocation model, operational efficiencies and service optimization. This graduated approach to reach efficient and reasonable levels of indirect costs are consistent with Resolution 91 (Rev. Guadalajara, 2010), and Annex 2 of Decision 5 (Rev. Bucharest</w:t>
      </w:r>
      <w:r w:rsidR="003101C0">
        <w:rPr>
          <w:rFonts w:cs="Calibri"/>
          <w:szCs w:val="24"/>
        </w:rPr>
        <w:t>,</w:t>
      </w:r>
      <w:r w:rsidR="000C0807" w:rsidRPr="005F28A2">
        <w:rPr>
          <w:rFonts w:cs="Calibri"/>
          <w:szCs w:val="24"/>
        </w:rPr>
        <w:t xml:space="preserve"> 2022).</w:t>
      </w:r>
    </w:p>
    <w:p w14:paraId="64424B43" w14:textId="7F0BBE11" w:rsidR="000C0807" w:rsidRPr="005F28A2" w:rsidRDefault="005F28A2" w:rsidP="009D3733">
      <w:pPr>
        <w:keepNext/>
        <w:keepLines/>
        <w:spacing w:line="276" w:lineRule="auto"/>
        <w:jc w:val="both"/>
        <w:rPr>
          <w:rFonts w:cs="Calibri"/>
          <w:b/>
          <w:bCs/>
        </w:rPr>
      </w:pPr>
      <w:r w:rsidRPr="13A2D850">
        <w:rPr>
          <w:rFonts w:cs="Calibri"/>
          <w:b/>
          <w:bCs/>
        </w:rPr>
        <w:lastRenderedPageBreak/>
        <w:t xml:space="preserve">Calculation </w:t>
      </w:r>
      <w:r w:rsidR="000C0807" w:rsidRPr="13A2D850">
        <w:rPr>
          <w:rFonts w:cs="Calibri"/>
          <w:b/>
          <w:bCs/>
        </w:rPr>
        <w:t xml:space="preserve">of </w:t>
      </w:r>
      <w:r w:rsidRPr="13A2D850">
        <w:rPr>
          <w:rFonts w:cs="Calibri"/>
          <w:b/>
          <w:bCs/>
        </w:rPr>
        <w:t>D</w:t>
      </w:r>
      <w:r w:rsidR="000C0807" w:rsidRPr="13A2D850">
        <w:rPr>
          <w:rFonts w:cs="Calibri"/>
          <w:b/>
          <w:bCs/>
        </w:rPr>
        <w:t xml:space="preserve">irect and </w:t>
      </w:r>
      <w:r w:rsidRPr="13A2D850">
        <w:rPr>
          <w:rFonts w:cs="Calibri"/>
          <w:b/>
          <w:bCs/>
        </w:rPr>
        <w:t>In</w:t>
      </w:r>
      <w:r w:rsidR="000C0807" w:rsidRPr="13A2D850">
        <w:rPr>
          <w:rFonts w:cs="Calibri"/>
          <w:b/>
          <w:bCs/>
        </w:rPr>
        <w:t>direct cost</w:t>
      </w:r>
      <w:r w:rsidRPr="13A2D850">
        <w:rPr>
          <w:rFonts w:cs="Calibri"/>
          <w:b/>
          <w:bCs/>
        </w:rPr>
        <w:t>s</w:t>
      </w:r>
    </w:p>
    <w:p w14:paraId="5E4E486B" w14:textId="12698D18" w:rsidR="000C0807" w:rsidRPr="005F28A2" w:rsidRDefault="1B5956D3" w:rsidP="009D3733">
      <w:pPr>
        <w:keepNext/>
        <w:keepLines/>
        <w:spacing w:line="276" w:lineRule="auto"/>
        <w:jc w:val="both"/>
        <w:rPr>
          <w:rFonts w:cs="Calibri"/>
        </w:rPr>
      </w:pPr>
      <w:r w:rsidRPr="106EEE06">
        <w:rPr>
          <w:rFonts w:cs="Calibri"/>
        </w:rPr>
        <w:t>11.</w:t>
      </w:r>
      <w:r>
        <w:tab/>
      </w:r>
      <w:r w:rsidR="692ED5F7" w:rsidRPr="106EEE06">
        <w:rPr>
          <w:rFonts w:cs="Calibri"/>
        </w:rPr>
        <w:t xml:space="preserve">ITU’s direct costs </w:t>
      </w:r>
      <w:r w:rsidR="5A7BBB12" w:rsidRPr="106EEE06">
        <w:rPr>
          <w:rFonts w:cs="Calibri"/>
        </w:rPr>
        <w:t>were</w:t>
      </w:r>
      <w:r w:rsidR="692ED5F7" w:rsidRPr="106EEE06">
        <w:rPr>
          <w:rFonts w:cs="Calibri"/>
        </w:rPr>
        <w:t xml:space="preserve"> assessed at </w:t>
      </w:r>
      <w:r w:rsidR="692ED5F7" w:rsidRPr="106EEE06">
        <w:rPr>
          <w:rFonts w:cs="Calibri"/>
          <w:b/>
          <w:bCs/>
        </w:rPr>
        <w:t xml:space="preserve">CHF 11.0 million </w:t>
      </w:r>
      <w:r w:rsidR="3A5B96E9" w:rsidRPr="106EEE06">
        <w:rPr>
          <w:rFonts w:cs="Calibri"/>
        </w:rPr>
        <w:t xml:space="preserve">since 2006 when the </w:t>
      </w:r>
      <w:r w:rsidR="003101C0">
        <w:rPr>
          <w:rFonts w:cs="Calibri"/>
        </w:rPr>
        <w:t>Plenipotentiary Conference</w:t>
      </w:r>
      <w:r w:rsidR="3A5B96E9" w:rsidRPr="106EEE06">
        <w:rPr>
          <w:rFonts w:cs="Calibri"/>
        </w:rPr>
        <w:t xml:space="preserve"> fixed the current value of the Contributory Unit</w:t>
      </w:r>
      <w:r w:rsidR="692ED5F7" w:rsidRPr="106EEE06">
        <w:rPr>
          <w:rFonts w:cs="Calibri"/>
        </w:rPr>
        <w:t xml:space="preserve">. Due to inflationary pressures, ITU has adjusted these costs to reflect the actual increases based on the Geneva Consumer Price Index which estimates an increase of </w:t>
      </w:r>
      <w:r w:rsidR="692ED5F7" w:rsidRPr="106EEE06">
        <w:rPr>
          <w:rFonts w:cs="Calibri"/>
          <w:b/>
          <w:bCs/>
        </w:rPr>
        <w:t>10.6%</w:t>
      </w:r>
      <w:r w:rsidR="692ED5F7" w:rsidRPr="106EEE06">
        <w:rPr>
          <w:rFonts w:cs="Calibri"/>
        </w:rPr>
        <w:t xml:space="preserve">. The real value of the direct costs in present terms is therefore </w:t>
      </w:r>
      <w:r w:rsidR="692ED5F7" w:rsidRPr="106EEE06">
        <w:rPr>
          <w:rFonts w:cs="Calibri"/>
          <w:b/>
          <w:bCs/>
        </w:rPr>
        <w:t>CHF 12</w:t>
      </w:r>
      <w:r w:rsidR="003101C0">
        <w:rPr>
          <w:rFonts w:cs="Calibri"/>
          <w:b/>
          <w:bCs/>
        </w:rPr>
        <w:t> </w:t>
      </w:r>
      <w:r w:rsidR="692ED5F7" w:rsidRPr="106EEE06">
        <w:rPr>
          <w:rFonts w:cs="Calibri"/>
          <w:b/>
          <w:bCs/>
        </w:rPr>
        <w:t>166</w:t>
      </w:r>
      <w:r w:rsidR="003101C0">
        <w:rPr>
          <w:rFonts w:cs="Calibri"/>
          <w:b/>
          <w:bCs/>
        </w:rPr>
        <w:t> </w:t>
      </w:r>
      <w:r w:rsidR="692ED5F7" w:rsidRPr="106EEE06">
        <w:rPr>
          <w:rFonts w:cs="Calibri"/>
          <w:b/>
          <w:bCs/>
        </w:rPr>
        <w:t>000</w:t>
      </w:r>
      <w:r w:rsidR="692ED5F7" w:rsidRPr="106EEE06">
        <w:rPr>
          <w:rFonts w:cs="Calibri"/>
        </w:rPr>
        <w:t xml:space="preserve">. </w:t>
      </w:r>
    </w:p>
    <w:p w14:paraId="12C8FB78" w14:textId="6A17E4BB" w:rsidR="000C0807" w:rsidRPr="005F28A2" w:rsidRDefault="005F28A2" w:rsidP="106EEE06">
      <w:pPr>
        <w:spacing w:line="276" w:lineRule="auto"/>
        <w:jc w:val="both"/>
        <w:rPr>
          <w:rFonts w:cs="Calibri"/>
          <w:b/>
          <w:bCs/>
        </w:rPr>
      </w:pPr>
      <w:r w:rsidRPr="106EEE06">
        <w:rPr>
          <w:rFonts w:cs="Calibri"/>
        </w:rPr>
        <w:t>12.</w:t>
      </w:r>
      <w:r w:rsidR="000C0807">
        <w:tab/>
      </w:r>
      <w:r w:rsidR="000C0807" w:rsidRPr="106EEE06">
        <w:rPr>
          <w:rFonts w:cs="Calibri"/>
        </w:rPr>
        <w:t xml:space="preserve">Using the graduated reductions proposed above, the indirect cost limit of </w:t>
      </w:r>
      <w:r w:rsidR="000C0807" w:rsidRPr="106EEE06">
        <w:rPr>
          <w:rFonts w:cs="Calibri"/>
          <w:b/>
          <w:bCs/>
        </w:rPr>
        <w:t>40%</w:t>
      </w:r>
      <w:r w:rsidR="000C0807" w:rsidRPr="106EEE06">
        <w:rPr>
          <w:rFonts w:cs="Calibri"/>
        </w:rPr>
        <w:t xml:space="preserve"> would result in indirect costs of </w:t>
      </w:r>
      <w:r w:rsidR="000C0807" w:rsidRPr="106EEE06">
        <w:rPr>
          <w:rFonts w:cs="Calibri"/>
          <w:b/>
          <w:bCs/>
        </w:rPr>
        <w:t>CHF</w:t>
      </w:r>
      <w:r w:rsidR="003101C0">
        <w:rPr>
          <w:rFonts w:cs="Calibri"/>
          <w:b/>
          <w:bCs/>
        </w:rPr>
        <w:t> </w:t>
      </w:r>
      <w:r w:rsidR="000C0807" w:rsidRPr="106EEE06">
        <w:rPr>
          <w:rFonts w:cs="Calibri"/>
          <w:b/>
          <w:bCs/>
        </w:rPr>
        <w:t>4</w:t>
      </w:r>
      <w:r w:rsidR="003101C0">
        <w:rPr>
          <w:rFonts w:cs="Calibri"/>
          <w:b/>
          <w:bCs/>
        </w:rPr>
        <w:t> </w:t>
      </w:r>
      <w:r w:rsidR="000C0807" w:rsidRPr="106EEE06">
        <w:rPr>
          <w:rFonts w:cs="Calibri"/>
          <w:b/>
          <w:bCs/>
        </w:rPr>
        <w:t>866</w:t>
      </w:r>
      <w:r w:rsidR="003101C0">
        <w:rPr>
          <w:rFonts w:cs="Calibri"/>
          <w:b/>
          <w:bCs/>
        </w:rPr>
        <w:t> </w:t>
      </w:r>
      <w:r w:rsidR="000C0807" w:rsidRPr="106EEE06">
        <w:rPr>
          <w:rFonts w:cs="Calibri"/>
          <w:b/>
          <w:bCs/>
        </w:rPr>
        <w:t>400</w:t>
      </w:r>
      <w:r w:rsidR="000C0807" w:rsidRPr="106EEE06">
        <w:rPr>
          <w:rFonts w:cs="Calibri"/>
        </w:rPr>
        <w:t xml:space="preserve"> to be collected from SNF fees from 1 January 2026. </w:t>
      </w:r>
      <w:r w:rsidR="2139ED4F" w:rsidRPr="106EEE06">
        <w:rPr>
          <w:rFonts w:cs="Calibri"/>
        </w:rPr>
        <w:t xml:space="preserve">The total amount which would need to be collected </w:t>
      </w:r>
      <w:r w:rsidR="438EF455" w:rsidRPr="106EEE06">
        <w:rPr>
          <w:rFonts w:cs="Calibri"/>
        </w:rPr>
        <w:t xml:space="preserve">from SNF Fees </w:t>
      </w:r>
      <w:r w:rsidR="2139ED4F" w:rsidRPr="106EEE06">
        <w:rPr>
          <w:rFonts w:cs="Calibri"/>
        </w:rPr>
        <w:t xml:space="preserve">would </w:t>
      </w:r>
      <w:r w:rsidR="1AFC5F6E" w:rsidRPr="106EEE06">
        <w:rPr>
          <w:rFonts w:cs="Calibri"/>
        </w:rPr>
        <w:t>be</w:t>
      </w:r>
      <w:r w:rsidR="2139ED4F" w:rsidRPr="106EEE06">
        <w:rPr>
          <w:rFonts w:cs="Calibri"/>
        </w:rPr>
        <w:t xml:space="preserve"> </w:t>
      </w:r>
      <w:r w:rsidR="2139ED4F" w:rsidRPr="106EEE06">
        <w:rPr>
          <w:rFonts w:cs="Calibri"/>
          <w:b/>
          <w:bCs/>
        </w:rPr>
        <w:t>CHF</w:t>
      </w:r>
      <w:r w:rsidR="003101C0">
        <w:rPr>
          <w:rFonts w:cs="Calibri"/>
          <w:b/>
          <w:bCs/>
        </w:rPr>
        <w:t> </w:t>
      </w:r>
      <w:r w:rsidR="2139ED4F" w:rsidRPr="106EEE06">
        <w:rPr>
          <w:rFonts w:cs="Calibri"/>
          <w:b/>
          <w:bCs/>
        </w:rPr>
        <w:t>17</w:t>
      </w:r>
      <w:r w:rsidR="003101C0">
        <w:rPr>
          <w:rFonts w:cs="Calibri"/>
          <w:b/>
          <w:bCs/>
        </w:rPr>
        <w:t> </w:t>
      </w:r>
      <w:r w:rsidR="6DCC4A60" w:rsidRPr="106EEE06">
        <w:rPr>
          <w:rFonts w:cs="Calibri"/>
          <w:b/>
          <w:bCs/>
        </w:rPr>
        <w:t>032</w:t>
      </w:r>
      <w:r w:rsidR="003101C0">
        <w:rPr>
          <w:rFonts w:cs="Calibri"/>
          <w:b/>
          <w:bCs/>
        </w:rPr>
        <w:t> </w:t>
      </w:r>
      <w:r w:rsidR="6DCC4A60" w:rsidRPr="106EEE06">
        <w:rPr>
          <w:rFonts w:cs="Calibri"/>
          <w:b/>
          <w:bCs/>
        </w:rPr>
        <w:t>400</w:t>
      </w:r>
      <w:r w:rsidR="6DCC4A60" w:rsidRPr="106EEE06">
        <w:rPr>
          <w:rFonts w:cs="Calibri"/>
        </w:rPr>
        <w:t>.</w:t>
      </w:r>
    </w:p>
    <w:p w14:paraId="025178AC" w14:textId="533224D9" w:rsidR="000C0807" w:rsidRPr="005F28A2" w:rsidRDefault="5F73ECB7" w:rsidP="106EEE06">
      <w:pPr>
        <w:spacing w:line="276" w:lineRule="auto"/>
        <w:jc w:val="both"/>
        <w:rPr>
          <w:rFonts w:cs="Calibri"/>
        </w:rPr>
      </w:pPr>
      <w:r w:rsidRPr="65E418C1">
        <w:rPr>
          <w:rFonts w:cs="Calibri"/>
          <w:b/>
          <w:bCs/>
        </w:rPr>
        <w:t>Provision for Software Development</w:t>
      </w:r>
    </w:p>
    <w:p w14:paraId="1EB78944" w14:textId="30BD4C71" w:rsidR="000C0807" w:rsidRPr="005F28A2" w:rsidRDefault="5F73ECB7" w:rsidP="106EEE06">
      <w:pPr>
        <w:spacing w:line="276" w:lineRule="auto"/>
        <w:jc w:val="both"/>
        <w:rPr>
          <w:rFonts w:cs="Calibri"/>
        </w:rPr>
      </w:pPr>
      <w:r w:rsidRPr="70835F34">
        <w:rPr>
          <w:rFonts w:cs="Calibri"/>
        </w:rPr>
        <w:t>13.</w:t>
      </w:r>
      <w:r>
        <w:tab/>
      </w:r>
      <w:r w:rsidR="2357BD9E" w:rsidRPr="70835F34">
        <w:rPr>
          <w:rFonts w:cs="Calibri"/>
        </w:rPr>
        <w:t xml:space="preserve">The </w:t>
      </w:r>
      <w:r w:rsidR="003101C0">
        <w:rPr>
          <w:rFonts w:cs="Calibri"/>
        </w:rPr>
        <w:t>s</w:t>
      </w:r>
      <w:r w:rsidR="2357BD9E" w:rsidRPr="70835F34">
        <w:rPr>
          <w:rFonts w:cs="Calibri"/>
        </w:rPr>
        <w:t>ecretariat notes that the EG-</w:t>
      </w:r>
      <w:r w:rsidR="003101C0">
        <w:rPr>
          <w:rFonts w:cs="Calibri"/>
        </w:rPr>
        <w:t>DEC</w:t>
      </w:r>
      <w:r w:rsidR="2357BD9E" w:rsidRPr="70835F34">
        <w:rPr>
          <w:rFonts w:cs="Calibri"/>
        </w:rPr>
        <w:t xml:space="preserve">482 </w:t>
      </w:r>
      <w:r w:rsidR="00D374AD" w:rsidRPr="00D374AD">
        <w:rPr>
          <w:rFonts w:cs="Calibri"/>
        </w:rPr>
        <w:t xml:space="preserve">did not address the necessary expense required to ensure that the filings can continue to be processed efficiently having regard to increased volumes. To address this, the </w:t>
      </w:r>
      <w:r w:rsidR="00D374AD">
        <w:rPr>
          <w:rFonts w:cs="Calibri"/>
        </w:rPr>
        <w:t>s</w:t>
      </w:r>
      <w:r w:rsidR="00D374AD" w:rsidRPr="00D374AD">
        <w:rPr>
          <w:rFonts w:cs="Calibri"/>
        </w:rPr>
        <w:t xml:space="preserve">ecretariat proposes to add an additional sum of </w:t>
      </w:r>
      <w:r w:rsidR="00D374AD" w:rsidRPr="00D374AD">
        <w:rPr>
          <w:rFonts w:cs="Calibri"/>
          <w:b/>
          <w:bCs/>
        </w:rPr>
        <w:t>CHF 1 000 000</w:t>
      </w:r>
      <w:r w:rsidR="00D374AD" w:rsidRPr="00D374AD">
        <w:rPr>
          <w:rFonts w:cs="Calibri"/>
        </w:rPr>
        <w:t xml:space="preserve"> per annum to be collected as part of SNF fees. This sum will be placed in the ICT Capital Fund and earmarked for the update and modernization of BR software applications used for SNF.</w:t>
      </w:r>
    </w:p>
    <w:p w14:paraId="4D2CB5A6" w14:textId="1F87A046" w:rsidR="000C0807" w:rsidRPr="005F28A2" w:rsidRDefault="000C0807" w:rsidP="106EEE06">
      <w:pPr>
        <w:spacing w:line="276" w:lineRule="auto"/>
        <w:jc w:val="both"/>
        <w:rPr>
          <w:rFonts w:cs="Calibri"/>
          <w:b/>
          <w:bCs/>
        </w:rPr>
      </w:pPr>
      <w:r w:rsidRPr="106EEE06">
        <w:rPr>
          <w:rFonts w:cs="Calibri"/>
          <w:b/>
          <w:bCs/>
        </w:rPr>
        <w:t>Method for Application of Approved Limits</w:t>
      </w:r>
    </w:p>
    <w:p w14:paraId="4329F75B" w14:textId="5D96A503" w:rsidR="005F28A2" w:rsidRDefault="005F28A2" w:rsidP="106EEE06">
      <w:pPr>
        <w:spacing w:line="276" w:lineRule="auto"/>
        <w:jc w:val="both"/>
        <w:rPr>
          <w:rFonts w:cs="Calibri"/>
          <w:b/>
          <w:bCs/>
        </w:rPr>
      </w:pPr>
      <w:r w:rsidRPr="70835F34">
        <w:rPr>
          <w:rFonts w:cs="Calibri"/>
        </w:rPr>
        <w:t>1</w:t>
      </w:r>
      <w:r w:rsidR="2F78EB57" w:rsidRPr="70835F34">
        <w:rPr>
          <w:rFonts w:cs="Calibri"/>
        </w:rPr>
        <w:t>4</w:t>
      </w:r>
      <w:r w:rsidRPr="70835F34">
        <w:rPr>
          <w:rFonts w:cs="Calibri"/>
        </w:rPr>
        <w:t>.</w:t>
      </w:r>
      <w:r>
        <w:tab/>
      </w:r>
      <w:r w:rsidR="000C0807" w:rsidRPr="70835F34">
        <w:rPr>
          <w:rFonts w:cs="Calibri"/>
        </w:rPr>
        <w:t xml:space="preserve">The </w:t>
      </w:r>
      <w:r w:rsidR="003101C0">
        <w:rPr>
          <w:rFonts w:cs="Calibri"/>
        </w:rPr>
        <w:t>s</w:t>
      </w:r>
      <w:r w:rsidR="000C0807" w:rsidRPr="70835F34">
        <w:rPr>
          <w:rFonts w:cs="Calibri"/>
        </w:rPr>
        <w:t xml:space="preserve">ecretariat requests that </w:t>
      </w:r>
      <w:r w:rsidR="003101C0">
        <w:rPr>
          <w:rFonts w:cs="Calibri"/>
        </w:rPr>
        <w:t xml:space="preserve">the </w:t>
      </w:r>
      <w:r w:rsidR="000C0807" w:rsidRPr="70835F34">
        <w:rPr>
          <w:rFonts w:cs="Calibri"/>
        </w:rPr>
        <w:t>Council authorise the application of the limits using a multiplier of the fees set by EG-</w:t>
      </w:r>
      <w:r w:rsidR="003101C0">
        <w:rPr>
          <w:rFonts w:cs="Calibri"/>
        </w:rPr>
        <w:t>DEC</w:t>
      </w:r>
      <w:r w:rsidR="000C0807" w:rsidRPr="70835F34">
        <w:rPr>
          <w:rFonts w:cs="Calibri"/>
        </w:rPr>
        <w:t>482</w:t>
      </w:r>
      <w:r w:rsidR="571B8AC6" w:rsidRPr="70835F34">
        <w:rPr>
          <w:rFonts w:cs="Calibri"/>
        </w:rPr>
        <w:t xml:space="preserve"> in </w:t>
      </w:r>
      <w:r w:rsidR="571B8AC6" w:rsidRPr="003101C0">
        <w:rPr>
          <w:rFonts w:cs="Calibri"/>
        </w:rPr>
        <w:t>D</w:t>
      </w:r>
      <w:r w:rsidR="38BFA876" w:rsidRPr="003101C0">
        <w:rPr>
          <w:rFonts w:cs="Calibri"/>
        </w:rPr>
        <w:t>o</w:t>
      </w:r>
      <w:r w:rsidR="571B8AC6" w:rsidRPr="003101C0">
        <w:rPr>
          <w:rFonts w:cs="Calibri"/>
        </w:rPr>
        <w:t xml:space="preserve">cument </w:t>
      </w:r>
      <w:hyperlink r:id="rId14" w:history="1">
        <w:r w:rsidR="571B8AC6" w:rsidRPr="003101C0">
          <w:rPr>
            <w:rStyle w:val="Hyperlink"/>
            <w:rFonts w:cs="Calibri"/>
          </w:rPr>
          <w:t>C25/10</w:t>
        </w:r>
      </w:hyperlink>
      <w:r w:rsidR="000C0807" w:rsidRPr="003101C0">
        <w:rPr>
          <w:rFonts w:cs="Calibri"/>
        </w:rPr>
        <w:t>,</w:t>
      </w:r>
      <w:r w:rsidR="000C0807" w:rsidRPr="70835F34">
        <w:rPr>
          <w:rFonts w:cs="Calibri"/>
        </w:rPr>
        <w:t xml:space="preserve"> based on the anticipated recovery based on the new fees and current filing levels, to achieve the approved level of recovery. The </w:t>
      </w:r>
      <w:r w:rsidR="003101C0">
        <w:rPr>
          <w:rFonts w:cs="Calibri"/>
        </w:rPr>
        <w:t>s</w:t>
      </w:r>
      <w:r w:rsidR="000C0807" w:rsidRPr="70835F34">
        <w:rPr>
          <w:rFonts w:cs="Calibri"/>
        </w:rPr>
        <w:t xml:space="preserve">ecretariat </w:t>
      </w:r>
      <w:r w:rsidR="28949388" w:rsidRPr="70835F34">
        <w:rPr>
          <w:rFonts w:cs="Calibri"/>
        </w:rPr>
        <w:t>is in the process of</w:t>
      </w:r>
      <w:r w:rsidR="000C0807" w:rsidRPr="70835F34">
        <w:rPr>
          <w:rFonts w:cs="Calibri"/>
        </w:rPr>
        <w:t xml:space="preserve"> calculat</w:t>
      </w:r>
      <w:r w:rsidR="63AE960C" w:rsidRPr="70835F34">
        <w:rPr>
          <w:rFonts w:cs="Calibri"/>
        </w:rPr>
        <w:t>ing</w:t>
      </w:r>
      <w:r w:rsidR="000C0807" w:rsidRPr="70835F34">
        <w:rPr>
          <w:rFonts w:cs="Calibri"/>
        </w:rPr>
        <w:t xml:space="preserve"> the </w:t>
      </w:r>
      <w:r w:rsidR="4CEABB70" w:rsidRPr="70835F34">
        <w:rPr>
          <w:rFonts w:cs="Calibri"/>
        </w:rPr>
        <w:t xml:space="preserve">estimated </w:t>
      </w:r>
      <w:r w:rsidR="000C0807" w:rsidRPr="70835F34">
        <w:rPr>
          <w:rFonts w:cs="Calibri"/>
        </w:rPr>
        <w:t>fees that would be collected based on the recommendations of EG-</w:t>
      </w:r>
      <w:r w:rsidR="003101C0">
        <w:rPr>
          <w:rFonts w:cs="Calibri"/>
        </w:rPr>
        <w:t>DEC</w:t>
      </w:r>
      <w:r w:rsidR="000C0807" w:rsidRPr="70835F34">
        <w:rPr>
          <w:rFonts w:cs="Calibri"/>
        </w:rPr>
        <w:t xml:space="preserve">482 </w:t>
      </w:r>
      <w:r w:rsidR="0959C7DC" w:rsidRPr="70835F34">
        <w:rPr>
          <w:rFonts w:cs="Calibri"/>
        </w:rPr>
        <w:t xml:space="preserve">submitted to Council in Document </w:t>
      </w:r>
      <w:hyperlink r:id="rId15" w:history="1">
        <w:r w:rsidR="0959C7DC" w:rsidRPr="003101C0">
          <w:rPr>
            <w:rStyle w:val="Hyperlink"/>
            <w:rFonts w:cs="Calibri"/>
          </w:rPr>
          <w:t>C25/10</w:t>
        </w:r>
      </w:hyperlink>
      <w:r w:rsidR="405BA779" w:rsidRPr="003101C0">
        <w:rPr>
          <w:rFonts w:cs="Calibri"/>
        </w:rPr>
        <w:t>, however</w:t>
      </w:r>
      <w:r w:rsidR="405BA779" w:rsidRPr="70835F34">
        <w:rPr>
          <w:rFonts w:cs="Calibri"/>
        </w:rPr>
        <w:t xml:space="preserve"> it is proposed </w:t>
      </w:r>
      <w:r w:rsidR="044C6EE7" w:rsidRPr="70835F34">
        <w:rPr>
          <w:rFonts w:cs="Calibri"/>
        </w:rPr>
        <w:t>and the Secretary</w:t>
      </w:r>
      <w:r w:rsidR="003101C0">
        <w:rPr>
          <w:rFonts w:cs="Calibri"/>
        </w:rPr>
        <w:t>-</w:t>
      </w:r>
      <w:r w:rsidR="044C6EE7" w:rsidRPr="70835F34">
        <w:rPr>
          <w:rFonts w:cs="Calibri"/>
        </w:rPr>
        <w:t xml:space="preserve">General requests that Council approve the addition of </w:t>
      </w:r>
      <w:r w:rsidR="405BA779" w:rsidRPr="70835F34">
        <w:rPr>
          <w:rFonts w:cs="Calibri"/>
        </w:rPr>
        <w:t xml:space="preserve">a standard multiplier to </w:t>
      </w:r>
      <w:r w:rsidR="6904DDD2" w:rsidRPr="70835F34">
        <w:rPr>
          <w:rFonts w:cs="Calibri"/>
        </w:rPr>
        <w:t>all</w:t>
      </w:r>
      <w:r w:rsidR="405BA779" w:rsidRPr="70835F34">
        <w:rPr>
          <w:rFonts w:cs="Calibri"/>
        </w:rPr>
        <w:t xml:space="preserve"> fee</w:t>
      </w:r>
      <w:r w:rsidR="6904DDD2" w:rsidRPr="70835F34">
        <w:rPr>
          <w:rFonts w:cs="Calibri"/>
        </w:rPr>
        <w:t>s proposed</w:t>
      </w:r>
      <w:r w:rsidR="405BA779" w:rsidRPr="70835F34">
        <w:rPr>
          <w:rFonts w:cs="Calibri"/>
        </w:rPr>
        <w:t xml:space="preserve">, </w:t>
      </w:r>
      <w:r w:rsidR="51DB1EE2" w:rsidRPr="70835F34">
        <w:rPr>
          <w:rFonts w:cs="Calibri"/>
        </w:rPr>
        <w:t xml:space="preserve">of an amount </w:t>
      </w:r>
      <w:r w:rsidR="405BA779" w:rsidRPr="70835F34">
        <w:rPr>
          <w:rFonts w:cs="Calibri"/>
        </w:rPr>
        <w:t xml:space="preserve">to achieve total revenues of </w:t>
      </w:r>
      <w:r w:rsidR="000C0807" w:rsidRPr="70835F34">
        <w:rPr>
          <w:rFonts w:cs="Calibri"/>
          <w:b/>
          <w:bCs/>
        </w:rPr>
        <w:t>CHF</w:t>
      </w:r>
      <w:r w:rsidR="003101C0">
        <w:rPr>
          <w:rFonts w:cs="Calibri"/>
          <w:b/>
          <w:bCs/>
        </w:rPr>
        <w:t> </w:t>
      </w:r>
      <w:r w:rsidR="000C0807" w:rsidRPr="70835F34">
        <w:rPr>
          <w:rFonts w:cs="Calibri"/>
          <w:b/>
          <w:bCs/>
        </w:rPr>
        <w:t>1</w:t>
      </w:r>
      <w:r w:rsidR="4E0053D5" w:rsidRPr="70835F34">
        <w:rPr>
          <w:rFonts w:cs="Calibri"/>
          <w:b/>
          <w:bCs/>
        </w:rPr>
        <w:t>8</w:t>
      </w:r>
      <w:r w:rsidR="003101C0">
        <w:rPr>
          <w:rFonts w:cs="Calibri"/>
          <w:b/>
          <w:bCs/>
        </w:rPr>
        <w:t> </w:t>
      </w:r>
      <w:r w:rsidR="000C0807" w:rsidRPr="70835F34">
        <w:rPr>
          <w:rFonts w:cs="Calibri"/>
          <w:b/>
          <w:bCs/>
        </w:rPr>
        <w:t>032</w:t>
      </w:r>
      <w:r w:rsidR="003101C0">
        <w:rPr>
          <w:rFonts w:cs="Calibri"/>
          <w:b/>
          <w:bCs/>
        </w:rPr>
        <w:t> </w:t>
      </w:r>
      <w:r w:rsidR="000C0807" w:rsidRPr="70835F34">
        <w:rPr>
          <w:rFonts w:cs="Calibri"/>
          <w:b/>
          <w:bCs/>
        </w:rPr>
        <w:t>4</w:t>
      </w:r>
      <w:r w:rsidR="11812918" w:rsidRPr="70835F34">
        <w:rPr>
          <w:rFonts w:cs="Calibri"/>
          <w:b/>
          <w:bCs/>
        </w:rPr>
        <w:t>00</w:t>
      </w:r>
      <w:r w:rsidR="0B9FFA14" w:rsidRPr="70835F34">
        <w:rPr>
          <w:rFonts w:cs="Calibri"/>
          <w:b/>
          <w:bCs/>
        </w:rPr>
        <w:t>.</w:t>
      </w:r>
      <w:r w:rsidR="31C671E0" w:rsidRPr="70835F34">
        <w:rPr>
          <w:rFonts w:cs="Calibri"/>
        </w:rPr>
        <w:t xml:space="preserve"> If approved the </w:t>
      </w:r>
      <w:r w:rsidR="003101C0">
        <w:rPr>
          <w:rFonts w:cs="Calibri"/>
        </w:rPr>
        <w:t>s</w:t>
      </w:r>
      <w:r w:rsidR="31C671E0" w:rsidRPr="70835F34">
        <w:rPr>
          <w:rFonts w:cs="Calibri"/>
        </w:rPr>
        <w:t xml:space="preserve">ecretariat will calculate the appropriate fees and publish for implementation from </w:t>
      </w:r>
      <w:r w:rsidR="31C671E0" w:rsidRPr="70835F34">
        <w:rPr>
          <w:rFonts w:cs="Calibri"/>
          <w:b/>
          <w:bCs/>
        </w:rPr>
        <w:t>1 January 2026.</w:t>
      </w:r>
    </w:p>
    <w:p w14:paraId="6EE4A7B2" w14:textId="77777777" w:rsidR="000C0807" w:rsidRPr="0000361B" w:rsidRDefault="000C0807" w:rsidP="000C0807">
      <w:pPr>
        <w:rPr>
          <w:rFonts w:cs="Calibri"/>
          <w:szCs w:val="24"/>
        </w:rPr>
      </w:pPr>
      <w:r w:rsidRPr="0000361B">
        <w:rPr>
          <w:rFonts w:cs="Calibri"/>
          <w:szCs w:val="24"/>
        </w:rPr>
        <w:br w:type="page"/>
      </w:r>
    </w:p>
    <w:p w14:paraId="5594A4E3" w14:textId="77777777" w:rsidR="003101C0" w:rsidRDefault="000C0807" w:rsidP="003101C0">
      <w:pPr>
        <w:pStyle w:val="AnnexNo"/>
      </w:pPr>
      <w:bookmarkStart w:id="12" w:name="Annex_1"/>
      <w:r w:rsidRPr="0000361B">
        <w:lastRenderedPageBreak/>
        <w:t>Annex 1</w:t>
      </w:r>
      <w:bookmarkEnd w:id="12"/>
    </w:p>
    <w:p w14:paraId="55025BB0" w14:textId="14FD5438" w:rsidR="000C0807" w:rsidRPr="0000361B" w:rsidRDefault="000C0807" w:rsidP="003101C0">
      <w:pPr>
        <w:pStyle w:val="Annextitle"/>
      </w:pPr>
      <w:r w:rsidRPr="0000361B">
        <w:t>Benchmarking Indirect Costs Allocation in International Organizations</w:t>
      </w:r>
    </w:p>
    <w:p w14:paraId="56844AE0" w14:textId="1250C355" w:rsidR="000C0807" w:rsidRPr="0000361B" w:rsidRDefault="000C0807" w:rsidP="000C0807">
      <w:pPr>
        <w:jc w:val="both"/>
        <w:rPr>
          <w:rFonts w:cs="Calibri"/>
          <w:szCs w:val="24"/>
        </w:rPr>
      </w:pPr>
      <w:r w:rsidRPr="0000361B">
        <w:rPr>
          <w:rFonts w:cs="Calibri"/>
          <w:szCs w:val="24"/>
        </w:rPr>
        <w:t xml:space="preserve">To establish a reasonable allocation of indirect costs, the </w:t>
      </w:r>
      <w:r w:rsidR="003101C0">
        <w:rPr>
          <w:rFonts w:cs="Calibri"/>
          <w:szCs w:val="24"/>
        </w:rPr>
        <w:t>s</w:t>
      </w:r>
      <w:r w:rsidRPr="0000361B">
        <w:rPr>
          <w:rFonts w:cs="Calibri"/>
          <w:szCs w:val="24"/>
        </w:rPr>
        <w:t xml:space="preserve">ecretariat proposes to refer to benchmarks established by recognized international institutions to guide the appropriate levels. Two recent studies have been identified which suggest indirect cost allocations in the range of </w:t>
      </w:r>
      <w:r w:rsidRPr="0000361B">
        <w:rPr>
          <w:rFonts w:cs="Calibri"/>
          <w:b/>
          <w:bCs/>
          <w:szCs w:val="24"/>
        </w:rPr>
        <w:t>25% to 30% of direct costs</w:t>
      </w:r>
      <w:r w:rsidRPr="0000361B">
        <w:rPr>
          <w:rFonts w:cs="Calibri"/>
          <w:szCs w:val="24"/>
        </w:rPr>
        <w:t>, depending on the nature and complexity of services provided.</w:t>
      </w:r>
    </w:p>
    <w:p w14:paraId="2C394858" w14:textId="77777777" w:rsidR="000C0807" w:rsidRPr="0000361B" w:rsidRDefault="000C0807" w:rsidP="00D374AD">
      <w:pPr>
        <w:numPr>
          <w:ilvl w:val="0"/>
          <w:numId w:val="5"/>
        </w:numPr>
        <w:tabs>
          <w:tab w:val="clear" w:pos="567"/>
          <w:tab w:val="clear" w:pos="720"/>
          <w:tab w:val="clear" w:pos="1134"/>
          <w:tab w:val="clear" w:pos="1701"/>
          <w:tab w:val="clear" w:pos="2268"/>
          <w:tab w:val="clear" w:pos="2835"/>
        </w:tabs>
        <w:overflowPunct/>
        <w:autoSpaceDE/>
        <w:autoSpaceDN/>
        <w:adjustRightInd/>
        <w:spacing w:before="0" w:after="160" w:line="259" w:lineRule="auto"/>
        <w:ind w:left="709" w:hanging="425"/>
        <w:jc w:val="both"/>
        <w:textAlignment w:val="auto"/>
        <w:rPr>
          <w:rFonts w:cs="Calibri"/>
          <w:szCs w:val="24"/>
        </w:rPr>
      </w:pPr>
      <w:r w:rsidRPr="0000361B">
        <w:rPr>
          <w:rFonts w:cs="Calibri"/>
          <w:b/>
          <w:bCs/>
          <w:szCs w:val="24"/>
        </w:rPr>
        <w:t>World Bank and IFC Studies:</w:t>
      </w:r>
    </w:p>
    <w:p w14:paraId="2C99310F" w14:textId="77777777" w:rsidR="000C0807" w:rsidRPr="0000361B" w:rsidRDefault="000C0807" w:rsidP="00D374AD">
      <w:pPr>
        <w:numPr>
          <w:ilvl w:val="1"/>
          <w:numId w:val="5"/>
        </w:numPr>
        <w:tabs>
          <w:tab w:val="clear" w:pos="567"/>
          <w:tab w:val="clear" w:pos="1134"/>
          <w:tab w:val="clear" w:pos="1440"/>
          <w:tab w:val="clear" w:pos="1701"/>
          <w:tab w:val="clear" w:pos="2268"/>
          <w:tab w:val="clear" w:pos="2835"/>
        </w:tabs>
        <w:overflowPunct/>
        <w:autoSpaceDE/>
        <w:autoSpaceDN/>
        <w:adjustRightInd/>
        <w:spacing w:before="0" w:after="160" w:line="259" w:lineRule="auto"/>
        <w:ind w:left="1276" w:hanging="567"/>
        <w:jc w:val="both"/>
        <w:textAlignment w:val="auto"/>
        <w:rPr>
          <w:rFonts w:cs="Calibri"/>
          <w:szCs w:val="24"/>
        </w:rPr>
      </w:pPr>
      <w:r w:rsidRPr="0000361B">
        <w:rPr>
          <w:rFonts w:cs="Calibri"/>
          <w:szCs w:val="24"/>
        </w:rPr>
        <w:t xml:space="preserve">According to World Bank and International Finance Corporation (IFC) cost recovery frameworks, administrative overhead in public sector entities should ideally not exceed </w:t>
      </w:r>
      <w:r w:rsidRPr="0000361B">
        <w:rPr>
          <w:rFonts w:cs="Calibri"/>
          <w:b/>
          <w:bCs/>
          <w:szCs w:val="24"/>
        </w:rPr>
        <w:t>30%</w:t>
      </w:r>
      <w:r w:rsidRPr="0000361B">
        <w:rPr>
          <w:rFonts w:cs="Calibri"/>
          <w:szCs w:val="24"/>
        </w:rPr>
        <w:t xml:space="preserve"> of the direct operational expenditures, emphasizing a balanced approach to cost recovery and transparency.</w:t>
      </w:r>
    </w:p>
    <w:p w14:paraId="0BFBE52B" w14:textId="77777777" w:rsidR="000C0807" w:rsidRPr="0000361B" w:rsidRDefault="000C0807" w:rsidP="00D374AD">
      <w:pPr>
        <w:numPr>
          <w:ilvl w:val="1"/>
          <w:numId w:val="5"/>
        </w:numPr>
        <w:tabs>
          <w:tab w:val="clear" w:pos="567"/>
          <w:tab w:val="clear" w:pos="1134"/>
          <w:tab w:val="clear" w:pos="1440"/>
          <w:tab w:val="clear" w:pos="1701"/>
          <w:tab w:val="clear" w:pos="2268"/>
          <w:tab w:val="clear" w:pos="2835"/>
        </w:tabs>
        <w:overflowPunct/>
        <w:autoSpaceDE/>
        <w:autoSpaceDN/>
        <w:adjustRightInd/>
        <w:spacing w:before="0" w:after="160" w:line="259" w:lineRule="auto"/>
        <w:ind w:left="1276" w:hanging="567"/>
        <w:jc w:val="both"/>
        <w:textAlignment w:val="auto"/>
        <w:rPr>
          <w:rFonts w:cs="Calibri"/>
          <w:szCs w:val="24"/>
        </w:rPr>
      </w:pPr>
      <w:r w:rsidRPr="0000361B">
        <w:rPr>
          <w:rFonts w:cs="Calibri"/>
          <w:szCs w:val="24"/>
        </w:rPr>
        <w:t xml:space="preserve">Reference: IFC (2020), </w:t>
      </w:r>
      <w:r w:rsidRPr="0000361B">
        <w:rPr>
          <w:rFonts w:cs="Calibri"/>
          <w:i/>
          <w:iCs/>
          <w:szCs w:val="24"/>
        </w:rPr>
        <w:t>Guidelines for Project Cost Allocation and Cost Recovery</w:t>
      </w:r>
      <w:r w:rsidRPr="0000361B">
        <w:rPr>
          <w:rFonts w:cs="Calibri"/>
          <w:szCs w:val="24"/>
        </w:rPr>
        <w:t>, World Bank Group, Washington DC.</w:t>
      </w:r>
    </w:p>
    <w:p w14:paraId="5993587E" w14:textId="77777777" w:rsidR="000C0807" w:rsidRPr="0000361B" w:rsidRDefault="000C0807" w:rsidP="00D374AD">
      <w:pPr>
        <w:numPr>
          <w:ilvl w:val="0"/>
          <w:numId w:val="5"/>
        </w:numPr>
        <w:tabs>
          <w:tab w:val="clear" w:pos="567"/>
          <w:tab w:val="clear" w:pos="720"/>
          <w:tab w:val="clear" w:pos="1134"/>
          <w:tab w:val="clear" w:pos="1701"/>
          <w:tab w:val="clear" w:pos="2268"/>
          <w:tab w:val="clear" w:pos="2835"/>
        </w:tabs>
        <w:overflowPunct/>
        <w:autoSpaceDE/>
        <w:autoSpaceDN/>
        <w:adjustRightInd/>
        <w:spacing w:before="0" w:after="160" w:line="259" w:lineRule="auto"/>
        <w:ind w:left="709" w:hanging="436"/>
        <w:jc w:val="both"/>
        <w:textAlignment w:val="auto"/>
        <w:rPr>
          <w:rFonts w:cs="Calibri"/>
          <w:szCs w:val="24"/>
        </w:rPr>
      </w:pPr>
      <w:r w:rsidRPr="0000361B">
        <w:rPr>
          <w:rFonts w:cs="Calibri"/>
          <w:b/>
          <w:bCs/>
          <w:szCs w:val="24"/>
        </w:rPr>
        <w:t>United Nations Common System (UNDP and UNICEF):</w:t>
      </w:r>
    </w:p>
    <w:p w14:paraId="04B6CA9F" w14:textId="77777777" w:rsidR="000C0807" w:rsidRPr="0000361B" w:rsidRDefault="000C0807" w:rsidP="00D374AD">
      <w:pPr>
        <w:numPr>
          <w:ilvl w:val="1"/>
          <w:numId w:val="5"/>
        </w:numPr>
        <w:tabs>
          <w:tab w:val="clear" w:pos="567"/>
          <w:tab w:val="clear" w:pos="1134"/>
          <w:tab w:val="clear" w:pos="1440"/>
          <w:tab w:val="clear" w:pos="1701"/>
          <w:tab w:val="clear" w:pos="2268"/>
          <w:tab w:val="clear" w:pos="2835"/>
        </w:tabs>
        <w:overflowPunct/>
        <w:autoSpaceDE/>
        <w:autoSpaceDN/>
        <w:adjustRightInd/>
        <w:spacing w:before="0" w:after="160" w:line="259" w:lineRule="auto"/>
        <w:ind w:left="1276" w:hanging="567"/>
        <w:jc w:val="both"/>
        <w:textAlignment w:val="auto"/>
        <w:rPr>
          <w:rFonts w:cs="Calibri"/>
          <w:szCs w:val="24"/>
        </w:rPr>
      </w:pPr>
      <w:r w:rsidRPr="0000361B">
        <w:rPr>
          <w:rFonts w:cs="Calibri"/>
          <w:szCs w:val="24"/>
        </w:rPr>
        <w:t xml:space="preserve">The United Nations Development Programme (UNDP) and United Nations Children's Fund (UNICEF) guidelines on Programme Support Costs (PSC) explicitly recommend limiting indirect (overhead) cost recovery to a maximum of </w:t>
      </w:r>
      <w:r w:rsidRPr="0000361B">
        <w:rPr>
          <w:rFonts w:cs="Calibri"/>
          <w:b/>
          <w:bCs/>
          <w:szCs w:val="24"/>
        </w:rPr>
        <w:t>25%-30%</w:t>
      </w:r>
      <w:r w:rsidRPr="0000361B">
        <w:rPr>
          <w:rFonts w:cs="Calibri"/>
          <w:szCs w:val="24"/>
        </w:rPr>
        <w:t xml:space="preserve"> of direct project costs.</w:t>
      </w:r>
    </w:p>
    <w:p w14:paraId="7387D800" w14:textId="77777777" w:rsidR="000C0807" w:rsidRPr="0000361B" w:rsidRDefault="000C0807" w:rsidP="00D374AD">
      <w:pPr>
        <w:numPr>
          <w:ilvl w:val="1"/>
          <w:numId w:val="5"/>
        </w:numPr>
        <w:tabs>
          <w:tab w:val="clear" w:pos="567"/>
          <w:tab w:val="clear" w:pos="1134"/>
          <w:tab w:val="clear" w:pos="1440"/>
          <w:tab w:val="clear" w:pos="1701"/>
          <w:tab w:val="clear" w:pos="2268"/>
          <w:tab w:val="clear" w:pos="2835"/>
        </w:tabs>
        <w:overflowPunct/>
        <w:autoSpaceDE/>
        <w:autoSpaceDN/>
        <w:adjustRightInd/>
        <w:spacing w:before="0" w:after="160" w:line="259" w:lineRule="auto"/>
        <w:ind w:left="1276" w:hanging="567"/>
        <w:jc w:val="both"/>
        <w:textAlignment w:val="auto"/>
        <w:rPr>
          <w:rFonts w:cs="Calibri"/>
          <w:szCs w:val="24"/>
        </w:rPr>
      </w:pPr>
      <w:r w:rsidRPr="0000361B">
        <w:rPr>
          <w:rFonts w:cs="Calibri"/>
          <w:szCs w:val="24"/>
        </w:rPr>
        <w:t xml:space="preserve">Reference: UNDP (2019), </w:t>
      </w:r>
      <w:r w:rsidRPr="0000361B">
        <w:rPr>
          <w:rFonts w:cs="Calibri"/>
          <w:i/>
          <w:iCs/>
          <w:szCs w:val="24"/>
        </w:rPr>
        <w:t>Cost Recovery and Cost Classification Guidelines</w:t>
      </w:r>
      <w:r w:rsidRPr="0000361B">
        <w:rPr>
          <w:rFonts w:cs="Calibri"/>
          <w:szCs w:val="24"/>
        </w:rPr>
        <w:t>, United Nations Development Programme, New York.</w:t>
      </w:r>
    </w:p>
    <w:p w14:paraId="3D767894" w14:textId="77777777" w:rsidR="000C0807" w:rsidRPr="0000361B" w:rsidRDefault="000C0807" w:rsidP="00D374AD">
      <w:pPr>
        <w:numPr>
          <w:ilvl w:val="1"/>
          <w:numId w:val="5"/>
        </w:numPr>
        <w:tabs>
          <w:tab w:val="clear" w:pos="567"/>
          <w:tab w:val="clear" w:pos="1134"/>
          <w:tab w:val="clear" w:pos="1440"/>
          <w:tab w:val="clear" w:pos="1701"/>
          <w:tab w:val="clear" w:pos="2268"/>
          <w:tab w:val="clear" w:pos="2835"/>
        </w:tabs>
        <w:overflowPunct/>
        <w:autoSpaceDE/>
        <w:autoSpaceDN/>
        <w:adjustRightInd/>
        <w:spacing w:before="0" w:after="160" w:line="259" w:lineRule="auto"/>
        <w:ind w:left="1276" w:hanging="567"/>
        <w:jc w:val="both"/>
        <w:textAlignment w:val="auto"/>
        <w:rPr>
          <w:rFonts w:cs="Calibri"/>
          <w:szCs w:val="24"/>
        </w:rPr>
      </w:pPr>
      <w:r w:rsidRPr="0000361B">
        <w:rPr>
          <w:rFonts w:cs="Calibri"/>
          <w:szCs w:val="24"/>
        </w:rPr>
        <w:t xml:space="preserve">Reference: UNICEF (2020), </w:t>
      </w:r>
      <w:r w:rsidRPr="0000361B">
        <w:rPr>
          <w:rFonts w:cs="Calibri"/>
          <w:i/>
          <w:iCs/>
          <w:szCs w:val="24"/>
        </w:rPr>
        <w:t>UNICEF Cost Recovery Policy</w:t>
      </w:r>
      <w:r w:rsidRPr="0000361B">
        <w:rPr>
          <w:rFonts w:cs="Calibri"/>
          <w:szCs w:val="24"/>
        </w:rPr>
        <w:t>, United Nations Children's Fund Executive Board Document, New York.</w:t>
      </w:r>
    </w:p>
    <w:p w14:paraId="04FC93EB" w14:textId="77777777" w:rsidR="000C0807" w:rsidRPr="0000361B" w:rsidRDefault="000C0807" w:rsidP="000C0807">
      <w:pPr>
        <w:rPr>
          <w:rFonts w:cs="Calibri"/>
          <w:szCs w:val="24"/>
        </w:rPr>
      </w:pPr>
      <w:r w:rsidRPr="0000361B">
        <w:rPr>
          <w:rFonts w:cs="Calibri"/>
          <w:szCs w:val="24"/>
        </w:rPr>
        <w:br w:type="page"/>
      </w:r>
    </w:p>
    <w:p w14:paraId="68C36327" w14:textId="77777777" w:rsidR="000C0807" w:rsidRPr="0000361B" w:rsidRDefault="000C0807" w:rsidP="003101C0">
      <w:pPr>
        <w:pStyle w:val="AnnexNo"/>
      </w:pPr>
      <w:bookmarkStart w:id="13" w:name="Annex_2"/>
      <w:r w:rsidRPr="0000361B">
        <w:lastRenderedPageBreak/>
        <w:t>ANNEX 2</w:t>
      </w:r>
      <w:bookmarkEnd w:id="13"/>
    </w:p>
    <w:p w14:paraId="2ABFC5A2" w14:textId="77777777" w:rsidR="000C0807" w:rsidRPr="0000361B" w:rsidRDefault="000C0807" w:rsidP="003101C0">
      <w:pPr>
        <w:pStyle w:val="Normalaftertitle"/>
      </w:pPr>
      <w:r w:rsidRPr="0000361B">
        <w:t>The summary analysis below outlines the methodology used, key drivers of the indirect costs and costing pools.</w:t>
      </w:r>
    </w:p>
    <w:p w14:paraId="1A0D9200" w14:textId="77777777" w:rsidR="000C0807" w:rsidRPr="004C354C" w:rsidRDefault="000C0807" w:rsidP="000C0807">
      <w:pPr>
        <w:jc w:val="center"/>
        <w:rPr>
          <w:rFonts w:cs="Calibri"/>
          <w:b/>
          <w:bCs/>
          <w:szCs w:val="24"/>
        </w:rPr>
      </w:pPr>
      <w:r w:rsidRPr="004C354C">
        <w:rPr>
          <w:rFonts w:cs="Calibri"/>
          <w:b/>
          <w:bCs/>
          <w:szCs w:val="24"/>
        </w:rPr>
        <w:t>Summary of Activity Based Costing pools and estimate of related costs</w:t>
      </w:r>
    </w:p>
    <w:p w14:paraId="15A6BBAE" w14:textId="603BC971" w:rsidR="000C0807" w:rsidRPr="0000361B" w:rsidRDefault="000C0807" w:rsidP="000C0807">
      <w:pPr>
        <w:jc w:val="both"/>
        <w:rPr>
          <w:rFonts w:cs="Calibri"/>
          <w:szCs w:val="24"/>
        </w:rPr>
      </w:pPr>
      <w:r w:rsidRPr="0000361B">
        <w:rPr>
          <w:rFonts w:cs="Calibri"/>
          <w:szCs w:val="24"/>
        </w:rPr>
        <w:t xml:space="preserve">ITU has conducted a preliminary review of its indirect costs. One first exercise is to determine the cost pools that are directly relevant to SNF work. These have been identified as: </w:t>
      </w:r>
    </w:p>
    <w:p w14:paraId="387AC619" w14:textId="17B04900" w:rsidR="000C0807" w:rsidRPr="0000361B" w:rsidRDefault="000C0807" w:rsidP="00D374AD">
      <w:pPr>
        <w:pStyle w:val="ListParagraph"/>
        <w:numPr>
          <w:ilvl w:val="0"/>
          <w:numId w:val="6"/>
        </w:numPr>
        <w:spacing w:before="240" w:after="40"/>
        <w:ind w:left="993" w:hanging="426"/>
        <w:contextualSpacing w:val="0"/>
        <w:jc w:val="both"/>
        <w:rPr>
          <w:rFonts w:ascii="Calibri" w:hAnsi="Calibri" w:cs="Calibri"/>
          <w:sz w:val="24"/>
          <w:szCs w:val="24"/>
        </w:rPr>
      </w:pPr>
      <w:r w:rsidRPr="004C354C">
        <w:rPr>
          <w:rFonts w:ascii="Calibri" w:hAnsi="Calibri" w:cs="Calibri"/>
          <w:sz w:val="24"/>
          <w:szCs w:val="24"/>
        </w:rPr>
        <w:t>IT support,</w:t>
      </w:r>
    </w:p>
    <w:p w14:paraId="590E7649" w14:textId="2279048D" w:rsidR="000C0807" w:rsidRPr="0000361B" w:rsidRDefault="000C0807" w:rsidP="00D374AD">
      <w:pPr>
        <w:pStyle w:val="ListParagraph"/>
        <w:numPr>
          <w:ilvl w:val="0"/>
          <w:numId w:val="6"/>
        </w:numPr>
        <w:spacing w:after="40"/>
        <w:ind w:left="993" w:hanging="426"/>
        <w:contextualSpacing w:val="0"/>
        <w:jc w:val="both"/>
        <w:rPr>
          <w:rFonts w:ascii="Calibri" w:hAnsi="Calibri" w:cs="Calibri"/>
          <w:sz w:val="24"/>
          <w:szCs w:val="24"/>
        </w:rPr>
      </w:pPr>
      <w:r w:rsidRPr="004C354C">
        <w:rPr>
          <w:rFonts w:ascii="Calibri" w:hAnsi="Calibri" w:cs="Calibri"/>
          <w:sz w:val="24"/>
          <w:szCs w:val="24"/>
        </w:rPr>
        <w:t>facilities and utilities,</w:t>
      </w:r>
    </w:p>
    <w:p w14:paraId="1ADCBA1F" w14:textId="38FB79B6" w:rsidR="000C0807" w:rsidRPr="0000361B" w:rsidRDefault="000C0807" w:rsidP="00D374AD">
      <w:pPr>
        <w:pStyle w:val="ListParagraph"/>
        <w:numPr>
          <w:ilvl w:val="0"/>
          <w:numId w:val="6"/>
        </w:numPr>
        <w:spacing w:after="40"/>
        <w:ind w:left="993" w:hanging="426"/>
        <w:contextualSpacing w:val="0"/>
        <w:jc w:val="both"/>
        <w:rPr>
          <w:rFonts w:ascii="Calibri" w:hAnsi="Calibri" w:cs="Calibri"/>
          <w:sz w:val="24"/>
          <w:szCs w:val="24"/>
        </w:rPr>
      </w:pPr>
      <w:r w:rsidRPr="004C354C">
        <w:rPr>
          <w:rFonts w:ascii="Calibri" w:hAnsi="Calibri" w:cs="Calibri"/>
          <w:sz w:val="24"/>
          <w:szCs w:val="24"/>
        </w:rPr>
        <w:t>human resources,</w:t>
      </w:r>
    </w:p>
    <w:p w14:paraId="20DCE472" w14:textId="595BFCBB" w:rsidR="000C0807" w:rsidRPr="0000361B" w:rsidRDefault="000C0807" w:rsidP="00D374AD">
      <w:pPr>
        <w:pStyle w:val="ListParagraph"/>
        <w:numPr>
          <w:ilvl w:val="0"/>
          <w:numId w:val="6"/>
        </w:numPr>
        <w:spacing w:after="40"/>
        <w:ind w:left="993" w:hanging="426"/>
        <w:contextualSpacing w:val="0"/>
        <w:jc w:val="both"/>
        <w:rPr>
          <w:rFonts w:ascii="Calibri" w:hAnsi="Calibri" w:cs="Calibri"/>
          <w:sz w:val="24"/>
          <w:szCs w:val="24"/>
        </w:rPr>
      </w:pPr>
      <w:r w:rsidRPr="004C354C">
        <w:rPr>
          <w:rFonts w:ascii="Calibri" w:hAnsi="Calibri" w:cs="Calibri"/>
          <w:sz w:val="24"/>
          <w:szCs w:val="24"/>
        </w:rPr>
        <w:t>finance and legal services, and</w:t>
      </w:r>
    </w:p>
    <w:p w14:paraId="5534B132" w14:textId="6B69EAA7" w:rsidR="000C0807" w:rsidRPr="00897878" w:rsidRDefault="000C0807" w:rsidP="00D374AD">
      <w:pPr>
        <w:pStyle w:val="ListParagraph"/>
        <w:numPr>
          <w:ilvl w:val="0"/>
          <w:numId w:val="6"/>
        </w:numPr>
        <w:spacing w:after="240"/>
        <w:ind w:left="993" w:hanging="426"/>
        <w:contextualSpacing w:val="0"/>
        <w:jc w:val="both"/>
        <w:rPr>
          <w:rFonts w:ascii="Calibri" w:hAnsi="Calibri" w:cs="Calibri"/>
          <w:sz w:val="24"/>
          <w:szCs w:val="24"/>
        </w:rPr>
      </w:pPr>
      <w:r w:rsidRPr="004C354C">
        <w:rPr>
          <w:rFonts w:ascii="Calibri" w:hAnsi="Calibri" w:cs="Calibri"/>
          <w:sz w:val="24"/>
          <w:szCs w:val="24"/>
        </w:rPr>
        <w:t>administrative overhead.</w:t>
      </w:r>
    </w:p>
    <w:p w14:paraId="617EA573" w14:textId="599D3B71" w:rsidR="000C0807" w:rsidRPr="00897878" w:rsidRDefault="000C0807" w:rsidP="000C0807">
      <w:pPr>
        <w:jc w:val="both"/>
        <w:rPr>
          <w:rFonts w:cs="Calibri"/>
          <w:szCs w:val="24"/>
        </w:rPr>
      </w:pPr>
      <w:r w:rsidRPr="00897878">
        <w:rPr>
          <w:rFonts w:cs="Calibri"/>
          <w:szCs w:val="24"/>
        </w:rPr>
        <w:t>The next step outlined in the next section is to determine the level of activity that drives these costs, i.e. what are the direct costs that drive the above cost pools.</w:t>
      </w:r>
    </w:p>
    <w:p w14:paraId="529E2842" w14:textId="77777777" w:rsidR="000C0807" w:rsidRPr="00897878" w:rsidRDefault="000C0807" w:rsidP="000C0807">
      <w:pPr>
        <w:jc w:val="center"/>
        <w:rPr>
          <w:rFonts w:cs="Calibri"/>
          <w:b/>
          <w:bCs/>
          <w:szCs w:val="24"/>
        </w:rPr>
      </w:pPr>
      <w:r w:rsidRPr="00897878">
        <w:rPr>
          <w:rFonts w:cs="Calibri"/>
          <w:b/>
          <w:bCs/>
          <w:szCs w:val="24"/>
        </w:rPr>
        <w:t>Principles of full cost allocation for SNF cost identification</w:t>
      </w:r>
    </w:p>
    <w:p w14:paraId="187B5301" w14:textId="77777777" w:rsidR="000C0807" w:rsidRPr="00897878" w:rsidRDefault="000C0807" w:rsidP="000C0807">
      <w:pPr>
        <w:jc w:val="both"/>
        <w:rPr>
          <w:rFonts w:cs="Calibri"/>
          <w:szCs w:val="24"/>
        </w:rPr>
      </w:pPr>
      <w:r w:rsidRPr="00897878">
        <w:rPr>
          <w:rFonts w:cs="Calibri"/>
          <w:szCs w:val="24"/>
        </w:rPr>
        <w:t>In the context of ITU’s Satellite Network Filings (SNF), adopting a detailed full cost allocation model would provide clarity about the actual resource usage behind various SNF processes (publication, coordination, notification, and plan). The existing indirect cost allocation model assigned approximately 107% of indirect overhead costs to total SNF operations, which is too high when benchmarked against international norms (typically 25%–30%).</w:t>
      </w:r>
    </w:p>
    <w:p w14:paraId="4E2C1DD6" w14:textId="77777777" w:rsidR="000C0807" w:rsidRPr="00897878" w:rsidRDefault="000C0807" w:rsidP="000C0807">
      <w:pPr>
        <w:jc w:val="both"/>
        <w:rPr>
          <w:rFonts w:cs="Calibri"/>
          <w:szCs w:val="24"/>
        </w:rPr>
      </w:pPr>
      <w:r w:rsidRPr="00897878">
        <w:rPr>
          <w:rFonts w:cs="Calibri"/>
          <w:szCs w:val="24"/>
        </w:rPr>
        <w:t xml:space="preserve">Building upon previous analyses and recognizing the need for refinement, a structured and detailed cost allocation approach </w:t>
      </w:r>
      <w:r>
        <w:rPr>
          <w:rFonts w:cs="Calibri"/>
          <w:szCs w:val="24"/>
        </w:rPr>
        <w:t xml:space="preserve">will be </w:t>
      </w:r>
      <w:r w:rsidRPr="00897878">
        <w:rPr>
          <w:rFonts w:cs="Calibri"/>
          <w:szCs w:val="24"/>
        </w:rPr>
        <w:t xml:space="preserve">followed. This </w:t>
      </w:r>
      <w:r>
        <w:rPr>
          <w:rFonts w:cs="Calibri"/>
          <w:szCs w:val="24"/>
        </w:rPr>
        <w:t xml:space="preserve">will </w:t>
      </w:r>
      <w:r w:rsidRPr="00897878">
        <w:rPr>
          <w:rFonts w:cs="Calibri"/>
          <w:szCs w:val="24"/>
        </w:rPr>
        <w:t>include clearly defined cost pools and cost drivers—activities that most accurately represent resource usage within SNF processes in line with Amendment and Justification for SNF Cost Allocation based on Resolution 91 (Rev. Guadalajara, 2010).</w:t>
      </w:r>
    </w:p>
    <w:p w14:paraId="0D8177BB" w14:textId="77777777" w:rsidR="000C0807" w:rsidRPr="00897878" w:rsidRDefault="000C0807" w:rsidP="000C0807">
      <w:pPr>
        <w:jc w:val="center"/>
        <w:rPr>
          <w:rFonts w:cs="Calibri"/>
          <w:b/>
          <w:bCs/>
          <w:szCs w:val="24"/>
        </w:rPr>
      </w:pPr>
      <w:r w:rsidRPr="00897878">
        <w:rPr>
          <w:rFonts w:cs="Calibri"/>
          <w:b/>
          <w:bCs/>
          <w:szCs w:val="24"/>
        </w:rPr>
        <w:t>Key Principles of the full cost allocation model</w:t>
      </w:r>
    </w:p>
    <w:p w14:paraId="3ADB045F" w14:textId="77777777" w:rsidR="000C0807" w:rsidRDefault="000C0807" w:rsidP="000C0807">
      <w:pPr>
        <w:jc w:val="both"/>
        <w:rPr>
          <w:rFonts w:cs="Calibri"/>
          <w:szCs w:val="24"/>
        </w:rPr>
      </w:pPr>
      <w:r w:rsidRPr="00897878">
        <w:rPr>
          <w:rFonts w:cs="Calibri"/>
          <w:b/>
          <w:bCs/>
          <w:szCs w:val="24"/>
        </w:rPr>
        <w:t>Cost Categories (Cost Pools): Full cost allocation</w:t>
      </w:r>
      <w:r w:rsidRPr="00897878">
        <w:rPr>
          <w:rFonts w:cs="Calibri"/>
          <w:b/>
          <w:szCs w:val="24"/>
        </w:rPr>
        <w:t xml:space="preserve"> </w:t>
      </w:r>
      <w:r w:rsidRPr="00897878">
        <w:rPr>
          <w:rFonts w:cs="Calibri"/>
          <w:szCs w:val="24"/>
        </w:rPr>
        <w:t xml:space="preserve">requires categorizing indirect costs into logical groups or "cost pools," representing similar types of overhead expenses. </w:t>
      </w:r>
    </w:p>
    <w:p w14:paraId="7FD99E68" w14:textId="7FFE4AEB" w:rsidR="00D374AD" w:rsidRDefault="00D374AD" w:rsidP="00D374AD">
      <w:pPr>
        <w:jc w:val="both"/>
        <w:rPr>
          <w:rFonts w:cs="Calibri"/>
          <w:b/>
          <w:bCs/>
          <w:szCs w:val="24"/>
        </w:rPr>
      </w:pPr>
      <w:r w:rsidRPr="00897878">
        <w:rPr>
          <w:rFonts w:cs="Calibri"/>
          <w:b/>
          <w:bCs/>
          <w:szCs w:val="24"/>
        </w:rPr>
        <w:t>Direct Costs.</w:t>
      </w:r>
    </w:p>
    <w:p w14:paraId="20FC1B4C" w14:textId="7ABC4DFA" w:rsidR="00D374AD" w:rsidRPr="00897878" w:rsidRDefault="00D374AD" w:rsidP="00D374AD">
      <w:pPr>
        <w:spacing w:after="120"/>
        <w:jc w:val="both"/>
        <w:rPr>
          <w:rFonts w:cs="Calibri"/>
        </w:rPr>
      </w:pPr>
      <w:r w:rsidRPr="3264B25E">
        <w:rPr>
          <w:rFonts w:cs="Calibri"/>
        </w:rPr>
        <w:t xml:space="preserve">Direct costs explicitly tied to SNF services </w:t>
      </w:r>
      <w:r w:rsidRPr="3264B25E">
        <w:rPr>
          <w:rFonts w:eastAsia="Calibri" w:cs="Calibri"/>
          <w:szCs w:val="24"/>
        </w:rPr>
        <w:t xml:space="preserve">(i.e. processing satellite filings, including validation for receivability, technical and regulatory examination for coordination and notification, management of the Space Plans, publication of special sections and assistance to Administrations on their submissions) </w:t>
      </w:r>
      <w:r w:rsidRPr="3264B25E">
        <w:rPr>
          <w:rFonts w:cs="Calibri"/>
        </w:rPr>
        <w:t>primarily include:</w:t>
      </w:r>
    </w:p>
    <w:p w14:paraId="02AFFC31" w14:textId="77777777" w:rsidR="00D374AD" w:rsidRPr="00897878" w:rsidRDefault="00D374AD" w:rsidP="00D374AD">
      <w:pPr>
        <w:numPr>
          <w:ilvl w:val="0"/>
          <w:numId w:val="4"/>
        </w:numPr>
        <w:tabs>
          <w:tab w:val="clear" w:pos="567"/>
          <w:tab w:val="clear" w:pos="720"/>
          <w:tab w:val="clear" w:pos="1134"/>
          <w:tab w:val="clear" w:pos="1701"/>
          <w:tab w:val="clear" w:pos="2268"/>
          <w:tab w:val="clear" w:pos="2835"/>
        </w:tabs>
        <w:spacing w:before="0" w:after="40" w:line="259" w:lineRule="auto"/>
        <w:ind w:left="993" w:hanging="426"/>
        <w:jc w:val="both"/>
        <w:rPr>
          <w:rFonts w:cs="Calibri"/>
          <w:szCs w:val="24"/>
        </w:rPr>
      </w:pPr>
      <w:r w:rsidRPr="3264B25E">
        <w:rPr>
          <w:rFonts w:cs="Calibri"/>
        </w:rPr>
        <w:t>BR staff salaries, benefits, and overhead directly assigned to SNF tasks.</w:t>
      </w:r>
    </w:p>
    <w:p w14:paraId="346AA584" w14:textId="77777777" w:rsidR="00D374AD" w:rsidRDefault="00D374AD" w:rsidP="00D374AD">
      <w:pPr>
        <w:numPr>
          <w:ilvl w:val="0"/>
          <w:numId w:val="4"/>
        </w:numPr>
        <w:tabs>
          <w:tab w:val="clear" w:pos="567"/>
          <w:tab w:val="clear" w:pos="720"/>
          <w:tab w:val="clear" w:pos="1134"/>
          <w:tab w:val="clear" w:pos="1701"/>
          <w:tab w:val="clear" w:pos="2268"/>
          <w:tab w:val="clear" w:pos="2835"/>
        </w:tabs>
        <w:spacing w:before="0" w:after="40" w:line="259" w:lineRule="auto"/>
        <w:ind w:left="993" w:hanging="426"/>
        <w:jc w:val="both"/>
        <w:rPr>
          <w:rFonts w:cs="Calibri"/>
        </w:rPr>
      </w:pPr>
      <w:r w:rsidRPr="3264B25E">
        <w:rPr>
          <w:rFonts w:cs="Calibri"/>
        </w:rPr>
        <w:t>Training and professional development exclusively benefiting SNF staff.</w:t>
      </w:r>
    </w:p>
    <w:p w14:paraId="7A5C77E4" w14:textId="77777777" w:rsidR="00D374AD" w:rsidRDefault="00D374AD" w:rsidP="00D374AD">
      <w:pPr>
        <w:numPr>
          <w:ilvl w:val="0"/>
          <w:numId w:val="4"/>
        </w:numPr>
        <w:tabs>
          <w:tab w:val="clear" w:pos="567"/>
          <w:tab w:val="clear" w:pos="720"/>
          <w:tab w:val="clear" w:pos="1134"/>
          <w:tab w:val="clear" w:pos="1701"/>
          <w:tab w:val="clear" w:pos="2268"/>
          <w:tab w:val="clear" w:pos="2835"/>
        </w:tabs>
        <w:spacing w:before="0" w:after="120" w:line="259" w:lineRule="auto"/>
        <w:ind w:left="993" w:hanging="426"/>
        <w:jc w:val="both"/>
        <w:rPr>
          <w:rFonts w:cs="Calibri"/>
        </w:rPr>
      </w:pPr>
      <w:r w:rsidRPr="3264B25E">
        <w:rPr>
          <w:rFonts w:cs="Calibri"/>
        </w:rPr>
        <w:t>Technical Resources:</w:t>
      </w:r>
    </w:p>
    <w:p w14:paraId="48706CD9" w14:textId="77777777" w:rsidR="00D374AD" w:rsidRPr="00897878" w:rsidRDefault="00D374AD" w:rsidP="00D374AD">
      <w:pPr>
        <w:numPr>
          <w:ilvl w:val="1"/>
          <w:numId w:val="4"/>
        </w:numPr>
        <w:tabs>
          <w:tab w:val="clear" w:pos="567"/>
          <w:tab w:val="clear" w:pos="1134"/>
          <w:tab w:val="clear" w:pos="1440"/>
          <w:tab w:val="clear" w:pos="1701"/>
          <w:tab w:val="clear" w:pos="2268"/>
          <w:tab w:val="clear" w:pos="2835"/>
        </w:tabs>
        <w:overflowPunct/>
        <w:autoSpaceDE/>
        <w:autoSpaceDN/>
        <w:adjustRightInd/>
        <w:spacing w:before="0" w:after="20" w:line="259" w:lineRule="auto"/>
        <w:ind w:left="1418" w:hanging="425"/>
        <w:jc w:val="both"/>
        <w:textAlignment w:val="auto"/>
        <w:rPr>
          <w:rFonts w:cs="Calibri"/>
        </w:rPr>
      </w:pPr>
      <w:r w:rsidRPr="3264B25E">
        <w:rPr>
          <w:rFonts w:cs="Calibri"/>
        </w:rPr>
        <w:t>Dedicated IT system development, maintenance, upgrades, and SNF-specific operational software licenses.</w:t>
      </w:r>
    </w:p>
    <w:p w14:paraId="1C0CA6F6" w14:textId="77777777" w:rsidR="00D374AD" w:rsidRPr="00897878" w:rsidRDefault="00D374AD" w:rsidP="00D374AD">
      <w:pPr>
        <w:numPr>
          <w:ilvl w:val="0"/>
          <w:numId w:val="10"/>
        </w:numPr>
        <w:tabs>
          <w:tab w:val="clear" w:pos="567"/>
          <w:tab w:val="clear" w:pos="1134"/>
          <w:tab w:val="clear" w:pos="1701"/>
          <w:tab w:val="clear" w:pos="2268"/>
          <w:tab w:val="clear" w:pos="2835"/>
        </w:tabs>
        <w:overflowPunct/>
        <w:autoSpaceDE/>
        <w:autoSpaceDN/>
        <w:adjustRightInd/>
        <w:spacing w:before="0" w:after="160" w:line="259" w:lineRule="auto"/>
        <w:ind w:left="1418" w:hanging="425"/>
        <w:jc w:val="both"/>
        <w:textAlignment w:val="auto"/>
        <w:rPr>
          <w:rFonts w:cs="Calibri"/>
        </w:rPr>
      </w:pPr>
      <w:r w:rsidRPr="3264B25E">
        <w:rPr>
          <w:rFonts w:cs="Calibri"/>
        </w:rPr>
        <w:t>Direct equipment costs (servers, specialized hardware, SNF software licenses).</w:t>
      </w:r>
    </w:p>
    <w:p w14:paraId="2C6DF4F3" w14:textId="77777777" w:rsidR="00D374AD" w:rsidRPr="004A66A6" w:rsidRDefault="00D374AD" w:rsidP="00D374AD">
      <w:pPr>
        <w:numPr>
          <w:ilvl w:val="0"/>
          <w:numId w:val="4"/>
        </w:numPr>
        <w:tabs>
          <w:tab w:val="clear" w:pos="567"/>
          <w:tab w:val="clear" w:pos="720"/>
          <w:tab w:val="clear" w:pos="1134"/>
          <w:tab w:val="clear" w:pos="1701"/>
          <w:tab w:val="clear" w:pos="2268"/>
          <w:tab w:val="clear" w:pos="2835"/>
        </w:tabs>
        <w:overflowPunct/>
        <w:autoSpaceDE/>
        <w:autoSpaceDN/>
        <w:adjustRightInd/>
        <w:spacing w:before="0" w:after="160" w:line="259" w:lineRule="auto"/>
        <w:ind w:left="993" w:hanging="426"/>
        <w:jc w:val="both"/>
        <w:textAlignment w:val="auto"/>
        <w:rPr>
          <w:rFonts w:cs="Calibri"/>
          <w:szCs w:val="24"/>
        </w:rPr>
      </w:pPr>
      <w:r w:rsidRPr="00897878">
        <w:rPr>
          <w:rFonts w:cs="Calibri"/>
          <w:szCs w:val="24"/>
        </w:rPr>
        <w:lastRenderedPageBreak/>
        <w:t>Travel expenses related to SNF-mandated coordination meetings and international conferences</w:t>
      </w:r>
      <w:r w:rsidRPr="004A66A6">
        <w:rPr>
          <w:rFonts w:cs="Calibri"/>
          <w:szCs w:val="24"/>
        </w:rPr>
        <w:t>.</w:t>
      </w:r>
    </w:p>
    <w:p w14:paraId="115ACFFE" w14:textId="1C496918" w:rsidR="00D374AD" w:rsidRPr="0000361B" w:rsidRDefault="00D374AD" w:rsidP="00D374AD">
      <w:pPr>
        <w:jc w:val="both"/>
        <w:rPr>
          <w:rFonts w:cs="Calibri"/>
          <w:b/>
          <w:bCs/>
          <w:szCs w:val="24"/>
        </w:rPr>
      </w:pPr>
      <w:r w:rsidRPr="0000361B">
        <w:rPr>
          <w:rFonts w:cs="Calibri"/>
          <w:b/>
          <w:bCs/>
          <w:szCs w:val="24"/>
        </w:rPr>
        <w:t>Indirect Costs</w:t>
      </w:r>
    </w:p>
    <w:p w14:paraId="63EA0236" w14:textId="77777777" w:rsidR="00D374AD" w:rsidRPr="00897878" w:rsidRDefault="00D374AD" w:rsidP="00D374AD">
      <w:pPr>
        <w:spacing w:after="120"/>
        <w:jc w:val="both"/>
        <w:rPr>
          <w:rFonts w:cs="Calibri"/>
          <w:szCs w:val="24"/>
        </w:rPr>
      </w:pPr>
      <w:r w:rsidRPr="00897878">
        <w:rPr>
          <w:rFonts w:cs="Calibri"/>
          <w:szCs w:val="24"/>
        </w:rPr>
        <w:t>For ITU’s SNF operations, recommended indirect cost pools include:</w:t>
      </w:r>
    </w:p>
    <w:p w14:paraId="2363C1A3" w14:textId="77777777" w:rsidR="00D374AD" w:rsidRPr="00897878" w:rsidRDefault="00D374AD" w:rsidP="00D374AD">
      <w:pPr>
        <w:numPr>
          <w:ilvl w:val="0"/>
          <w:numId w:val="2"/>
        </w:numPr>
        <w:tabs>
          <w:tab w:val="clear" w:pos="567"/>
          <w:tab w:val="clear" w:pos="720"/>
          <w:tab w:val="clear" w:pos="1134"/>
          <w:tab w:val="clear" w:pos="1701"/>
          <w:tab w:val="clear" w:pos="2268"/>
          <w:tab w:val="clear" w:pos="2835"/>
        </w:tabs>
        <w:overflowPunct/>
        <w:autoSpaceDE/>
        <w:autoSpaceDN/>
        <w:adjustRightInd/>
        <w:spacing w:before="0" w:after="60" w:line="259" w:lineRule="auto"/>
        <w:ind w:left="993" w:hanging="426"/>
        <w:jc w:val="both"/>
        <w:textAlignment w:val="auto"/>
        <w:rPr>
          <w:rFonts w:cs="Calibri"/>
          <w:szCs w:val="24"/>
        </w:rPr>
      </w:pPr>
      <w:r w:rsidRPr="00897878">
        <w:rPr>
          <w:rFonts w:cs="Calibri"/>
          <w:szCs w:val="24"/>
        </w:rPr>
        <w:t>Information Technology (IT) Support</w:t>
      </w:r>
    </w:p>
    <w:p w14:paraId="450852E5" w14:textId="77777777" w:rsidR="00D374AD" w:rsidRPr="00897878" w:rsidRDefault="00D374AD" w:rsidP="00D374AD">
      <w:pPr>
        <w:numPr>
          <w:ilvl w:val="0"/>
          <w:numId w:val="2"/>
        </w:numPr>
        <w:tabs>
          <w:tab w:val="clear" w:pos="567"/>
          <w:tab w:val="clear" w:pos="720"/>
          <w:tab w:val="clear" w:pos="1134"/>
          <w:tab w:val="clear" w:pos="1701"/>
          <w:tab w:val="clear" w:pos="2268"/>
          <w:tab w:val="clear" w:pos="2835"/>
        </w:tabs>
        <w:overflowPunct/>
        <w:autoSpaceDE/>
        <w:autoSpaceDN/>
        <w:adjustRightInd/>
        <w:spacing w:before="0" w:after="60" w:line="259" w:lineRule="auto"/>
        <w:ind w:left="993" w:hanging="426"/>
        <w:jc w:val="both"/>
        <w:textAlignment w:val="auto"/>
        <w:rPr>
          <w:rFonts w:cs="Calibri"/>
          <w:szCs w:val="24"/>
        </w:rPr>
      </w:pPr>
      <w:r w:rsidRPr="00897878">
        <w:rPr>
          <w:rFonts w:cs="Calibri"/>
          <w:szCs w:val="24"/>
        </w:rPr>
        <w:t>Facilities and Utilities</w:t>
      </w:r>
    </w:p>
    <w:p w14:paraId="6B60FC5F" w14:textId="77777777" w:rsidR="00D374AD" w:rsidRPr="00897878" w:rsidRDefault="00D374AD" w:rsidP="00D374AD">
      <w:pPr>
        <w:numPr>
          <w:ilvl w:val="0"/>
          <w:numId w:val="2"/>
        </w:numPr>
        <w:tabs>
          <w:tab w:val="clear" w:pos="567"/>
          <w:tab w:val="clear" w:pos="720"/>
          <w:tab w:val="clear" w:pos="1134"/>
          <w:tab w:val="clear" w:pos="1701"/>
          <w:tab w:val="clear" w:pos="2268"/>
          <w:tab w:val="clear" w:pos="2835"/>
        </w:tabs>
        <w:overflowPunct/>
        <w:autoSpaceDE/>
        <w:autoSpaceDN/>
        <w:adjustRightInd/>
        <w:spacing w:before="0" w:after="60" w:line="259" w:lineRule="auto"/>
        <w:ind w:left="993" w:hanging="426"/>
        <w:jc w:val="both"/>
        <w:textAlignment w:val="auto"/>
        <w:rPr>
          <w:rFonts w:cs="Calibri"/>
          <w:szCs w:val="24"/>
        </w:rPr>
      </w:pPr>
      <w:r w:rsidRPr="00897878">
        <w:rPr>
          <w:rFonts w:cs="Calibri"/>
          <w:szCs w:val="24"/>
        </w:rPr>
        <w:t>Human Resources (HR) Services</w:t>
      </w:r>
    </w:p>
    <w:p w14:paraId="02BEB8E9" w14:textId="77777777" w:rsidR="00D374AD" w:rsidRPr="00897878" w:rsidRDefault="00D374AD" w:rsidP="00D374AD">
      <w:pPr>
        <w:numPr>
          <w:ilvl w:val="0"/>
          <w:numId w:val="2"/>
        </w:numPr>
        <w:tabs>
          <w:tab w:val="clear" w:pos="567"/>
          <w:tab w:val="clear" w:pos="720"/>
          <w:tab w:val="clear" w:pos="1134"/>
          <w:tab w:val="clear" w:pos="1701"/>
          <w:tab w:val="clear" w:pos="2268"/>
          <w:tab w:val="clear" w:pos="2835"/>
        </w:tabs>
        <w:overflowPunct/>
        <w:autoSpaceDE/>
        <w:autoSpaceDN/>
        <w:adjustRightInd/>
        <w:spacing w:before="0" w:after="60" w:line="259" w:lineRule="auto"/>
        <w:ind w:left="993" w:hanging="426"/>
        <w:jc w:val="both"/>
        <w:textAlignment w:val="auto"/>
        <w:rPr>
          <w:rFonts w:cs="Calibri"/>
          <w:szCs w:val="24"/>
        </w:rPr>
      </w:pPr>
      <w:r w:rsidRPr="00897878">
        <w:rPr>
          <w:rFonts w:cs="Calibri"/>
          <w:szCs w:val="24"/>
        </w:rPr>
        <w:t>Finance and Legal Services</w:t>
      </w:r>
    </w:p>
    <w:p w14:paraId="69C86170" w14:textId="77777777" w:rsidR="00D374AD" w:rsidRPr="00897878" w:rsidRDefault="00D374AD" w:rsidP="00D374AD">
      <w:pPr>
        <w:numPr>
          <w:ilvl w:val="0"/>
          <w:numId w:val="2"/>
        </w:numPr>
        <w:tabs>
          <w:tab w:val="clear" w:pos="567"/>
          <w:tab w:val="clear" w:pos="720"/>
          <w:tab w:val="clear" w:pos="1134"/>
          <w:tab w:val="clear" w:pos="1701"/>
          <w:tab w:val="clear" w:pos="2268"/>
          <w:tab w:val="clear" w:pos="2835"/>
        </w:tabs>
        <w:overflowPunct/>
        <w:autoSpaceDE/>
        <w:autoSpaceDN/>
        <w:adjustRightInd/>
        <w:spacing w:before="0" w:after="160" w:line="259" w:lineRule="auto"/>
        <w:ind w:left="993" w:hanging="426"/>
        <w:jc w:val="both"/>
        <w:textAlignment w:val="auto"/>
        <w:rPr>
          <w:rFonts w:cs="Calibri"/>
          <w:szCs w:val="24"/>
        </w:rPr>
      </w:pPr>
      <w:r w:rsidRPr="00897878">
        <w:rPr>
          <w:rFonts w:cs="Calibri"/>
          <w:szCs w:val="24"/>
        </w:rPr>
        <w:t>Administrative Overhead</w:t>
      </w:r>
    </w:p>
    <w:p w14:paraId="474EF8A1" w14:textId="77777777" w:rsidR="00D374AD" w:rsidRPr="00897878" w:rsidRDefault="00D374AD" w:rsidP="00D374AD">
      <w:pPr>
        <w:jc w:val="both"/>
        <w:rPr>
          <w:rFonts w:cs="Calibri"/>
          <w:b/>
          <w:bCs/>
          <w:szCs w:val="24"/>
        </w:rPr>
      </w:pPr>
      <w:r w:rsidRPr="00897878">
        <w:rPr>
          <w:rFonts w:cs="Calibri"/>
          <w:b/>
          <w:bCs/>
          <w:szCs w:val="24"/>
        </w:rPr>
        <w:t>Cost Drivers:</w:t>
      </w:r>
    </w:p>
    <w:p w14:paraId="3BA51B65" w14:textId="77777777" w:rsidR="00D374AD" w:rsidRPr="00897878" w:rsidRDefault="00D374AD" w:rsidP="00D374AD">
      <w:pPr>
        <w:spacing w:after="240"/>
        <w:jc w:val="both"/>
        <w:rPr>
          <w:rFonts w:cs="Calibri"/>
          <w:szCs w:val="24"/>
        </w:rPr>
      </w:pPr>
      <w:r w:rsidRPr="00897878">
        <w:rPr>
          <w:rFonts w:cs="Calibri"/>
          <w:szCs w:val="24"/>
        </w:rPr>
        <w:t xml:space="preserve">Cost drivers are metrics that reflect the extent to which SNF activities utilize each indirect cost category. The </w:t>
      </w:r>
      <w:r>
        <w:rPr>
          <w:rFonts w:cs="Calibri"/>
          <w:szCs w:val="24"/>
        </w:rPr>
        <w:t xml:space="preserve">proposed </w:t>
      </w:r>
      <w:r w:rsidRPr="00897878">
        <w:rPr>
          <w:rFonts w:cs="Calibri"/>
          <w:szCs w:val="24"/>
        </w:rPr>
        <w:t xml:space="preserve">drivers </w:t>
      </w:r>
      <w:r>
        <w:rPr>
          <w:rFonts w:cs="Calibri"/>
          <w:szCs w:val="24"/>
        </w:rPr>
        <w:t>will include</w:t>
      </w:r>
      <w:r w:rsidRPr="00897878">
        <w:rPr>
          <w:rFonts w:cs="Calibri"/>
          <w:szCs w:val="24"/>
        </w:rPr>
        <w:t>:</w:t>
      </w:r>
    </w:p>
    <w:p w14:paraId="4818C28A" w14:textId="77777777" w:rsidR="00D374AD" w:rsidRPr="00897878" w:rsidRDefault="00D374AD" w:rsidP="00D374AD">
      <w:pPr>
        <w:numPr>
          <w:ilvl w:val="0"/>
          <w:numId w:val="3"/>
        </w:numPr>
        <w:tabs>
          <w:tab w:val="clear" w:pos="567"/>
          <w:tab w:val="clear" w:pos="720"/>
          <w:tab w:val="clear" w:pos="1134"/>
          <w:tab w:val="clear" w:pos="1701"/>
          <w:tab w:val="clear" w:pos="2268"/>
          <w:tab w:val="clear" w:pos="2835"/>
        </w:tabs>
        <w:overflowPunct/>
        <w:autoSpaceDE/>
        <w:autoSpaceDN/>
        <w:adjustRightInd/>
        <w:spacing w:before="0" w:after="60" w:line="259" w:lineRule="auto"/>
        <w:ind w:left="993" w:hanging="426"/>
        <w:jc w:val="both"/>
        <w:textAlignment w:val="auto"/>
        <w:rPr>
          <w:rFonts w:cs="Calibri"/>
          <w:szCs w:val="24"/>
        </w:rPr>
      </w:pPr>
      <w:r w:rsidRPr="00897878">
        <w:rPr>
          <w:rFonts w:cs="Calibri"/>
          <w:b/>
          <w:bCs/>
          <w:szCs w:val="24"/>
        </w:rPr>
        <w:t>IT Support:</w:t>
      </w:r>
      <w:r w:rsidRPr="00897878">
        <w:rPr>
          <w:rFonts w:cs="Calibri"/>
          <w:szCs w:val="24"/>
        </w:rPr>
        <w:t xml:space="preserve"> Number of IT requests, system usage, storage volume specific to SNF operations.</w:t>
      </w:r>
    </w:p>
    <w:p w14:paraId="78EC0198" w14:textId="77777777" w:rsidR="00D374AD" w:rsidRPr="00897878" w:rsidRDefault="00D374AD" w:rsidP="00D374AD">
      <w:pPr>
        <w:numPr>
          <w:ilvl w:val="0"/>
          <w:numId w:val="3"/>
        </w:numPr>
        <w:tabs>
          <w:tab w:val="clear" w:pos="567"/>
          <w:tab w:val="clear" w:pos="720"/>
          <w:tab w:val="clear" w:pos="1134"/>
          <w:tab w:val="clear" w:pos="1701"/>
          <w:tab w:val="clear" w:pos="2268"/>
          <w:tab w:val="clear" w:pos="2835"/>
        </w:tabs>
        <w:overflowPunct/>
        <w:autoSpaceDE/>
        <w:autoSpaceDN/>
        <w:adjustRightInd/>
        <w:spacing w:before="0" w:after="60" w:line="259" w:lineRule="auto"/>
        <w:ind w:left="993" w:hanging="426"/>
        <w:jc w:val="both"/>
        <w:textAlignment w:val="auto"/>
        <w:rPr>
          <w:rFonts w:cs="Calibri"/>
          <w:szCs w:val="24"/>
        </w:rPr>
      </w:pPr>
      <w:r w:rsidRPr="00897878">
        <w:rPr>
          <w:rFonts w:cs="Calibri"/>
          <w:b/>
          <w:bCs/>
          <w:szCs w:val="24"/>
        </w:rPr>
        <w:t>Facilities and Utilities:</w:t>
      </w:r>
      <w:r w:rsidRPr="00897878">
        <w:rPr>
          <w:rFonts w:cs="Calibri"/>
          <w:szCs w:val="24"/>
        </w:rPr>
        <w:t xml:space="preserve"> Office space occupied or Full-Time Equivalent (FTE) employees involved in SNF.</w:t>
      </w:r>
    </w:p>
    <w:p w14:paraId="11061FC7" w14:textId="77777777" w:rsidR="00D374AD" w:rsidRPr="00897878" w:rsidRDefault="00D374AD" w:rsidP="00D374AD">
      <w:pPr>
        <w:numPr>
          <w:ilvl w:val="0"/>
          <w:numId w:val="3"/>
        </w:numPr>
        <w:tabs>
          <w:tab w:val="clear" w:pos="567"/>
          <w:tab w:val="clear" w:pos="720"/>
          <w:tab w:val="clear" w:pos="1134"/>
          <w:tab w:val="clear" w:pos="1701"/>
          <w:tab w:val="clear" w:pos="2268"/>
          <w:tab w:val="clear" w:pos="2835"/>
        </w:tabs>
        <w:overflowPunct/>
        <w:autoSpaceDE/>
        <w:autoSpaceDN/>
        <w:adjustRightInd/>
        <w:spacing w:before="0" w:after="60" w:line="259" w:lineRule="auto"/>
        <w:ind w:left="993" w:hanging="426"/>
        <w:jc w:val="both"/>
        <w:textAlignment w:val="auto"/>
        <w:rPr>
          <w:rFonts w:cs="Calibri"/>
          <w:szCs w:val="24"/>
        </w:rPr>
      </w:pPr>
      <w:r w:rsidRPr="00897878">
        <w:rPr>
          <w:rFonts w:cs="Calibri"/>
          <w:b/>
          <w:bCs/>
          <w:szCs w:val="24"/>
        </w:rPr>
        <w:t>Human Resources:</w:t>
      </w:r>
      <w:r w:rsidRPr="00897878">
        <w:rPr>
          <w:rFonts w:cs="Calibri"/>
          <w:szCs w:val="24"/>
        </w:rPr>
        <w:t xml:space="preserve"> Number of SNF staff or specific HR transactions relevant to SNF.</w:t>
      </w:r>
    </w:p>
    <w:p w14:paraId="32FDDD00" w14:textId="77777777" w:rsidR="00D374AD" w:rsidRPr="00897878" w:rsidRDefault="00D374AD" w:rsidP="00D374AD">
      <w:pPr>
        <w:numPr>
          <w:ilvl w:val="0"/>
          <w:numId w:val="3"/>
        </w:numPr>
        <w:tabs>
          <w:tab w:val="clear" w:pos="567"/>
          <w:tab w:val="clear" w:pos="720"/>
          <w:tab w:val="clear" w:pos="1134"/>
          <w:tab w:val="clear" w:pos="1701"/>
          <w:tab w:val="clear" w:pos="2268"/>
          <w:tab w:val="clear" w:pos="2835"/>
        </w:tabs>
        <w:overflowPunct/>
        <w:autoSpaceDE/>
        <w:autoSpaceDN/>
        <w:adjustRightInd/>
        <w:spacing w:before="0" w:after="60" w:line="259" w:lineRule="auto"/>
        <w:ind w:left="993" w:hanging="426"/>
        <w:jc w:val="both"/>
        <w:textAlignment w:val="auto"/>
        <w:rPr>
          <w:rFonts w:cs="Calibri"/>
          <w:szCs w:val="24"/>
        </w:rPr>
      </w:pPr>
      <w:r w:rsidRPr="00897878">
        <w:rPr>
          <w:rFonts w:cs="Calibri"/>
          <w:b/>
          <w:bCs/>
          <w:szCs w:val="24"/>
        </w:rPr>
        <w:t>Finance and Legal:</w:t>
      </w:r>
      <w:r w:rsidRPr="00897878">
        <w:rPr>
          <w:rFonts w:cs="Calibri"/>
          <w:szCs w:val="24"/>
        </w:rPr>
        <w:t xml:space="preserve"> Volume and complexity of SNF-related transactions requiring oversight, system, processing and financial reporting.</w:t>
      </w:r>
    </w:p>
    <w:p w14:paraId="50141C52" w14:textId="77777777" w:rsidR="00D374AD" w:rsidRPr="00897878" w:rsidRDefault="00D374AD" w:rsidP="00D374AD">
      <w:pPr>
        <w:numPr>
          <w:ilvl w:val="0"/>
          <w:numId w:val="3"/>
        </w:numPr>
        <w:tabs>
          <w:tab w:val="clear" w:pos="567"/>
          <w:tab w:val="clear" w:pos="720"/>
          <w:tab w:val="clear" w:pos="1134"/>
          <w:tab w:val="clear" w:pos="1701"/>
          <w:tab w:val="clear" w:pos="2268"/>
          <w:tab w:val="clear" w:pos="2835"/>
        </w:tabs>
        <w:overflowPunct/>
        <w:autoSpaceDE/>
        <w:autoSpaceDN/>
        <w:adjustRightInd/>
        <w:spacing w:before="0" w:after="160" w:line="259" w:lineRule="auto"/>
        <w:ind w:left="993" w:hanging="426"/>
        <w:jc w:val="both"/>
        <w:textAlignment w:val="auto"/>
        <w:rPr>
          <w:rFonts w:cs="Calibri"/>
          <w:szCs w:val="24"/>
        </w:rPr>
      </w:pPr>
      <w:r w:rsidRPr="00897878">
        <w:rPr>
          <w:rFonts w:cs="Calibri"/>
          <w:b/>
          <w:bCs/>
          <w:szCs w:val="24"/>
        </w:rPr>
        <w:t>Administrative Overhead:</w:t>
      </w:r>
      <w:r w:rsidRPr="00897878">
        <w:rPr>
          <w:rFonts w:cs="Calibri"/>
          <w:szCs w:val="24"/>
        </w:rPr>
        <w:t xml:space="preserve"> Administrative support hours, procurement activity volume, and policy management related to SNF.</w:t>
      </w:r>
    </w:p>
    <w:p w14:paraId="35C6D0A5" w14:textId="77777777" w:rsidR="007A3FCD" w:rsidRPr="00C0458D" w:rsidRDefault="007A3FCD" w:rsidP="00D374AD">
      <w:pPr>
        <w:spacing w:before="720"/>
        <w:jc w:val="center"/>
      </w:pPr>
      <w:r>
        <w:t>______________</w:t>
      </w:r>
    </w:p>
    <w:sectPr w:rsidR="007A3FCD" w:rsidRPr="00C0458D" w:rsidSect="00AD3606">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28768" w14:textId="77777777" w:rsidR="001A085A" w:rsidRDefault="001A085A">
      <w:r>
        <w:separator/>
      </w:r>
    </w:p>
  </w:endnote>
  <w:endnote w:type="continuationSeparator" w:id="0">
    <w:p w14:paraId="0F4858FD" w14:textId="77777777" w:rsidR="001A085A" w:rsidRDefault="001A085A">
      <w:r>
        <w:continuationSeparator/>
      </w:r>
    </w:p>
  </w:endnote>
  <w:endnote w:type="continuationNotice" w:id="1">
    <w:p w14:paraId="111BC26F" w14:textId="77777777" w:rsidR="001A085A" w:rsidRDefault="001A085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E93FC8">
      <w:trPr>
        <w:jc w:val="center"/>
      </w:trPr>
      <w:tc>
        <w:tcPr>
          <w:tcW w:w="1803" w:type="dxa"/>
          <w:vAlign w:val="center"/>
        </w:tcPr>
        <w:p w14:paraId="5B3DDD9A" w14:textId="77777777" w:rsidR="00EE49E8" w:rsidRDefault="00C6520B" w:rsidP="00EE49E8">
          <w:pPr>
            <w:pStyle w:val="Header"/>
            <w:jc w:val="left"/>
            <w:rPr>
              <w:noProof/>
            </w:rPr>
          </w:pPr>
          <w:r>
            <w:rPr>
              <w:noProof/>
            </w:rPr>
            <w:t>gDoc #</w:t>
          </w:r>
        </w:p>
      </w:tc>
      <w:tc>
        <w:tcPr>
          <w:tcW w:w="8261" w:type="dxa"/>
        </w:tcPr>
        <w:p w14:paraId="6F6B3A01" w14:textId="353F10A2" w:rsidR="00EE49E8" w:rsidRPr="00E06FD5" w:rsidRDefault="00EE49E8" w:rsidP="000745AB">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76184D">
            <w:rPr>
              <w:bCs/>
            </w:rPr>
            <w:t>64</w:t>
          </w:r>
          <w:r w:rsidRPr="00623AE3">
            <w:rPr>
              <w:bCs/>
            </w:rPr>
            <w:t>-E</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6D667540" w:rsidR="00EE49E8" w:rsidRPr="00E06FD5" w:rsidRDefault="00EE49E8" w:rsidP="000745AB">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76184D">
            <w:rPr>
              <w:bCs/>
            </w:rPr>
            <w:t>64</w:t>
          </w:r>
          <w:r w:rsidRPr="00623AE3">
            <w:rPr>
              <w:bCs/>
            </w:rPr>
            <w:t>-E</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DF470" w14:textId="77777777" w:rsidR="001A085A" w:rsidRDefault="001A085A">
      <w:r>
        <w:t>____________________</w:t>
      </w:r>
    </w:p>
  </w:footnote>
  <w:footnote w:type="continuationSeparator" w:id="0">
    <w:p w14:paraId="2D920FED" w14:textId="77777777" w:rsidR="001A085A" w:rsidRDefault="001A085A">
      <w:r>
        <w:continuationSeparator/>
      </w:r>
    </w:p>
  </w:footnote>
  <w:footnote w:type="continuationNotice" w:id="1">
    <w:p w14:paraId="750CB2FB" w14:textId="77777777" w:rsidR="001A085A" w:rsidRDefault="001A085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rsidTr="00E93FC8">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14" w:name="_Hlk133422111"/>
          <w:r>
            <w:rPr>
              <w:rFonts w:ascii="Arial" w:hAnsi="Arial" w:cs="Arial"/>
              <w:b/>
              <w:bCs/>
              <w:noProof/>
              <w:color w:val="009CD6"/>
              <w:sz w:val="36"/>
              <w:szCs w:val="36"/>
            </w:rPr>
            <w:drawing>
              <wp:inline distT="0" distB="0" distL="0" distR="0" wp14:anchorId="313B81B2" wp14:editId="52EB5A2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
  <w:p w14:paraId="3C724958"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5" style="position:absolute;margin-left:.3pt;margin-top:47.35pt;width:8.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37F5D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F6558C"/>
    <w:multiLevelType w:val="hybridMultilevel"/>
    <w:tmpl w:val="235AB0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F45BA"/>
    <w:multiLevelType w:val="hybridMultilevel"/>
    <w:tmpl w:val="7516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22C29"/>
    <w:multiLevelType w:val="hybridMultilevel"/>
    <w:tmpl w:val="9B1C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B1A45"/>
    <w:multiLevelType w:val="multilevel"/>
    <w:tmpl w:val="9620F56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704511"/>
    <w:multiLevelType w:val="multilevel"/>
    <w:tmpl w:val="7E4A603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5697A"/>
    <w:multiLevelType w:val="multilevel"/>
    <w:tmpl w:val="C72EBF6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46652"/>
    <w:multiLevelType w:val="multilevel"/>
    <w:tmpl w:val="57F00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21509E"/>
    <w:multiLevelType w:val="multilevel"/>
    <w:tmpl w:val="D18C82E0"/>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78C0D10"/>
    <w:multiLevelType w:val="hybridMultilevel"/>
    <w:tmpl w:val="A7EE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622027705">
    <w:abstractNumId w:val="6"/>
  </w:num>
  <w:num w:numId="3" w16cid:durableId="2084334879">
    <w:abstractNumId w:val="5"/>
  </w:num>
  <w:num w:numId="4" w16cid:durableId="520048459">
    <w:abstractNumId w:val="4"/>
  </w:num>
  <w:num w:numId="5" w16cid:durableId="546769101">
    <w:abstractNumId w:val="7"/>
  </w:num>
  <w:num w:numId="6" w16cid:durableId="239950663">
    <w:abstractNumId w:val="9"/>
  </w:num>
  <w:num w:numId="7" w16cid:durableId="1517846379">
    <w:abstractNumId w:val="2"/>
  </w:num>
  <w:num w:numId="8" w16cid:durableId="760834986">
    <w:abstractNumId w:val="3"/>
  </w:num>
  <w:num w:numId="9" w16cid:durableId="1745180070">
    <w:abstractNumId w:val="1"/>
  </w:num>
  <w:num w:numId="10" w16cid:durableId="80303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07E20"/>
    <w:rsid w:val="000107DC"/>
    <w:rsid w:val="0001186A"/>
    <w:rsid w:val="00015906"/>
    <w:rsid w:val="000210D4"/>
    <w:rsid w:val="00021413"/>
    <w:rsid w:val="000214A5"/>
    <w:rsid w:val="000271EF"/>
    <w:rsid w:val="000436E8"/>
    <w:rsid w:val="0006007D"/>
    <w:rsid w:val="00063016"/>
    <w:rsid w:val="00066795"/>
    <w:rsid w:val="000745AB"/>
    <w:rsid w:val="00076AF6"/>
    <w:rsid w:val="00083954"/>
    <w:rsid w:val="00084CB1"/>
    <w:rsid w:val="00085CF2"/>
    <w:rsid w:val="000B1705"/>
    <w:rsid w:val="000B394B"/>
    <w:rsid w:val="000B4E5B"/>
    <w:rsid w:val="000C0807"/>
    <w:rsid w:val="000D75B2"/>
    <w:rsid w:val="000F2BA8"/>
    <w:rsid w:val="000F5DDB"/>
    <w:rsid w:val="000F7289"/>
    <w:rsid w:val="00105497"/>
    <w:rsid w:val="001121F5"/>
    <w:rsid w:val="001400DC"/>
    <w:rsid w:val="00140CE1"/>
    <w:rsid w:val="0014323B"/>
    <w:rsid w:val="001650C2"/>
    <w:rsid w:val="0017539C"/>
    <w:rsid w:val="00175AC2"/>
    <w:rsid w:val="0017609F"/>
    <w:rsid w:val="00180CCA"/>
    <w:rsid w:val="001A085A"/>
    <w:rsid w:val="001A3154"/>
    <w:rsid w:val="001A7D1D"/>
    <w:rsid w:val="001B2EEE"/>
    <w:rsid w:val="001B51DD"/>
    <w:rsid w:val="001B5B31"/>
    <w:rsid w:val="001C628E"/>
    <w:rsid w:val="001C670B"/>
    <w:rsid w:val="001D45D6"/>
    <w:rsid w:val="001E0F7B"/>
    <w:rsid w:val="001F0A02"/>
    <w:rsid w:val="001F25E4"/>
    <w:rsid w:val="001F5569"/>
    <w:rsid w:val="002119FD"/>
    <w:rsid w:val="002130E0"/>
    <w:rsid w:val="00221F46"/>
    <w:rsid w:val="002535EA"/>
    <w:rsid w:val="00264425"/>
    <w:rsid w:val="00265875"/>
    <w:rsid w:val="0027303B"/>
    <w:rsid w:val="00273F4A"/>
    <w:rsid w:val="00275134"/>
    <w:rsid w:val="0028109B"/>
    <w:rsid w:val="00293A4D"/>
    <w:rsid w:val="002A2188"/>
    <w:rsid w:val="002B13F9"/>
    <w:rsid w:val="002B1F58"/>
    <w:rsid w:val="002C1C7A"/>
    <w:rsid w:val="002C54E2"/>
    <w:rsid w:val="002C6B31"/>
    <w:rsid w:val="002D1F94"/>
    <w:rsid w:val="0030160F"/>
    <w:rsid w:val="003101C0"/>
    <w:rsid w:val="00312771"/>
    <w:rsid w:val="00320223"/>
    <w:rsid w:val="00322D0D"/>
    <w:rsid w:val="003340C9"/>
    <w:rsid w:val="0034218A"/>
    <w:rsid w:val="00351B9A"/>
    <w:rsid w:val="00361465"/>
    <w:rsid w:val="00361534"/>
    <w:rsid w:val="00361B30"/>
    <w:rsid w:val="00367387"/>
    <w:rsid w:val="00380336"/>
    <w:rsid w:val="003807D6"/>
    <w:rsid w:val="003877F5"/>
    <w:rsid w:val="0039017E"/>
    <w:rsid w:val="003936D3"/>
    <w:rsid w:val="003942D4"/>
    <w:rsid w:val="003958A8"/>
    <w:rsid w:val="003A544B"/>
    <w:rsid w:val="003B29C2"/>
    <w:rsid w:val="003B4BB2"/>
    <w:rsid w:val="003B538A"/>
    <w:rsid w:val="003C2533"/>
    <w:rsid w:val="003C68EE"/>
    <w:rsid w:val="003C6D44"/>
    <w:rsid w:val="003D5A7F"/>
    <w:rsid w:val="003D7C97"/>
    <w:rsid w:val="003E1479"/>
    <w:rsid w:val="003E7364"/>
    <w:rsid w:val="0040435A"/>
    <w:rsid w:val="00416796"/>
    <w:rsid w:val="00416A24"/>
    <w:rsid w:val="00427BFF"/>
    <w:rsid w:val="00431D9E"/>
    <w:rsid w:val="00432C92"/>
    <w:rsid w:val="00433CE8"/>
    <w:rsid w:val="00434A5C"/>
    <w:rsid w:val="00441ED9"/>
    <w:rsid w:val="004463DD"/>
    <w:rsid w:val="00453079"/>
    <w:rsid w:val="004544D9"/>
    <w:rsid w:val="0047060F"/>
    <w:rsid w:val="00472BAD"/>
    <w:rsid w:val="00474BB3"/>
    <w:rsid w:val="004811F8"/>
    <w:rsid w:val="00484009"/>
    <w:rsid w:val="004900B3"/>
    <w:rsid w:val="00490E72"/>
    <w:rsid w:val="00491157"/>
    <w:rsid w:val="00491BA9"/>
    <w:rsid w:val="004921C8"/>
    <w:rsid w:val="00495B0B"/>
    <w:rsid w:val="004A1B8B"/>
    <w:rsid w:val="004A66A6"/>
    <w:rsid w:val="004B0A25"/>
    <w:rsid w:val="004B25A1"/>
    <w:rsid w:val="004C2D06"/>
    <w:rsid w:val="004D1851"/>
    <w:rsid w:val="004D21B7"/>
    <w:rsid w:val="004D599D"/>
    <w:rsid w:val="004D7E61"/>
    <w:rsid w:val="004E2EA5"/>
    <w:rsid w:val="004E3AEB"/>
    <w:rsid w:val="004E6E55"/>
    <w:rsid w:val="004F24C4"/>
    <w:rsid w:val="0050223C"/>
    <w:rsid w:val="005124ED"/>
    <w:rsid w:val="00512BBF"/>
    <w:rsid w:val="00514D43"/>
    <w:rsid w:val="005243FF"/>
    <w:rsid w:val="00545707"/>
    <w:rsid w:val="00564FBC"/>
    <w:rsid w:val="00572000"/>
    <w:rsid w:val="0057448A"/>
    <w:rsid w:val="005800BC"/>
    <w:rsid w:val="00582442"/>
    <w:rsid w:val="00584AE0"/>
    <w:rsid w:val="00586FED"/>
    <w:rsid w:val="00597886"/>
    <w:rsid w:val="005D0039"/>
    <w:rsid w:val="005D2063"/>
    <w:rsid w:val="005D7608"/>
    <w:rsid w:val="005E04F4"/>
    <w:rsid w:val="005E4761"/>
    <w:rsid w:val="005E6C99"/>
    <w:rsid w:val="005F28A2"/>
    <w:rsid w:val="005F3269"/>
    <w:rsid w:val="00602D9C"/>
    <w:rsid w:val="00604C15"/>
    <w:rsid w:val="006057AF"/>
    <w:rsid w:val="006119F6"/>
    <w:rsid w:val="00623AE3"/>
    <w:rsid w:val="00630C4D"/>
    <w:rsid w:val="00632A05"/>
    <w:rsid w:val="00644EC6"/>
    <w:rsid w:val="0064737F"/>
    <w:rsid w:val="006535F1"/>
    <w:rsid w:val="0065557D"/>
    <w:rsid w:val="0066002E"/>
    <w:rsid w:val="00660D50"/>
    <w:rsid w:val="00662984"/>
    <w:rsid w:val="006716BB"/>
    <w:rsid w:val="00672F93"/>
    <w:rsid w:val="00673E6E"/>
    <w:rsid w:val="006802BC"/>
    <w:rsid w:val="00683617"/>
    <w:rsid w:val="00691702"/>
    <w:rsid w:val="006A03D5"/>
    <w:rsid w:val="006B1859"/>
    <w:rsid w:val="006B6680"/>
    <w:rsid w:val="006B6DCC"/>
    <w:rsid w:val="006B77F1"/>
    <w:rsid w:val="006C5ECF"/>
    <w:rsid w:val="006E73FD"/>
    <w:rsid w:val="006F10A8"/>
    <w:rsid w:val="00702DEF"/>
    <w:rsid w:val="00706861"/>
    <w:rsid w:val="00710082"/>
    <w:rsid w:val="0071432E"/>
    <w:rsid w:val="00717E3D"/>
    <w:rsid w:val="00722551"/>
    <w:rsid w:val="007273F6"/>
    <w:rsid w:val="00727860"/>
    <w:rsid w:val="0073629D"/>
    <w:rsid w:val="00740074"/>
    <w:rsid w:val="0075051B"/>
    <w:rsid w:val="00756DE9"/>
    <w:rsid w:val="0076184D"/>
    <w:rsid w:val="0077110E"/>
    <w:rsid w:val="00790B0C"/>
    <w:rsid w:val="00793188"/>
    <w:rsid w:val="00794D34"/>
    <w:rsid w:val="007A3FCD"/>
    <w:rsid w:val="007A7BF7"/>
    <w:rsid w:val="007B02B4"/>
    <w:rsid w:val="007B19CF"/>
    <w:rsid w:val="007D01AF"/>
    <w:rsid w:val="007D11F4"/>
    <w:rsid w:val="007D52E7"/>
    <w:rsid w:val="007F1C85"/>
    <w:rsid w:val="00813E5E"/>
    <w:rsid w:val="00821520"/>
    <w:rsid w:val="0083581B"/>
    <w:rsid w:val="00863874"/>
    <w:rsid w:val="00864AFF"/>
    <w:rsid w:val="00865925"/>
    <w:rsid w:val="00876AF8"/>
    <w:rsid w:val="00877DE2"/>
    <w:rsid w:val="008B4A6A"/>
    <w:rsid w:val="008C5DAF"/>
    <w:rsid w:val="008C7E27"/>
    <w:rsid w:val="008D3AFE"/>
    <w:rsid w:val="008E5CF8"/>
    <w:rsid w:val="008F7448"/>
    <w:rsid w:val="0090147A"/>
    <w:rsid w:val="00904090"/>
    <w:rsid w:val="009173EF"/>
    <w:rsid w:val="009229AD"/>
    <w:rsid w:val="00924CCE"/>
    <w:rsid w:val="00932906"/>
    <w:rsid w:val="00947FB0"/>
    <w:rsid w:val="009520A8"/>
    <w:rsid w:val="00956860"/>
    <w:rsid w:val="00961B0B"/>
    <w:rsid w:val="00962D33"/>
    <w:rsid w:val="009779BB"/>
    <w:rsid w:val="00996F95"/>
    <w:rsid w:val="009A7CA9"/>
    <w:rsid w:val="009B38C3"/>
    <w:rsid w:val="009D3733"/>
    <w:rsid w:val="009E1509"/>
    <w:rsid w:val="009E17BD"/>
    <w:rsid w:val="009E485A"/>
    <w:rsid w:val="00A04CAA"/>
    <w:rsid w:val="00A04CEC"/>
    <w:rsid w:val="00A1174D"/>
    <w:rsid w:val="00A23C23"/>
    <w:rsid w:val="00A27E73"/>
    <w:rsid w:val="00A27F92"/>
    <w:rsid w:val="00A32257"/>
    <w:rsid w:val="00A36D20"/>
    <w:rsid w:val="00A43FF5"/>
    <w:rsid w:val="00A514A4"/>
    <w:rsid w:val="00A528D1"/>
    <w:rsid w:val="00A55622"/>
    <w:rsid w:val="00A622C0"/>
    <w:rsid w:val="00A714E2"/>
    <w:rsid w:val="00A75035"/>
    <w:rsid w:val="00A75836"/>
    <w:rsid w:val="00A812B5"/>
    <w:rsid w:val="00A81313"/>
    <w:rsid w:val="00A83502"/>
    <w:rsid w:val="00A94BAB"/>
    <w:rsid w:val="00A960D3"/>
    <w:rsid w:val="00AA53A8"/>
    <w:rsid w:val="00AB12B4"/>
    <w:rsid w:val="00AB24AA"/>
    <w:rsid w:val="00AB6286"/>
    <w:rsid w:val="00AD15B3"/>
    <w:rsid w:val="00AD3606"/>
    <w:rsid w:val="00AD4A3D"/>
    <w:rsid w:val="00AD584D"/>
    <w:rsid w:val="00AD677D"/>
    <w:rsid w:val="00AE3262"/>
    <w:rsid w:val="00AF37DD"/>
    <w:rsid w:val="00AF6E49"/>
    <w:rsid w:val="00B04A67"/>
    <w:rsid w:val="00B0583C"/>
    <w:rsid w:val="00B17B5E"/>
    <w:rsid w:val="00B24451"/>
    <w:rsid w:val="00B35025"/>
    <w:rsid w:val="00B40A81"/>
    <w:rsid w:val="00B41AE0"/>
    <w:rsid w:val="00B44910"/>
    <w:rsid w:val="00B45BAC"/>
    <w:rsid w:val="00B67BD2"/>
    <w:rsid w:val="00B71FAF"/>
    <w:rsid w:val="00B72267"/>
    <w:rsid w:val="00B76EB6"/>
    <w:rsid w:val="00B7737B"/>
    <w:rsid w:val="00B824C8"/>
    <w:rsid w:val="00B84B9D"/>
    <w:rsid w:val="00B9131F"/>
    <w:rsid w:val="00BA0877"/>
    <w:rsid w:val="00BA7501"/>
    <w:rsid w:val="00BB0646"/>
    <w:rsid w:val="00BB3392"/>
    <w:rsid w:val="00BC251A"/>
    <w:rsid w:val="00BC2D9C"/>
    <w:rsid w:val="00BD032B"/>
    <w:rsid w:val="00BE01C6"/>
    <w:rsid w:val="00BE1CC8"/>
    <w:rsid w:val="00BE2640"/>
    <w:rsid w:val="00BF1FDE"/>
    <w:rsid w:val="00BF3C39"/>
    <w:rsid w:val="00BF4682"/>
    <w:rsid w:val="00C01189"/>
    <w:rsid w:val="00C0458D"/>
    <w:rsid w:val="00C05465"/>
    <w:rsid w:val="00C10F05"/>
    <w:rsid w:val="00C1207C"/>
    <w:rsid w:val="00C12898"/>
    <w:rsid w:val="00C14EFE"/>
    <w:rsid w:val="00C22F3B"/>
    <w:rsid w:val="00C26220"/>
    <w:rsid w:val="00C374DE"/>
    <w:rsid w:val="00C42881"/>
    <w:rsid w:val="00C45971"/>
    <w:rsid w:val="00C47AD4"/>
    <w:rsid w:val="00C52D81"/>
    <w:rsid w:val="00C54371"/>
    <w:rsid w:val="00C54A99"/>
    <w:rsid w:val="00C55198"/>
    <w:rsid w:val="00C64EC7"/>
    <w:rsid w:val="00C6520B"/>
    <w:rsid w:val="00C75C66"/>
    <w:rsid w:val="00CA6393"/>
    <w:rsid w:val="00CA7995"/>
    <w:rsid w:val="00CB18FF"/>
    <w:rsid w:val="00CD0C08"/>
    <w:rsid w:val="00CD61C0"/>
    <w:rsid w:val="00CE03FB"/>
    <w:rsid w:val="00CE433C"/>
    <w:rsid w:val="00CF0161"/>
    <w:rsid w:val="00CF33F3"/>
    <w:rsid w:val="00CF4A2B"/>
    <w:rsid w:val="00CF7800"/>
    <w:rsid w:val="00D024CA"/>
    <w:rsid w:val="00D0613D"/>
    <w:rsid w:val="00D06183"/>
    <w:rsid w:val="00D22BD7"/>
    <w:rsid w:val="00D22C42"/>
    <w:rsid w:val="00D27C2A"/>
    <w:rsid w:val="00D32760"/>
    <w:rsid w:val="00D35BA4"/>
    <w:rsid w:val="00D37013"/>
    <w:rsid w:val="00D374AD"/>
    <w:rsid w:val="00D65041"/>
    <w:rsid w:val="00D70605"/>
    <w:rsid w:val="00D75218"/>
    <w:rsid w:val="00D87B09"/>
    <w:rsid w:val="00DA092E"/>
    <w:rsid w:val="00DB1936"/>
    <w:rsid w:val="00DB384B"/>
    <w:rsid w:val="00DC6ACE"/>
    <w:rsid w:val="00DC6B38"/>
    <w:rsid w:val="00DD11ED"/>
    <w:rsid w:val="00DD3A0E"/>
    <w:rsid w:val="00DF0189"/>
    <w:rsid w:val="00DF0C34"/>
    <w:rsid w:val="00DF1E4B"/>
    <w:rsid w:val="00DF26C9"/>
    <w:rsid w:val="00E047B9"/>
    <w:rsid w:val="00E06FD5"/>
    <w:rsid w:val="00E078EE"/>
    <w:rsid w:val="00E07A50"/>
    <w:rsid w:val="00E10E80"/>
    <w:rsid w:val="00E124F0"/>
    <w:rsid w:val="00E227F3"/>
    <w:rsid w:val="00E24664"/>
    <w:rsid w:val="00E408AE"/>
    <w:rsid w:val="00E423D7"/>
    <w:rsid w:val="00E545C6"/>
    <w:rsid w:val="00E60F04"/>
    <w:rsid w:val="00E61B2C"/>
    <w:rsid w:val="00E65B24"/>
    <w:rsid w:val="00E72FD1"/>
    <w:rsid w:val="00E7722F"/>
    <w:rsid w:val="00E81D1B"/>
    <w:rsid w:val="00E854E4"/>
    <w:rsid w:val="00E86DBF"/>
    <w:rsid w:val="00E93FC8"/>
    <w:rsid w:val="00E969AF"/>
    <w:rsid w:val="00EB0D6F"/>
    <w:rsid w:val="00EB2232"/>
    <w:rsid w:val="00EB2B35"/>
    <w:rsid w:val="00EC4193"/>
    <w:rsid w:val="00EC5337"/>
    <w:rsid w:val="00ED27E1"/>
    <w:rsid w:val="00ED6330"/>
    <w:rsid w:val="00EE49E8"/>
    <w:rsid w:val="00EF399D"/>
    <w:rsid w:val="00F16BAB"/>
    <w:rsid w:val="00F2150A"/>
    <w:rsid w:val="00F231D8"/>
    <w:rsid w:val="00F358E3"/>
    <w:rsid w:val="00F41209"/>
    <w:rsid w:val="00F44C00"/>
    <w:rsid w:val="00F45D2C"/>
    <w:rsid w:val="00F46C5F"/>
    <w:rsid w:val="00F51EDB"/>
    <w:rsid w:val="00F632C0"/>
    <w:rsid w:val="00F641E1"/>
    <w:rsid w:val="00F94A63"/>
    <w:rsid w:val="00F9608B"/>
    <w:rsid w:val="00FA1C28"/>
    <w:rsid w:val="00FB1279"/>
    <w:rsid w:val="00FB6B76"/>
    <w:rsid w:val="00FB7596"/>
    <w:rsid w:val="00FC05B4"/>
    <w:rsid w:val="00FC1A00"/>
    <w:rsid w:val="00FC7B7B"/>
    <w:rsid w:val="00FE3259"/>
    <w:rsid w:val="00FE4077"/>
    <w:rsid w:val="00FE500D"/>
    <w:rsid w:val="00FE77D2"/>
    <w:rsid w:val="00FF39B1"/>
    <w:rsid w:val="01521065"/>
    <w:rsid w:val="02FC06D1"/>
    <w:rsid w:val="03B02A87"/>
    <w:rsid w:val="040C6E99"/>
    <w:rsid w:val="044C6EE7"/>
    <w:rsid w:val="04ED42F4"/>
    <w:rsid w:val="04F1E7CB"/>
    <w:rsid w:val="05259500"/>
    <w:rsid w:val="07901A77"/>
    <w:rsid w:val="0959C7DC"/>
    <w:rsid w:val="0B9FFA14"/>
    <w:rsid w:val="0C6719F2"/>
    <w:rsid w:val="0CBC5477"/>
    <w:rsid w:val="0FEC5D08"/>
    <w:rsid w:val="1005B46E"/>
    <w:rsid w:val="106EEE06"/>
    <w:rsid w:val="11812918"/>
    <w:rsid w:val="12B42C60"/>
    <w:rsid w:val="13A2D850"/>
    <w:rsid w:val="14F48EE1"/>
    <w:rsid w:val="157EF38C"/>
    <w:rsid w:val="15E373A1"/>
    <w:rsid w:val="160E69E2"/>
    <w:rsid w:val="18E5304C"/>
    <w:rsid w:val="1A69DB10"/>
    <w:rsid w:val="1AFC5F6E"/>
    <w:rsid w:val="1B5956D3"/>
    <w:rsid w:val="1C6E7814"/>
    <w:rsid w:val="1CB0EBE6"/>
    <w:rsid w:val="1D882B19"/>
    <w:rsid w:val="1E881C4E"/>
    <w:rsid w:val="1F262786"/>
    <w:rsid w:val="1F6972D9"/>
    <w:rsid w:val="20032DB8"/>
    <w:rsid w:val="2069367E"/>
    <w:rsid w:val="2139ED4F"/>
    <w:rsid w:val="227A6D76"/>
    <w:rsid w:val="2305F57D"/>
    <w:rsid w:val="2357BD9E"/>
    <w:rsid w:val="25B27202"/>
    <w:rsid w:val="26D032BD"/>
    <w:rsid w:val="288A7157"/>
    <w:rsid w:val="28949388"/>
    <w:rsid w:val="29075327"/>
    <w:rsid w:val="2ADF6F9D"/>
    <w:rsid w:val="2B748F89"/>
    <w:rsid w:val="2D246899"/>
    <w:rsid w:val="2F78EB57"/>
    <w:rsid w:val="308B610F"/>
    <w:rsid w:val="3146925F"/>
    <w:rsid w:val="317C9807"/>
    <w:rsid w:val="31C671E0"/>
    <w:rsid w:val="3259D181"/>
    <w:rsid w:val="357F0D35"/>
    <w:rsid w:val="36440CC5"/>
    <w:rsid w:val="38BFA876"/>
    <w:rsid w:val="3A5B96E9"/>
    <w:rsid w:val="3C98FA70"/>
    <w:rsid w:val="3DB13043"/>
    <w:rsid w:val="404C0303"/>
    <w:rsid w:val="405BA779"/>
    <w:rsid w:val="40D45253"/>
    <w:rsid w:val="434D915A"/>
    <w:rsid w:val="438EF455"/>
    <w:rsid w:val="44303451"/>
    <w:rsid w:val="4441F1DD"/>
    <w:rsid w:val="44F9BA00"/>
    <w:rsid w:val="49A900E1"/>
    <w:rsid w:val="4B136320"/>
    <w:rsid w:val="4B9DE0AA"/>
    <w:rsid w:val="4BD5EE89"/>
    <w:rsid w:val="4C497466"/>
    <w:rsid w:val="4CEABB70"/>
    <w:rsid w:val="4E0053D5"/>
    <w:rsid w:val="4E0FE09E"/>
    <w:rsid w:val="4F8DBA7A"/>
    <w:rsid w:val="5124F6E1"/>
    <w:rsid w:val="51DB1EE2"/>
    <w:rsid w:val="5208A7CB"/>
    <w:rsid w:val="524F8D92"/>
    <w:rsid w:val="525770B6"/>
    <w:rsid w:val="53D74F50"/>
    <w:rsid w:val="5661B2EA"/>
    <w:rsid w:val="571B8AC6"/>
    <w:rsid w:val="5899916B"/>
    <w:rsid w:val="5A7BBB12"/>
    <w:rsid w:val="5A9DBF09"/>
    <w:rsid w:val="5C274607"/>
    <w:rsid w:val="5D3E9C45"/>
    <w:rsid w:val="5D7FA569"/>
    <w:rsid w:val="5F73ECB7"/>
    <w:rsid w:val="5FA30C07"/>
    <w:rsid w:val="5FE74809"/>
    <w:rsid w:val="60261B91"/>
    <w:rsid w:val="62BCB8D9"/>
    <w:rsid w:val="63AE960C"/>
    <w:rsid w:val="6412D222"/>
    <w:rsid w:val="65456A43"/>
    <w:rsid w:val="65E418C1"/>
    <w:rsid w:val="67F82879"/>
    <w:rsid w:val="6904DDD2"/>
    <w:rsid w:val="690CA5C0"/>
    <w:rsid w:val="692ED5F7"/>
    <w:rsid w:val="6A97F639"/>
    <w:rsid w:val="6B2952A8"/>
    <w:rsid w:val="6C8211EB"/>
    <w:rsid w:val="6DCC4A60"/>
    <w:rsid w:val="6DF4E9BD"/>
    <w:rsid w:val="6EAA86BB"/>
    <w:rsid w:val="70654291"/>
    <w:rsid w:val="70835F34"/>
    <w:rsid w:val="70CC6BB6"/>
    <w:rsid w:val="71E599E6"/>
    <w:rsid w:val="72BFA2C1"/>
    <w:rsid w:val="76B455B2"/>
    <w:rsid w:val="7804ED31"/>
    <w:rsid w:val="782056CF"/>
    <w:rsid w:val="785730BC"/>
    <w:rsid w:val="7C0EC0A9"/>
    <w:rsid w:val="7C56979D"/>
    <w:rsid w:val="7F02D5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D8460291-4BDF-45E5-A6C4-459B6DBE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0C0807"/>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styleId="CommentReference">
    <w:name w:val="annotation reference"/>
    <w:basedOn w:val="DefaultParagraphFont"/>
    <w:uiPriority w:val="99"/>
    <w:semiHidden/>
    <w:unhideWhenUsed/>
    <w:rsid w:val="000C0807"/>
    <w:rPr>
      <w:sz w:val="16"/>
      <w:szCs w:val="16"/>
    </w:rPr>
  </w:style>
  <w:style w:type="paragraph" w:styleId="CommentText">
    <w:name w:val="annotation text"/>
    <w:basedOn w:val="Normal"/>
    <w:link w:val="CommentTextChar"/>
    <w:uiPriority w:val="99"/>
    <w:unhideWhenUsed/>
    <w:rsid w:val="000C0807"/>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0C0807"/>
    <w:rPr>
      <w:rFonts w:asciiTheme="minorHAnsi" w:eastAsiaTheme="minorHAnsi" w:hAnsiTheme="minorHAnsi" w:cstheme="minorBidi"/>
      <w:kern w:val="2"/>
      <w:lang w:val="en-GB" w:eastAsia="en-US"/>
      <w14:ligatures w14:val="standardContextual"/>
    </w:rPr>
  </w:style>
  <w:style w:type="character" w:styleId="Mention">
    <w:name w:val="Mention"/>
    <w:basedOn w:val="DefaultParagraphFont"/>
    <w:uiPriority w:val="99"/>
    <w:unhideWhenUsed/>
    <w:rsid w:val="000C0807"/>
    <w:rPr>
      <w:color w:val="2B579A"/>
      <w:shd w:val="clear" w:color="auto" w:fill="E1DFDD"/>
    </w:rPr>
  </w:style>
  <w:style w:type="paragraph" w:styleId="CommentSubject">
    <w:name w:val="annotation subject"/>
    <w:basedOn w:val="CommentText"/>
    <w:next w:val="CommentText"/>
    <w:link w:val="CommentSubjectChar"/>
    <w:semiHidden/>
    <w:unhideWhenUsed/>
    <w:rsid w:val="00AD584D"/>
    <w:pPr>
      <w:tabs>
        <w:tab w:val="left" w:pos="567"/>
        <w:tab w:val="left" w:pos="1134"/>
        <w:tab w:val="left" w:pos="1701"/>
        <w:tab w:val="left" w:pos="2268"/>
        <w:tab w:val="left" w:pos="2835"/>
      </w:tabs>
      <w:overflowPunct w:val="0"/>
      <w:autoSpaceDE w:val="0"/>
      <w:autoSpaceDN w:val="0"/>
      <w:adjustRightInd w:val="0"/>
      <w:spacing w:before="120" w:after="0"/>
      <w:textAlignment w:val="baseline"/>
    </w:pPr>
    <w:rPr>
      <w:rFonts w:ascii="Calibri" w:eastAsia="Times New Roman" w:hAnsi="Calibri" w:cs="Times New Roman"/>
      <w:b/>
      <w:bCs/>
      <w:kern w:val="0"/>
      <w14:ligatures w14:val="none"/>
    </w:rPr>
  </w:style>
  <w:style w:type="character" w:customStyle="1" w:styleId="CommentSubjectChar">
    <w:name w:val="Comment Subject Char"/>
    <w:basedOn w:val="CommentTextChar"/>
    <w:link w:val="CommentSubject"/>
    <w:semiHidden/>
    <w:rsid w:val="00AD584D"/>
    <w:rPr>
      <w:rFonts w:ascii="Calibri" w:eastAsiaTheme="minorHAnsi" w:hAnsi="Calibri" w:cstheme="minorBidi"/>
      <w:b/>
      <w:bCs/>
      <w:kern w:val="2"/>
      <w:lang w:val="en-GB" w:eastAsia="en-US"/>
      <w14:ligatures w14:val="standardContextual"/>
    </w:rPr>
  </w:style>
  <w:style w:type="paragraph" w:styleId="Revision">
    <w:name w:val="Revision"/>
    <w:hidden/>
    <w:uiPriority w:val="99"/>
    <w:semiHidden/>
    <w:rsid w:val="00A812B5"/>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14-CL-C-0102/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en/council/Documents/basic-texts-2023/RES-091-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10/en" TargetMode="External"/><Relationship Id="rId5" Type="http://schemas.openxmlformats.org/officeDocument/2006/relationships/numbering" Target="numbering.xml"/><Relationship Id="rId15" Type="http://schemas.openxmlformats.org/officeDocument/2006/relationships/hyperlink" Target="https://www.itu.int/md/S25-CL-C-0010/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10/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4" ma:contentTypeDescription="Create a new document." ma:contentTypeScope="" ma:versionID="307ecc74a8eb51dfea6b750f0799606c">
  <xsd:schema xmlns:xsd="http://www.w3.org/2001/XMLSchema" xmlns:xs="http://www.w3.org/2001/XMLSchema" xmlns:p="http://schemas.microsoft.com/office/2006/metadata/properties" xmlns:ns2="a1cf676c-2816-4389-ad5d-0f2e7c7e67c4" targetNamespace="http://schemas.microsoft.com/office/2006/metadata/properties" ma:root="true" ma:fieldsID="80c3ec948e348096898dbd7aed4bed44"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B52BA-7AEF-42D4-AF59-959012BFA94A}">
  <ds:schemaRefs>
    <ds:schemaRef ds:uri="http://schemas.microsoft.com/sharepoint/v3/contenttype/forms"/>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24B8146E-03A7-4413-9B17-C6B8E5956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2F2AC-2255-4DBF-9278-6619577B4509}">
  <ds:schemaRef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a1cf676c-2816-4389-ad5d-0f2e7c7e67c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2017</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Proposed Methodology for Calculation of SNF Cost Recovery</vt:lpstr>
    </vt:vector>
  </TitlesOfParts>
  <Manager>General Secretariat</Manager>
  <Company>International Telecommunication Union (ITU)</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Methodology for Calculation of SNF Cost Recovery</dc:title>
  <dc:subject>Council 2025</dc:subject>
  <dc:creator>LRT</dc:creator>
  <cp:keywords>C25; C2025; Council 2025; ITU160</cp:keywords>
  <dc:description/>
  <cp:lastModifiedBy>GBS</cp:lastModifiedBy>
  <cp:revision>2</cp:revision>
  <cp:lastPrinted>2000-07-20T01:30:00Z</cp:lastPrinted>
  <dcterms:created xsi:type="dcterms:W3CDTF">2025-05-05T14:48:00Z</dcterms:created>
  <dcterms:modified xsi:type="dcterms:W3CDTF">2025-05-05T14:48:00Z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