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4BC55FE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E2A4EFF" w14:textId="789E4C7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1C1BC5">
              <w:rPr>
                <w:b/>
                <w:bCs/>
                <w:color w:val="000000"/>
                <w:lang w:val="zh-CN"/>
              </w:rPr>
              <w:t>ADM</w:t>
            </w:r>
            <w:r w:rsidR="008B6185">
              <w:rPr>
                <w:b/>
                <w:bCs/>
                <w:color w:val="000000"/>
                <w:lang w:val="en-US"/>
              </w:rPr>
              <w:t xml:space="preserve"> </w:t>
            </w:r>
            <w:r w:rsidR="001C1BC5">
              <w:rPr>
                <w:b/>
                <w:bCs/>
                <w:color w:val="000000"/>
                <w:lang w:val="zh-CN"/>
              </w:rPr>
              <w:t>1</w:t>
            </w:r>
          </w:p>
        </w:tc>
        <w:tc>
          <w:tcPr>
            <w:tcW w:w="5245" w:type="dxa"/>
          </w:tcPr>
          <w:p w14:paraId="7825589C" w14:textId="5F1E0B3D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="008B6185">
              <w:rPr>
                <w:rFonts w:cstheme="minorHAnsi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1C1BC5">
              <w:rPr>
                <w:rFonts w:hint="eastAsia"/>
                <w:b/>
                <w:lang w:val="fr-CH" w:eastAsia="zh-CN"/>
              </w:rPr>
              <w:t>64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6362D4ED" w14:textId="77777777" w:rsidTr="00E31DCE">
        <w:trPr>
          <w:cantSplit/>
        </w:trPr>
        <w:tc>
          <w:tcPr>
            <w:tcW w:w="3969" w:type="dxa"/>
            <w:vMerge/>
          </w:tcPr>
          <w:p w14:paraId="6DFD8EF6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3627658" w14:textId="5D2C32D3" w:rsidR="00E24D59" w:rsidRPr="00E85629" w:rsidRDefault="001C1BC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0B3878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18F627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4C124F4" w14:textId="79295EDE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8B6185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6F1B489" w14:textId="77777777" w:rsidTr="00E31DCE">
        <w:trPr>
          <w:cantSplit/>
          <w:trHeight w:val="23"/>
        </w:trPr>
        <w:tc>
          <w:tcPr>
            <w:tcW w:w="3969" w:type="dxa"/>
          </w:tcPr>
          <w:p w14:paraId="5263D6B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30B738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F5A008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1A7D9C4" w14:textId="77777777" w:rsidR="00E24D59" w:rsidRPr="001C1BC5" w:rsidRDefault="003F086E" w:rsidP="00DA0E66">
            <w:pPr>
              <w:pStyle w:val="Source"/>
              <w:spacing w:before="840"/>
              <w:jc w:val="left"/>
              <w:rPr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1C1BC5">
              <w:rPr>
                <w:rFonts w:cstheme="minorHAnsi" w:hint="eastAsia"/>
                <w:sz w:val="32"/>
                <w:szCs w:val="32"/>
                <w:lang w:val="ru-RU" w:eastAsia="zh-CN"/>
              </w:rPr>
              <w:t>秘书长的报告</w:t>
            </w:r>
          </w:p>
        </w:tc>
      </w:tr>
      <w:tr w:rsidR="00E24D59" w:rsidRPr="00813E5E" w14:paraId="079A3E3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AD424F3" w14:textId="7C46502E" w:rsidR="00E24D59" w:rsidRPr="001C1BC5" w:rsidRDefault="001C1BC5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6" w:name="_Hlk196858311"/>
            <w:bookmarkStart w:id="7" w:name="dtitle1" w:colFirst="0" w:colLast="0"/>
            <w:bookmarkEnd w:id="5"/>
            <w:r w:rsidRPr="001C1BC5">
              <w:rPr>
                <w:rFonts w:asciiTheme="minorHAnsi" w:eastAsiaTheme="minorEastAsia" w:hAnsiTheme="minorHAnsi" w:cstheme="minorHAnsi"/>
                <w:color w:val="000000"/>
                <w:sz w:val="32"/>
                <w:szCs w:val="32"/>
                <w:lang w:val="zh-CN" w:eastAsia="zh-CN"/>
              </w:rPr>
              <w:t>拟议免费卫星网络申报</w:t>
            </w:r>
            <w:r w:rsidRPr="001C1BC5">
              <w:rPr>
                <w:rFonts w:asciiTheme="minorHAnsi" w:eastAsiaTheme="minorEastAsia" w:hAnsiTheme="minorHAnsi" w:cstheme="minorHAnsi"/>
                <w:color w:val="000000"/>
                <w:sz w:val="32"/>
                <w:szCs w:val="32"/>
                <w:lang w:eastAsia="zh-CN"/>
              </w:rPr>
              <w:t>（</w:t>
            </w:r>
            <w:r w:rsidRPr="001C1BC5">
              <w:rPr>
                <w:rFonts w:asciiTheme="minorHAnsi" w:eastAsiaTheme="minorEastAsia" w:hAnsiTheme="minorHAnsi" w:cstheme="minorHAnsi"/>
                <w:color w:val="000000"/>
                <w:sz w:val="32"/>
                <w:szCs w:val="32"/>
                <w:lang w:val="zh-CN" w:eastAsia="zh-CN"/>
              </w:rPr>
              <w:t>SNF</w:t>
            </w:r>
            <w:r w:rsidRPr="001C1BC5">
              <w:rPr>
                <w:rFonts w:asciiTheme="minorHAnsi" w:eastAsiaTheme="minorEastAsia" w:hAnsiTheme="minorHAnsi" w:cstheme="minorHAnsi"/>
                <w:color w:val="000000"/>
                <w:sz w:val="32"/>
                <w:szCs w:val="32"/>
                <w:lang w:val="zh-CN" w:eastAsia="zh-CN"/>
              </w:rPr>
              <w:t>）的成本回收计算方法</w:t>
            </w:r>
            <w:bookmarkEnd w:id="6"/>
          </w:p>
        </w:tc>
      </w:tr>
      <w:tr w:rsidR="00E24D59" w:rsidRPr="00813E5E" w14:paraId="757FB137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50B551" w14:textId="47D19196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0A48C443" w14:textId="6B2A5D1E" w:rsidR="003F086E" w:rsidRPr="00477D57" w:rsidRDefault="001C1BC5" w:rsidP="001C1BC5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本文件</w:t>
            </w:r>
            <w:r>
              <w:rPr>
                <w:rFonts w:hint="eastAsia"/>
                <w:color w:val="000000"/>
                <w:lang w:val="zh-CN" w:eastAsia="zh-CN"/>
              </w:rPr>
              <w:t>提出</w:t>
            </w:r>
            <w:r>
              <w:rPr>
                <w:color w:val="000000"/>
                <w:lang w:val="zh-CN" w:eastAsia="zh-CN"/>
              </w:rPr>
              <w:t>了一种经修订的方法，</w:t>
            </w:r>
            <w:r>
              <w:rPr>
                <w:rFonts w:hint="eastAsia"/>
                <w:color w:val="000000"/>
                <w:lang w:val="zh-CN" w:eastAsia="zh-CN"/>
              </w:rPr>
              <w:t>用于确</w:t>
            </w:r>
            <w:r>
              <w:rPr>
                <w:color w:val="000000"/>
                <w:lang w:val="zh-CN" w:eastAsia="zh-CN"/>
              </w:rPr>
              <w:t>定卫星网络申报的全部成本，</w:t>
            </w:r>
            <w:r>
              <w:rPr>
                <w:rFonts w:hint="eastAsia"/>
                <w:color w:val="000000"/>
                <w:lang w:val="zh-CN" w:eastAsia="zh-CN"/>
              </w:rPr>
              <w:t>即</w:t>
            </w:r>
            <w:r>
              <w:rPr>
                <w:color w:val="000000"/>
                <w:lang w:val="zh-CN" w:eastAsia="zh-CN"/>
              </w:rPr>
              <w:t>根据第</w:t>
            </w:r>
            <w:r>
              <w:rPr>
                <w:color w:val="000000"/>
                <w:lang w:val="zh-CN" w:eastAsia="zh-CN"/>
              </w:rPr>
              <w:t>535</w:t>
            </w:r>
            <w:r>
              <w:rPr>
                <w:color w:val="000000"/>
                <w:lang w:val="zh-CN" w:eastAsia="zh-CN"/>
              </w:rPr>
              <w:t>号决定采用</w:t>
            </w:r>
            <w:r w:rsidRPr="00B10284">
              <w:rPr>
                <w:rFonts w:hint="eastAsia"/>
                <w:color w:val="000000"/>
                <w:lang w:val="zh-CN" w:eastAsia="zh-CN"/>
              </w:rPr>
              <w:t>全部</w:t>
            </w:r>
            <w:r>
              <w:rPr>
                <w:rFonts w:hint="eastAsia"/>
                <w:color w:val="000000"/>
                <w:lang w:val="zh-CN" w:eastAsia="zh-CN"/>
              </w:rPr>
              <w:t>成本分配</w:t>
            </w:r>
            <w:r w:rsidRPr="00B10284">
              <w:rPr>
                <w:rFonts w:hint="eastAsia"/>
                <w:color w:val="000000"/>
                <w:lang w:val="zh-CN" w:eastAsia="zh-CN"/>
              </w:rPr>
              <w:t>法</w:t>
            </w:r>
            <w:r>
              <w:rPr>
                <w:color w:val="000000"/>
                <w:lang w:val="zh-CN" w:eastAsia="zh-CN"/>
              </w:rPr>
              <w:t>并</w:t>
            </w:r>
            <w:r>
              <w:rPr>
                <w:rFonts w:hint="eastAsia"/>
                <w:color w:val="000000"/>
                <w:lang w:val="zh-CN" w:eastAsia="zh-CN"/>
              </w:rPr>
              <w:t>依据</w:t>
            </w:r>
            <w:r>
              <w:rPr>
                <w:color w:val="000000"/>
                <w:lang w:val="zh-CN" w:eastAsia="zh-CN"/>
              </w:rPr>
              <w:t>第</w:t>
            </w:r>
            <w:r>
              <w:rPr>
                <w:color w:val="000000"/>
                <w:lang w:val="zh-CN" w:eastAsia="zh-CN"/>
              </w:rPr>
              <w:t>91</w:t>
            </w:r>
            <w:r>
              <w:rPr>
                <w:color w:val="000000"/>
                <w:lang w:val="zh-CN" w:eastAsia="zh-CN"/>
              </w:rPr>
              <w:t>号决议（</w:t>
            </w:r>
            <w:r>
              <w:rPr>
                <w:color w:val="000000"/>
                <w:lang w:val="zh-CN" w:eastAsia="zh-CN"/>
              </w:rPr>
              <w:t>2010</w:t>
            </w:r>
            <w:r>
              <w:rPr>
                <w:color w:val="000000"/>
                <w:lang w:val="zh-CN" w:eastAsia="zh-CN"/>
              </w:rPr>
              <w:t>年，瓜达拉哈拉，修订版）</w:t>
            </w:r>
            <w:r>
              <w:rPr>
                <w:rFonts w:hint="eastAsia"/>
                <w:color w:val="000000"/>
                <w:lang w:val="zh-CN" w:eastAsia="zh-CN"/>
              </w:rPr>
              <w:t>制定</w:t>
            </w:r>
            <w:r>
              <w:rPr>
                <w:color w:val="000000"/>
                <w:lang w:val="zh-CN" w:eastAsia="zh-CN"/>
              </w:rPr>
              <w:t>的适当基准，采用渐进</w:t>
            </w:r>
            <w:r>
              <w:rPr>
                <w:rFonts w:hint="eastAsia"/>
                <w:color w:val="000000"/>
                <w:lang w:val="zh-CN" w:eastAsia="zh-CN"/>
              </w:rPr>
              <w:t>的方式对回收</w:t>
            </w:r>
            <w:r>
              <w:rPr>
                <w:color w:val="000000"/>
                <w:lang w:val="zh-CN" w:eastAsia="zh-CN"/>
              </w:rPr>
              <w:t>全部成本</w:t>
            </w:r>
            <w:r>
              <w:rPr>
                <w:rFonts w:hint="eastAsia"/>
                <w:color w:val="000000"/>
                <w:lang w:val="zh-CN" w:eastAsia="zh-CN"/>
              </w:rPr>
              <w:t>加以</w:t>
            </w:r>
            <w:r>
              <w:rPr>
                <w:color w:val="000000"/>
                <w:lang w:val="zh-CN" w:eastAsia="zh-CN"/>
              </w:rPr>
              <w:t>限制。</w:t>
            </w:r>
          </w:p>
          <w:p w14:paraId="249DFE08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5C273B84" w14:textId="4DC8AFFF" w:rsidR="003F086E" w:rsidRPr="00477D57" w:rsidRDefault="001C1BC5" w:rsidP="001C1BC5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请理事会</w:t>
            </w:r>
            <w:r w:rsidRPr="00C71DF0">
              <w:rPr>
                <w:b/>
                <w:bCs/>
                <w:color w:val="000000"/>
                <w:lang w:val="zh-CN" w:eastAsia="zh-CN"/>
              </w:rPr>
              <w:t>批准</w:t>
            </w:r>
            <w:r>
              <w:rPr>
                <w:color w:val="000000"/>
                <w:lang w:val="zh-CN" w:eastAsia="zh-CN"/>
              </w:rPr>
              <w:t>本文件中提出的用于确定卫星网络申报成本回收费的方法。</w:t>
            </w:r>
          </w:p>
          <w:p w14:paraId="68232326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27084DBC" w14:textId="2C09EFDB" w:rsidR="003F086E" w:rsidRPr="00477D57" w:rsidRDefault="001C1BC5" w:rsidP="001C1BC5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不适用。</w:t>
            </w:r>
          </w:p>
          <w:p w14:paraId="049AF27A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754E93E" w14:textId="3FD01575" w:rsidR="008F64AD" w:rsidRPr="00477D57" w:rsidRDefault="001C1BC5" w:rsidP="001C1BC5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增加国际电联卫星网络申报成本回收方面的年度收入，使总收入达到</w:t>
            </w:r>
            <w:r w:rsidRPr="0037600D">
              <w:rPr>
                <w:b/>
                <w:bCs/>
                <w:color w:val="000000"/>
                <w:lang w:val="zh-CN" w:eastAsia="zh-CN"/>
              </w:rPr>
              <w:t>18</w:t>
            </w:r>
            <w:r>
              <w:rPr>
                <w:b/>
                <w:bCs/>
                <w:color w:val="000000"/>
                <w:lang w:val="zh-CN" w:eastAsia="zh-CN"/>
              </w:rPr>
              <w:t> </w:t>
            </w:r>
            <w:r w:rsidRPr="0037600D">
              <w:rPr>
                <w:b/>
                <w:bCs/>
                <w:color w:val="000000"/>
                <w:lang w:val="zh-CN" w:eastAsia="zh-CN"/>
              </w:rPr>
              <w:t>032</w:t>
            </w:r>
            <w:r>
              <w:rPr>
                <w:b/>
                <w:bCs/>
                <w:color w:val="000000"/>
                <w:lang w:val="zh-CN" w:eastAsia="zh-CN"/>
              </w:rPr>
              <w:t> </w:t>
            </w:r>
            <w:r w:rsidRPr="0037600D">
              <w:rPr>
                <w:b/>
                <w:bCs/>
                <w:color w:val="000000"/>
                <w:lang w:val="zh-CN" w:eastAsia="zh-CN"/>
              </w:rPr>
              <w:t>400</w:t>
            </w:r>
            <w:r>
              <w:rPr>
                <w:color w:val="000000"/>
                <w:lang w:val="zh-CN" w:eastAsia="zh-CN"/>
              </w:rPr>
              <w:t>瑞郎。</w:t>
            </w:r>
          </w:p>
          <w:p w14:paraId="1F84CED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4FF9D04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07684120" w14:textId="6AD649DB" w:rsidR="001C1BC5" w:rsidRPr="0076184D" w:rsidRDefault="001C1BC5" w:rsidP="001C1BC5">
            <w:pPr>
              <w:rPr>
                <w:i/>
                <w:iCs/>
                <w:sz w:val="22"/>
                <w:szCs w:val="22"/>
                <w:lang w:eastAsia="zh-CN"/>
              </w:rPr>
            </w:pPr>
            <w:hyperlink r:id="rId8" w:history="1">
              <w:r w:rsidRPr="001C1BC5">
                <w:rPr>
                  <w:rStyle w:val="Hyperlink"/>
                  <w:rFonts w:eastAsia="SimSun"/>
                  <w:szCs w:val="24"/>
                  <w:lang w:eastAsia="zh-CN"/>
                </w:rPr>
                <w:t>C25/10</w:t>
              </w:r>
            </w:hyperlink>
            <w:r w:rsidRPr="0037600D">
              <w:rPr>
                <w:rFonts w:ascii="STKaiti" w:eastAsia="STKaiti" w:hAnsi="STKaiti"/>
                <w:color w:val="000000"/>
                <w:lang w:val="zh-CN" w:eastAsia="zh-CN"/>
              </w:rPr>
              <w:t>号文件</w:t>
            </w:r>
          </w:p>
          <w:p w14:paraId="4597271D" w14:textId="00EF61E8" w:rsidR="001C1BC5" w:rsidRPr="001C1BC5" w:rsidRDefault="001C1BC5" w:rsidP="001C1BC5">
            <w:pPr>
              <w:spacing w:before="0"/>
              <w:rPr>
                <w:rStyle w:val="Hyperlink"/>
                <w:rFonts w:eastAsia="STKaiti"/>
                <w:lang w:eastAsia="zh-CN"/>
              </w:rPr>
            </w:pPr>
            <w:hyperlink r:id="rId9" w:history="1">
              <w:r w:rsidRPr="001C1BC5">
                <w:rPr>
                  <w:rStyle w:val="Hyperlink"/>
                  <w:rFonts w:eastAsia="STKaiti"/>
                  <w:lang w:eastAsia="zh-CN"/>
                </w:rPr>
                <w:t>全权代表大会第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91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号决议（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2010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年，瓜达拉哈拉，修订版）</w:t>
              </w:r>
            </w:hyperlink>
          </w:p>
          <w:p w14:paraId="1D3781EA" w14:textId="68532BA9" w:rsidR="00E24D59" w:rsidRPr="001C1BC5" w:rsidRDefault="001C1BC5" w:rsidP="0084073D">
            <w:pPr>
              <w:spacing w:before="0"/>
              <w:rPr>
                <w:rStyle w:val="Hyperlink"/>
                <w:rFonts w:eastAsiaTheme="majorEastAsia"/>
                <w:lang w:eastAsia="zh-CN"/>
              </w:rPr>
            </w:pPr>
            <w:hyperlink r:id="rId10" w:history="1">
              <w:r w:rsidRPr="001C1BC5">
                <w:rPr>
                  <w:rStyle w:val="Hyperlink"/>
                  <w:rFonts w:eastAsia="STKaiti"/>
                  <w:lang w:eastAsia="zh-CN"/>
                </w:rPr>
                <w:t>理事会第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535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号决定（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2014</w:t>
              </w:r>
              <w:r w:rsidRPr="001C1BC5">
                <w:rPr>
                  <w:rStyle w:val="Hyperlink"/>
                  <w:rFonts w:eastAsia="STKaiti"/>
                  <w:lang w:eastAsia="zh-CN"/>
                </w:rPr>
                <w:t>年修订）</w:t>
              </w:r>
            </w:hyperlink>
          </w:p>
        </w:tc>
      </w:tr>
      <w:bookmarkEnd w:id="2"/>
      <w:bookmarkEnd w:id="7"/>
    </w:tbl>
    <w:p w14:paraId="3EBE889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E89C04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3C498CC" w14:textId="77777777" w:rsidR="001C1BC5" w:rsidRPr="005F28A2" w:rsidRDefault="001C1BC5" w:rsidP="001C1BC5">
      <w:pPr>
        <w:pStyle w:val="Headingb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lastRenderedPageBreak/>
        <w:t>引言</w:t>
      </w:r>
    </w:p>
    <w:p w14:paraId="68269A21" w14:textId="01E4D5CC" w:rsidR="001C1BC5" w:rsidRPr="005F28A2" w:rsidRDefault="001C1BC5" w:rsidP="001C1BC5">
      <w:pPr>
        <w:spacing w:line="276" w:lineRule="auto"/>
        <w:rPr>
          <w:rFonts w:cs="Calibri"/>
          <w:lang w:eastAsia="zh-CN"/>
        </w:rPr>
      </w:pPr>
      <w:r>
        <w:rPr>
          <w:lang w:val="zh-CN" w:eastAsia="zh-CN"/>
        </w:rPr>
        <w:t>1</w:t>
      </w:r>
      <w:r>
        <w:rPr>
          <w:lang w:val="zh-CN" w:eastAsia="zh-CN"/>
        </w:rPr>
        <w:tab/>
      </w:r>
      <w:r>
        <w:rPr>
          <w:lang w:val="zh-CN" w:eastAsia="zh-CN"/>
        </w:rPr>
        <w:t>为落实全权代表大会第</w:t>
      </w:r>
      <w:r>
        <w:rPr>
          <w:lang w:val="zh-CN" w:eastAsia="zh-CN"/>
        </w:rPr>
        <w:t>91</w:t>
      </w:r>
      <w:r>
        <w:rPr>
          <w:lang w:val="zh-CN" w:eastAsia="zh-CN"/>
        </w:rPr>
        <w:t>号决议（</w:t>
      </w:r>
      <w:r>
        <w:rPr>
          <w:lang w:val="zh-CN" w:eastAsia="zh-CN"/>
        </w:rPr>
        <w:t>2010</w:t>
      </w:r>
      <w:r>
        <w:rPr>
          <w:lang w:val="zh-CN" w:eastAsia="zh-CN"/>
        </w:rPr>
        <w:t>年，瓜达拉哈拉，修订版）和理事会第</w:t>
      </w:r>
      <w:r>
        <w:rPr>
          <w:lang w:val="zh-CN" w:eastAsia="zh-CN"/>
        </w:rPr>
        <w:t>535</w:t>
      </w:r>
      <w:r>
        <w:rPr>
          <w:lang w:val="zh-CN" w:eastAsia="zh-CN"/>
        </w:rPr>
        <w:t>号决定，秘书处</w:t>
      </w:r>
      <w:r>
        <w:rPr>
          <w:rFonts w:hint="eastAsia"/>
          <w:lang w:val="zh-CN" w:eastAsia="zh-CN"/>
        </w:rPr>
        <w:t>为按</w:t>
      </w:r>
      <w:r>
        <w:rPr>
          <w:lang w:val="zh-CN" w:eastAsia="zh-CN"/>
        </w:rPr>
        <w:t>适当比例分配国际电联与卫星网络申报（</w:t>
      </w:r>
      <w:r>
        <w:rPr>
          <w:lang w:val="zh-CN" w:eastAsia="zh-CN"/>
        </w:rPr>
        <w:t>SNF</w:t>
      </w:r>
      <w:r>
        <w:rPr>
          <w:lang w:val="zh-CN" w:eastAsia="zh-CN"/>
        </w:rPr>
        <w:t>）相关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费用设计了一个成本模型。使用该模型估算的总成本为</w:t>
      </w:r>
      <w:r w:rsidRPr="0037600D">
        <w:rPr>
          <w:b/>
          <w:bCs/>
          <w:lang w:val="zh-CN" w:eastAsia="zh-CN"/>
        </w:rPr>
        <w:t>2</w:t>
      </w:r>
      <w:r>
        <w:rPr>
          <w:b/>
          <w:bCs/>
          <w:lang w:val="zh-CN" w:eastAsia="zh-CN"/>
        </w:rPr>
        <w:t> </w:t>
      </w:r>
      <w:r w:rsidRPr="0037600D">
        <w:rPr>
          <w:b/>
          <w:bCs/>
          <w:lang w:val="zh-CN" w:eastAsia="zh-CN"/>
        </w:rPr>
        <w:t>281</w:t>
      </w:r>
      <w:proofErr w:type="gramStart"/>
      <w:r w:rsidRPr="0037600D">
        <w:rPr>
          <w:b/>
          <w:bCs/>
          <w:lang w:val="zh-CN" w:eastAsia="zh-CN"/>
        </w:rPr>
        <w:t>万瑞</w:t>
      </w:r>
      <w:proofErr w:type="gramEnd"/>
      <w:r w:rsidRPr="0037600D">
        <w:rPr>
          <w:b/>
          <w:bCs/>
          <w:lang w:val="zh-CN" w:eastAsia="zh-CN"/>
        </w:rPr>
        <w:t>郎</w:t>
      </w:r>
      <w:r>
        <w:rPr>
          <w:lang w:val="zh-CN" w:eastAsia="zh-CN"/>
        </w:rPr>
        <w:t>，其中</w:t>
      </w:r>
      <w:r w:rsidRPr="0037600D">
        <w:rPr>
          <w:b/>
          <w:bCs/>
          <w:lang w:val="zh-CN" w:eastAsia="zh-CN"/>
        </w:rPr>
        <w:t>1</w:t>
      </w:r>
      <w:r>
        <w:rPr>
          <w:b/>
          <w:bCs/>
          <w:lang w:val="zh-CN" w:eastAsia="zh-CN"/>
        </w:rPr>
        <w:t> </w:t>
      </w:r>
      <w:r w:rsidRPr="0037600D">
        <w:rPr>
          <w:b/>
          <w:bCs/>
          <w:lang w:val="zh-CN" w:eastAsia="zh-CN"/>
        </w:rPr>
        <w:t>100</w:t>
      </w:r>
      <w:proofErr w:type="gramStart"/>
      <w:r w:rsidRPr="0037600D">
        <w:rPr>
          <w:b/>
          <w:bCs/>
          <w:lang w:val="zh-CN" w:eastAsia="zh-CN"/>
        </w:rPr>
        <w:t>万瑞</w:t>
      </w:r>
      <w:proofErr w:type="gramEnd"/>
      <w:r w:rsidRPr="0037600D">
        <w:rPr>
          <w:b/>
          <w:bCs/>
          <w:lang w:val="zh-CN" w:eastAsia="zh-CN"/>
        </w:rPr>
        <w:t>郎</w:t>
      </w:r>
      <w:r>
        <w:rPr>
          <w:lang w:val="zh-CN" w:eastAsia="zh-CN"/>
        </w:rPr>
        <w:t>为</w:t>
      </w:r>
      <w:r w:rsidRPr="0037600D">
        <w:rPr>
          <w:b/>
          <w:bCs/>
          <w:lang w:val="zh-CN" w:eastAsia="zh-CN"/>
        </w:rPr>
        <w:t>直接成本</w:t>
      </w:r>
      <w:r>
        <w:rPr>
          <w:lang w:val="zh-CN" w:eastAsia="zh-CN"/>
        </w:rPr>
        <w:t>，其余</w:t>
      </w:r>
      <w:r w:rsidRPr="0037600D">
        <w:rPr>
          <w:b/>
          <w:bCs/>
          <w:lang w:val="zh-CN" w:eastAsia="zh-CN"/>
        </w:rPr>
        <w:t>1</w:t>
      </w:r>
      <w:r>
        <w:rPr>
          <w:b/>
          <w:bCs/>
          <w:lang w:val="zh-CN" w:eastAsia="zh-CN"/>
        </w:rPr>
        <w:t> </w:t>
      </w:r>
      <w:r w:rsidRPr="0037600D">
        <w:rPr>
          <w:b/>
          <w:bCs/>
          <w:lang w:val="zh-CN" w:eastAsia="zh-CN"/>
        </w:rPr>
        <w:t>181</w:t>
      </w:r>
      <w:proofErr w:type="gramStart"/>
      <w:r w:rsidRPr="0037600D">
        <w:rPr>
          <w:b/>
          <w:bCs/>
          <w:lang w:val="zh-CN" w:eastAsia="zh-CN"/>
        </w:rPr>
        <w:t>万瑞</w:t>
      </w:r>
      <w:proofErr w:type="gramEnd"/>
      <w:r w:rsidRPr="0037600D">
        <w:rPr>
          <w:b/>
          <w:bCs/>
          <w:lang w:val="zh-CN" w:eastAsia="zh-CN"/>
        </w:rPr>
        <w:t>郎</w:t>
      </w:r>
      <w:r>
        <w:rPr>
          <w:lang w:val="zh-CN" w:eastAsia="zh-CN"/>
        </w:rPr>
        <w:t>为</w:t>
      </w:r>
      <w:r w:rsidRPr="0037600D">
        <w:rPr>
          <w:b/>
          <w:bCs/>
          <w:lang w:val="zh-CN" w:eastAsia="zh-CN"/>
        </w:rPr>
        <w:t>间接成本</w:t>
      </w:r>
      <w:r>
        <w:rPr>
          <w:lang w:val="zh-CN" w:eastAsia="zh-CN"/>
        </w:rPr>
        <w:t>。这目前意味着国际电联目前</w:t>
      </w:r>
      <w:r>
        <w:rPr>
          <w:rFonts w:hint="eastAsia"/>
          <w:lang w:val="zh-CN" w:eastAsia="zh-CN"/>
        </w:rPr>
        <w:t>用</w:t>
      </w:r>
      <w:r>
        <w:rPr>
          <w:lang w:val="zh-CN" w:eastAsia="zh-CN"/>
        </w:rPr>
        <w:t>于</w:t>
      </w:r>
      <w:r>
        <w:rPr>
          <w:lang w:val="zh-CN" w:eastAsia="zh-CN"/>
        </w:rPr>
        <w:t>SNF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“间接开销”为</w:t>
      </w:r>
      <w:r w:rsidRPr="0037600D">
        <w:rPr>
          <w:b/>
          <w:bCs/>
          <w:lang w:val="zh-CN" w:eastAsia="zh-CN"/>
        </w:rPr>
        <w:t>直接成本</w:t>
      </w:r>
      <w:r>
        <w:rPr>
          <w:lang w:val="zh-CN" w:eastAsia="zh-CN"/>
        </w:rPr>
        <w:t>的</w:t>
      </w:r>
      <w:r w:rsidRPr="0037600D">
        <w:rPr>
          <w:b/>
          <w:bCs/>
          <w:lang w:val="zh-CN" w:eastAsia="zh-CN"/>
        </w:rPr>
        <w:t>107%</w:t>
      </w:r>
      <w:r>
        <w:rPr>
          <w:lang w:val="zh-CN" w:eastAsia="zh-CN"/>
        </w:rPr>
        <w:t>。秘书处认为，这一水平的间接成本是利益攸关方无法接受的，而且根据第</w:t>
      </w:r>
      <w:r>
        <w:rPr>
          <w:lang w:val="zh-CN" w:eastAsia="zh-CN"/>
        </w:rPr>
        <w:t>482</w:t>
      </w:r>
      <w:r>
        <w:rPr>
          <w:lang w:val="zh-CN" w:eastAsia="zh-CN"/>
        </w:rPr>
        <w:t>号决定专家组（</w:t>
      </w:r>
      <w:r>
        <w:rPr>
          <w:lang w:val="zh-CN" w:eastAsia="zh-CN"/>
        </w:rPr>
        <w:t>EG-DEC482</w:t>
      </w:r>
      <w:r>
        <w:rPr>
          <w:lang w:val="zh-CN" w:eastAsia="zh-CN"/>
        </w:rPr>
        <w:t>）和理事会工作组会议期间的反馈，这对成员</w:t>
      </w:r>
      <w:r>
        <w:rPr>
          <w:rFonts w:hint="eastAsia"/>
          <w:lang w:val="zh-CN" w:eastAsia="zh-CN"/>
        </w:rPr>
        <w:t>确定</w:t>
      </w:r>
      <w:r>
        <w:rPr>
          <w:lang w:val="zh-CN" w:eastAsia="zh-CN"/>
        </w:rPr>
        <w:t>SNF</w:t>
      </w:r>
      <w:r>
        <w:rPr>
          <w:lang w:val="zh-CN" w:eastAsia="zh-CN"/>
        </w:rPr>
        <w:t>收费水平产生了不利影响</w:t>
      </w:r>
      <w:r>
        <w:rPr>
          <w:rFonts w:hint="eastAsia"/>
          <w:lang w:val="zh-CN" w:eastAsia="zh-CN"/>
        </w:rPr>
        <w:t>，无法</w:t>
      </w:r>
      <w:r>
        <w:rPr>
          <w:lang w:val="zh-CN" w:eastAsia="zh-CN"/>
        </w:rPr>
        <w:t>确保国际电联成员国不</w:t>
      </w:r>
      <w:r>
        <w:rPr>
          <w:rFonts w:hint="eastAsia"/>
          <w:lang w:val="zh-CN" w:eastAsia="zh-CN"/>
        </w:rPr>
        <w:t>为</w:t>
      </w:r>
      <w:r>
        <w:rPr>
          <w:lang w:val="zh-CN" w:eastAsia="zh-CN"/>
        </w:rPr>
        <w:t>国际电联申报处理工作</w:t>
      </w:r>
      <w:r>
        <w:rPr>
          <w:rFonts w:hint="eastAsia"/>
          <w:lang w:val="zh-CN" w:eastAsia="zh-CN"/>
        </w:rPr>
        <w:t>提供</w:t>
      </w:r>
      <w:r>
        <w:rPr>
          <w:lang w:val="zh-CN" w:eastAsia="zh-CN"/>
        </w:rPr>
        <w:t>补贴。</w:t>
      </w:r>
    </w:p>
    <w:p w14:paraId="2BF3E3E4" w14:textId="1A2D1FCD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2</w:t>
      </w:r>
      <w:r>
        <w:rPr>
          <w:lang w:val="zh-CN" w:eastAsia="zh-CN"/>
        </w:rPr>
        <w:tab/>
      </w:r>
      <w:r>
        <w:rPr>
          <w:lang w:val="zh-CN" w:eastAsia="zh-CN"/>
        </w:rPr>
        <w:t>秘书处估计，成本模型计算产生的高额费用是由以下因素造成的：</w:t>
      </w:r>
    </w:p>
    <w:p w14:paraId="467A7DFD" w14:textId="1AB7E308" w:rsidR="001C1BC5" w:rsidRPr="005F28A2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>
        <w:rPr>
          <w:lang w:val="zh-CN" w:eastAsia="zh-CN"/>
        </w:rPr>
        <w:tab/>
      </w:r>
      <w:r w:rsidRPr="00EE5189">
        <w:rPr>
          <w:lang w:val="zh-CN" w:eastAsia="zh-CN"/>
        </w:rPr>
        <w:t>可适当地将</w:t>
      </w:r>
      <w:r w:rsidRPr="00EE5189">
        <w:rPr>
          <w:rFonts w:hint="eastAsia"/>
          <w:lang w:val="zh-CN" w:eastAsia="zh-CN"/>
        </w:rPr>
        <w:t>国际电联的</w:t>
      </w:r>
      <w:r>
        <w:rPr>
          <w:lang w:val="zh-CN" w:eastAsia="zh-CN"/>
        </w:rPr>
        <w:t>哪些工作视为与卫星</w:t>
      </w:r>
      <w:r w:rsidRPr="00EE5189">
        <w:rPr>
          <w:lang w:val="zh-CN" w:eastAsia="zh-CN"/>
        </w:rPr>
        <w:t>网络申报有关</w:t>
      </w:r>
      <w:r>
        <w:rPr>
          <w:rFonts w:hint="eastAsia"/>
          <w:lang w:val="zh-CN" w:eastAsia="zh-CN"/>
        </w:rPr>
        <w:t>，</w:t>
      </w:r>
      <w:r w:rsidRPr="00EE5189">
        <w:rPr>
          <w:rFonts w:hint="eastAsia"/>
          <w:lang w:val="zh-CN" w:eastAsia="zh-CN"/>
        </w:rPr>
        <w:t>并不</w:t>
      </w:r>
      <w:r w:rsidRPr="00EE5189">
        <w:rPr>
          <w:lang w:val="zh-CN" w:eastAsia="zh-CN"/>
        </w:rPr>
        <w:t>明确性或</w:t>
      </w:r>
      <w:r w:rsidRPr="00EE5189">
        <w:rPr>
          <w:rFonts w:hint="eastAsia"/>
          <w:lang w:val="zh-CN" w:eastAsia="zh-CN"/>
        </w:rPr>
        <w:t>缺乏</w:t>
      </w:r>
      <w:r w:rsidRPr="00EE5189">
        <w:rPr>
          <w:lang w:val="zh-CN" w:eastAsia="zh-CN"/>
        </w:rPr>
        <w:t>共识。</w:t>
      </w:r>
    </w:p>
    <w:p w14:paraId="64403CC8" w14:textId="1B8D6374" w:rsidR="001C1BC5" w:rsidRPr="005F28A2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>
        <w:rPr>
          <w:lang w:val="zh-CN" w:eastAsia="zh-CN"/>
        </w:rPr>
        <w:tab/>
      </w:r>
      <w:r>
        <w:rPr>
          <w:lang w:val="zh-CN" w:eastAsia="zh-CN"/>
        </w:rPr>
        <w:t>国际电联</w:t>
      </w:r>
      <w:r w:rsidRPr="00882013">
        <w:rPr>
          <w:lang w:val="zh-CN" w:eastAsia="zh-CN"/>
        </w:rPr>
        <w:t>秘书处</w:t>
      </w:r>
      <w:r w:rsidRPr="00882013">
        <w:rPr>
          <w:rFonts w:hint="eastAsia"/>
          <w:lang w:val="zh-CN" w:eastAsia="zh-CN"/>
        </w:rPr>
        <w:t>的</w:t>
      </w:r>
      <w:r w:rsidRPr="00882013">
        <w:rPr>
          <w:lang w:val="zh-CN" w:eastAsia="zh-CN"/>
        </w:rPr>
        <w:t>组织结构和</w:t>
      </w:r>
      <w:r w:rsidRPr="00EE5189">
        <w:rPr>
          <w:lang w:val="zh-CN" w:eastAsia="zh-CN"/>
        </w:rPr>
        <w:t>框架</w:t>
      </w:r>
      <w:r w:rsidRPr="00EE5189">
        <w:rPr>
          <w:rFonts w:hint="eastAsia"/>
          <w:lang w:val="zh-CN" w:eastAsia="zh-CN"/>
        </w:rPr>
        <w:t>一直存在</w:t>
      </w:r>
      <w:r w:rsidRPr="00EE5189">
        <w:rPr>
          <w:lang w:val="zh-CN" w:eastAsia="zh-CN"/>
        </w:rPr>
        <w:t>低效率</w:t>
      </w:r>
      <w:r w:rsidRPr="00882013">
        <w:rPr>
          <w:lang w:val="zh-CN" w:eastAsia="zh-CN"/>
        </w:rPr>
        <w:t>和高成本</w:t>
      </w:r>
      <w:r w:rsidRPr="00882013">
        <w:rPr>
          <w:rFonts w:hint="eastAsia"/>
          <w:lang w:val="zh-CN" w:eastAsia="zh-CN"/>
        </w:rPr>
        <w:t>问题</w:t>
      </w:r>
      <w:r w:rsidRPr="00882013">
        <w:rPr>
          <w:lang w:val="zh-CN" w:eastAsia="zh-CN"/>
        </w:rPr>
        <w:t>。</w:t>
      </w:r>
    </w:p>
    <w:p w14:paraId="0F68B7C0" w14:textId="77777777" w:rsidR="001C1BC5" w:rsidRPr="005F28A2" w:rsidRDefault="001C1BC5" w:rsidP="001C1BC5">
      <w:pPr>
        <w:pStyle w:val="Headingb"/>
        <w:rPr>
          <w:rFonts w:cs="Calibri"/>
          <w:szCs w:val="24"/>
          <w:lang w:eastAsia="zh-CN"/>
        </w:rPr>
      </w:pPr>
      <w:r>
        <w:rPr>
          <w:lang w:val="zh-CN" w:eastAsia="zh-CN"/>
        </w:rPr>
        <w:t>关于修改方法的讨论</w:t>
      </w:r>
    </w:p>
    <w:p w14:paraId="3F5DF43A" w14:textId="0C8FFD0D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3</w:t>
      </w:r>
      <w:r>
        <w:rPr>
          <w:lang w:val="zh-CN" w:eastAsia="zh-CN"/>
        </w:rPr>
        <w:tab/>
      </w:r>
      <w:r>
        <w:rPr>
          <w:lang w:val="zh-CN" w:eastAsia="zh-CN"/>
        </w:rPr>
        <w:t>因此，秘书处</w:t>
      </w:r>
      <w:r>
        <w:rPr>
          <w:rFonts w:hint="eastAsia"/>
          <w:lang w:val="zh-CN" w:eastAsia="zh-CN"/>
        </w:rPr>
        <w:t>已</w:t>
      </w:r>
      <w:r>
        <w:rPr>
          <w:lang w:val="zh-CN" w:eastAsia="zh-CN"/>
        </w:rPr>
        <w:t>考虑</w:t>
      </w:r>
      <w:r>
        <w:rPr>
          <w:rFonts w:hint="eastAsia"/>
          <w:lang w:val="zh-CN" w:eastAsia="zh-CN"/>
        </w:rPr>
        <w:t>采用</w:t>
      </w:r>
      <w:r>
        <w:rPr>
          <w:lang w:val="zh-CN" w:eastAsia="zh-CN"/>
        </w:rPr>
        <w:t>计算</w:t>
      </w:r>
      <w:r>
        <w:rPr>
          <w:lang w:val="zh-CN" w:eastAsia="zh-CN"/>
        </w:rPr>
        <w:t>SNF</w:t>
      </w:r>
      <w:r>
        <w:rPr>
          <w:lang w:val="zh-CN" w:eastAsia="zh-CN"/>
        </w:rPr>
        <w:t>相关工作</w:t>
      </w:r>
      <w:r>
        <w:rPr>
          <w:rFonts w:hint="eastAsia"/>
          <w:lang w:val="zh-CN" w:eastAsia="zh-CN"/>
        </w:rPr>
        <w:t>成本</w:t>
      </w:r>
      <w:r>
        <w:rPr>
          <w:lang w:val="zh-CN" w:eastAsia="zh-CN"/>
        </w:rPr>
        <w:t>的新方法，</w:t>
      </w:r>
      <w:r>
        <w:rPr>
          <w:rFonts w:hint="eastAsia"/>
          <w:lang w:val="zh-CN" w:eastAsia="zh-CN"/>
        </w:rPr>
        <w:t>此</w:t>
      </w:r>
      <w:r>
        <w:rPr>
          <w:lang w:val="zh-CN" w:eastAsia="zh-CN"/>
        </w:rPr>
        <w:t>方法</w:t>
      </w:r>
      <w:r>
        <w:rPr>
          <w:rFonts w:hint="eastAsia"/>
          <w:lang w:val="zh-CN" w:eastAsia="zh-CN"/>
        </w:rPr>
        <w:t>不仅</w:t>
      </w:r>
      <w:r>
        <w:rPr>
          <w:lang w:val="zh-CN" w:eastAsia="zh-CN"/>
        </w:rPr>
        <w:t>将与第</w:t>
      </w:r>
      <w:r>
        <w:rPr>
          <w:lang w:val="zh-CN" w:eastAsia="zh-CN"/>
        </w:rPr>
        <w:t>91</w:t>
      </w:r>
      <w:r>
        <w:rPr>
          <w:lang w:val="zh-CN" w:eastAsia="zh-CN"/>
        </w:rPr>
        <w:t>号决议的原则保持一致，</w:t>
      </w:r>
      <w:r>
        <w:rPr>
          <w:rFonts w:hint="eastAsia"/>
          <w:lang w:val="zh-CN" w:eastAsia="zh-CN"/>
        </w:rPr>
        <w:t>同时</w:t>
      </w:r>
      <w:r>
        <w:rPr>
          <w:lang w:val="zh-CN" w:eastAsia="zh-CN"/>
        </w:rPr>
        <w:t>将</w:t>
      </w:r>
      <w:r>
        <w:rPr>
          <w:rFonts w:hint="eastAsia"/>
          <w:lang w:val="zh-CN" w:eastAsia="zh-CN"/>
        </w:rPr>
        <w:t>体现</w:t>
      </w:r>
      <w:r>
        <w:rPr>
          <w:lang w:val="zh-CN" w:eastAsia="zh-CN"/>
        </w:rPr>
        <w:t>有效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合理的间接成本（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间接开销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）水平。</w:t>
      </w:r>
      <w:r>
        <w:rPr>
          <w:rFonts w:hint="eastAsia"/>
          <w:lang w:val="zh-CN" w:eastAsia="zh-CN"/>
        </w:rPr>
        <w:t>为此</w:t>
      </w:r>
      <w:r>
        <w:rPr>
          <w:lang w:val="zh-CN" w:eastAsia="zh-CN"/>
        </w:rPr>
        <w:t>，秘书处建议结合使用基准分析和完全成本分配法计算</w:t>
      </w:r>
      <w:r>
        <w:rPr>
          <w:rFonts w:hint="eastAsia"/>
          <w:lang w:val="zh-CN" w:eastAsia="zh-CN"/>
        </w:rPr>
        <w:t>相关成本</w:t>
      </w:r>
      <w:r>
        <w:rPr>
          <w:lang w:val="zh-CN" w:eastAsia="zh-CN"/>
        </w:rPr>
        <w:t>。该方法将立即进行调整，并根据理事会的决定每四</w:t>
      </w:r>
      <w:r w:rsidRPr="00882013">
        <w:rPr>
          <w:lang w:val="zh-CN" w:eastAsia="zh-CN"/>
        </w:rPr>
        <w:t>（</w:t>
      </w:r>
      <w:r w:rsidRPr="00882013">
        <w:rPr>
          <w:lang w:val="zh-CN" w:eastAsia="zh-CN"/>
        </w:rPr>
        <w:t>4</w:t>
      </w:r>
      <w:r w:rsidRPr="00882013">
        <w:rPr>
          <w:lang w:val="zh-CN" w:eastAsia="zh-CN"/>
        </w:rPr>
        <w:t>）年进行一次</w:t>
      </w:r>
      <w:r>
        <w:rPr>
          <w:lang w:val="zh-CN" w:eastAsia="zh-CN"/>
        </w:rPr>
        <w:t>调整。</w:t>
      </w:r>
    </w:p>
    <w:p w14:paraId="126F26BF" w14:textId="44A6E9FF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4</w:t>
      </w:r>
      <w:r>
        <w:rPr>
          <w:lang w:val="zh-CN" w:eastAsia="zh-CN"/>
        </w:rPr>
        <w:tab/>
      </w:r>
      <w:hyperlink w:anchor="Annex_1" w:history="1">
        <w:r w:rsidRPr="009C5E26">
          <w:rPr>
            <w:rStyle w:val="Hyperlink"/>
            <w:rFonts w:eastAsia="SimSun"/>
            <w:noProof w:val="0"/>
            <w:lang w:val="zh-CN" w:eastAsia="zh-CN"/>
          </w:rPr>
          <w:t>附件</w:t>
        </w:r>
        <w:r w:rsidRPr="009C5E26">
          <w:rPr>
            <w:rStyle w:val="Hyperlink"/>
            <w:rFonts w:eastAsia="SimSun"/>
            <w:noProof w:val="0"/>
            <w:lang w:val="zh-CN" w:eastAsia="zh-CN"/>
          </w:rPr>
          <w:t>1</w:t>
        </w:r>
      </w:hyperlink>
      <w:r>
        <w:rPr>
          <w:lang w:val="zh-CN" w:eastAsia="zh-CN"/>
        </w:rPr>
        <w:t>对类似工作</w:t>
      </w:r>
      <w:r>
        <w:rPr>
          <w:lang w:val="zh-CN" w:eastAsia="zh-CN"/>
        </w:rPr>
        <w:t>/</w:t>
      </w:r>
      <w:r>
        <w:rPr>
          <w:lang w:val="zh-CN" w:eastAsia="zh-CN"/>
        </w:rPr>
        <w:t>类似组织的基准结果进行了分析。世界银行和联合国开展的研究显示，适当的间接开销应在直接成本的</w:t>
      </w:r>
      <w:r>
        <w:rPr>
          <w:lang w:val="zh-CN" w:eastAsia="zh-CN"/>
        </w:rPr>
        <w:t>25%</w:t>
      </w:r>
      <w:r>
        <w:rPr>
          <w:lang w:val="zh-CN" w:eastAsia="zh-CN"/>
        </w:rPr>
        <w:t>至</w:t>
      </w:r>
      <w:r>
        <w:rPr>
          <w:lang w:val="zh-CN" w:eastAsia="zh-CN"/>
        </w:rPr>
        <w:t>30%</w:t>
      </w:r>
      <w:r>
        <w:rPr>
          <w:lang w:val="zh-CN" w:eastAsia="zh-CN"/>
        </w:rPr>
        <w:t>之间。</w:t>
      </w:r>
    </w:p>
    <w:p w14:paraId="4D2E206A" w14:textId="564D55DC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5</w:t>
      </w:r>
      <w:r>
        <w:rPr>
          <w:lang w:val="zh-CN" w:eastAsia="zh-CN"/>
        </w:rPr>
        <w:tab/>
      </w:r>
      <w:r>
        <w:rPr>
          <w:lang w:val="zh-CN" w:eastAsia="zh-CN"/>
        </w:rPr>
        <w:t>秘书处承认</w:t>
      </w:r>
      <w:r>
        <w:rPr>
          <w:rFonts w:hint="eastAsia"/>
          <w:lang w:val="zh-CN" w:eastAsia="zh-CN"/>
        </w:rPr>
        <w:t>根据上述</w:t>
      </w:r>
      <w:r>
        <w:rPr>
          <w:lang w:val="zh-CN" w:eastAsia="zh-CN"/>
        </w:rPr>
        <w:t>基准，国际电联目前的间接</w:t>
      </w:r>
      <w:r>
        <w:rPr>
          <w:rFonts w:hint="eastAsia"/>
          <w:lang w:val="zh-CN" w:eastAsia="zh-CN"/>
        </w:rPr>
        <w:t>成本</w:t>
      </w:r>
      <w:r>
        <w:rPr>
          <w:lang w:val="zh-CN" w:eastAsia="zh-CN"/>
        </w:rPr>
        <w:t>过高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超过直接支出的</w:t>
      </w:r>
      <w:r>
        <w:rPr>
          <w:lang w:val="zh-CN" w:eastAsia="zh-CN"/>
        </w:rPr>
        <w:t>100%</w:t>
      </w:r>
      <w:r>
        <w:rPr>
          <w:lang w:val="zh-CN" w:eastAsia="zh-CN"/>
        </w:rPr>
        <w:t>。然而，秘书处也意识到，解决效率低下问题和以可持续方式调整成本的</w:t>
      </w:r>
      <w:r>
        <w:rPr>
          <w:rFonts w:hint="eastAsia"/>
          <w:lang w:val="zh-CN" w:eastAsia="zh-CN"/>
        </w:rPr>
        <w:t>工作</w:t>
      </w:r>
      <w:r>
        <w:rPr>
          <w:lang w:val="zh-CN" w:eastAsia="zh-CN"/>
        </w:rPr>
        <w:t>需要时间。目前的成本水平无法</w:t>
      </w:r>
      <w:r>
        <w:rPr>
          <w:rFonts w:hint="eastAsia"/>
          <w:lang w:val="zh-CN" w:eastAsia="zh-CN"/>
        </w:rPr>
        <w:t>立即全部</w:t>
      </w:r>
      <w:r>
        <w:rPr>
          <w:lang w:val="zh-CN" w:eastAsia="zh-CN"/>
        </w:rPr>
        <w:t>削减，提高效率需要对现代工具和技能进行</w:t>
      </w:r>
      <w:r>
        <w:rPr>
          <w:rFonts w:hint="eastAsia"/>
          <w:lang w:val="zh-CN" w:eastAsia="zh-CN"/>
        </w:rPr>
        <w:t>更多</w:t>
      </w:r>
      <w:r>
        <w:rPr>
          <w:lang w:val="zh-CN" w:eastAsia="zh-CN"/>
        </w:rPr>
        <w:t>投资，</w:t>
      </w:r>
      <w:r>
        <w:rPr>
          <w:rFonts w:hint="eastAsia"/>
          <w:lang w:val="zh-CN" w:eastAsia="zh-CN"/>
        </w:rPr>
        <w:t>从而降低间接开销</w:t>
      </w:r>
      <w:r>
        <w:rPr>
          <w:lang w:val="zh-CN" w:eastAsia="zh-CN"/>
        </w:rPr>
        <w:t>。</w:t>
      </w:r>
    </w:p>
    <w:p w14:paraId="7D9E50BB" w14:textId="673779ED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6</w:t>
      </w:r>
      <w:r>
        <w:rPr>
          <w:lang w:val="zh-CN" w:eastAsia="zh-CN"/>
        </w:rPr>
        <w:tab/>
      </w:r>
      <w:r>
        <w:rPr>
          <w:rFonts w:hint="eastAsia"/>
          <w:lang w:val="zh-CN" w:eastAsia="zh-CN"/>
        </w:rPr>
        <w:t>这一作法</w:t>
      </w:r>
      <w:r>
        <w:rPr>
          <w:lang w:val="zh-CN" w:eastAsia="zh-CN"/>
        </w:rPr>
        <w:t>将提高透明度，准确反映资源使用情况，并与间接成本回收的国际基准保持一致。然而，适当实施完全成本分配法</w:t>
      </w:r>
      <w:r>
        <w:rPr>
          <w:rFonts w:hint="eastAsia"/>
          <w:lang w:val="zh-CN" w:eastAsia="zh-CN"/>
        </w:rPr>
        <w:t>的细节</w:t>
      </w:r>
      <w:r>
        <w:rPr>
          <w:lang w:val="zh-CN" w:eastAsia="zh-CN"/>
        </w:rPr>
        <w:t>需要：</w:t>
      </w:r>
    </w:p>
    <w:p w14:paraId="3D8C080D" w14:textId="1E4813A0" w:rsidR="001C1BC5" w:rsidRPr="00951636" w:rsidRDefault="001C1BC5" w:rsidP="001C1BC5">
      <w:pPr>
        <w:pStyle w:val="enumlev1"/>
        <w:rPr>
          <w:szCs w:val="24"/>
          <w:lang w:eastAsia="zh-CN"/>
        </w:rPr>
      </w:pPr>
      <w:r w:rsidRPr="001C1BC5">
        <w:rPr>
          <w:lang w:val="zh-CN" w:eastAsia="zh-CN"/>
        </w:rPr>
        <w:t>•</w:t>
      </w:r>
      <w:r>
        <w:rPr>
          <w:lang w:val="zh-CN" w:eastAsia="zh-CN"/>
        </w:rPr>
        <w:tab/>
      </w:r>
      <w:r w:rsidRPr="00951636">
        <w:rPr>
          <w:lang w:val="zh-CN" w:eastAsia="zh-CN"/>
        </w:rPr>
        <w:t>根据第</w:t>
      </w:r>
      <w:r w:rsidRPr="00951636">
        <w:rPr>
          <w:lang w:val="zh-CN" w:eastAsia="zh-CN"/>
        </w:rPr>
        <w:t>91</w:t>
      </w:r>
      <w:r w:rsidRPr="00951636">
        <w:rPr>
          <w:lang w:val="zh-CN" w:eastAsia="zh-CN"/>
        </w:rPr>
        <w:t>号决议确定的原则，</w:t>
      </w:r>
      <w:r w:rsidRPr="00951636">
        <w:rPr>
          <w:rFonts w:hint="eastAsia"/>
          <w:lang w:val="zh-CN" w:eastAsia="zh-CN"/>
        </w:rPr>
        <w:t>将</w:t>
      </w:r>
      <w:r w:rsidRPr="00951636">
        <w:rPr>
          <w:lang w:val="zh-CN" w:eastAsia="zh-CN"/>
        </w:rPr>
        <w:t>对成本类别的</w:t>
      </w:r>
      <w:r w:rsidRPr="00951636">
        <w:rPr>
          <w:rFonts w:hint="eastAsia"/>
          <w:lang w:val="zh-CN" w:eastAsia="zh-CN"/>
        </w:rPr>
        <w:t>审核</w:t>
      </w:r>
      <w:r w:rsidRPr="00951636">
        <w:rPr>
          <w:lang w:val="zh-CN" w:eastAsia="zh-CN"/>
        </w:rPr>
        <w:t>适当包括在内。</w:t>
      </w:r>
    </w:p>
    <w:p w14:paraId="401DA6C6" w14:textId="5A937D36" w:rsidR="001C1BC5" w:rsidRPr="005F28A2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>
        <w:rPr>
          <w:lang w:val="zh-CN" w:eastAsia="zh-CN"/>
        </w:rPr>
        <w:tab/>
      </w:r>
      <w:r w:rsidRPr="00951636">
        <w:rPr>
          <w:rFonts w:hint="eastAsia"/>
          <w:lang w:val="zh-CN" w:eastAsia="zh-CN"/>
        </w:rPr>
        <w:t>引入</w:t>
      </w:r>
      <w:r w:rsidRPr="00951636">
        <w:rPr>
          <w:lang w:val="zh-CN" w:eastAsia="zh-CN"/>
        </w:rPr>
        <w:t>并审查国际电</w:t>
      </w:r>
      <w:proofErr w:type="gramStart"/>
      <w:r w:rsidRPr="00951636">
        <w:rPr>
          <w:lang w:val="zh-CN" w:eastAsia="zh-CN"/>
        </w:rPr>
        <w:t>联提供</w:t>
      </w:r>
      <w:proofErr w:type="gramEnd"/>
      <w:r w:rsidRPr="00951636">
        <w:rPr>
          <w:lang w:val="zh-CN" w:eastAsia="zh-CN"/>
        </w:rPr>
        <w:t>的</w:t>
      </w:r>
      <w:r w:rsidRPr="00951636">
        <w:rPr>
          <w:rFonts w:hint="eastAsia"/>
          <w:lang w:val="zh-CN" w:eastAsia="zh-CN"/>
        </w:rPr>
        <w:t>针对</w:t>
      </w:r>
      <w:r w:rsidRPr="00951636">
        <w:rPr>
          <w:lang w:val="zh-CN" w:eastAsia="zh-CN"/>
        </w:rPr>
        <w:t>所有产品和服务的成本核算。目前</w:t>
      </w:r>
      <w:r w:rsidRPr="00951636">
        <w:rPr>
          <w:rFonts w:hint="eastAsia"/>
          <w:lang w:val="zh-CN" w:eastAsia="zh-CN"/>
        </w:rPr>
        <w:t>在</w:t>
      </w:r>
      <w:r>
        <w:rPr>
          <w:rFonts w:hint="eastAsia"/>
          <w:lang w:val="zh-CN" w:eastAsia="zh-CN"/>
        </w:rPr>
        <w:t>《</w:t>
      </w:r>
      <w:r w:rsidRPr="00951636">
        <w:rPr>
          <w:lang w:val="zh-CN" w:eastAsia="zh-CN"/>
        </w:rPr>
        <w:t>2028-2031</w:t>
      </w:r>
      <w:r w:rsidRPr="00951636">
        <w:rPr>
          <w:lang w:val="zh-CN" w:eastAsia="zh-CN"/>
        </w:rPr>
        <w:t>年战略</w:t>
      </w:r>
      <w:r w:rsidRPr="00951636">
        <w:rPr>
          <w:rFonts w:hint="eastAsia"/>
          <w:lang w:val="zh-CN" w:eastAsia="zh-CN"/>
        </w:rPr>
        <w:t>规划</w:t>
      </w:r>
      <w:r w:rsidRPr="00951636">
        <w:rPr>
          <w:lang w:val="zh-CN" w:eastAsia="zh-CN"/>
        </w:rPr>
        <w:t>和财务规划</w:t>
      </w:r>
      <w:r>
        <w:rPr>
          <w:rFonts w:hint="eastAsia"/>
          <w:lang w:val="zh-CN" w:eastAsia="zh-CN"/>
        </w:rPr>
        <w:t>》</w:t>
      </w:r>
      <w:r w:rsidRPr="00951636">
        <w:rPr>
          <w:lang w:val="zh-CN" w:eastAsia="zh-CN"/>
        </w:rPr>
        <w:t>的背景下</w:t>
      </w:r>
      <w:r w:rsidRPr="00951636">
        <w:rPr>
          <w:rFonts w:hint="eastAsia"/>
          <w:lang w:val="zh-CN" w:eastAsia="zh-CN"/>
        </w:rPr>
        <w:t>，</w:t>
      </w:r>
      <w:r w:rsidRPr="00951636">
        <w:rPr>
          <w:lang w:val="zh-CN" w:eastAsia="zh-CN"/>
        </w:rPr>
        <w:t>提出</w:t>
      </w:r>
      <w:r w:rsidRPr="00951636">
        <w:rPr>
          <w:rFonts w:hint="eastAsia"/>
          <w:lang w:val="zh-CN" w:eastAsia="zh-CN"/>
        </w:rPr>
        <w:t>了此</w:t>
      </w:r>
      <w:r w:rsidRPr="00951636">
        <w:rPr>
          <w:lang w:val="zh-CN" w:eastAsia="zh-CN"/>
        </w:rPr>
        <w:t>项工作。</w:t>
      </w:r>
    </w:p>
    <w:p w14:paraId="4C93E1C8" w14:textId="2B383177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7</w:t>
      </w:r>
      <w:r>
        <w:rPr>
          <w:lang w:val="zh-CN" w:eastAsia="zh-CN"/>
        </w:rPr>
        <w:tab/>
      </w:r>
      <w:r>
        <w:rPr>
          <w:lang w:val="zh-CN" w:eastAsia="zh-CN"/>
        </w:rPr>
        <w:t>有效实施这些活动需要时间，且在本财务规划周期内不太可能完成。</w:t>
      </w:r>
      <w:hyperlink w:anchor="Annex_2" w:history="1">
        <w:r w:rsidRPr="009C5E26">
          <w:rPr>
            <w:rStyle w:val="Hyperlink"/>
            <w:rFonts w:eastAsia="SimSun"/>
            <w:noProof w:val="0"/>
            <w:lang w:val="zh-CN" w:eastAsia="zh-CN"/>
          </w:rPr>
          <w:t>附件</w:t>
        </w:r>
        <w:r w:rsidRPr="009C5E26">
          <w:rPr>
            <w:rStyle w:val="Hyperlink"/>
            <w:rFonts w:eastAsia="SimSun"/>
            <w:noProof w:val="0"/>
            <w:lang w:val="zh-CN" w:eastAsia="zh-CN"/>
          </w:rPr>
          <w:t>2</w:t>
        </w:r>
      </w:hyperlink>
      <w:r>
        <w:rPr>
          <w:lang w:val="zh-CN" w:eastAsia="zh-CN"/>
        </w:rPr>
        <w:t>介绍了秘书处建议采用的成本分配方法。</w:t>
      </w:r>
    </w:p>
    <w:p w14:paraId="6049860D" w14:textId="666D9F79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8</w:t>
      </w:r>
      <w:r>
        <w:rPr>
          <w:lang w:val="zh-CN" w:eastAsia="zh-CN"/>
        </w:rPr>
        <w:tab/>
      </w:r>
      <w:r>
        <w:rPr>
          <w:lang w:val="zh-CN" w:eastAsia="zh-CN"/>
        </w:rPr>
        <w:t>然而，秘书处指出，这项工作的延误将使</w:t>
      </w:r>
      <w:r>
        <w:rPr>
          <w:rFonts w:hint="eastAsia"/>
          <w:lang w:val="zh-CN" w:eastAsia="zh-CN"/>
        </w:rPr>
        <w:t>当</w:t>
      </w:r>
      <w:r>
        <w:rPr>
          <w:lang w:val="zh-CN" w:eastAsia="zh-CN"/>
        </w:rPr>
        <w:t>前状况</w:t>
      </w:r>
      <w:r>
        <w:rPr>
          <w:rFonts w:hint="eastAsia"/>
          <w:lang w:val="zh-CN" w:eastAsia="zh-CN"/>
        </w:rPr>
        <w:t>长期</w:t>
      </w:r>
      <w:r>
        <w:rPr>
          <w:lang w:val="zh-CN" w:eastAsia="zh-CN"/>
        </w:rPr>
        <w:t>化，即</w:t>
      </w:r>
      <w:r>
        <w:rPr>
          <w:lang w:val="zh-CN" w:eastAsia="zh-CN"/>
        </w:rPr>
        <w:t>SNF</w:t>
      </w:r>
      <w:r>
        <w:rPr>
          <w:lang w:val="zh-CN" w:eastAsia="zh-CN"/>
        </w:rPr>
        <w:t>费用的成本回收</w:t>
      </w:r>
      <w:r>
        <w:rPr>
          <w:rFonts w:hint="eastAsia"/>
          <w:lang w:val="zh-CN" w:eastAsia="zh-CN"/>
        </w:rPr>
        <w:t>工作</w:t>
      </w:r>
      <w:r>
        <w:rPr>
          <w:lang w:val="zh-CN" w:eastAsia="zh-CN"/>
        </w:rPr>
        <w:t>无法回收国际电联在提供服务过程中发生的实际成本，使国际电</w:t>
      </w:r>
      <w:proofErr w:type="gramStart"/>
      <w:r>
        <w:rPr>
          <w:lang w:val="zh-CN" w:eastAsia="zh-CN"/>
        </w:rPr>
        <w:t>联</w:t>
      </w:r>
      <w:r>
        <w:rPr>
          <w:rFonts w:hint="eastAsia"/>
          <w:lang w:val="zh-CN" w:eastAsia="zh-CN"/>
        </w:rPr>
        <w:t>无法</w:t>
      </w:r>
      <w:proofErr w:type="gramEnd"/>
      <w:r>
        <w:rPr>
          <w:rFonts w:hint="eastAsia"/>
          <w:lang w:val="zh-CN" w:eastAsia="zh-CN"/>
        </w:rPr>
        <w:t>落实</w:t>
      </w:r>
      <w:r>
        <w:rPr>
          <w:lang w:val="zh-CN" w:eastAsia="zh-CN"/>
        </w:rPr>
        <w:t>第</w:t>
      </w:r>
      <w:r>
        <w:rPr>
          <w:lang w:val="zh-CN" w:eastAsia="zh-CN"/>
        </w:rPr>
        <w:t>91</w:t>
      </w:r>
      <w:r>
        <w:rPr>
          <w:lang w:val="zh-CN" w:eastAsia="zh-CN"/>
        </w:rPr>
        <w:t>号决议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条款，</w:t>
      </w:r>
      <w:r>
        <w:rPr>
          <w:rFonts w:hint="eastAsia"/>
          <w:lang w:val="zh-CN" w:eastAsia="zh-CN"/>
        </w:rPr>
        <w:t>而因此产生的</w:t>
      </w:r>
      <w:r>
        <w:rPr>
          <w:lang w:val="zh-CN" w:eastAsia="zh-CN"/>
        </w:rPr>
        <w:t>巨额赤字必须通过成员国摊分会费</w:t>
      </w:r>
      <w:r>
        <w:rPr>
          <w:rFonts w:hint="eastAsia"/>
          <w:lang w:val="zh-CN" w:eastAsia="zh-CN"/>
        </w:rPr>
        <w:t>加以</w:t>
      </w:r>
      <w:r>
        <w:rPr>
          <w:lang w:val="zh-CN" w:eastAsia="zh-CN"/>
        </w:rPr>
        <w:t>弥补。</w:t>
      </w:r>
    </w:p>
    <w:p w14:paraId="7FA89D1A" w14:textId="77777777" w:rsidR="001C1BC5" w:rsidRPr="005F28A2" w:rsidRDefault="001C1BC5" w:rsidP="001C1BC5">
      <w:pPr>
        <w:pStyle w:val="Headingb"/>
        <w:rPr>
          <w:rFonts w:cs="Calibri"/>
          <w:szCs w:val="24"/>
          <w:lang w:eastAsia="zh-CN"/>
        </w:rPr>
      </w:pPr>
      <w:r>
        <w:rPr>
          <w:lang w:val="zh-CN" w:eastAsia="zh-CN"/>
        </w:rPr>
        <w:lastRenderedPageBreak/>
        <w:t>建议增加收费并逐步降低</w:t>
      </w:r>
      <w:r>
        <w:rPr>
          <w:rFonts w:hint="eastAsia"/>
          <w:lang w:val="zh-CN" w:eastAsia="zh-CN"/>
        </w:rPr>
        <w:t>全部成本</w:t>
      </w:r>
    </w:p>
    <w:p w14:paraId="029FDC5F" w14:textId="0F92569D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9</w:t>
      </w:r>
      <w:r>
        <w:rPr>
          <w:lang w:val="zh-CN" w:eastAsia="zh-CN"/>
        </w:rPr>
        <w:tab/>
      </w:r>
      <w:r>
        <w:rPr>
          <w:lang w:val="zh-CN" w:eastAsia="zh-CN"/>
        </w:rPr>
        <w:t>秘书处请理事会批准国际电联按照第</w:t>
      </w:r>
      <w:r>
        <w:rPr>
          <w:lang w:val="zh-CN" w:eastAsia="zh-CN"/>
        </w:rPr>
        <w:t>91</w:t>
      </w:r>
      <w:r>
        <w:rPr>
          <w:lang w:val="zh-CN" w:eastAsia="zh-CN"/>
        </w:rPr>
        <w:t>号决议</w:t>
      </w:r>
      <w:r w:rsidRPr="009A55E3">
        <w:rPr>
          <w:rFonts w:ascii="STKaiti" w:eastAsia="STKaiti" w:hAnsi="STKaiti"/>
          <w:lang w:val="zh-CN" w:eastAsia="zh-CN"/>
        </w:rPr>
        <w:t>做出决议</w:t>
      </w:r>
      <w:r>
        <w:rPr>
          <w:lang w:val="zh-CN" w:eastAsia="zh-CN"/>
        </w:rPr>
        <w:t>4 v</w:t>
      </w:r>
      <w:r w:rsidR="009C5E26">
        <w:rPr>
          <w:rFonts w:hint="eastAsia"/>
          <w:lang w:val="zh-CN" w:eastAsia="zh-CN"/>
        </w:rPr>
        <w:t>)</w:t>
      </w:r>
      <w:r>
        <w:rPr>
          <w:lang w:val="zh-CN" w:eastAsia="zh-CN"/>
        </w:rPr>
        <w:t>规定的限额回收其为</w:t>
      </w:r>
      <w:r>
        <w:rPr>
          <w:lang w:val="zh-CN" w:eastAsia="zh-CN"/>
        </w:rPr>
        <w:t>SNF</w:t>
      </w:r>
      <w:r>
        <w:rPr>
          <w:lang w:val="zh-CN" w:eastAsia="zh-CN"/>
        </w:rPr>
        <w:t>支付的全部</w:t>
      </w:r>
      <w:r>
        <w:rPr>
          <w:rFonts w:hint="eastAsia"/>
          <w:lang w:val="zh-CN" w:eastAsia="zh-CN"/>
        </w:rPr>
        <w:t>成本</w:t>
      </w:r>
      <w:r>
        <w:rPr>
          <w:lang w:val="zh-CN" w:eastAsia="zh-CN"/>
        </w:rPr>
        <w:t>，具体如下：</w:t>
      </w:r>
    </w:p>
    <w:p w14:paraId="49D5C79B" w14:textId="151B31E5" w:rsidR="001C1BC5" w:rsidRPr="009A55E3" w:rsidRDefault="001C1BC5" w:rsidP="001C1BC5">
      <w:pPr>
        <w:pStyle w:val="enumlev1"/>
        <w:rPr>
          <w:szCs w:val="24"/>
          <w:lang w:eastAsia="zh-CN"/>
        </w:rPr>
      </w:pPr>
      <w:r>
        <w:rPr>
          <w:rFonts w:hint="eastAsia"/>
          <w:lang w:val="zh-CN" w:eastAsia="zh-CN"/>
        </w:rPr>
        <w:t>i)</w:t>
      </w:r>
      <w:r>
        <w:rPr>
          <w:lang w:val="zh-CN" w:eastAsia="zh-CN"/>
        </w:rPr>
        <w:tab/>
      </w:r>
      <w:r w:rsidRPr="009A55E3">
        <w:rPr>
          <w:lang w:val="zh-CN" w:eastAsia="zh-CN"/>
        </w:rPr>
        <w:t>在</w:t>
      </w:r>
      <w:r w:rsidRPr="009A55E3">
        <w:rPr>
          <w:lang w:val="zh-CN" w:eastAsia="zh-CN"/>
        </w:rPr>
        <w:t>2026</w:t>
      </w:r>
      <w:r w:rsidRPr="009A55E3">
        <w:rPr>
          <w:lang w:val="zh-CN" w:eastAsia="zh-CN"/>
        </w:rPr>
        <w:t>年</w:t>
      </w:r>
      <w:r w:rsidRPr="009A55E3">
        <w:rPr>
          <w:lang w:val="zh-CN" w:eastAsia="zh-CN"/>
        </w:rPr>
        <w:t>1</w:t>
      </w:r>
      <w:r w:rsidRPr="009A55E3">
        <w:rPr>
          <w:lang w:val="zh-CN" w:eastAsia="zh-CN"/>
        </w:rPr>
        <w:t>月</w:t>
      </w:r>
      <w:r w:rsidRPr="009A55E3">
        <w:rPr>
          <w:lang w:val="zh-CN" w:eastAsia="zh-CN"/>
        </w:rPr>
        <w:t>1</w:t>
      </w:r>
      <w:r w:rsidRPr="009A55E3">
        <w:rPr>
          <w:lang w:val="zh-CN" w:eastAsia="zh-CN"/>
        </w:rPr>
        <w:t>日至</w:t>
      </w:r>
      <w:r w:rsidRPr="009A55E3">
        <w:rPr>
          <w:lang w:val="zh-CN" w:eastAsia="zh-CN"/>
        </w:rPr>
        <w:t>2027</w:t>
      </w:r>
      <w:r w:rsidRPr="009A55E3">
        <w:rPr>
          <w:lang w:val="zh-CN" w:eastAsia="zh-CN"/>
        </w:rPr>
        <w:t>年</w:t>
      </w:r>
      <w:r w:rsidRPr="009A55E3">
        <w:rPr>
          <w:lang w:val="zh-CN" w:eastAsia="zh-CN"/>
        </w:rPr>
        <w:t>12</w:t>
      </w:r>
      <w:r w:rsidRPr="009A55E3">
        <w:rPr>
          <w:lang w:val="zh-CN" w:eastAsia="zh-CN"/>
        </w:rPr>
        <w:t>月</w:t>
      </w:r>
      <w:r w:rsidRPr="009A55E3">
        <w:rPr>
          <w:lang w:val="zh-CN" w:eastAsia="zh-CN"/>
        </w:rPr>
        <w:t>31</w:t>
      </w:r>
      <w:r w:rsidRPr="009A55E3">
        <w:rPr>
          <w:lang w:val="zh-CN" w:eastAsia="zh-CN"/>
        </w:rPr>
        <w:t>日期间，国际电联对间接成本的回收应设定</w:t>
      </w:r>
      <w:r w:rsidRPr="009A55E3">
        <w:rPr>
          <w:rFonts w:hint="eastAsia"/>
          <w:lang w:val="zh-CN" w:eastAsia="zh-CN"/>
        </w:rPr>
        <w:t>并</w:t>
      </w:r>
      <w:r w:rsidRPr="009A55E3">
        <w:rPr>
          <w:lang w:val="zh-CN" w:eastAsia="zh-CN"/>
        </w:rPr>
        <w:t>限制在</w:t>
      </w:r>
      <w:r w:rsidRPr="005E2229">
        <w:rPr>
          <w:b/>
          <w:bCs/>
          <w:lang w:val="zh-CN" w:eastAsia="zh-CN"/>
        </w:rPr>
        <w:t>国际电联所发生直接成本的</w:t>
      </w:r>
      <w:r w:rsidRPr="005E2229">
        <w:rPr>
          <w:b/>
          <w:bCs/>
          <w:lang w:val="zh-CN" w:eastAsia="zh-CN"/>
        </w:rPr>
        <w:t>40%</w:t>
      </w:r>
      <w:r w:rsidRPr="009A55E3">
        <w:rPr>
          <w:lang w:val="zh-CN" w:eastAsia="zh-CN"/>
        </w:rPr>
        <w:t>。国际电联承认</w:t>
      </w:r>
      <w:proofErr w:type="gramStart"/>
      <w:r w:rsidRPr="009A55E3">
        <w:rPr>
          <w:lang w:val="zh-CN" w:eastAsia="zh-CN"/>
        </w:rPr>
        <w:t>这超过</w:t>
      </w:r>
      <w:proofErr w:type="gramEnd"/>
      <w:r w:rsidRPr="009A55E3">
        <w:rPr>
          <w:lang w:val="zh-CN" w:eastAsia="zh-CN"/>
        </w:rPr>
        <w:t>了国际基准</w:t>
      </w:r>
      <w:r w:rsidRPr="009A55E3">
        <w:rPr>
          <w:rFonts w:hint="eastAsia"/>
          <w:lang w:val="zh-CN" w:eastAsia="zh-CN"/>
        </w:rPr>
        <w:t>的</w:t>
      </w:r>
      <w:r w:rsidRPr="009A55E3">
        <w:rPr>
          <w:lang w:val="zh-CN" w:eastAsia="zh-CN"/>
        </w:rPr>
        <w:t>建议，但考虑到国际电</w:t>
      </w:r>
      <w:proofErr w:type="gramStart"/>
      <w:r w:rsidRPr="009A55E3">
        <w:rPr>
          <w:lang w:val="zh-CN" w:eastAsia="zh-CN"/>
        </w:rPr>
        <w:t>联</w:t>
      </w:r>
      <w:r w:rsidRPr="009A55E3">
        <w:rPr>
          <w:rFonts w:hint="eastAsia"/>
          <w:lang w:val="zh-CN" w:eastAsia="zh-CN"/>
        </w:rPr>
        <w:t>当</w:t>
      </w:r>
      <w:r w:rsidRPr="009A55E3">
        <w:rPr>
          <w:lang w:val="zh-CN" w:eastAsia="zh-CN"/>
        </w:rPr>
        <w:t>前</w:t>
      </w:r>
      <w:proofErr w:type="gramEnd"/>
      <w:r w:rsidRPr="009A55E3">
        <w:rPr>
          <w:lang w:val="zh-CN" w:eastAsia="zh-CN"/>
        </w:rPr>
        <w:t>的实际</w:t>
      </w:r>
      <w:r w:rsidRPr="009A55E3">
        <w:rPr>
          <w:rFonts w:hint="eastAsia"/>
          <w:lang w:val="zh-CN" w:eastAsia="zh-CN"/>
        </w:rPr>
        <w:t>成本</w:t>
      </w:r>
      <w:r w:rsidRPr="009A55E3">
        <w:rPr>
          <w:lang w:val="zh-CN" w:eastAsia="zh-CN"/>
        </w:rPr>
        <w:t>，这是一个合理的回收水平。</w:t>
      </w:r>
    </w:p>
    <w:p w14:paraId="29576DC3" w14:textId="490653AF" w:rsidR="001C1BC5" w:rsidRPr="009A55E3" w:rsidRDefault="001C1BC5" w:rsidP="001C1BC5">
      <w:pPr>
        <w:pStyle w:val="enumlev1"/>
        <w:rPr>
          <w:rFonts w:cs="Calibri"/>
          <w:szCs w:val="24"/>
          <w:lang w:eastAsia="zh-CN"/>
        </w:rPr>
      </w:pPr>
      <w:r>
        <w:rPr>
          <w:rFonts w:cs="Calibri" w:hint="eastAsia"/>
          <w:lang w:val="zh-CN" w:eastAsia="zh-CN"/>
        </w:rPr>
        <w:t>ii)</w:t>
      </w:r>
      <w:r>
        <w:rPr>
          <w:rFonts w:cs="Calibri"/>
          <w:lang w:val="zh-CN" w:eastAsia="zh-CN"/>
        </w:rPr>
        <w:tab/>
      </w:r>
      <w:r w:rsidRPr="009A55E3">
        <w:rPr>
          <w:rFonts w:cs="Calibri"/>
          <w:lang w:val="zh-CN" w:eastAsia="zh-CN"/>
        </w:rPr>
        <w:t>秘书长须向理事会</w:t>
      </w:r>
      <w:r w:rsidRPr="009A55E3">
        <w:rPr>
          <w:rFonts w:cs="Calibri"/>
          <w:lang w:val="zh-CN" w:eastAsia="zh-CN"/>
        </w:rPr>
        <w:t>2027</w:t>
      </w:r>
      <w:r w:rsidRPr="009A55E3">
        <w:rPr>
          <w:rFonts w:cs="Calibri"/>
          <w:lang w:val="zh-CN" w:eastAsia="zh-CN"/>
        </w:rPr>
        <w:t>年会议提交</w:t>
      </w:r>
      <w:r w:rsidRPr="009A55E3">
        <w:rPr>
          <w:rFonts w:cs="Calibri" w:hint="eastAsia"/>
          <w:lang w:val="zh-CN" w:eastAsia="zh-CN"/>
        </w:rPr>
        <w:t>首</w:t>
      </w:r>
      <w:r w:rsidRPr="009A55E3">
        <w:rPr>
          <w:rFonts w:cs="Calibri"/>
          <w:lang w:val="zh-CN" w:eastAsia="zh-CN"/>
        </w:rPr>
        <w:t>份关于</w:t>
      </w:r>
      <w:r w:rsidRPr="009A55E3">
        <w:rPr>
          <w:rFonts w:cs="Calibri"/>
          <w:lang w:val="zh-CN" w:eastAsia="zh-CN"/>
        </w:rPr>
        <w:t>SNF</w:t>
      </w:r>
      <w:r w:rsidRPr="009A55E3">
        <w:rPr>
          <w:rFonts w:cs="Calibri" w:hint="eastAsia"/>
          <w:lang w:val="zh-CN" w:eastAsia="zh-CN"/>
        </w:rPr>
        <w:t>完全成本回收</w:t>
      </w:r>
      <w:r w:rsidRPr="009A55E3">
        <w:rPr>
          <w:rFonts w:cs="Calibri"/>
          <w:lang w:val="zh-CN" w:eastAsia="zh-CN"/>
        </w:rPr>
        <w:t>方法的报告以供批准，并提议从</w:t>
      </w:r>
      <w:r w:rsidRPr="009A55E3">
        <w:rPr>
          <w:rFonts w:cs="Calibri"/>
          <w:lang w:val="zh-CN" w:eastAsia="zh-CN"/>
        </w:rPr>
        <w:t>2028</w:t>
      </w:r>
      <w:r w:rsidRPr="009A55E3">
        <w:rPr>
          <w:rFonts w:cs="Calibri"/>
          <w:lang w:val="zh-CN" w:eastAsia="zh-CN"/>
        </w:rPr>
        <w:t>年</w:t>
      </w:r>
      <w:r w:rsidRPr="009A55E3">
        <w:rPr>
          <w:rFonts w:cs="Calibri"/>
          <w:lang w:val="zh-CN" w:eastAsia="zh-CN"/>
        </w:rPr>
        <w:t>1</w:t>
      </w:r>
      <w:r w:rsidRPr="009A55E3">
        <w:rPr>
          <w:rFonts w:cs="Calibri"/>
          <w:lang w:val="zh-CN" w:eastAsia="zh-CN"/>
        </w:rPr>
        <w:t>月</w:t>
      </w:r>
      <w:r w:rsidRPr="009A55E3">
        <w:rPr>
          <w:rFonts w:cs="Calibri"/>
          <w:lang w:val="zh-CN" w:eastAsia="zh-CN"/>
        </w:rPr>
        <w:t>1</w:t>
      </w:r>
      <w:r w:rsidRPr="009A55E3">
        <w:rPr>
          <w:rFonts w:cs="Calibri"/>
          <w:lang w:val="zh-CN" w:eastAsia="zh-CN"/>
        </w:rPr>
        <w:t>日起将间接成本限额降至不超过</w:t>
      </w:r>
      <w:r w:rsidRPr="009A55E3">
        <w:rPr>
          <w:rFonts w:cs="Calibri"/>
          <w:b/>
          <w:bCs/>
          <w:lang w:val="zh-CN" w:eastAsia="zh-CN"/>
        </w:rPr>
        <w:t>直接成本的</w:t>
      </w:r>
      <w:r w:rsidRPr="009A55E3">
        <w:rPr>
          <w:rFonts w:cs="Calibri"/>
          <w:b/>
          <w:bCs/>
          <w:lang w:val="zh-CN" w:eastAsia="zh-CN"/>
        </w:rPr>
        <w:t>35%</w:t>
      </w:r>
      <w:r w:rsidRPr="009A55E3">
        <w:rPr>
          <w:rFonts w:cs="Calibri"/>
          <w:lang w:val="zh-CN" w:eastAsia="zh-CN"/>
        </w:rPr>
        <w:t>。</w:t>
      </w:r>
    </w:p>
    <w:p w14:paraId="1A1AA443" w14:textId="7C7ED957" w:rsidR="001C1BC5" w:rsidRPr="005F28A2" w:rsidRDefault="001C1BC5" w:rsidP="001C1BC5">
      <w:pPr>
        <w:pStyle w:val="enumlev1"/>
        <w:rPr>
          <w:rFonts w:cs="Calibri"/>
          <w:szCs w:val="24"/>
          <w:lang w:eastAsia="zh-CN"/>
        </w:rPr>
      </w:pPr>
      <w:r>
        <w:rPr>
          <w:rFonts w:cs="Calibri" w:hint="eastAsia"/>
          <w:lang w:val="zh-CN" w:eastAsia="zh-CN"/>
        </w:rPr>
        <w:t>iii)</w:t>
      </w:r>
      <w:r>
        <w:rPr>
          <w:rFonts w:cs="Calibri"/>
          <w:lang w:val="zh-CN" w:eastAsia="zh-CN"/>
        </w:rPr>
        <w:tab/>
      </w:r>
      <w:r>
        <w:rPr>
          <w:rFonts w:cs="Calibri" w:hint="eastAsia"/>
          <w:lang w:val="zh-CN" w:eastAsia="zh-CN"/>
        </w:rPr>
        <w:t>将向</w:t>
      </w:r>
      <w:r w:rsidRPr="009A55E3">
        <w:rPr>
          <w:rFonts w:cs="Calibri"/>
          <w:lang w:val="zh-CN" w:eastAsia="zh-CN"/>
        </w:rPr>
        <w:t>理事会</w:t>
      </w:r>
      <w:r w:rsidRPr="009A55E3">
        <w:rPr>
          <w:rFonts w:cs="Calibri"/>
          <w:lang w:val="zh-CN" w:eastAsia="zh-CN"/>
        </w:rPr>
        <w:t>2029</w:t>
      </w:r>
      <w:r w:rsidRPr="009A55E3">
        <w:rPr>
          <w:rFonts w:cs="Calibri"/>
          <w:lang w:val="zh-CN" w:eastAsia="zh-CN"/>
        </w:rPr>
        <w:t>年会议提</w:t>
      </w:r>
      <w:r>
        <w:rPr>
          <w:rFonts w:cs="Calibri" w:hint="eastAsia"/>
          <w:lang w:val="zh-CN" w:eastAsia="zh-CN"/>
        </w:rPr>
        <w:t>交</w:t>
      </w:r>
      <w:r w:rsidRPr="009A55E3">
        <w:rPr>
          <w:rFonts w:cs="Calibri"/>
          <w:lang w:val="zh-CN" w:eastAsia="zh-CN"/>
        </w:rPr>
        <w:t>一份关于</w:t>
      </w:r>
      <w:r w:rsidRPr="009A55E3">
        <w:rPr>
          <w:rFonts w:cs="Calibri" w:hint="eastAsia"/>
          <w:lang w:val="zh-CN" w:eastAsia="zh-CN"/>
        </w:rPr>
        <w:t>完全成本回收</w:t>
      </w:r>
      <w:r w:rsidRPr="009A55E3">
        <w:rPr>
          <w:rFonts w:cs="Calibri"/>
          <w:lang w:val="zh-CN" w:eastAsia="zh-CN"/>
        </w:rPr>
        <w:t>的详细报告，自</w:t>
      </w:r>
      <w:r w:rsidRPr="009A55E3">
        <w:rPr>
          <w:rFonts w:cs="Calibri"/>
          <w:lang w:val="zh-CN" w:eastAsia="zh-CN"/>
        </w:rPr>
        <w:t>2030</w:t>
      </w:r>
      <w:r w:rsidRPr="009A55E3">
        <w:rPr>
          <w:rFonts w:cs="Calibri"/>
          <w:lang w:val="zh-CN" w:eastAsia="zh-CN"/>
        </w:rPr>
        <w:t>年</w:t>
      </w:r>
      <w:r w:rsidRPr="009A55E3">
        <w:rPr>
          <w:rFonts w:cs="Calibri"/>
          <w:lang w:val="zh-CN" w:eastAsia="zh-CN"/>
        </w:rPr>
        <w:t>1</w:t>
      </w:r>
      <w:r w:rsidRPr="009A55E3">
        <w:rPr>
          <w:rFonts w:cs="Calibri"/>
          <w:lang w:val="zh-CN" w:eastAsia="zh-CN"/>
        </w:rPr>
        <w:t>月</w:t>
      </w:r>
      <w:r w:rsidRPr="009A55E3">
        <w:rPr>
          <w:rFonts w:cs="Calibri"/>
          <w:lang w:val="zh-CN" w:eastAsia="zh-CN"/>
        </w:rPr>
        <w:t>1</w:t>
      </w:r>
      <w:r w:rsidRPr="009A55E3">
        <w:rPr>
          <w:rFonts w:cs="Calibri"/>
          <w:lang w:val="zh-CN" w:eastAsia="zh-CN"/>
        </w:rPr>
        <w:t>日起实施，将间接成本的适用回收限额降至不超过</w:t>
      </w:r>
      <w:r w:rsidRPr="009A55E3">
        <w:rPr>
          <w:rFonts w:cs="Calibri"/>
          <w:b/>
          <w:bCs/>
          <w:lang w:val="zh-CN" w:eastAsia="zh-CN"/>
        </w:rPr>
        <w:t>直接成本的</w:t>
      </w:r>
      <w:r w:rsidRPr="009A55E3">
        <w:rPr>
          <w:rFonts w:cs="Calibri"/>
          <w:b/>
          <w:bCs/>
          <w:lang w:val="zh-CN" w:eastAsia="zh-CN"/>
        </w:rPr>
        <w:t>30%</w:t>
      </w:r>
      <w:r w:rsidRPr="009A55E3">
        <w:rPr>
          <w:rFonts w:cs="Calibri"/>
          <w:lang w:val="zh-CN" w:eastAsia="zh-CN"/>
        </w:rPr>
        <w:t>。</w:t>
      </w:r>
    </w:p>
    <w:p w14:paraId="0B1C70B1" w14:textId="1F23DE8B" w:rsidR="001C1BC5" w:rsidRPr="005F28A2" w:rsidRDefault="001C1BC5" w:rsidP="001C1BC5">
      <w:pPr>
        <w:spacing w:line="276" w:lineRule="auto"/>
        <w:rPr>
          <w:rFonts w:cs="Calibri"/>
          <w:szCs w:val="24"/>
          <w:lang w:eastAsia="zh-CN"/>
        </w:rPr>
      </w:pPr>
      <w:r>
        <w:rPr>
          <w:lang w:val="zh-CN" w:eastAsia="zh-CN"/>
        </w:rPr>
        <w:t>10</w:t>
      </w:r>
      <w:r>
        <w:rPr>
          <w:lang w:val="zh-CN" w:eastAsia="zh-CN"/>
        </w:rPr>
        <w:tab/>
      </w:r>
      <w:r>
        <w:rPr>
          <w:lang w:val="zh-CN" w:eastAsia="zh-CN"/>
        </w:rPr>
        <w:t>虽然在分阶段削减之开始时，国际电联将不收取全部</w:t>
      </w:r>
      <w:r>
        <w:rPr>
          <w:rFonts w:hint="eastAsia"/>
          <w:lang w:val="zh-CN" w:eastAsia="zh-CN"/>
        </w:rPr>
        <w:t>成本</w:t>
      </w:r>
      <w:r>
        <w:rPr>
          <w:lang w:val="zh-CN" w:eastAsia="zh-CN"/>
        </w:rPr>
        <w:t>，但秘书处建议通过完全成本分配模式的结构化应用</w:t>
      </w:r>
      <w:r>
        <w:rPr>
          <w:rFonts w:hint="eastAsia"/>
          <w:lang w:val="zh-CN" w:eastAsia="zh-CN"/>
        </w:rPr>
        <w:t>与</w:t>
      </w:r>
      <w:r>
        <w:rPr>
          <w:lang w:val="zh-CN" w:eastAsia="zh-CN"/>
        </w:rPr>
        <w:t>运营效率和服务优化相结合的方法，将实际</w:t>
      </w:r>
      <w:r>
        <w:rPr>
          <w:rFonts w:hint="eastAsia"/>
          <w:lang w:val="zh-CN" w:eastAsia="zh-CN"/>
        </w:rPr>
        <w:t>成本</w:t>
      </w:r>
      <w:r>
        <w:rPr>
          <w:lang w:val="zh-CN" w:eastAsia="zh-CN"/>
        </w:rPr>
        <w:t>降低到设定的限额内。这种以渐进方式</w:t>
      </w:r>
      <w:r>
        <w:rPr>
          <w:rFonts w:hint="eastAsia"/>
          <w:lang w:val="zh-CN" w:eastAsia="zh-CN"/>
        </w:rPr>
        <w:t>实现</w:t>
      </w:r>
      <w:r>
        <w:rPr>
          <w:lang w:val="zh-CN" w:eastAsia="zh-CN"/>
        </w:rPr>
        <w:t>高效</w:t>
      </w:r>
      <w:r>
        <w:rPr>
          <w:rFonts w:hint="eastAsia"/>
          <w:lang w:val="zh-CN" w:eastAsia="zh-CN"/>
        </w:rPr>
        <w:t>且</w:t>
      </w:r>
      <w:r>
        <w:rPr>
          <w:lang w:val="zh-CN" w:eastAsia="zh-CN"/>
        </w:rPr>
        <w:t>合理的间接成本，符合第</w:t>
      </w:r>
      <w:r>
        <w:rPr>
          <w:lang w:val="zh-CN" w:eastAsia="zh-CN"/>
        </w:rPr>
        <w:t>91</w:t>
      </w:r>
      <w:r>
        <w:rPr>
          <w:lang w:val="zh-CN" w:eastAsia="zh-CN"/>
        </w:rPr>
        <w:t>号决议（</w:t>
      </w:r>
      <w:r>
        <w:rPr>
          <w:lang w:val="zh-CN" w:eastAsia="zh-CN"/>
        </w:rPr>
        <w:t>2010</w:t>
      </w:r>
      <w:r>
        <w:rPr>
          <w:lang w:val="zh-CN" w:eastAsia="zh-CN"/>
        </w:rPr>
        <w:t>年，瓜达拉哈拉，修订版）和第</w:t>
      </w:r>
      <w:r>
        <w:rPr>
          <w:lang w:val="zh-CN" w:eastAsia="zh-CN"/>
        </w:rPr>
        <w:t>5</w:t>
      </w:r>
      <w:r>
        <w:rPr>
          <w:lang w:val="zh-CN" w:eastAsia="zh-CN"/>
        </w:rPr>
        <w:t>号决定（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年，布加勒斯特，修订版）附件</w:t>
      </w:r>
      <w:r>
        <w:rPr>
          <w:lang w:val="zh-CN" w:eastAsia="zh-CN"/>
        </w:rPr>
        <w:t>2</w:t>
      </w:r>
      <w:r>
        <w:rPr>
          <w:lang w:val="zh-CN" w:eastAsia="zh-CN"/>
        </w:rPr>
        <w:t>的要求。</w:t>
      </w:r>
    </w:p>
    <w:p w14:paraId="5D1BDB50" w14:textId="77777777" w:rsidR="001C1BC5" w:rsidRPr="005F28A2" w:rsidRDefault="001C1BC5" w:rsidP="001C1BC5">
      <w:pPr>
        <w:pStyle w:val="Headingb"/>
        <w:rPr>
          <w:rFonts w:cs="Calibri"/>
          <w:lang w:eastAsia="zh-CN"/>
        </w:rPr>
      </w:pPr>
      <w:r>
        <w:rPr>
          <w:lang w:val="zh-CN" w:eastAsia="zh-CN"/>
        </w:rPr>
        <w:t>直接和间接成本的计算</w:t>
      </w:r>
    </w:p>
    <w:p w14:paraId="10B981EE" w14:textId="592067D6" w:rsidR="001C1BC5" w:rsidRPr="005F28A2" w:rsidRDefault="001C1BC5" w:rsidP="001C1BC5">
      <w:pPr>
        <w:keepNext/>
        <w:keepLines/>
        <w:spacing w:line="276" w:lineRule="auto"/>
        <w:rPr>
          <w:rFonts w:cs="Calibri"/>
          <w:lang w:eastAsia="zh-CN"/>
        </w:rPr>
      </w:pPr>
      <w:r>
        <w:rPr>
          <w:lang w:val="zh-CN" w:eastAsia="zh-CN"/>
        </w:rPr>
        <w:t>11</w:t>
      </w:r>
      <w:r>
        <w:rPr>
          <w:lang w:val="zh-CN" w:eastAsia="zh-CN"/>
        </w:rPr>
        <w:tab/>
      </w:r>
      <w:r>
        <w:rPr>
          <w:lang w:val="zh-CN" w:eastAsia="zh-CN"/>
        </w:rPr>
        <w:t>自</w:t>
      </w:r>
      <w:r>
        <w:rPr>
          <w:lang w:val="zh-CN" w:eastAsia="zh-CN"/>
        </w:rPr>
        <w:t>2006</w:t>
      </w:r>
      <w:r>
        <w:rPr>
          <w:lang w:val="zh-CN" w:eastAsia="zh-CN"/>
        </w:rPr>
        <w:t>年全权代表大会确定会费单位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当前</w:t>
      </w:r>
      <w:r>
        <w:rPr>
          <w:rFonts w:hint="eastAsia"/>
          <w:lang w:val="zh-CN" w:eastAsia="zh-CN"/>
        </w:rPr>
        <w:t>数</w:t>
      </w:r>
      <w:r>
        <w:rPr>
          <w:lang w:val="zh-CN" w:eastAsia="zh-CN"/>
        </w:rPr>
        <w:t>值以来，</w:t>
      </w:r>
      <w:r>
        <w:rPr>
          <w:rFonts w:hint="eastAsia"/>
          <w:lang w:val="zh-CN" w:eastAsia="zh-CN"/>
        </w:rPr>
        <w:t>估算得出的</w:t>
      </w:r>
      <w:r>
        <w:rPr>
          <w:lang w:val="zh-CN" w:eastAsia="zh-CN"/>
        </w:rPr>
        <w:t>国际电</w:t>
      </w:r>
      <w:proofErr w:type="gramStart"/>
      <w:r>
        <w:rPr>
          <w:lang w:val="zh-CN" w:eastAsia="zh-CN"/>
        </w:rPr>
        <w:t>联直接</w:t>
      </w:r>
      <w:proofErr w:type="gramEnd"/>
      <w:r>
        <w:rPr>
          <w:lang w:val="zh-CN" w:eastAsia="zh-CN"/>
        </w:rPr>
        <w:t>成本为</w:t>
      </w:r>
      <w:r w:rsidRPr="005E2229">
        <w:rPr>
          <w:b/>
          <w:bCs/>
          <w:lang w:val="zh-CN" w:eastAsia="zh-CN"/>
        </w:rPr>
        <w:t>1</w:t>
      </w:r>
      <w:r>
        <w:rPr>
          <w:b/>
          <w:bCs/>
          <w:lang w:val="zh-CN" w:eastAsia="zh-CN"/>
        </w:rPr>
        <w:t> </w:t>
      </w:r>
      <w:r w:rsidRPr="005E2229">
        <w:rPr>
          <w:b/>
          <w:bCs/>
          <w:lang w:val="zh-CN" w:eastAsia="zh-CN"/>
        </w:rPr>
        <w:t>100</w:t>
      </w:r>
      <w:proofErr w:type="gramStart"/>
      <w:r w:rsidRPr="005E2229">
        <w:rPr>
          <w:b/>
          <w:bCs/>
          <w:lang w:val="zh-CN" w:eastAsia="zh-CN"/>
        </w:rPr>
        <w:t>万瑞</w:t>
      </w:r>
      <w:proofErr w:type="gramEnd"/>
      <w:r w:rsidRPr="005E2229">
        <w:rPr>
          <w:b/>
          <w:bCs/>
          <w:lang w:val="zh-CN" w:eastAsia="zh-CN"/>
        </w:rPr>
        <w:t>郎</w:t>
      </w:r>
      <w:r>
        <w:rPr>
          <w:lang w:val="zh-CN" w:eastAsia="zh-CN"/>
        </w:rPr>
        <w:t>。由于通货膨胀的压力，国际电联对这些费用进行了调整，以</w:t>
      </w:r>
      <w:r>
        <w:rPr>
          <w:rFonts w:hint="eastAsia"/>
          <w:lang w:val="zh-CN" w:eastAsia="zh-CN"/>
        </w:rPr>
        <w:t>体现</w:t>
      </w:r>
      <w:r>
        <w:rPr>
          <w:lang w:val="zh-CN" w:eastAsia="zh-CN"/>
        </w:rPr>
        <w:t>基于日内瓦消费价格指数的实际增长</w:t>
      </w:r>
      <w:r>
        <w:rPr>
          <w:rFonts w:hint="eastAsia"/>
          <w:lang w:val="zh-CN" w:eastAsia="zh-CN"/>
        </w:rPr>
        <w:t>（根据估算</w:t>
      </w:r>
      <w:r>
        <w:rPr>
          <w:lang w:val="zh-CN" w:eastAsia="zh-CN"/>
        </w:rPr>
        <w:t>该指数增长</w:t>
      </w:r>
      <w:r w:rsidRPr="008320D9">
        <w:rPr>
          <w:b/>
          <w:bCs/>
          <w:lang w:val="zh-CN" w:eastAsia="zh-CN"/>
        </w:rPr>
        <w:t>10</w:t>
      </w:r>
      <w:r w:rsidRPr="008320D9">
        <w:rPr>
          <w:rFonts w:hint="eastAsia"/>
          <w:b/>
          <w:bCs/>
          <w:lang w:val="zh-CN" w:eastAsia="zh-CN"/>
        </w:rPr>
        <w:t>.</w:t>
      </w:r>
      <w:r w:rsidRPr="008320D9">
        <w:rPr>
          <w:b/>
          <w:bCs/>
          <w:lang w:val="zh-CN" w:eastAsia="zh-CN"/>
        </w:rPr>
        <w:t>6%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。因此，直接成本的实际值按现值计算为</w:t>
      </w:r>
      <w:r w:rsidRPr="008320D9">
        <w:rPr>
          <w:b/>
          <w:bCs/>
          <w:lang w:val="zh-CN" w:eastAsia="zh-CN"/>
        </w:rPr>
        <w:t>12</w:t>
      </w:r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166</w:t>
      </w:r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000</w:t>
      </w:r>
      <w:r>
        <w:rPr>
          <w:lang w:val="zh-CN" w:eastAsia="zh-CN"/>
        </w:rPr>
        <w:t>瑞郎。</w:t>
      </w:r>
    </w:p>
    <w:p w14:paraId="37BA3039" w14:textId="5E45182A" w:rsidR="001C1BC5" w:rsidRPr="005F28A2" w:rsidRDefault="001C1BC5" w:rsidP="001C1BC5">
      <w:pPr>
        <w:spacing w:line="276" w:lineRule="auto"/>
        <w:rPr>
          <w:rFonts w:cs="Calibri"/>
          <w:b/>
          <w:bCs/>
          <w:lang w:eastAsia="zh-CN"/>
        </w:rPr>
      </w:pPr>
      <w:r>
        <w:rPr>
          <w:lang w:val="zh-CN" w:eastAsia="zh-CN"/>
        </w:rPr>
        <w:t>12</w:t>
      </w:r>
      <w:r>
        <w:rPr>
          <w:lang w:val="zh-CN" w:eastAsia="zh-CN"/>
        </w:rPr>
        <w:tab/>
      </w:r>
      <w:r>
        <w:rPr>
          <w:lang w:val="zh-CN" w:eastAsia="zh-CN"/>
        </w:rPr>
        <w:t>使用上</w:t>
      </w:r>
      <w:r>
        <w:rPr>
          <w:rFonts w:hint="eastAsia"/>
          <w:lang w:val="zh-CN" w:eastAsia="zh-CN"/>
        </w:rPr>
        <w:t>文</w:t>
      </w:r>
      <w:r>
        <w:rPr>
          <w:lang w:val="zh-CN" w:eastAsia="zh-CN"/>
        </w:rPr>
        <w:t>建议的渐进式削减，</w:t>
      </w:r>
      <w:r w:rsidRPr="008320D9">
        <w:rPr>
          <w:b/>
          <w:bCs/>
          <w:lang w:val="zh-CN" w:eastAsia="zh-CN"/>
        </w:rPr>
        <w:t>40%</w:t>
      </w:r>
      <w:r>
        <w:rPr>
          <w:lang w:val="zh-CN" w:eastAsia="zh-CN"/>
        </w:rPr>
        <w:t>的间接成本限额将导致自</w:t>
      </w:r>
      <w:r>
        <w:rPr>
          <w:lang w:val="zh-CN" w:eastAsia="zh-CN"/>
        </w:rPr>
        <w:t>2026</w:t>
      </w:r>
      <w:r>
        <w:rPr>
          <w:lang w:val="zh-CN" w:eastAsia="zh-CN"/>
        </w:rPr>
        <w:t>年</w:t>
      </w:r>
      <w:r>
        <w:rPr>
          <w:lang w:val="zh-CN" w:eastAsia="zh-CN"/>
        </w:rPr>
        <w:t>1</w:t>
      </w:r>
      <w:r>
        <w:rPr>
          <w:lang w:val="zh-CN" w:eastAsia="zh-CN"/>
        </w:rPr>
        <w:t>月</w:t>
      </w:r>
      <w:r>
        <w:rPr>
          <w:lang w:val="zh-CN" w:eastAsia="zh-CN"/>
        </w:rPr>
        <w:t>1</w:t>
      </w:r>
      <w:r>
        <w:rPr>
          <w:lang w:val="zh-CN" w:eastAsia="zh-CN"/>
        </w:rPr>
        <w:t>日起从</w:t>
      </w:r>
      <w:r>
        <w:rPr>
          <w:lang w:val="zh-CN" w:eastAsia="zh-CN"/>
        </w:rPr>
        <w:t>SNF</w:t>
      </w:r>
      <w:r>
        <w:rPr>
          <w:lang w:val="zh-CN" w:eastAsia="zh-CN"/>
        </w:rPr>
        <w:t>费用中收取</w:t>
      </w:r>
      <w:r w:rsidRPr="106EEE06">
        <w:rPr>
          <w:rFonts w:cs="Calibri"/>
          <w:b/>
          <w:bCs/>
          <w:lang w:eastAsia="zh-CN"/>
        </w:rPr>
        <w:t>4</w:t>
      </w:r>
      <w:r>
        <w:rPr>
          <w:rFonts w:cs="Calibri"/>
          <w:b/>
          <w:bCs/>
          <w:lang w:eastAsia="zh-CN"/>
        </w:rPr>
        <w:t> </w:t>
      </w:r>
      <w:r w:rsidRPr="106EEE06">
        <w:rPr>
          <w:rFonts w:cs="Calibri"/>
          <w:b/>
          <w:bCs/>
          <w:lang w:eastAsia="zh-CN"/>
        </w:rPr>
        <w:t>866</w:t>
      </w:r>
      <w:r>
        <w:rPr>
          <w:rFonts w:cs="Calibri"/>
          <w:b/>
          <w:bCs/>
          <w:lang w:eastAsia="zh-CN"/>
        </w:rPr>
        <w:t> </w:t>
      </w:r>
      <w:r w:rsidRPr="106EEE06">
        <w:rPr>
          <w:rFonts w:cs="Calibri"/>
          <w:b/>
          <w:bCs/>
          <w:lang w:eastAsia="zh-CN"/>
        </w:rPr>
        <w:t>400</w:t>
      </w:r>
      <w:r>
        <w:rPr>
          <w:lang w:val="zh-CN" w:eastAsia="zh-CN"/>
        </w:rPr>
        <w:t>瑞郎的间接成本。</w:t>
      </w:r>
      <w:r>
        <w:rPr>
          <w:rFonts w:hint="eastAsia"/>
          <w:lang w:val="zh-CN" w:eastAsia="zh-CN"/>
        </w:rPr>
        <w:t>因此</w:t>
      </w:r>
      <w:r>
        <w:rPr>
          <w:lang w:val="zh-CN" w:eastAsia="zh-CN"/>
        </w:rPr>
        <w:t>卫星网络申报费</w:t>
      </w:r>
      <w:r>
        <w:rPr>
          <w:rFonts w:hint="eastAsia"/>
          <w:lang w:val="zh-CN" w:eastAsia="zh-CN"/>
        </w:rPr>
        <w:t>需</w:t>
      </w:r>
      <w:r>
        <w:rPr>
          <w:lang w:val="zh-CN" w:eastAsia="zh-CN"/>
        </w:rPr>
        <w:t>收取的总金额为</w:t>
      </w:r>
      <w:r w:rsidRPr="008320D9">
        <w:rPr>
          <w:b/>
          <w:bCs/>
          <w:lang w:val="zh-CN" w:eastAsia="zh-CN"/>
        </w:rPr>
        <w:t>17</w:t>
      </w:r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032</w:t>
      </w:r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400</w:t>
      </w:r>
      <w:r>
        <w:rPr>
          <w:lang w:val="zh-CN" w:eastAsia="zh-CN"/>
        </w:rPr>
        <w:t>瑞郎。</w:t>
      </w:r>
    </w:p>
    <w:p w14:paraId="7CD8CD59" w14:textId="77777777" w:rsidR="001C1BC5" w:rsidRPr="005F28A2" w:rsidRDefault="001C1BC5" w:rsidP="001C1BC5">
      <w:pPr>
        <w:pStyle w:val="Headingb"/>
        <w:rPr>
          <w:rFonts w:cs="Calibri"/>
          <w:lang w:eastAsia="zh-CN"/>
        </w:rPr>
      </w:pPr>
      <w:r>
        <w:rPr>
          <w:lang w:val="zh-CN" w:eastAsia="zh-CN"/>
        </w:rPr>
        <w:t>软件开发</w:t>
      </w:r>
      <w:r>
        <w:rPr>
          <w:rFonts w:hint="eastAsia"/>
          <w:lang w:val="zh-CN" w:eastAsia="zh-CN"/>
        </w:rPr>
        <w:t>准备金</w:t>
      </w:r>
    </w:p>
    <w:p w14:paraId="244ADCF3" w14:textId="0A42DEEB" w:rsidR="001C1BC5" w:rsidRPr="005F28A2" w:rsidRDefault="001C1BC5" w:rsidP="001C1BC5">
      <w:pPr>
        <w:spacing w:line="276" w:lineRule="auto"/>
        <w:rPr>
          <w:rFonts w:cs="Calibri"/>
          <w:lang w:eastAsia="zh-CN"/>
        </w:rPr>
      </w:pPr>
      <w:r>
        <w:rPr>
          <w:lang w:val="zh-CN" w:eastAsia="zh-CN"/>
        </w:rPr>
        <w:t>13</w:t>
      </w:r>
      <w:r>
        <w:rPr>
          <w:lang w:val="zh-CN" w:eastAsia="zh-CN"/>
        </w:rPr>
        <w:tab/>
      </w:r>
      <w:r>
        <w:rPr>
          <w:lang w:val="zh-CN" w:eastAsia="zh-CN"/>
        </w:rPr>
        <w:t>秘书处指出，</w:t>
      </w:r>
      <w:r>
        <w:rPr>
          <w:lang w:val="zh-CN" w:eastAsia="zh-CN"/>
        </w:rPr>
        <w:t>EG-DEC482</w:t>
      </w:r>
      <w:r>
        <w:rPr>
          <w:lang w:val="zh-CN" w:eastAsia="zh-CN"/>
        </w:rPr>
        <w:t>没有解决在申报数量增加的情况下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确保继续有效处理申报所需必要</w:t>
      </w:r>
      <w:r>
        <w:rPr>
          <w:rFonts w:hint="eastAsia"/>
          <w:lang w:val="zh-CN" w:eastAsia="zh-CN"/>
        </w:rPr>
        <w:t>支出的问题</w:t>
      </w:r>
      <w:r>
        <w:rPr>
          <w:lang w:val="zh-CN" w:eastAsia="zh-CN"/>
        </w:rPr>
        <w:t>。为解决</w:t>
      </w:r>
      <w:r>
        <w:rPr>
          <w:rFonts w:hint="eastAsia"/>
          <w:lang w:val="zh-CN" w:eastAsia="zh-CN"/>
        </w:rPr>
        <w:t>此</w:t>
      </w:r>
      <w:r>
        <w:rPr>
          <w:lang w:val="zh-CN" w:eastAsia="zh-CN"/>
        </w:rPr>
        <w:t>问题，秘书处建议每年追加</w:t>
      </w:r>
      <w:r w:rsidRPr="008320D9">
        <w:rPr>
          <w:b/>
          <w:bCs/>
          <w:lang w:val="zh-CN" w:eastAsia="zh-CN"/>
        </w:rPr>
        <w:t>1</w:t>
      </w:r>
      <w:proofErr w:type="gramStart"/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000</w:t>
      </w:r>
      <w:r>
        <w:rPr>
          <w:b/>
          <w:bCs/>
          <w:lang w:val="zh-CN" w:eastAsia="zh-CN"/>
        </w:rPr>
        <w:t> </w:t>
      </w:r>
      <w:r w:rsidRPr="008320D9">
        <w:rPr>
          <w:b/>
          <w:bCs/>
          <w:lang w:val="zh-CN" w:eastAsia="zh-CN"/>
        </w:rPr>
        <w:t>000</w:t>
      </w:r>
      <w:proofErr w:type="gramEnd"/>
      <w:r>
        <w:rPr>
          <w:lang w:val="zh-CN" w:eastAsia="zh-CN"/>
        </w:rPr>
        <w:t>瑞郎，作为</w:t>
      </w:r>
      <w:r>
        <w:rPr>
          <w:lang w:val="zh-CN" w:eastAsia="zh-CN"/>
        </w:rPr>
        <w:t>SNF</w:t>
      </w:r>
      <w:r>
        <w:rPr>
          <w:lang w:val="zh-CN" w:eastAsia="zh-CN"/>
        </w:rPr>
        <w:t>收费的一部分。这笔资金将存入信息通信技术资本基金，用于无线电通信局</w:t>
      </w:r>
      <w:r>
        <w:rPr>
          <w:lang w:val="zh-CN" w:eastAsia="zh-CN"/>
        </w:rPr>
        <w:t>SNF</w:t>
      </w:r>
      <w:r>
        <w:rPr>
          <w:lang w:val="zh-CN" w:eastAsia="zh-CN"/>
        </w:rPr>
        <w:t>软件应用的更新和现代化。</w:t>
      </w:r>
    </w:p>
    <w:p w14:paraId="670B1571" w14:textId="77777777" w:rsidR="001C1BC5" w:rsidRPr="005F28A2" w:rsidRDefault="001C1BC5" w:rsidP="001C1BC5">
      <w:pPr>
        <w:pStyle w:val="Headingb"/>
        <w:rPr>
          <w:rFonts w:cs="Calibri"/>
          <w:lang w:eastAsia="zh-CN"/>
        </w:rPr>
      </w:pPr>
      <w:r>
        <w:rPr>
          <w:lang w:val="zh-CN" w:eastAsia="zh-CN"/>
        </w:rPr>
        <w:t>应用已批准限值的方法</w:t>
      </w:r>
    </w:p>
    <w:p w14:paraId="2F426E9D" w14:textId="08211781" w:rsidR="001C1BC5" w:rsidRDefault="001C1BC5" w:rsidP="001C1BC5">
      <w:pPr>
        <w:spacing w:line="276" w:lineRule="auto"/>
        <w:rPr>
          <w:rFonts w:cs="Calibri"/>
          <w:b/>
          <w:bCs/>
          <w:lang w:eastAsia="zh-CN"/>
        </w:rPr>
      </w:pPr>
      <w:r>
        <w:rPr>
          <w:lang w:val="zh-CN" w:eastAsia="zh-CN"/>
        </w:rPr>
        <w:t>14</w:t>
      </w:r>
      <w:r>
        <w:rPr>
          <w:lang w:val="zh-CN" w:eastAsia="zh-CN"/>
        </w:rPr>
        <w:tab/>
      </w:r>
      <w:r>
        <w:rPr>
          <w:lang w:val="zh-CN" w:eastAsia="zh-CN"/>
        </w:rPr>
        <w:t>秘书处请理事会授权，根据</w:t>
      </w:r>
      <w:r>
        <w:rPr>
          <w:rFonts w:hint="eastAsia"/>
          <w:lang w:val="zh-CN" w:eastAsia="zh-CN"/>
        </w:rPr>
        <w:t>在</w:t>
      </w:r>
      <w:r>
        <w:rPr>
          <w:lang w:val="zh-CN" w:eastAsia="zh-CN"/>
        </w:rPr>
        <w:t>新费用和当前申报水平</w:t>
      </w:r>
      <w:r>
        <w:rPr>
          <w:rFonts w:hint="eastAsia"/>
          <w:lang w:val="zh-CN" w:eastAsia="zh-CN"/>
        </w:rPr>
        <w:t>基础上估算得出</w:t>
      </w:r>
      <w:r>
        <w:rPr>
          <w:lang w:val="zh-CN" w:eastAsia="zh-CN"/>
        </w:rPr>
        <w:t>的预期回收</w:t>
      </w:r>
      <w:r>
        <w:rPr>
          <w:rFonts w:hint="eastAsia"/>
          <w:lang w:val="zh-CN" w:eastAsia="zh-CN"/>
        </w:rPr>
        <w:t>值</w:t>
      </w:r>
      <w:r>
        <w:rPr>
          <w:lang w:val="zh-CN" w:eastAsia="zh-CN"/>
        </w:rPr>
        <w:t>，采用</w:t>
      </w:r>
      <w:r>
        <w:rPr>
          <w:lang w:val="zh-CN" w:eastAsia="zh-CN"/>
        </w:rPr>
        <w:t>EG-DEC482</w:t>
      </w:r>
      <w:r>
        <w:rPr>
          <w:rFonts w:hint="eastAsia"/>
          <w:lang w:val="zh-CN" w:eastAsia="zh-CN"/>
        </w:rPr>
        <w:t>通过</w:t>
      </w:r>
      <w:hyperlink r:id="rId11" w:history="1">
        <w:r w:rsidR="009C5E26">
          <w:rPr>
            <w:rStyle w:val="Hyperlink"/>
            <w:rFonts w:eastAsia="SimSun" w:cs="Calibri"/>
            <w:lang w:eastAsia="zh-CN"/>
          </w:rPr>
          <w:t>C25/10</w:t>
        </w:r>
      </w:hyperlink>
      <w:r>
        <w:rPr>
          <w:lang w:val="zh-CN" w:eastAsia="zh-CN"/>
        </w:rPr>
        <w:t>号文件设定的费用乘数限额，</w:t>
      </w:r>
      <w:r>
        <w:rPr>
          <w:rFonts w:hint="eastAsia"/>
          <w:lang w:val="zh-CN" w:eastAsia="zh-CN"/>
        </w:rPr>
        <w:t>实现</w:t>
      </w:r>
      <w:r>
        <w:rPr>
          <w:lang w:val="zh-CN" w:eastAsia="zh-CN"/>
        </w:rPr>
        <w:t>已</w:t>
      </w:r>
      <w:r>
        <w:rPr>
          <w:rFonts w:hint="eastAsia"/>
          <w:lang w:val="zh-CN" w:eastAsia="zh-CN"/>
        </w:rPr>
        <w:t>获</w:t>
      </w:r>
      <w:r>
        <w:rPr>
          <w:lang w:val="zh-CN" w:eastAsia="zh-CN"/>
        </w:rPr>
        <w:t>批准的回收</w:t>
      </w:r>
      <w:r>
        <w:rPr>
          <w:rFonts w:hint="eastAsia"/>
          <w:lang w:val="zh-CN" w:eastAsia="zh-CN"/>
        </w:rPr>
        <w:t>水平</w:t>
      </w:r>
      <w:r>
        <w:rPr>
          <w:lang w:val="zh-CN" w:eastAsia="zh-CN"/>
        </w:rPr>
        <w:t>。秘书处正</w:t>
      </w:r>
      <w:r>
        <w:rPr>
          <w:rFonts w:hint="eastAsia"/>
          <w:lang w:val="zh-CN" w:eastAsia="zh-CN"/>
        </w:rPr>
        <w:t>依据</w:t>
      </w:r>
      <w:hyperlink r:id="rId12" w:history="1">
        <w:r w:rsidR="009C5E26">
          <w:rPr>
            <w:rStyle w:val="Hyperlink"/>
            <w:rFonts w:eastAsia="SimSun" w:cs="Calibri"/>
            <w:lang w:eastAsia="zh-CN"/>
          </w:rPr>
          <w:t>C25/10</w:t>
        </w:r>
      </w:hyperlink>
      <w:r>
        <w:rPr>
          <w:lang w:val="zh-CN" w:eastAsia="zh-CN"/>
        </w:rPr>
        <w:t>号文件提交理事会</w:t>
      </w:r>
      <w:r>
        <w:rPr>
          <w:lang w:val="zh-CN" w:eastAsia="zh-CN"/>
        </w:rPr>
        <w:t>EG-DEC482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建议</w:t>
      </w:r>
      <w:r>
        <w:rPr>
          <w:lang w:val="zh-CN" w:eastAsia="zh-CN"/>
        </w:rPr>
        <w:t>，计算</w:t>
      </w:r>
      <w:r>
        <w:rPr>
          <w:rFonts w:hint="eastAsia"/>
          <w:lang w:val="zh-CN" w:eastAsia="zh-CN"/>
        </w:rPr>
        <w:t>应</w:t>
      </w:r>
      <w:r>
        <w:rPr>
          <w:lang w:val="zh-CN" w:eastAsia="zh-CN"/>
        </w:rPr>
        <w:t>收取的估算费用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但建议</w:t>
      </w:r>
      <w:r>
        <w:rPr>
          <w:rFonts w:hint="eastAsia"/>
          <w:lang w:val="zh-CN" w:eastAsia="zh-CN"/>
        </w:rPr>
        <w:t>并请</w:t>
      </w:r>
      <w:r>
        <w:rPr>
          <w:lang w:val="zh-CN" w:eastAsia="zh-CN"/>
        </w:rPr>
        <w:t>秘书长</w:t>
      </w:r>
      <w:r>
        <w:rPr>
          <w:rFonts w:hint="eastAsia"/>
          <w:lang w:val="zh-CN" w:eastAsia="zh-CN"/>
        </w:rPr>
        <w:t>申请</w:t>
      </w:r>
      <w:r>
        <w:rPr>
          <w:lang w:val="zh-CN" w:eastAsia="zh-CN"/>
        </w:rPr>
        <w:t>理事会批准在所有拟议费用中增加一个标准乘数，以实现</w:t>
      </w:r>
      <w:r w:rsidRPr="00AF4A82">
        <w:rPr>
          <w:b/>
          <w:bCs/>
          <w:lang w:val="zh-CN" w:eastAsia="zh-CN"/>
        </w:rPr>
        <w:t>18</w:t>
      </w:r>
      <w:r>
        <w:rPr>
          <w:b/>
          <w:bCs/>
          <w:lang w:val="zh-CN" w:eastAsia="zh-CN"/>
        </w:rPr>
        <w:t> </w:t>
      </w:r>
      <w:r w:rsidRPr="00AF4A82">
        <w:rPr>
          <w:b/>
          <w:bCs/>
          <w:lang w:val="zh-CN" w:eastAsia="zh-CN"/>
        </w:rPr>
        <w:t>032</w:t>
      </w:r>
      <w:r>
        <w:rPr>
          <w:b/>
          <w:bCs/>
          <w:lang w:val="zh-CN" w:eastAsia="zh-CN"/>
        </w:rPr>
        <w:t> </w:t>
      </w:r>
      <w:r w:rsidRPr="00AF4A82">
        <w:rPr>
          <w:b/>
          <w:bCs/>
          <w:lang w:val="zh-CN" w:eastAsia="zh-CN"/>
        </w:rPr>
        <w:t>400</w:t>
      </w:r>
      <w:r>
        <w:rPr>
          <w:lang w:val="zh-CN" w:eastAsia="zh-CN"/>
        </w:rPr>
        <w:t>瑞郎的总收入。如果获得批准，秘书处将计算</w:t>
      </w:r>
      <w:r>
        <w:rPr>
          <w:rFonts w:hint="eastAsia"/>
          <w:lang w:val="zh-CN" w:eastAsia="zh-CN"/>
        </w:rPr>
        <w:t>相应</w:t>
      </w:r>
      <w:r>
        <w:rPr>
          <w:lang w:val="zh-CN" w:eastAsia="zh-CN"/>
        </w:rPr>
        <w:t>的费用并</w:t>
      </w:r>
      <w:r>
        <w:rPr>
          <w:rFonts w:hint="eastAsia"/>
          <w:lang w:val="zh-CN" w:eastAsia="zh-CN"/>
        </w:rPr>
        <w:t>予以</w:t>
      </w:r>
      <w:r>
        <w:rPr>
          <w:lang w:val="zh-CN" w:eastAsia="zh-CN"/>
        </w:rPr>
        <w:t>公布，以便自</w:t>
      </w:r>
      <w:r w:rsidRPr="00AF4A82">
        <w:rPr>
          <w:b/>
          <w:bCs/>
          <w:lang w:val="zh-CN" w:eastAsia="zh-CN"/>
        </w:rPr>
        <w:t>2026</w:t>
      </w:r>
      <w:r w:rsidRPr="00AF4A82">
        <w:rPr>
          <w:b/>
          <w:bCs/>
          <w:lang w:val="zh-CN" w:eastAsia="zh-CN"/>
        </w:rPr>
        <w:t>年</w:t>
      </w:r>
      <w:r w:rsidRPr="00AF4A82">
        <w:rPr>
          <w:b/>
          <w:bCs/>
          <w:lang w:val="zh-CN" w:eastAsia="zh-CN"/>
        </w:rPr>
        <w:t>1</w:t>
      </w:r>
      <w:r w:rsidRPr="00AF4A82">
        <w:rPr>
          <w:b/>
          <w:bCs/>
          <w:lang w:val="zh-CN" w:eastAsia="zh-CN"/>
        </w:rPr>
        <w:t>月</w:t>
      </w:r>
      <w:r w:rsidRPr="00AF4A82">
        <w:rPr>
          <w:b/>
          <w:bCs/>
          <w:lang w:val="zh-CN" w:eastAsia="zh-CN"/>
        </w:rPr>
        <w:t>1</w:t>
      </w:r>
      <w:r w:rsidRPr="00AF4A82">
        <w:rPr>
          <w:b/>
          <w:bCs/>
          <w:lang w:val="zh-CN" w:eastAsia="zh-CN"/>
        </w:rPr>
        <w:t>日</w:t>
      </w:r>
      <w:r>
        <w:rPr>
          <w:lang w:val="zh-CN" w:eastAsia="zh-CN"/>
        </w:rPr>
        <w:t>起实施。</w:t>
      </w:r>
    </w:p>
    <w:p w14:paraId="229A395B" w14:textId="77777777" w:rsidR="001C1BC5" w:rsidRPr="0000361B" w:rsidRDefault="001C1BC5" w:rsidP="001C1BC5">
      <w:pPr>
        <w:rPr>
          <w:rFonts w:cs="Calibri"/>
          <w:szCs w:val="24"/>
          <w:lang w:eastAsia="zh-CN"/>
        </w:rPr>
      </w:pPr>
      <w:r w:rsidRPr="0000361B">
        <w:rPr>
          <w:rFonts w:cs="Calibri"/>
          <w:szCs w:val="24"/>
          <w:lang w:eastAsia="zh-CN"/>
        </w:rPr>
        <w:br w:type="page"/>
      </w:r>
    </w:p>
    <w:p w14:paraId="11971401" w14:textId="77777777" w:rsidR="001C1BC5" w:rsidRDefault="001C1BC5" w:rsidP="001C1BC5">
      <w:pPr>
        <w:pStyle w:val="AnnexNo"/>
        <w:rPr>
          <w:lang w:eastAsia="zh-CN"/>
        </w:rPr>
      </w:pPr>
      <w:bookmarkStart w:id="8" w:name="Annex_1"/>
      <w:r>
        <w:rPr>
          <w:lang w:val="zh-CN" w:eastAsia="zh-CN"/>
        </w:rPr>
        <w:lastRenderedPageBreak/>
        <w:t>附件</w:t>
      </w:r>
      <w:r>
        <w:rPr>
          <w:lang w:val="zh-CN" w:eastAsia="zh-CN"/>
        </w:rPr>
        <w:t>1</w:t>
      </w:r>
      <w:bookmarkEnd w:id="8"/>
    </w:p>
    <w:p w14:paraId="6BE729D3" w14:textId="77777777" w:rsidR="001C1BC5" w:rsidRPr="0000361B" w:rsidRDefault="001C1BC5" w:rsidP="001C1BC5">
      <w:pPr>
        <w:pStyle w:val="Annextitle"/>
        <w:rPr>
          <w:lang w:eastAsia="zh-CN"/>
        </w:rPr>
      </w:pPr>
      <w:r>
        <w:rPr>
          <w:bCs/>
          <w:lang w:val="zh-CN" w:eastAsia="zh-CN"/>
        </w:rPr>
        <w:t>国际组织</w:t>
      </w:r>
      <w:r>
        <w:rPr>
          <w:rFonts w:hint="eastAsia"/>
          <w:bCs/>
          <w:lang w:val="zh-CN" w:eastAsia="zh-CN"/>
        </w:rPr>
        <w:t>的</w:t>
      </w:r>
      <w:r>
        <w:rPr>
          <w:bCs/>
          <w:lang w:val="zh-CN" w:eastAsia="zh-CN"/>
        </w:rPr>
        <w:t>间接成本分配基准</w:t>
      </w:r>
    </w:p>
    <w:p w14:paraId="1E3C7E16" w14:textId="77777777" w:rsidR="001C1BC5" w:rsidRPr="0000361B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lang w:val="zh-CN" w:eastAsia="zh-CN"/>
        </w:rPr>
        <w:t>为了实现间接成本的合理分配，秘书处建议参考经认可的国际机构制定的基准，</w:t>
      </w:r>
      <w:r>
        <w:rPr>
          <w:rFonts w:hint="eastAsia"/>
          <w:lang w:val="zh-CN" w:eastAsia="zh-CN"/>
        </w:rPr>
        <w:t>以便为确定</w:t>
      </w:r>
      <w:r>
        <w:rPr>
          <w:lang w:val="zh-CN" w:eastAsia="zh-CN"/>
        </w:rPr>
        <w:t>适当的</w:t>
      </w:r>
      <w:r>
        <w:rPr>
          <w:rFonts w:hint="eastAsia"/>
          <w:lang w:val="zh-CN" w:eastAsia="zh-CN"/>
        </w:rPr>
        <w:t>间接成本</w:t>
      </w:r>
      <w:r>
        <w:rPr>
          <w:lang w:val="zh-CN" w:eastAsia="zh-CN"/>
        </w:rPr>
        <w:t>水平</w:t>
      </w:r>
      <w:r>
        <w:rPr>
          <w:rFonts w:hint="eastAsia"/>
          <w:lang w:val="zh-CN" w:eastAsia="zh-CN"/>
        </w:rPr>
        <w:t>提供</w:t>
      </w:r>
      <w:r>
        <w:rPr>
          <w:lang w:val="zh-CN" w:eastAsia="zh-CN"/>
        </w:rPr>
        <w:t>指导。最近的两项研究表明，间接成本分配</w:t>
      </w:r>
      <w:r>
        <w:rPr>
          <w:rFonts w:hint="eastAsia"/>
          <w:lang w:val="zh-CN" w:eastAsia="zh-CN"/>
        </w:rPr>
        <w:t>应</w:t>
      </w:r>
      <w:r>
        <w:rPr>
          <w:lang w:val="zh-CN" w:eastAsia="zh-CN"/>
        </w:rPr>
        <w:t>在</w:t>
      </w:r>
      <w:r w:rsidRPr="00AF4A82">
        <w:rPr>
          <w:b/>
          <w:bCs/>
          <w:lang w:val="zh-CN" w:eastAsia="zh-CN"/>
        </w:rPr>
        <w:t>直接成本的</w:t>
      </w:r>
      <w:r w:rsidRPr="00AF4A82">
        <w:rPr>
          <w:b/>
          <w:bCs/>
          <w:lang w:val="zh-CN" w:eastAsia="zh-CN"/>
        </w:rPr>
        <w:t>25%</w:t>
      </w:r>
      <w:r w:rsidRPr="00AF4A82">
        <w:rPr>
          <w:b/>
          <w:bCs/>
          <w:lang w:val="zh-CN" w:eastAsia="zh-CN"/>
        </w:rPr>
        <w:t>至</w:t>
      </w:r>
      <w:r w:rsidRPr="00AF4A82">
        <w:rPr>
          <w:b/>
          <w:bCs/>
          <w:lang w:val="zh-CN" w:eastAsia="zh-CN"/>
        </w:rPr>
        <w:t>30%</w:t>
      </w:r>
      <w:r w:rsidRPr="00AF4A82">
        <w:rPr>
          <w:b/>
          <w:bCs/>
          <w:lang w:val="zh-CN" w:eastAsia="zh-CN"/>
        </w:rPr>
        <w:t>之间</w:t>
      </w:r>
      <w:r>
        <w:rPr>
          <w:lang w:val="zh-CN" w:eastAsia="zh-CN"/>
        </w:rPr>
        <w:t>，具体取决于所提供服务的性质和复杂性。</w:t>
      </w:r>
    </w:p>
    <w:p w14:paraId="11BDE457" w14:textId="04533791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t>1)</w:t>
      </w:r>
      <w:r>
        <w:rPr>
          <w:lang w:val="zh-CN" w:eastAsia="zh-CN"/>
        </w:rPr>
        <w:tab/>
      </w:r>
      <w:r>
        <w:rPr>
          <w:b/>
          <w:bCs/>
          <w:lang w:val="zh-CN" w:eastAsia="zh-CN"/>
        </w:rPr>
        <w:t>世界银行和国际金融公司的研究：</w:t>
      </w:r>
    </w:p>
    <w:p w14:paraId="3CEDA8FC" w14:textId="77FB80EE" w:rsidR="001C1BC5" w:rsidRPr="0000361B" w:rsidRDefault="001C1BC5" w:rsidP="001C1BC5">
      <w:pPr>
        <w:pStyle w:val="enumlev2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根据世界银行和国际金融公司（</w:t>
      </w:r>
      <w:r>
        <w:rPr>
          <w:lang w:val="zh-CN" w:eastAsia="zh-CN"/>
        </w:rPr>
        <w:t>IFC</w:t>
      </w:r>
      <w:r>
        <w:rPr>
          <w:lang w:val="zh-CN" w:eastAsia="zh-CN"/>
        </w:rPr>
        <w:t>）的成本回收框架，公共部门实体的行政开销</w:t>
      </w:r>
      <w:r>
        <w:rPr>
          <w:rFonts w:hint="eastAsia"/>
          <w:lang w:val="zh-CN" w:eastAsia="zh-CN"/>
        </w:rPr>
        <w:t>在</w:t>
      </w:r>
      <w:r>
        <w:rPr>
          <w:lang w:val="zh-CN" w:eastAsia="zh-CN"/>
        </w:rPr>
        <w:t>理想情况下不应超过直接运营支出的</w:t>
      </w:r>
      <w:r w:rsidRPr="00AF4A82">
        <w:rPr>
          <w:b/>
          <w:bCs/>
          <w:lang w:val="zh-CN" w:eastAsia="zh-CN"/>
        </w:rPr>
        <w:t>30%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同时还</w:t>
      </w:r>
      <w:r>
        <w:rPr>
          <w:lang w:val="zh-CN" w:eastAsia="zh-CN"/>
        </w:rPr>
        <w:t>强调</w:t>
      </w:r>
      <w:r>
        <w:rPr>
          <w:rFonts w:hint="eastAsia"/>
          <w:lang w:val="zh-CN" w:eastAsia="zh-CN"/>
        </w:rPr>
        <w:t>要采用</w:t>
      </w:r>
      <w:r>
        <w:rPr>
          <w:lang w:val="zh-CN" w:eastAsia="zh-CN"/>
        </w:rPr>
        <w:t>成本回收和透明的平衡方法。</w:t>
      </w:r>
    </w:p>
    <w:p w14:paraId="04789B0D" w14:textId="068E2400" w:rsidR="001C1BC5" w:rsidRPr="0000361B" w:rsidRDefault="001C1BC5" w:rsidP="001C1BC5">
      <w:pPr>
        <w:pStyle w:val="enumlev2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参考：国际金融公司（</w:t>
      </w:r>
      <w:r>
        <w:rPr>
          <w:lang w:val="zh-CN" w:eastAsia="zh-CN"/>
        </w:rPr>
        <w:t>2020</w:t>
      </w:r>
      <w:r>
        <w:rPr>
          <w:lang w:val="zh-CN" w:eastAsia="zh-CN"/>
        </w:rPr>
        <w:t>年），</w:t>
      </w:r>
      <w:r w:rsidRPr="00AF4A82">
        <w:rPr>
          <w:rFonts w:ascii="STKaiti" w:eastAsia="STKaiti" w:hAnsi="STKaiti"/>
          <w:lang w:val="zh-CN" w:eastAsia="zh-CN"/>
        </w:rPr>
        <w:t>《项目</w:t>
      </w:r>
      <w:r>
        <w:rPr>
          <w:rFonts w:ascii="STKaiti" w:eastAsia="STKaiti" w:hAnsi="STKaiti"/>
          <w:lang w:val="zh-CN" w:eastAsia="zh-CN"/>
        </w:rPr>
        <w:t>成本分配</w:t>
      </w:r>
      <w:r w:rsidRPr="00AF4A82">
        <w:rPr>
          <w:rFonts w:ascii="STKaiti" w:eastAsia="STKaiti" w:hAnsi="STKaiti"/>
          <w:lang w:val="zh-CN" w:eastAsia="zh-CN"/>
        </w:rPr>
        <w:t>和成本回收</w:t>
      </w:r>
      <w:r w:rsidRPr="00AF4A82">
        <w:rPr>
          <w:rFonts w:ascii="STKaiti" w:eastAsia="STKaiti" w:hAnsi="STKaiti" w:hint="eastAsia"/>
          <w:lang w:val="zh-CN" w:eastAsia="zh-CN"/>
        </w:rPr>
        <w:t>导则</w:t>
      </w:r>
      <w:r w:rsidRPr="00AF4A82">
        <w:rPr>
          <w:rFonts w:ascii="STKaiti" w:eastAsia="STKaiti" w:hAnsi="STKaiti"/>
          <w:lang w:val="zh-CN" w:eastAsia="zh-CN"/>
        </w:rPr>
        <w:t>》</w:t>
      </w:r>
      <w:r>
        <w:rPr>
          <w:lang w:val="zh-CN" w:eastAsia="zh-CN"/>
        </w:rPr>
        <w:t>，世界银行集团，华盛顿特区。</w:t>
      </w:r>
    </w:p>
    <w:p w14:paraId="21E0EA7C" w14:textId="356359A8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t>2)</w:t>
      </w:r>
      <w:r>
        <w:rPr>
          <w:lang w:val="zh-CN" w:eastAsia="zh-CN"/>
        </w:rPr>
        <w:tab/>
      </w:r>
      <w:r w:rsidRPr="001C1BC5">
        <w:rPr>
          <w:b/>
          <w:bCs/>
          <w:lang w:val="zh-CN" w:eastAsia="zh-CN"/>
        </w:rPr>
        <w:t>联合国共同制度（联合国开发计划署和联合国儿童基金会）：</w:t>
      </w:r>
    </w:p>
    <w:p w14:paraId="4C9069B1" w14:textId="0AC18FF6" w:rsidR="001C1BC5" w:rsidRPr="0000361B" w:rsidRDefault="001C1BC5" w:rsidP="001C1BC5">
      <w:pPr>
        <w:pStyle w:val="enumlev2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联合国开发计划署（</w:t>
      </w:r>
      <w:r>
        <w:rPr>
          <w:lang w:val="zh-CN" w:eastAsia="zh-CN"/>
        </w:rPr>
        <w:t>UNDP</w:t>
      </w:r>
      <w:r>
        <w:rPr>
          <w:lang w:val="zh-CN" w:eastAsia="zh-CN"/>
        </w:rPr>
        <w:t>）和联合国儿童基金会（</w:t>
      </w:r>
      <w:r>
        <w:rPr>
          <w:lang w:val="zh-CN" w:eastAsia="zh-CN"/>
        </w:rPr>
        <w:t>UNICEF</w:t>
      </w:r>
      <w:r>
        <w:rPr>
          <w:lang w:val="zh-CN" w:eastAsia="zh-CN"/>
        </w:rPr>
        <w:t>）关于项目支持成本（</w:t>
      </w:r>
      <w:r>
        <w:rPr>
          <w:lang w:val="zh-CN" w:eastAsia="zh-CN"/>
        </w:rPr>
        <w:t>PSC</w:t>
      </w:r>
      <w:r>
        <w:rPr>
          <w:lang w:val="zh-CN" w:eastAsia="zh-CN"/>
        </w:rPr>
        <w:t>）的指导</w:t>
      </w:r>
      <w:r>
        <w:rPr>
          <w:rFonts w:hint="eastAsia"/>
          <w:lang w:val="zh-CN" w:eastAsia="zh-CN"/>
        </w:rPr>
        <w:t>原则</w:t>
      </w:r>
      <w:r>
        <w:rPr>
          <w:lang w:val="zh-CN" w:eastAsia="zh-CN"/>
        </w:rPr>
        <w:t>明确建议将间接成本（</w:t>
      </w:r>
      <w:r>
        <w:rPr>
          <w:rFonts w:hint="eastAsia"/>
          <w:lang w:val="zh-CN" w:eastAsia="zh-CN"/>
        </w:rPr>
        <w:t>“开销”</w:t>
      </w:r>
      <w:r>
        <w:rPr>
          <w:lang w:val="zh-CN" w:eastAsia="zh-CN"/>
        </w:rPr>
        <w:t>）回收限制在直接项目成本的</w:t>
      </w:r>
      <w:r w:rsidRPr="00AF4A82">
        <w:rPr>
          <w:b/>
          <w:bCs/>
          <w:lang w:val="zh-CN" w:eastAsia="zh-CN"/>
        </w:rPr>
        <w:t>25%-30%</w:t>
      </w:r>
      <w:r>
        <w:rPr>
          <w:lang w:val="zh-CN" w:eastAsia="zh-CN"/>
        </w:rPr>
        <w:t>。</w:t>
      </w:r>
    </w:p>
    <w:p w14:paraId="5B33928D" w14:textId="3F9E0A9D" w:rsidR="001C1BC5" w:rsidRPr="0000361B" w:rsidRDefault="001C1BC5" w:rsidP="001C1BC5">
      <w:pPr>
        <w:pStyle w:val="enumlev2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参考：</w:t>
      </w:r>
      <w:r>
        <w:rPr>
          <w:lang w:val="zh-CN" w:eastAsia="zh-CN"/>
        </w:rPr>
        <w:t>UNDP</w:t>
      </w:r>
      <w:r>
        <w:rPr>
          <w:lang w:val="zh-CN" w:eastAsia="zh-CN"/>
        </w:rPr>
        <w:t>（</w:t>
      </w:r>
      <w:r>
        <w:rPr>
          <w:lang w:val="zh-CN" w:eastAsia="zh-CN"/>
        </w:rPr>
        <w:t>2019</w:t>
      </w:r>
      <w:r>
        <w:rPr>
          <w:lang w:val="zh-CN" w:eastAsia="zh-CN"/>
        </w:rPr>
        <w:t>年），</w:t>
      </w:r>
      <w:r w:rsidRPr="00AF4A82">
        <w:rPr>
          <w:rFonts w:ascii="STKaiti" w:eastAsia="STKaiti" w:hAnsi="STKaiti"/>
          <w:lang w:val="zh-CN" w:eastAsia="zh-CN"/>
        </w:rPr>
        <w:t>成本回收和成本分类导则</w:t>
      </w:r>
      <w:r>
        <w:rPr>
          <w:lang w:val="zh-CN" w:eastAsia="zh-CN"/>
        </w:rPr>
        <w:t>，联合国开发计划署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纽约。</w:t>
      </w:r>
    </w:p>
    <w:p w14:paraId="648A1099" w14:textId="2D09EF3F" w:rsidR="001C1BC5" w:rsidRPr="0000361B" w:rsidRDefault="001C1BC5" w:rsidP="001C1BC5">
      <w:pPr>
        <w:pStyle w:val="enumlev2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参考：</w:t>
      </w:r>
      <w:r>
        <w:rPr>
          <w:lang w:val="zh-CN" w:eastAsia="zh-CN"/>
        </w:rPr>
        <w:t>UNICEF</w:t>
      </w:r>
      <w:r>
        <w:rPr>
          <w:lang w:val="zh-CN" w:eastAsia="zh-CN"/>
        </w:rPr>
        <w:t>（</w:t>
      </w:r>
      <w:r>
        <w:rPr>
          <w:lang w:val="zh-CN" w:eastAsia="zh-CN"/>
        </w:rPr>
        <w:t>2020</w:t>
      </w:r>
      <w:r>
        <w:rPr>
          <w:lang w:val="zh-CN" w:eastAsia="zh-CN"/>
        </w:rPr>
        <w:t>年），</w:t>
      </w:r>
      <w:r w:rsidRPr="00AF4A82">
        <w:rPr>
          <w:rFonts w:ascii="STKaiti" w:eastAsia="STKaiti" w:hAnsi="STKaiti"/>
          <w:lang w:val="zh-CN" w:eastAsia="zh-CN"/>
        </w:rPr>
        <w:t>联合国儿童基金会成本回收政策</w:t>
      </w:r>
      <w:r>
        <w:rPr>
          <w:lang w:val="zh-CN" w:eastAsia="zh-CN"/>
        </w:rPr>
        <w:t>，联合国儿童基金会执行</w:t>
      </w:r>
      <w:r>
        <w:rPr>
          <w:rFonts w:hint="eastAsia"/>
          <w:lang w:val="zh-CN" w:eastAsia="zh-CN"/>
        </w:rPr>
        <w:t>委员会</w:t>
      </w:r>
      <w:r>
        <w:rPr>
          <w:lang w:val="zh-CN" w:eastAsia="zh-CN"/>
        </w:rPr>
        <w:t>文件，纽约。</w:t>
      </w:r>
    </w:p>
    <w:p w14:paraId="1FABB492" w14:textId="77777777" w:rsidR="001C1BC5" w:rsidRPr="0000361B" w:rsidRDefault="001C1BC5" w:rsidP="001C1BC5">
      <w:pPr>
        <w:rPr>
          <w:rFonts w:cs="Calibri"/>
          <w:szCs w:val="24"/>
          <w:lang w:eastAsia="zh-CN"/>
        </w:rPr>
      </w:pPr>
      <w:r w:rsidRPr="0000361B">
        <w:rPr>
          <w:rFonts w:cs="Calibri"/>
          <w:szCs w:val="24"/>
          <w:lang w:eastAsia="zh-CN"/>
        </w:rPr>
        <w:br w:type="page"/>
      </w:r>
    </w:p>
    <w:p w14:paraId="193B099A" w14:textId="77777777" w:rsidR="001C1BC5" w:rsidRPr="001C1BC5" w:rsidRDefault="001C1BC5" w:rsidP="001C1BC5">
      <w:pPr>
        <w:pStyle w:val="AnnexNo"/>
        <w:rPr>
          <w:lang w:eastAsia="zh-CN"/>
        </w:rPr>
      </w:pPr>
      <w:bookmarkStart w:id="9" w:name="Annex_2"/>
      <w:r w:rsidRPr="001C1BC5">
        <w:rPr>
          <w:lang w:eastAsia="zh-CN"/>
        </w:rPr>
        <w:lastRenderedPageBreak/>
        <w:t>附件</w:t>
      </w:r>
      <w:r w:rsidRPr="001C1BC5">
        <w:rPr>
          <w:lang w:eastAsia="zh-CN"/>
        </w:rPr>
        <w:t>2</w:t>
      </w:r>
      <w:bookmarkEnd w:id="9"/>
    </w:p>
    <w:p w14:paraId="08EC1424" w14:textId="77777777" w:rsidR="001C1BC5" w:rsidRPr="0000361B" w:rsidRDefault="001C1BC5" w:rsidP="001C1BC5">
      <w:pPr>
        <w:pStyle w:val="Normalaftertitle"/>
        <w:ind w:firstLineChars="200" w:firstLine="480"/>
        <w:rPr>
          <w:lang w:eastAsia="zh-CN"/>
        </w:rPr>
      </w:pPr>
      <w:r>
        <w:rPr>
          <w:lang w:val="zh-CN" w:eastAsia="zh-CN"/>
        </w:rPr>
        <w:t>下文的摘要分析</w:t>
      </w:r>
      <w:r>
        <w:rPr>
          <w:rFonts w:hint="eastAsia"/>
          <w:lang w:val="zh-CN" w:eastAsia="zh-CN"/>
        </w:rPr>
        <w:t>简</w:t>
      </w:r>
      <w:r>
        <w:rPr>
          <w:lang w:val="zh-CN" w:eastAsia="zh-CN"/>
        </w:rPr>
        <w:t>要介绍了所采用方法、间接成本和成本</w:t>
      </w:r>
      <w:r>
        <w:rPr>
          <w:rFonts w:hint="eastAsia"/>
          <w:lang w:val="zh-CN" w:eastAsia="zh-CN"/>
        </w:rPr>
        <w:t>池</w:t>
      </w:r>
      <w:r>
        <w:rPr>
          <w:lang w:val="zh-CN" w:eastAsia="zh-CN"/>
        </w:rPr>
        <w:t>的主要驱动因素。</w:t>
      </w:r>
    </w:p>
    <w:p w14:paraId="63CD6F95" w14:textId="77777777" w:rsidR="001C1BC5" w:rsidRPr="004C354C" w:rsidRDefault="001C1BC5" w:rsidP="001C1BC5">
      <w:pPr>
        <w:pStyle w:val="Headingb"/>
        <w:jc w:val="center"/>
        <w:rPr>
          <w:rFonts w:cs="Calibri"/>
          <w:szCs w:val="24"/>
          <w:lang w:eastAsia="zh-CN"/>
        </w:rPr>
      </w:pPr>
      <w:r w:rsidRPr="0093116E">
        <w:rPr>
          <w:rFonts w:hint="eastAsia"/>
          <w:lang w:val="zh-CN" w:eastAsia="zh-CN"/>
        </w:rPr>
        <w:t>基于作业成本法</w:t>
      </w:r>
      <w:r>
        <w:rPr>
          <w:rFonts w:hint="eastAsia"/>
          <w:lang w:val="zh-CN" w:eastAsia="zh-CN"/>
        </w:rPr>
        <w:t>的</w:t>
      </w:r>
      <w:r w:rsidRPr="0093116E">
        <w:rPr>
          <w:rFonts w:hint="eastAsia"/>
          <w:lang w:val="zh-CN" w:eastAsia="zh-CN"/>
        </w:rPr>
        <w:t>成本池汇总以及相关成本的估算</w:t>
      </w:r>
    </w:p>
    <w:p w14:paraId="5B3EA468" w14:textId="77777777" w:rsidR="001C1BC5" w:rsidRPr="0000361B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lang w:val="zh-CN" w:eastAsia="zh-CN"/>
        </w:rPr>
        <w:t>国际电联已对其间接成本</w:t>
      </w:r>
      <w:r>
        <w:rPr>
          <w:rFonts w:hint="eastAsia"/>
          <w:lang w:val="zh-CN" w:eastAsia="zh-CN"/>
        </w:rPr>
        <w:t>开展</w:t>
      </w:r>
      <w:r>
        <w:rPr>
          <w:lang w:val="zh-CN" w:eastAsia="zh-CN"/>
        </w:rPr>
        <w:t>了初步审查。第一项工作是确定与</w:t>
      </w:r>
      <w:r>
        <w:rPr>
          <w:lang w:val="zh-CN" w:eastAsia="zh-CN"/>
        </w:rPr>
        <w:t>SNF</w:t>
      </w:r>
      <w:r>
        <w:rPr>
          <w:lang w:val="zh-CN" w:eastAsia="zh-CN"/>
        </w:rPr>
        <w:t>工作直接相关的成本池。</w:t>
      </w:r>
      <w:r>
        <w:rPr>
          <w:rFonts w:hint="eastAsia"/>
          <w:lang w:val="zh-CN" w:eastAsia="zh-CN"/>
        </w:rPr>
        <w:t>其内容涵盖</w:t>
      </w:r>
      <w:r>
        <w:rPr>
          <w:lang w:val="zh-CN" w:eastAsia="zh-CN"/>
        </w:rPr>
        <w:t>：</w:t>
      </w:r>
    </w:p>
    <w:p w14:paraId="0D361E99" w14:textId="769D8C8F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信息技术支持，</w:t>
      </w:r>
    </w:p>
    <w:p w14:paraId="70408DE0" w14:textId="15263327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93116E">
        <w:rPr>
          <w:rFonts w:cs="Calibri" w:hint="eastAsia"/>
          <w:lang w:val="zh-CN" w:eastAsia="zh-CN"/>
        </w:rPr>
        <w:t>一般</w:t>
      </w:r>
      <w:r w:rsidRPr="0093116E">
        <w:rPr>
          <w:rFonts w:cs="Calibri"/>
          <w:lang w:val="zh-CN" w:eastAsia="zh-CN"/>
        </w:rPr>
        <w:t>设施和公用设施</w:t>
      </w:r>
      <w:r>
        <w:rPr>
          <w:lang w:val="zh-CN" w:eastAsia="zh-CN"/>
        </w:rPr>
        <w:t>，</w:t>
      </w:r>
    </w:p>
    <w:p w14:paraId="778FB059" w14:textId="7585138A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人力资源，</w:t>
      </w:r>
    </w:p>
    <w:p w14:paraId="5E6D4EC6" w14:textId="0D4B9411" w:rsidR="001C1BC5" w:rsidRPr="0000361B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财务和法律服务，以及</w:t>
      </w:r>
    </w:p>
    <w:p w14:paraId="2273F94B" w14:textId="277BF844" w:rsidR="001C1BC5" w:rsidRPr="00FE348A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FE348A">
        <w:rPr>
          <w:rFonts w:cs="Calibri" w:hint="eastAsia"/>
          <w:lang w:val="zh-CN" w:eastAsia="zh-CN"/>
        </w:rPr>
        <w:t>行政管理</w:t>
      </w:r>
      <w:r w:rsidRPr="00FE348A">
        <w:rPr>
          <w:rFonts w:cs="Calibri"/>
          <w:lang w:val="zh-CN" w:eastAsia="zh-CN"/>
        </w:rPr>
        <w:t>开销。</w:t>
      </w:r>
    </w:p>
    <w:p w14:paraId="562F7348" w14:textId="77777777" w:rsidR="001C1BC5" w:rsidRPr="00897878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lang w:val="zh-CN" w:eastAsia="zh-CN"/>
        </w:rPr>
        <w:t>下节概述的</w:t>
      </w:r>
      <w:r>
        <w:rPr>
          <w:rFonts w:hint="eastAsia"/>
          <w:lang w:val="zh-CN" w:eastAsia="zh-CN"/>
        </w:rPr>
        <w:t>随后步骤旨在</w:t>
      </w:r>
      <w:r>
        <w:rPr>
          <w:lang w:val="zh-CN" w:eastAsia="zh-CN"/>
        </w:rPr>
        <w:t>确定推动</w:t>
      </w:r>
      <w:r>
        <w:rPr>
          <w:rFonts w:hint="eastAsia"/>
          <w:lang w:val="zh-CN" w:eastAsia="zh-CN"/>
        </w:rPr>
        <w:t>产生</w:t>
      </w:r>
      <w:r>
        <w:rPr>
          <w:lang w:val="zh-CN" w:eastAsia="zh-CN"/>
        </w:rPr>
        <w:t>这些成本的活动水平，即推动</w:t>
      </w:r>
      <w:r>
        <w:rPr>
          <w:rFonts w:hint="eastAsia"/>
          <w:lang w:val="zh-CN" w:eastAsia="zh-CN"/>
        </w:rPr>
        <w:t>形成</w:t>
      </w:r>
      <w:r>
        <w:rPr>
          <w:lang w:val="zh-CN" w:eastAsia="zh-CN"/>
        </w:rPr>
        <w:t>上述成本池的直接成本。</w:t>
      </w:r>
    </w:p>
    <w:p w14:paraId="75668478" w14:textId="77777777" w:rsidR="001C1BC5" w:rsidRPr="00897878" w:rsidRDefault="001C1BC5" w:rsidP="001C1BC5">
      <w:pPr>
        <w:pStyle w:val="Headingb"/>
        <w:jc w:val="center"/>
        <w:rPr>
          <w:rFonts w:cs="Calibri"/>
          <w:b w:val="0"/>
          <w:bCs/>
          <w:szCs w:val="24"/>
          <w:lang w:eastAsia="zh-CN"/>
        </w:rPr>
      </w:pPr>
      <w:r>
        <w:rPr>
          <w:bCs/>
          <w:lang w:val="zh-CN" w:eastAsia="zh-CN"/>
        </w:rPr>
        <w:t>用于认定</w:t>
      </w:r>
      <w:r>
        <w:rPr>
          <w:bCs/>
          <w:lang w:val="zh-CN" w:eastAsia="zh-CN"/>
        </w:rPr>
        <w:t>SNF</w:t>
      </w:r>
      <w:r>
        <w:rPr>
          <w:bCs/>
          <w:lang w:val="zh-CN" w:eastAsia="zh-CN"/>
        </w:rPr>
        <w:t>成本的完全成本分配原则</w:t>
      </w:r>
    </w:p>
    <w:p w14:paraId="78F4DE56" w14:textId="77777777" w:rsidR="001C1BC5" w:rsidRPr="00897878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t>对于</w:t>
      </w:r>
      <w:r>
        <w:rPr>
          <w:lang w:val="zh-CN" w:eastAsia="zh-CN"/>
        </w:rPr>
        <w:t>国际电联卫星网络申报（</w:t>
      </w:r>
      <w:r>
        <w:rPr>
          <w:lang w:val="zh-CN" w:eastAsia="zh-CN"/>
        </w:rPr>
        <w:t>SNF</w:t>
      </w:r>
      <w:r>
        <w:rPr>
          <w:lang w:val="zh-CN" w:eastAsia="zh-CN"/>
        </w:rPr>
        <w:t>），采用详细的全部成本分配模型将</w:t>
      </w:r>
      <w:r>
        <w:rPr>
          <w:rFonts w:hint="eastAsia"/>
          <w:lang w:val="zh-CN" w:eastAsia="zh-CN"/>
        </w:rPr>
        <w:t>有助于</w:t>
      </w:r>
      <w:r>
        <w:rPr>
          <w:lang w:val="zh-CN" w:eastAsia="zh-CN"/>
        </w:rPr>
        <w:t>清楚地了解各种</w:t>
      </w:r>
      <w:r>
        <w:rPr>
          <w:lang w:val="zh-CN" w:eastAsia="zh-CN"/>
        </w:rPr>
        <w:t>SNF</w:t>
      </w:r>
      <w:r>
        <w:rPr>
          <w:lang w:val="zh-CN" w:eastAsia="zh-CN"/>
        </w:rPr>
        <w:t>程序（公布、协调、通知和规划）背后的实际资源使用情况。现有的间接成本分配模型将间接成本的约</w:t>
      </w:r>
      <w:r>
        <w:rPr>
          <w:lang w:val="zh-CN" w:eastAsia="zh-CN"/>
        </w:rPr>
        <w:t>107%</w:t>
      </w:r>
      <w:r>
        <w:rPr>
          <w:rFonts w:hint="eastAsia"/>
          <w:lang w:val="zh-CN" w:eastAsia="zh-CN"/>
        </w:rPr>
        <w:t>分摊至</w:t>
      </w:r>
      <w:r>
        <w:rPr>
          <w:lang w:val="zh-CN" w:eastAsia="zh-CN"/>
        </w:rPr>
        <w:t>整个</w:t>
      </w:r>
      <w:r>
        <w:rPr>
          <w:lang w:val="zh-CN" w:eastAsia="zh-CN"/>
        </w:rPr>
        <w:t>SNF</w:t>
      </w:r>
      <w:r>
        <w:rPr>
          <w:lang w:val="zh-CN" w:eastAsia="zh-CN"/>
        </w:rPr>
        <w:t>运营，如果以国际标准（通常为</w:t>
      </w:r>
      <w:r>
        <w:rPr>
          <w:lang w:val="zh-CN" w:eastAsia="zh-CN"/>
        </w:rPr>
        <w:t>25%-30%</w:t>
      </w:r>
      <w:r>
        <w:rPr>
          <w:lang w:val="zh-CN" w:eastAsia="zh-CN"/>
        </w:rPr>
        <w:t>）为基准，该比例过高。</w:t>
      </w:r>
    </w:p>
    <w:p w14:paraId="65027510" w14:textId="77777777" w:rsidR="001C1BC5" w:rsidRPr="00897878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t>基于</w:t>
      </w:r>
      <w:r>
        <w:rPr>
          <w:lang w:val="zh-CN" w:eastAsia="zh-CN"/>
        </w:rPr>
        <w:t>以往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分析</w:t>
      </w:r>
      <w:r>
        <w:rPr>
          <w:rFonts w:hint="eastAsia"/>
          <w:lang w:val="zh-CN" w:eastAsia="zh-CN"/>
        </w:rPr>
        <w:t>和对其加以</w:t>
      </w:r>
      <w:r>
        <w:rPr>
          <w:lang w:val="zh-CN" w:eastAsia="zh-CN"/>
        </w:rPr>
        <w:t>完善</w:t>
      </w:r>
      <w:r>
        <w:rPr>
          <w:rFonts w:hint="eastAsia"/>
          <w:lang w:val="zh-CN" w:eastAsia="zh-CN"/>
        </w:rPr>
        <w:t>的必要性的认识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我们</w:t>
      </w:r>
      <w:r>
        <w:rPr>
          <w:lang w:val="zh-CN" w:eastAsia="zh-CN"/>
        </w:rPr>
        <w:t>将采用结构化和详细的成本分配方法。</w:t>
      </w:r>
      <w:r>
        <w:rPr>
          <w:rFonts w:hint="eastAsia"/>
          <w:lang w:val="zh-CN" w:eastAsia="zh-CN"/>
        </w:rPr>
        <w:t>此方法</w:t>
      </w:r>
      <w:r>
        <w:rPr>
          <w:lang w:val="zh-CN" w:eastAsia="zh-CN"/>
        </w:rPr>
        <w:t>将明确界定成本池和成本驱动因素</w:t>
      </w:r>
      <w:r>
        <w:rPr>
          <w:rFonts w:hint="eastAsia"/>
          <w:lang w:val="zh-CN" w:eastAsia="zh-CN"/>
        </w:rPr>
        <w:t>（可</w:t>
      </w:r>
      <w:r>
        <w:rPr>
          <w:lang w:val="zh-CN" w:eastAsia="zh-CN"/>
        </w:rPr>
        <w:t>准确地</w:t>
      </w:r>
      <w:r>
        <w:rPr>
          <w:rFonts w:hint="eastAsia"/>
          <w:lang w:val="zh-CN" w:eastAsia="zh-CN"/>
        </w:rPr>
        <w:t>反映</w:t>
      </w:r>
      <w:r>
        <w:rPr>
          <w:lang w:val="zh-CN" w:eastAsia="zh-CN"/>
        </w:rPr>
        <w:t>SNF</w:t>
      </w:r>
      <w:r>
        <w:rPr>
          <w:lang w:val="zh-CN" w:eastAsia="zh-CN"/>
        </w:rPr>
        <w:t>过程中资源使用情况的活动</w:t>
      </w:r>
      <w:r>
        <w:rPr>
          <w:rFonts w:hint="eastAsia"/>
          <w:lang w:val="zh-CN" w:eastAsia="zh-CN"/>
        </w:rPr>
        <w:t>）。这些活动与</w:t>
      </w:r>
      <w:r>
        <w:rPr>
          <w:lang w:val="zh-CN" w:eastAsia="zh-CN"/>
        </w:rPr>
        <w:t>根据第</w:t>
      </w:r>
      <w:r>
        <w:rPr>
          <w:lang w:val="zh-CN" w:eastAsia="zh-CN"/>
        </w:rPr>
        <w:t>91</w:t>
      </w:r>
      <w:r>
        <w:rPr>
          <w:lang w:val="zh-CN" w:eastAsia="zh-CN"/>
        </w:rPr>
        <w:t>号决议（</w:t>
      </w:r>
      <w:r>
        <w:rPr>
          <w:lang w:val="zh-CN" w:eastAsia="zh-CN"/>
        </w:rPr>
        <w:t>2010</w:t>
      </w:r>
      <w:r>
        <w:rPr>
          <w:lang w:val="zh-CN" w:eastAsia="zh-CN"/>
        </w:rPr>
        <w:t>年，瓜达拉哈拉，修订版）</w:t>
      </w:r>
      <w:r>
        <w:rPr>
          <w:rFonts w:hint="eastAsia"/>
          <w:lang w:val="zh-CN" w:eastAsia="zh-CN"/>
        </w:rPr>
        <w:t>做出</w:t>
      </w:r>
      <w:r>
        <w:rPr>
          <w:lang w:val="zh-CN" w:eastAsia="zh-CN"/>
        </w:rPr>
        <w:t>的</w:t>
      </w:r>
      <w:r>
        <w:rPr>
          <w:lang w:val="zh-CN" w:eastAsia="zh-CN"/>
        </w:rPr>
        <w:t>SNF</w:t>
      </w:r>
      <w:r>
        <w:rPr>
          <w:lang w:val="zh-CN" w:eastAsia="zh-CN"/>
        </w:rPr>
        <w:t>成本分配修正案</w:t>
      </w:r>
      <w:r>
        <w:rPr>
          <w:rFonts w:hint="eastAsia"/>
          <w:lang w:val="zh-CN" w:eastAsia="zh-CN"/>
        </w:rPr>
        <w:t>及</w:t>
      </w:r>
      <w:r>
        <w:rPr>
          <w:lang w:val="zh-CN" w:eastAsia="zh-CN"/>
        </w:rPr>
        <w:t>理由</w:t>
      </w:r>
      <w:r>
        <w:rPr>
          <w:rFonts w:hint="eastAsia"/>
          <w:lang w:val="zh-CN" w:eastAsia="zh-CN"/>
        </w:rPr>
        <w:t>相符</w:t>
      </w:r>
      <w:r>
        <w:rPr>
          <w:lang w:val="zh-CN" w:eastAsia="zh-CN"/>
        </w:rPr>
        <w:t>。</w:t>
      </w:r>
    </w:p>
    <w:p w14:paraId="2A51CF57" w14:textId="77777777" w:rsidR="001C1BC5" w:rsidRPr="00897878" w:rsidRDefault="001C1BC5" w:rsidP="001C1BC5">
      <w:pPr>
        <w:pStyle w:val="Headingb"/>
        <w:jc w:val="center"/>
        <w:rPr>
          <w:rFonts w:cs="Calibri"/>
          <w:b w:val="0"/>
          <w:bCs/>
          <w:szCs w:val="24"/>
          <w:lang w:eastAsia="zh-CN"/>
        </w:rPr>
      </w:pPr>
      <w:r>
        <w:rPr>
          <w:bCs/>
          <w:lang w:val="zh-CN" w:eastAsia="zh-CN"/>
        </w:rPr>
        <w:t>完全成本分配模型的关键原则</w:t>
      </w:r>
    </w:p>
    <w:p w14:paraId="1F8BFEFF" w14:textId="77777777" w:rsidR="001C1BC5" w:rsidRDefault="001C1BC5" w:rsidP="001C1BC5">
      <w:pPr>
        <w:rPr>
          <w:rFonts w:cs="Calibri"/>
          <w:szCs w:val="24"/>
          <w:lang w:eastAsia="zh-CN"/>
        </w:rPr>
      </w:pPr>
      <w:r w:rsidRPr="00B823DC">
        <w:rPr>
          <w:b/>
          <w:bCs/>
          <w:lang w:val="zh-CN" w:eastAsia="zh-CN"/>
        </w:rPr>
        <w:t>成本类别（成本池）：</w:t>
      </w:r>
      <w:r w:rsidRPr="00542B74">
        <w:rPr>
          <w:b/>
          <w:bCs/>
          <w:lang w:val="zh-CN" w:eastAsia="zh-CN"/>
        </w:rPr>
        <w:t>完全成本分配</w:t>
      </w:r>
      <w:r>
        <w:rPr>
          <w:lang w:val="zh-CN" w:eastAsia="zh-CN"/>
        </w:rPr>
        <w:t>需要将间接成本分类为逻辑组或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成本池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用以</w:t>
      </w:r>
      <w:r>
        <w:rPr>
          <w:lang w:val="zh-CN" w:eastAsia="zh-CN"/>
        </w:rPr>
        <w:t>表示类似的间接</w:t>
      </w:r>
      <w:r>
        <w:rPr>
          <w:rFonts w:hint="eastAsia"/>
          <w:lang w:val="zh-CN" w:eastAsia="zh-CN"/>
        </w:rPr>
        <w:t>支出</w:t>
      </w:r>
      <w:r>
        <w:rPr>
          <w:lang w:val="zh-CN" w:eastAsia="zh-CN"/>
        </w:rPr>
        <w:t>类型。</w:t>
      </w:r>
    </w:p>
    <w:p w14:paraId="58C22D90" w14:textId="77777777" w:rsidR="001C1BC5" w:rsidRDefault="001C1BC5" w:rsidP="001C1BC5">
      <w:pPr>
        <w:pStyle w:val="Headingb"/>
        <w:rPr>
          <w:lang w:eastAsia="zh-CN"/>
        </w:rPr>
      </w:pPr>
      <w:r>
        <w:rPr>
          <w:rFonts w:hint="eastAsia"/>
          <w:lang w:eastAsia="zh-CN"/>
        </w:rPr>
        <w:t>直接成本</w:t>
      </w:r>
    </w:p>
    <w:p w14:paraId="2C5ADE9B" w14:textId="77777777" w:rsidR="001C1BC5" w:rsidRPr="00897878" w:rsidRDefault="001C1BC5" w:rsidP="001C1BC5">
      <w:pPr>
        <w:ind w:firstLineChars="200" w:firstLine="480"/>
        <w:rPr>
          <w:rFonts w:cs="Calibri"/>
          <w:lang w:eastAsia="zh-CN"/>
        </w:rPr>
      </w:pPr>
      <w:r>
        <w:rPr>
          <w:lang w:val="zh-CN" w:eastAsia="zh-CN"/>
        </w:rPr>
        <w:t>与</w:t>
      </w:r>
      <w:r>
        <w:rPr>
          <w:lang w:val="zh-CN" w:eastAsia="zh-CN"/>
        </w:rPr>
        <w:t>SNF</w:t>
      </w:r>
      <w:r>
        <w:rPr>
          <w:lang w:val="zh-CN" w:eastAsia="zh-CN"/>
        </w:rPr>
        <w:t>业务明确相关的直接成本（即处理卫星申报</w:t>
      </w:r>
      <w:r>
        <w:rPr>
          <w:rFonts w:hint="eastAsia"/>
          <w:lang w:val="zh-CN" w:eastAsia="zh-CN"/>
        </w:rPr>
        <w:t>的成本</w:t>
      </w:r>
      <w:r>
        <w:rPr>
          <w:lang w:val="zh-CN" w:eastAsia="zh-CN"/>
        </w:rPr>
        <w:t>，</w:t>
      </w:r>
      <w:r>
        <w:rPr>
          <w:rFonts w:hint="eastAsia"/>
          <w:lang w:val="zh-CN" w:eastAsia="zh-CN"/>
        </w:rPr>
        <w:t>其中涉及</w:t>
      </w:r>
      <w:r>
        <w:rPr>
          <w:lang w:val="zh-CN" w:eastAsia="zh-CN"/>
        </w:rPr>
        <w:t>可受理性验证、协调和通知的技术和规则审查、空间规划管理、</w:t>
      </w:r>
      <w:proofErr w:type="gramStart"/>
      <w:r>
        <w:rPr>
          <w:lang w:val="zh-CN" w:eastAsia="zh-CN"/>
        </w:rPr>
        <w:t>特</w:t>
      </w:r>
      <w:proofErr w:type="gramEnd"/>
      <w:r>
        <w:rPr>
          <w:lang w:val="zh-CN" w:eastAsia="zh-CN"/>
        </w:rPr>
        <w:t>节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公布</w:t>
      </w:r>
      <w:r>
        <w:rPr>
          <w:rFonts w:hint="eastAsia"/>
          <w:lang w:val="zh-CN" w:eastAsia="zh-CN"/>
        </w:rPr>
        <w:t>以及</w:t>
      </w:r>
      <w:r>
        <w:rPr>
          <w:lang w:val="zh-CN" w:eastAsia="zh-CN"/>
        </w:rPr>
        <w:t>协助主管部门提交资料）主要包括：</w:t>
      </w:r>
    </w:p>
    <w:p w14:paraId="351AAC5D" w14:textId="69758F2C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rFonts w:hint="eastAsia"/>
          <w:lang w:val="zh-CN" w:eastAsia="zh-CN"/>
        </w:rPr>
        <w:t>与</w:t>
      </w:r>
      <w:r>
        <w:rPr>
          <w:lang w:val="zh-CN" w:eastAsia="zh-CN"/>
        </w:rPr>
        <w:t>SNF</w:t>
      </w:r>
      <w:r>
        <w:rPr>
          <w:lang w:val="zh-CN" w:eastAsia="zh-CN"/>
        </w:rPr>
        <w:t>任务</w:t>
      </w:r>
      <w:r>
        <w:rPr>
          <w:rFonts w:hint="eastAsia"/>
          <w:lang w:val="zh-CN" w:eastAsia="zh-CN"/>
        </w:rPr>
        <w:t>直接相关的无线电通信局</w:t>
      </w:r>
      <w:r>
        <w:rPr>
          <w:lang w:val="zh-CN" w:eastAsia="zh-CN"/>
        </w:rPr>
        <w:t>职员工资、福利和</w:t>
      </w:r>
      <w:r>
        <w:rPr>
          <w:rFonts w:hint="eastAsia"/>
          <w:lang w:val="zh-CN" w:eastAsia="zh-CN"/>
        </w:rPr>
        <w:t>开销</w:t>
      </w:r>
      <w:r>
        <w:rPr>
          <w:lang w:val="zh-CN" w:eastAsia="zh-CN"/>
        </w:rPr>
        <w:t>。</w:t>
      </w:r>
    </w:p>
    <w:p w14:paraId="5B532D45" w14:textId="5E027F46" w:rsidR="001C1BC5" w:rsidRDefault="001C1BC5" w:rsidP="001C1BC5">
      <w:pPr>
        <w:pStyle w:val="enumlev1"/>
        <w:rPr>
          <w:rFonts w:cs="Calibri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rFonts w:hint="eastAsia"/>
          <w:lang w:val="zh-CN" w:eastAsia="zh-CN"/>
        </w:rPr>
        <w:t>仅与</w:t>
      </w:r>
      <w:r>
        <w:rPr>
          <w:lang w:val="zh-CN" w:eastAsia="zh-CN"/>
        </w:rPr>
        <w:t>SNF</w:t>
      </w:r>
      <w:r>
        <w:rPr>
          <w:rFonts w:hint="eastAsia"/>
          <w:lang w:val="zh-CN" w:eastAsia="zh-CN"/>
        </w:rPr>
        <w:t>职员相关的</w:t>
      </w:r>
      <w:r>
        <w:rPr>
          <w:lang w:val="zh-CN" w:eastAsia="zh-CN"/>
        </w:rPr>
        <w:t>培训和职业发展。</w:t>
      </w:r>
    </w:p>
    <w:p w14:paraId="20FCA6D4" w14:textId="20D976AD" w:rsidR="001C1BC5" w:rsidRDefault="001C1BC5" w:rsidP="001C1BC5">
      <w:pPr>
        <w:pStyle w:val="enumlev1"/>
        <w:rPr>
          <w:rFonts w:cs="Calibri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技术资源：</w:t>
      </w:r>
    </w:p>
    <w:p w14:paraId="1798E909" w14:textId="001FD3D0" w:rsidR="001C1BC5" w:rsidRPr="00897878" w:rsidRDefault="001C1BC5" w:rsidP="001C1BC5">
      <w:pPr>
        <w:pStyle w:val="enumlev2"/>
        <w:rPr>
          <w:rFonts w:cs="Calibri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专门的</w:t>
      </w:r>
      <w:r>
        <w:rPr>
          <w:lang w:val="zh-CN" w:eastAsia="zh-CN"/>
        </w:rPr>
        <w:t>IT</w:t>
      </w:r>
      <w:r>
        <w:rPr>
          <w:lang w:val="zh-CN" w:eastAsia="zh-CN"/>
        </w:rPr>
        <w:t>系统开发、维护、升级和</w:t>
      </w:r>
      <w:r>
        <w:rPr>
          <w:lang w:val="zh-CN" w:eastAsia="zh-CN"/>
        </w:rPr>
        <w:t>SNF</w:t>
      </w:r>
      <w:r>
        <w:rPr>
          <w:rFonts w:hint="eastAsia"/>
          <w:lang w:val="zh-CN" w:eastAsia="zh-CN"/>
        </w:rPr>
        <w:t>专用的</w:t>
      </w:r>
      <w:r>
        <w:rPr>
          <w:lang w:val="zh-CN" w:eastAsia="zh-CN"/>
        </w:rPr>
        <w:t>运营软件许可。</w:t>
      </w:r>
    </w:p>
    <w:p w14:paraId="6030C5D3" w14:textId="5AB43432" w:rsidR="001C1BC5" w:rsidRPr="00897878" w:rsidRDefault="001C1BC5" w:rsidP="001C1BC5">
      <w:pPr>
        <w:pStyle w:val="enumlev2"/>
        <w:rPr>
          <w:rFonts w:cs="Calibri"/>
          <w:lang w:eastAsia="zh-CN"/>
        </w:rPr>
      </w:pPr>
      <w:r w:rsidRPr="001C1BC5">
        <w:rPr>
          <w:lang w:val="zh-CN" w:eastAsia="zh-CN"/>
        </w:rPr>
        <w:t>–</w:t>
      </w:r>
      <w:r>
        <w:rPr>
          <w:lang w:val="zh-CN" w:eastAsia="zh-CN"/>
        </w:rPr>
        <w:tab/>
      </w:r>
      <w:r>
        <w:rPr>
          <w:lang w:val="zh-CN" w:eastAsia="zh-CN"/>
        </w:rPr>
        <w:t>直接设备成本（服务器、专用硬件、</w:t>
      </w:r>
      <w:r>
        <w:rPr>
          <w:lang w:val="zh-CN" w:eastAsia="zh-CN"/>
        </w:rPr>
        <w:t>SNF</w:t>
      </w:r>
      <w:r>
        <w:rPr>
          <w:lang w:val="zh-CN" w:eastAsia="zh-CN"/>
        </w:rPr>
        <w:t>软件许可）。</w:t>
      </w:r>
    </w:p>
    <w:p w14:paraId="4A221B66" w14:textId="1DB04B61" w:rsidR="001C1BC5" w:rsidRPr="004A66A6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与</w:t>
      </w:r>
      <w:r>
        <w:rPr>
          <w:lang w:val="zh-CN" w:eastAsia="zh-CN"/>
        </w:rPr>
        <w:t>SNF</w:t>
      </w:r>
      <w:r>
        <w:rPr>
          <w:rFonts w:hint="eastAsia"/>
          <w:lang w:val="zh-CN" w:eastAsia="zh-CN"/>
        </w:rPr>
        <w:t>职责范围内</w:t>
      </w:r>
      <w:r>
        <w:rPr>
          <w:lang w:val="zh-CN" w:eastAsia="zh-CN"/>
        </w:rPr>
        <w:t>的协调会议和国际大会相关的差旅费。</w:t>
      </w:r>
    </w:p>
    <w:p w14:paraId="1981F98A" w14:textId="77777777" w:rsidR="001C1BC5" w:rsidRPr="0000361B" w:rsidRDefault="001C1BC5" w:rsidP="001C1BC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间接成本</w:t>
      </w:r>
    </w:p>
    <w:p w14:paraId="2A4EE2AC" w14:textId="77777777" w:rsidR="001C1BC5" w:rsidRPr="00897878" w:rsidRDefault="001C1BC5" w:rsidP="001C1BC5">
      <w:pPr>
        <w:ind w:firstLineChars="200" w:firstLine="480"/>
        <w:rPr>
          <w:rFonts w:cs="Calibri"/>
          <w:szCs w:val="24"/>
          <w:lang w:eastAsia="zh-CN"/>
        </w:rPr>
      </w:pPr>
      <w:r>
        <w:rPr>
          <w:rFonts w:hint="eastAsia"/>
          <w:lang w:val="zh-CN" w:eastAsia="zh-CN"/>
        </w:rPr>
        <w:t>有关</w:t>
      </w:r>
      <w:r>
        <w:rPr>
          <w:lang w:val="zh-CN" w:eastAsia="zh-CN"/>
        </w:rPr>
        <w:t>国际电联的</w:t>
      </w:r>
      <w:r>
        <w:rPr>
          <w:lang w:val="zh-CN" w:eastAsia="zh-CN"/>
        </w:rPr>
        <w:t>SNF</w:t>
      </w:r>
      <w:r>
        <w:rPr>
          <w:rFonts w:hint="eastAsia"/>
          <w:lang w:val="zh-CN" w:eastAsia="zh-CN"/>
        </w:rPr>
        <w:t>操作</w:t>
      </w:r>
      <w:r>
        <w:rPr>
          <w:lang w:val="zh-CN" w:eastAsia="zh-CN"/>
        </w:rPr>
        <w:t>，建议间</w:t>
      </w:r>
      <w:r>
        <w:rPr>
          <w:rFonts w:hint="eastAsia"/>
          <w:lang w:val="zh-CN" w:eastAsia="zh-CN"/>
        </w:rPr>
        <w:t>其</w:t>
      </w:r>
      <w:proofErr w:type="gramStart"/>
      <w:r>
        <w:rPr>
          <w:lang w:val="zh-CN" w:eastAsia="zh-CN"/>
        </w:rPr>
        <w:t>接成本池包括</w:t>
      </w:r>
      <w:proofErr w:type="gramEnd"/>
      <w:r>
        <w:rPr>
          <w:rFonts w:hint="eastAsia"/>
          <w:lang w:val="zh-CN" w:eastAsia="zh-CN"/>
        </w:rPr>
        <w:t>以下项目</w:t>
      </w:r>
      <w:r>
        <w:rPr>
          <w:lang w:val="zh-CN" w:eastAsia="zh-CN"/>
        </w:rPr>
        <w:t>：</w:t>
      </w:r>
    </w:p>
    <w:p w14:paraId="2F5ABB86" w14:textId="4E5909B5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信息技术（</w:t>
      </w:r>
      <w:r>
        <w:rPr>
          <w:lang w:val="zh-CN" w:eastAsia="zh-CN"/>
        </w:rPr>
        <w:t>IT</w:t>
      </w:r>
      <w:r>
        <w:rPr>
          <w:lang w:val="zh-CN" w:eastAsia="zh-CN"/>
        </w:rPr>
        <w:t>）支持</w:t>
      </w:r>
    </w:p>
    <w:p w14:paraId="46D8D1C1" w14:textId="45E4CFAD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rFonts w:hint="eastAsia"/>
          <w:lang w:val="zh-CN" w:eastAsia="zh-CN"/>
        </w:rPr>
        <w:t>一般</w:t>
      </w:r>
      <w:r>
        <w:rPr>
          <w:lang w:val="zh-CN" w:eastAsia="zh-CN"/>
        </w:rPr>
        <w:t>设施和公用设施</w:t>
      </w:r>
    </w:p>
    <w:p w14:paraId="06F3BD4C" w14:textId="75FFEF32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人力资源（</w:t>
      </w:r>
      <w:r>
        <w:rPr>
          <w:lang w:val="zh-CN" w:eastAsia="zh-CN"/>
        </w:rPr>
        <w:t>HR</w:t>
      </w:r>
      <w:r>
        <w:rPr>
          <w:lang w:val="zh-CN" w:eastAsia="zh-CN"/>
        </w:rPr>
        <w:t>）服务</w:t>
      </w:r>
    </w:p>
    <w:p w14:paraId="4FB1BA77" w14:textId="7DBFE5EE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lang w:val="zh-CN" w:eastAsia="zh-CN"/>
        </w:rPr>
        <w:t>财务和法律服务</w:t>
      </w:r>
    </w:p>
    <w:p w14:paraId="704B475C" w14:textId="768838B6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rFonts w:hint="eastAsia"/>
          <w:lang w:val="zh-CN" w:eastAsia="zh-CN"/>
        </w:rPr>
        <w:t>行政管理</w:t>
      </w:r>
      <w:r>
        <w:rPr>
          <w:lang w:val="zh-CN" w:eastAsia="zh-CN"/>
        </w:rPr>
        <w:t>开销</w:t>
      </w:r>
    </w:p>
    <w:p w14:paraId="12FD965A" w14:textId="77777777" w:rsidR="001C1BC5" w:rsidRPr="00897878" w:rsidRDefault="001C1BC5" w:rsidP="001C1BC5">
      <w:pPr>
        <w:pStyle w:val="Headingb"/>
        <w:rPr>
          <w:rFonts w:cs="Calibri"/>
          <w:szCs w:val="24"/>
          <w:lang w:eastAsia="zh-CN"/>
        </w:rPr>
      </w:pPr>
      <w:r>
        <w:rPr>
          <w:lang w:val="zh-CN" w:eastAsia="zh-CN"/>
        </w:rPr>
        <w:t>成本驱动因素：</w:t>
      </w:r>
    </w:p>
    <w:p w14:paraId="257DACF9" w14:textId="77777777" w:rsidR="001C1BC5" w:rsidRPr="00897878" w:rsidRDefault="001C1BC5" w:rsidP="001C1BC5">
      <w:pPr>
        <w:spacing w:after="240"/>
        <w:ind w:firstLineChars="200" w:firstLine="480"/>
        <w:rPr>
          <w:rFonts w:cs="Calibri"/>
          <w:szCs w:val="24"/>
          <w:lang w:eastAsia="zh-CN"/>
        </w:rPr>
      </w:pPr>
      <w:r>
        <w:rPr>
          <w:lang w:val="zh-CN" w:eastAsia="zh-CN"/>
        </w:rPr>
        <w:t>成本驱动因素是</w:t>
      </w:r>
      <w:r>
        <w:rPr>
          <w:rFonts w:hint="eastAsia"/>
          <w:lang w:val="zh-CN" w:eastAsia="zh-CN"/>
        </w:rPr>
        <w:t>衡量</w:t>
      </w:r>
      <w:r>
        <w:rPr>
          <w:lang w:val="zh-CN" w:eastAsia="zh-CN"/>
        </w:rPr>
        <w:t>SNF</w:t>
      </w:r>
      <w:r>
        <w:rPr>
          <w:lang w:val="zh-CN" w:eastAsia="zh-CN"/>
        </w:rPr>
        <w:t>活动利用各</w:t>
      </w:r>
      <w:r>
        <w:rPr>
          <w:rFonts w:hint="eastAsia"/>
          <w:lang w:val="zh-CN" w:eastAsia="zh-CN"/>
        </w:rPr>
        <w:t>类</w:t>
      </w:r>
      <w:r>
        <w:rPr>
          <w:lang w:val="zh-CN" w:eastAsia="zh-CN"/>
        </w:rPr>
        <w:t>间接成本程度的</w:t>
      </w:r>
      <w:r>
        <w:rPr>
          <w:rFonts w:hint="eastAsia"/>
          <w:lang w:val="zh-CN" w:eastAsia="zh-CN"/>
        </w:rPr>
        <w:t>标准</w:t>
      </w:r>
      <w:r>
        <w:rPr>
          <w:lang w:val="zh-CN" w:eastAsia="zh-CN"/>
        </w:rPr>
        <w:t>。拟议的驱动因素将包括：</w:t>
      </w:r>
    </w:p>
    <w:p w14:paraId="6161A1B9" w14:textId="347CC5A1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FE348A">
        <w:rPr>
          <w:b/>
          <w:bCs/>
          <w:lang w:val="zh-CN" w:eastAsia="zh-CN"/>
        </w:rPr>
        <w:t>IT</w:t>
      </w:r>
      <w:r w:rsidRPr="00FE348A">
        <w:rPr>
          <w:b/>
          <w:bCs/>
          <w:lang w:val="zh-CN" w:eastAsia="zh-CN"/>
        </w:rPr>
        <w:t>支持：</w:t>
      </w:r>
      <w:r>
        <w:rPr>
          <w:lang w:val="zh-CN" w:eastAsia="zh-CN"/>
        </w:rPr>
        <w:t>IT</w:t>
      </w:r>
      <w:r>
        <w:rPr>
          <w:lang w:val="zh-CN" w:eastAsia="zh-CN"/>
        </w:rPr>
        <w:t>请求的数量、系统使用情况、</w:t>
      </w:r>
      <w:r>
        <w:rPr>
          <w:rFonts w:hint="eastAsia"/>
          <w:lang w:val="zh-CN" w:eastAsia="zh-CN"/>
        </w:rPr>
        <w:t>针对</w:t>
      </w:r>
      <w:r>
        <w:rPr>
          <w:lang w:val="zh-CN" w:eastAsia="zh-CN"/>
        </w:rPr>
        <w:t>SNF</w:t>
      </w:r>
      <w:r>
        <w:rPr>
          <w:rFonts w:hint="eastAsia"/>
          <w:lang w:val="zh-CN" w:eastAsia="zh-CN"/>
        </w:rPr>
        <w:t>操作</w:t>
      </w:r>
      <w:r>
        <w:rPr>
          <w:lang w:val="zh-CN" w:eastAsia="zh-CN"/>
        </w:rPr>
        <w:t>的</w:t>
      </w:r>
      <w:r>
        <w:rPr>
          <w:rFonts w:hint="eastAsia"/>
          <w:lang w:val="zh-CN" w:eastAsia="zh-CN"/>
        </w:rPr>
        <w:t>信息</w:t>
      </w:r>
      <w:r>
        <w:rPr>
          <w:lang w:val="zh-CN" w:eastAsia="zh-CN"/>
        </w:rPr>
        <w:t>存储量。</w:t>
      </w:r>
    </w:p>
    <w:p w14:paraId="79862B2B" w14:textId="2ECA5ADB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>
        <w:rPr>
          <w:rFonts w:hint="eastAsia"/>
          <w:b/>
          <w:bCs/>
          <w:lang w:val="zh-CN" w:eastAsia="zh-CN"/>
        </w:rPr>
        <w:t>一般</w:t>
      </w:r>
      <w:r w:rsidRPr="00FE348A">
        <w:rPr>
          <w:b/>
          <w:bCs/>
          <w:lang w:val="zh-CN" w:eastAsia="zh-CN"/>
        </w:rPr>
        <w:t>设施和公用设施：</w:t>
      </w:r>
      <w:r>
        <w:rPr>
          <w:lang w:val="zh-CN" w:eastAsia="zh-CN"/>
        </w:rPr>
        <w:t>SNF</w:t>
      </w:r>
      <w:r>
        <w:rPr>
          <w:lang w:val="zh-CN" w:eastAsia="zh-CN"/>
        </w:rPr>
        <w:t>占用的办公空间或涉及的</w:t>
      </w:r>
      <w:r>
        <w:rPr>
          <w:rFonts w:hint="eastAsia"/>
          <w:lang w:val="zh-CN" w:eastAsia="zh-CN"/>
        </w:rPr>
        <w:t>“</w:t>
      </w:r>
      <w:r w:rsidRPr="00FE348A">
        <w:rPr>
          <w:rFonts w:hint="eastAsia"/>
          <w:lang w:val="zh-CN" w:eastAsia="zh-CN"/>
        </w:rPr>
        <w:t>全职等效员工”</w:t>
      </w:r>
      <w:r>
        <w:rPr>
          <w:lang w:val="zh-CN" w:eastAsia="zh-CN"/>
        </w:rPr>
        <w:t>（</w:t>
      </w:r>
      <w:r>
        <w:rPr>
          <w:lang w:val="zh-CN" w:eastAsia="zh-CN"/>
        </w:rPr>
        <w:t>FTE</w:t>
      </w:r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数</w:t>
      </w:r>
      <w:r>
        <w:rPr>
          <w:lang w:val="zh-CN" w:eastAsia="zh-CN"/>
        </w:rPr>
        <w:t>。</w:t>
      </w:r>
    </w:p>
    <w:p w14:paraId="2B32FF38" w14:textId="240C57A1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FE348A">
        <w:rPr>
          <w:b/>
          <w:bCs/>
          <w:lang w:val="zh-CN" w:eastAsia="zh-CN"/>
        </w:rPr>
        <w:t>人力资源：</w:t>
      </w:r>
      <w:r>
        <w:rPr>
          <w:lang w:val="zh-CN" w:eastAsia="zh-CN"/>
        </w:rPr>
        <w:t>SNF</w:t>
      </w:r>
      <w:r>
        <w:rPr>
          <w:lang w:val="zh-CN" w:eastAsia="zh-CN"/>
        </w:rPr>
        <w:t>员工的数量或与</w:t>
      </w:r>
      <w:r>
        <w:rPr>
          <w:lang w:val="zh-CN" w:eastAsia="zh-CN"/>
        </w:rPr>
        <w:t>SNF</w:t>
      </w:r>
      <w:r>
        <w:rPr>
          <w:lang w:val="zh-CN" w:eastAsia="zh-CN"/>
        </w:rPr>
        <w:t>相关的具体人力资源</w:t>
      </w:r>
      <w:r>
        <w:rPr>
          <w:rFonts w:hint="eastAsia"/>
          <w:lang w:val="zh-CN" w:eastAsia="zh-CN"/>
        </w:rPr>
        <w:t>事务处理量</w:t>
      </w:r>
      <w:r>
        <w:rPr>
          <w:lang w:val="zh-CN" w:eastAsia="zh-CN"/>
        </w:rPr>
        <w:t>。</w:t>
      </w:r>
    </w:p>
    <w:p w14:paraId="5E75BEB7" w14:textId="088A8DB0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FE348A">
        <w:rPr>
          <w:b/>
          <w:bCs/>
          <w:lang w:val="zh-CN" w:eastAsia="zh-CN"/>
        </w:rPr>
        <w:t>财务和法律：</w:t>
      </w:r>
      <w:r>
        <w:rPr>
          <w:lang w:val="zh-CN" w:eastAsia="zh-CN"/>
        </w:rPr>
        <w:t>需要</w:t>
      </w:r>
      <w:r>
        <w:rPr>
          <w:rFonts w:hint="eastAsia"/>
          <w:lang w:val="zh-CN" w:eastAsia="zh-CN"/>
        </w:rPr>
        <w:t>实施</w:t>
      </w:r>
      <w:r>
        <w:rPr>
          <w:lang w:val="zh-CN" w:eastAsia="zh-CN"/>
        </w:rPr>
        <w:t>监督、</w:t>
      </w:r>
      <w:r>
        <w:rPr>
          <w:rFonts w:hint="eastAsia"/>
          <w:lang w:val="zh-CN" w:eastAsia="zh-CN"/>
        </w:rPr>
        <w:t>使用相关</w:t>
      </w:r>
      <w:r>
        <w:rPr>
          <w:lang w:val="zh-CN" w:eastAsia="zh-CN"/>
        </w:rPr>
        <w:t>系统、</w:t>
      </w:r>
      <w:r>
        <w:rPr>
          <w:rFonts w:hint="eastAsia"/>
          <w:lang w:val="zh-CN" w:eastAsia="zh-CN"/>
        </w:rPr>
        <w:t>进行</w:t>
      </w:r>
      <w:r>
        <w:rPr>
          <w:lang w:val="zh-CN" w:eastAsia="zh-CN"/>
        </w:rPr>
        <w:t>处理和</w:t>
      </w:r>
      <w:r>
        <w:rPr>
          <w:rFonts w:hint="eastAsia"/>
          <w:lang w:val="zh-CN" w:eastAsia="zh-CN"/>
        </w:rPr>
        <w:t>编写</w:t>
      </w:r>
      <w:r>
        <w:rPr>
          <w:lang w:val="zh-CN" w:eastAsia="zh-CN"/>
        </w:rPr>
        <w:t>财务报告的</w:t>
      </w:r>
      <w:r>
        <w:rPr>
          <w:lang w:val="zh-CN" w:eastAsia="zh-CN"/>
        </w:rPr>
        <w:t>SNF</w:t>
      </w:r>
      <w:r>
        <w:rPr>
          <w:lang w:val="zh-CN" w:eastAsia="zh-CN"/>
        </w:rPr>
        <w:t>相关交易的数量和复杂性。</w:t>
      </w:r>
    </w:p>
    <w:p w14:paraId="6622553C" w14:textId="466A5661" w:rsidR="001C1BC5" w:rsidRPr="00897878" w:rsidRDefault="001C1BC5" w:rsidP="001C1BC5">
      <w:pPr>
        <w:pStyle w:val="enumlev1"/>
        <w:rPr>
          <w:rFonts w:cs="Calibri"/>
          <w:szCs w:val="24"/>
          <w:lang w:eastAsia="zh-CN"/>
        </w:rPr>
      </w:pPr>
      <w:r w:rsidRPr="001C1BC5">
        <w:rPr>
          <w:lang w:val="zh-CN" w:eastAsia="zh-CN"/>
        </w:rPr>
        <w:t>•</w:t>
      </w:r>
      <w:r w:rsidRPr="001C1BC5">
        <w:rPr>
          <w:lang w:val="zh-CN" w:eastAsia="zh-CN"/>
        </w:rPr>
        <w:tab/>
      </w:r>
      <w:r w:rsidRPr="00FE348A">
        <w:rPr>
          <w:b/>
          <w:bCs/>
          <w:lang w:val="zh-CN" w:eastAsia="zh-CN"/>
        </w:rPr>
        <w:t>行政</w:t>
      </w:r>
      <w:r>
        <w:rPr>
          <w:rFonts w:hint="eastAsia"/>
          <w:b/>
          <w:bCs/>
          <w:lang w:val="zh-CN" w:eastAsia="zh-CN"/>
        </w:rPr>
        <w:t>管理</w:t>
      </w:r>
      <w:r w:rsidRPr="00FE348A">
        <w:rPr>
          <w:b/>
          <w:bCs/>
          <w:lang w:val="zh-CN" w:eastAsia="zh-CN"/>
        </w:rPr>
        <w:t>开销：</w:t>
      </w:r>
      <w:r>
        <w:rPr>
          <w:lang w:val="zh-CN" w:eastAsia="zh-CN"/>
        </w:rPr>
        <w:t>与</w:t>
      </w:r>
      <w:r>
        <w:rPr>
          <w:lang w:val="zh-CN" w:eastAsia="zh-CN"/>
        </w:rPr>
        <w:t>SNF</w:t>
      </w:r>
      <w:r>
        <w:rPr>
          <w:lang w:val="zh-CN" w:eastAsia="zh-CN"/>
        </w:rPr>
        <w:t>相关的行政</w:t>
      </w:r>
      <w:r>
        <w:rPr>
          <w:rFonts w:hint="eastAsia"/>
          <w:lang w:val="zh-CN" w:eastAsia="zh-CN"/>
        </w:rPr>
        <w:t>管理</w:t>
      </w:r>
      <w:r>
        <w:rPr>
          <w:lang w:val="zh-CN" w:eastAsia="zh-CN"/>
        </w:rPr>
        <w:t>支持时间、采购活动</w:t>
      </w:r>
      <w:r>
        <w:rPr>
          <w:rFonts w:hint="eastAsia"/>
          <w:lang w:val="zh-CN" w:eastAsia="zh-CN"/>
        </w:rPr>
        <w:t>的数</w:t>
      </w:r>
      <w:r>
        <w:rPr>
          <w:lang w:val="zh-CN" w:eastAsia="zh-CN"/>
        </w:rPr>
        <w:t>量和</w:t>
      </w:r>
      <w:r>
        <w:rPr>
          <w:rFonts w:hint="eastAsia"/>
          <w:lang w:val="zh-CN" w:eastAsia="zh-CN"/>
        </w:rPr>
        <w:t>政策</w:t>
      </w:r>
      <w:r>
        <w:rPr>
          <w:lang w:val="zh-CN" w:eastAsia="zh-CN"/>
        </w:rPr>
        <w:t>管理。</w:t>
      </w:r>
    </w:p>
    <w:p w14:paraId="0146673C" w14:textId="77777777" w:rsidR="00E323D0" w:rsidRDefault="00E323D0" w:rsidP="0032202E">
      <w:pPr>
        <w:pStyle w:val="Reasons"/>
        <w:rPr>
          <w:lang w:eastAsia="zh-CN"/>
        </w:rPr>
      </w:pPr>
    </w:p>
    <w:p w14:paraId="04F30DAA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FB73" w14:textId="77777777" w:rsidR="001C1BC5" w:rsidRDefault="001C1BC5">
      <w:r>
        <w:separator/>
      </w:r>
    </w:p>
  </w:endnote>
  <w:endnote w:type="continuationSeparator" w:id="0">
    <w:p w14:paraId="3CD612E3" w14:textId="77777777" w:rsidR="001C1BC5" w:rsidRDefault="001C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0CA8F80A" w14:textId="77777777" w:rsidTr="00E31DCE">
      <w:trPr>
        <w:jc w:val="center"/>
      </w:trPr>
      <w:tc>
        <w:tcPr>
          <w:tcW w:w="1803" w:type="dxa"/>
          <w:vAlign w:val="center"/>
        </w:tcPr>
        <w:p w14:paraId="2A12F0CF" w14:textId="72DE67CF" w:rsidR="00E24D59" w:rsidRPr="001C1BC5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1C1BC5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2501084</w:t>
          </w:r>
        </w:p>
      </w:tc>
      <w:tc>
        <w:tcPr>
          <w:tcW w:w="8261" w:type="dxa"/>
        </w:tcPr>
        <w:p w14:paraId="33ACF111" w14:textId="044B000A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1C1BC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64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49404976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E489F91" w14:textId="77777777" w:rsidTr="00E31DCE">
      <w:trPr>
        <w:jc w:val="center"/>
      </w:trPr>
      <w:tc>
        <w:tcPr>
          <w:tcW w:w="1803" w:type="dxa"/>
          <w:vAlign w:val="center"/>
        </w:tcPr>
        <w:p w14:paraId="6CD96C11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6C13CA66" w14:textId="4E9B2F33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1C1BC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64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531E68E6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CD0A7" w14:textId="77777777" w:rsidR="001C1BC5" w:rsidRDefault="001C1BC5">
      <w:r>
        <w:t>____________________</w:t>
      </w:r>
    </w:p>
  </w:footnote>
  <w:footnote w:type="continuationSeparator" w:id="0">
    <w:p w14:paraId="42BF7E73" w14:textId="77777777" w:rsidR="001C1BC5" w:rsidRDefault="001C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2E744E3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C9A184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918C038" wp14:editId="45930B12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EA1AEA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BB7629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4E0DCD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3EEA28B1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C8C94" wp14:editId="2349D7D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1E8EB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6558C"/>
    <w:multiLevelType w:val="hybridMultilevel"/>
    <w:tmpl w:val="235AB0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5BA"/>
    <w:multiLevelType w:val="hybridMultilevel"/>
    <w:tmpl w:val="75162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C29"/>
    <w:multiLevelType w:val="hybridMultilevel"/>
    <w:tmpl w:val="9B1C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A45"/>
    <w:multiLevelType w:val="multilevel"/>
    <w:tmpl w:val="962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704511"/>
    <w:multiLevelType w:val="multilevel"/>
    <w:tmpl w:val="7E4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5697A"/>
    <w:multiLevelType w:val="multilevel"/>
    <w:tmpl w:val="C72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46652"/>
    <w:multiLevelType w:val="multilevel"/>
    <w:tmpl w:val="57F0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1509E"/>
    <w:multiLevelType w:val="multilevel"/>
    <w:tmpl w:val="D18C82E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C0D10"/>
    <w:multiLevelType w:val="hybridMultilevel"/>
    <w:tmpl w:val="A7EE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9368">
    <w:abstractNumId w:val="0"/>
  </w:num>
  <w:num w:numId="2" w16cid:durableId="501241818">
    <w:abstractNumId w:val="6"/>
  </w:num>
  <w:num w:numId="3" w16cid:durableId="371539808">
    <w:abstractNumId w:val="7"/>
  </w:num>
  <w:num w:numId="4" w16cid:durableId="1525828948">
    <w:abstractNumId w:val="12"/>
  </w:num>
  <w:num w:numId="5" w16cid:durableId="2033219779">
    <w:abstractNumId w:val="14"/>
  </w:num>
  <w:num w:numId="6" w16cid:durableId="349645790">
    <w:abstractNumId w:val="13"/>
  </w:num>
  <w:num w:numId="7" w16cid:durableId="1451586466">
    <w:abstractNumId w:val="5"/>
  </w:num>
  <w:num w:numId="8" w16cid:durableId="1622027705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9" w16cid:durableId="2084334879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10" w16cid:durableId="52004845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54676910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239950663">
    <w:abstractNumId w:val="15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517846379">
    <w:abstractNumId w:val="2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760834986">
    <w:abstractNumId w:val="3"/>
    <w:lvlOverride w:ilvl="0">
      <w:lvl w:ilvl="0" w:tplc="08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 w16cid:durableId="1745180070">
    <w:abstractNumId w:val="1"/>
    <w:lvlOverride w:ilvl="0">
      <w:lvl w:ilvl="0" w:tplc="0809001B">
        <w:start w:val="1"/>
        <w:numFmt w:val="lowerRoman"/>
        <w:lvlText w:val="%1."/>
        <w:lvlJc w:val="right"/>
        <w:pPr>
          <w:ind w:left="720" w:hanging="360"/>
        </w:pPr>
      </w:lvl>
    </w:lvlOverride>
  </w:num>
  <w:num w:numId="16" w16cid:durableId="80303566">
    <w:abstractNumId w:val="11"/>
    <w:lvlOverride w:ilvl="0">
      <w:lvl w:ilvl="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C5"/>
    <w:rsid w:val="00001B77"/>
    <w:rsid w:val="0000517A"/>
    <w:rsid w:val="00031E72"/>
    <w:rsid w:val="000404D2"/>
    <w:rsid w:val="000646BD"/>
    <w:rsid w:val="000853C0"/>
    <w:rsid w:val="00093DD9"/>
    <w:rsid w:val="0009409E"/>
    <w:rsid w:val="000A1C21"/>
    <w:rsid w:val="000C0BC5"/>
    <w:rsid w:val="000D15EA"/>
    <w:rsid w:val="000D7012"/>
    <w:rsid w:val="000F1748"/>
    <w:rsid w:val="00100D84"/>
    <w:rsid w:val="00124C9D"/>
    <w:rsid w:val="001305DE"/>
    <w:rsid w:val="0015333E"/>
    <w:rsid w:val="00157773"/>
    <w:rsid w:val="0018251A"/>
    <w:rsid w:val="00190272"/>
    <w:rsid w:val="001921CA"/>
    <w:rsid w:val="00193244"/>
    <w:rsid w:val="00195C6C"/>
    <w:rsid w:val="00195FED"/>
    <w:rsid w:val="00196CA3"/>
    <w:rsid w:val="001A4BD6"/>
    <w:rsid w:val="001B6E2B"/>
    <w:rsid w:val="001C1BC5"/>
    <w:rsid w:val="001D5A18"/>
    <w:rsid w:val="00215132"/>
    <w:rsid w:val="00224449"/>
    <w:rsid w:val="00280EB8"/>
    <w:rsid w:val="002935D8"/>
    <w:rsid w:val="002A6670"/>
    <w:rsid w:val="002C3F32"/>
    <w:rsid w:val="00303502"/>
    <w:rsid w:val="00325C25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B0473"/>
    <w:rsid w:val="007E189D"/>
    <w:rsid w:val="007F0210"/>
    <w:rsid w:val="00806E3F"/>
    <w:rsid w:val="00811259"/>
    <w:rsid w:val="00813AA2"/>
    <w:rsid w:val="008173A3"/>
    <w:rsid w:val="0084073D"/>
    <w:rsid w:val="008418F5"/>
    <w:rsid w:val="0086059C"/>
    <w:rsid w:val="00864589"/>
    <w:rsid w:val="00874C82"/>
    <w:rsid w:val="00890AFB"/>
    <w:rsid w:val="00890FC4"/>
    <w:rsid w:val="00891D77"/>
    <w:rsid w:val="00895905"/>
    <w:rsid w:val="008B6185"/>
    <w:rsid w:val="008F64AD"/>
    <w:rsid w:val="00911230"/>
    <w:rsid w:val="00911867"/>
    <w:rsid w:val="009164A9"/>
    <w:rsid w:val="009258CB"/>
    <w:rsid w:val="0093362E"/>
    <w:rsid w:val="00944563"/>
    <w:rsid w:val="00953160"/>
    <w:rsid w:val="009625D8"/>
    <w:rsid w:val="00983878"/>
    <w:rsid w:val="0098459B"/>
    <w:rsid w:val="00997185"/>
    <w:rsid w:val="009C2458"/>
    <w:rsid w:val="009C4A7B"/>
    <w:rsid w:val="009C5E26"/>
    <w:rsid w:val="009C6123"/>
    <w:rsid w:val="009F1E3E"/>
    <w:rsid w:val="00A1213C"/>
    <w:rsid w:val="00A13406"/>
    <w:rsid w:val="00A272FF"/>
    <w:rsid w:val="00A5354B"/>
    <w:rsid w:val="00A71B57"/>
    <w:rsid w:val="00AB0B7B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383B"/>
    <w:rsid w:val="00D5666C"/>
    <w:rsid w:val="00D666BC"/>
    <w:rsid w:val="00D83542"/>
    <w:rsid w:val="00D92F45"/>
    <w:rsid w:val="00D94637"/>
    <w:rsid w:val="00D94BB8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44F43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57BFBD"/>
  <w15:docId w15:val="{778A6C98-2879-4819-AA6A-2C666138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C5E26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10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5-CL-C-0010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L-C-001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4-CL-C-01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91-C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1</TotalTime>
  <Pages>6</Pages>
  <Words>2184</Words>
  <Characters>2403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methodology for calculation of SNF cost recovery</vt:lpstr>
    </vt:vector>
  </TitlesOfParts>
  <Manager>General Secretariat - Pool</Manager>
  <Company>International Telecommunication Union (ITU)</Company>
  <LinksUpToDate>false</LinksUpToDate>
  <CharactersWithSpaces>4483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methodology for calculation of SNF cost recovery</dc:title>
  <dc:subject>ITU Council 2025</dc:subject>
  <cp:keywords>C2025, C25, Council-25</cp:keywords>
  <dc:description/>
  <cp:lastPrinted>2015-02-24T13:23:00Z</cp:lastPrinted>
  <dcterms:created xsi:type="dcterms:W3CDTF">2025-05-26T12:15:00Z</dcterms:created>
  <dcterms:modified xsi:type="dcterms:W3CDTF">2025-05-26T12:16:00Z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