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6"/>
        <w:gridCol w:w="2965"/>
      </w:tblGrid>
      <w:tr w:rsidR="007B0AA0" w14:paraId="4328D1B2" w14:textId="77777777" w:rsidTr="00F363FE">
        <w:tc>
          <w:tcPr>
            <w:tcW w:w="6512" w:type="dxa"/>
          </w:tcPr>
          <w:p w14:paraId="19198F8D" w14:textId="440DF29D" w:rsidR="007B0AA0" w:rsidRPr="007B0AA0" w:rsidRDefault="007B0AA0" w:rsidP="00F363FE">
            <w:pPr>
              <w:spacing w:before="60" w:after="60" w:line="260" w:lineRule="exact"/>
              <w:rPr>
                <w:b/>
                <w:bCs/>
                <w:rtl/>
              </w:rPr>
            </w:pPr>
            <w:r w:rsidRPr="007B0AA0">
              <w:rPr>
                <w:rFonts w:hint="cs"/>
                <w:b/>
                <w:bCs/>
                <w:rtl/>
                <w:lang w:bidi="ar-EG"/>
              </w:rPr>
              <w:t>بند جدول الأعمال:</w:t>
            </w:r>
            <w:r w:rsidR="007B3637">
              <w:rPr>
                <w:rFonts w:hint="cs"/>
                <w:b/>
                <w:bCs/>
                <w:rtl/>
              </w:rPr>
              <w:t xml:space="preserve"> </w:t>
            </w:r>
            <w:proofErr w:type="spellStart"/>
            <w:r w:rsidR="007B3637" w:rsidRPr="006B648C">
              <w:rPr>
                <w:b/>
                <w:bCs/>
                <w:color w:val="000000"/>
                <w:rtl/>
              </w:rPr>
              <w:t>ADM</w:t>
            </w:r>
            <w:proofErr w:type="spellEnd"/>
            <w:r w:rsidR="007B3637" w:rsidRPr="006B648C">
              <w:rPr>
                <w:b/>
                <w:bCs/>
                <w:color w:val="000000"/>
                <w:rtl/>
              </w:rPr>
              <w:t xml:space="preserve"> 1</w:t>
            </w:r>
          </w:p>
        </w:tc>
        <w:tc>
          <w:tcPr>
            <w:tcW w:w="3117" w:type="dxa"/>
          </w:tcPr>
          <w:p w14:paraId="04A4D916" w14:textId="3B715C75"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proofErr w:type="spellStart"/>
            <w:r w:rsidRPr="007B0AA0">
              <w:rPr>
                <w:b/>
                <w:bCs/>
                <w:lang w:bidi="ar-EG"/>
              </w:rPr>
              <w:t>C2</w:t>
            </w:r>
            <w:r w:rsidR="006F363C">
              <w:rPr>
                <w:b/>
                <w:bCs/>
                <w:lang w:bidi="ar-EG"/>
              </w:rPr>
              <w:t>5</w:t>
            </w:r>
            <w:proofErr w:type="spellEnd"/>
            <w:r w:rsidRPr="007B0AA0">
              <w:rPr>
                <w:b/>
                <w:bCs/>
                <w:lang w:bidi="ar-EG"/>
              </w:rPr>
              <w:t>/</w:t>
            </w:r>
            <w:r w:rsidR="00F67B4E">
              <w:rPr>
                <w:b/>
                <w:bCs/>
                <w:lang w:bidi="ar-EG"/>
              </w:rPr>
              <w:t>64</w:t>
            </w:r>
            <w:r w:rsidRPr="007B0AA0">
              <w:rPr>
                <w:b/>
                <w:bCs/>
                <w:lang w:bidi="ar-EG"/>
              </w:rPr>
              <w:t>-A</w:t>
            </w:r>
          </w:p>
        </w:tc>
      </w:tr>
      <w:tr w:rsidR="007B0AA0" w14:paraId="50D78A71" w14:textId="77777777" w:rsidTr="00F363FE">
        <w:tc>
          <w:tcPr>
            <w:tcW w:w="6512" w:type="dxa"/>
          </w:tcPr>
          <w:p w14:paraId="1001760E" w14:textId="77777777" w:rsidR="007B0AA0" w:rsidRPr="007B0AA0" w:rsidRDefault="007B0AA0" w:rsidP="00F363FE">
            <w:pPr>
              <w:spacing w:before="60" w:after="60" w:line="260" w:lineRule="exact"/>
              <w:rPr>
                <w:b/>
                <w:bCs/>
                <w:rtl/>
                <w:lang w:bidi="ar-EG"/>
              </w:rPr>
            </w:pPr>
          </w:p>
        </w:tc>
        <w:tc>
          <w:tcPr>
            <w:tcW w:w="3117" w:type="dxa"/>
          </w:tcPr>
          <w:p w14:paraId="231AA924" w14:textId="0C0ED4D3" w:rsidR="007B0AA0" w:rsidRPr="007B0AA0" w:rsidRDefault="00F67B4E" w:rsidP="00F363FE">
            <w:pPr>
              <w:spacing w:before="60" w:after="60" w:line="260" w:lineRule="exact"/>
              <w:rPr>
                <w:b/>
                <w:bCs/>
                <w:rtl/>
                <w:lang w:bidi="ar-EG"/>
              </w:rPr>
            </w:pPr>
            <w:r w:rsidRPr="00F67B4E">
              <w:rPr>
                <w:b/>
                <w:bCs/>
                <w:rtl/>
                <w:lang w:bidi="ar-EG"/>
              </w:rPr>
              <w:t>1 مايو 2025</w:t>
            </w:r>
          </w:p>
        </w:tc>
      </w:tr>
      <w:tr w:rsidR="007B0AA0" w14:paraId="1FC98254" w14:textId="77777777" w:rsidTr="00F363FE">
        <w:tc>
          <w:tcPr>
            <w:tcW w:w="6512" w:type="dxa"/>
          </w:tcPr>
          <w:p w14:paraId="77E6EC03" w14:textId="77777777" w:rsidR="007B0AA0" w:rsidRPr="007B0AA0" w:rsidRDefault="007B0AA0" w:rsidP="00F363FE">
            <w:pPr>
              <w:spacing w:before="60" w:after="60" w:line="260" w:lineRule="exact"/>
              <w:rPr>
                <w:b/>
                <w:bCs/>
                <w:rtl/>
                <w:lang w:bidi="ar-EG"/>
              </w:rPr>
            </w:pPr>
          </w:p>
        </w:tc>
        <w:tc>
          <w:tcPr>
            <w:tcW w:w="3117" w:type="dxa"/>
          </w:tcPr>
          <w:p w14:paraId="70F91C8F"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2D2B7FC6" w14:textId="77777777" w:rsidTr="00F363FE">
        <w:tc>
          <w:tcPr>
            <w:tcW w:w="6512" w:type="dxa"/>
          </w:tcPr>
          <w:p w14:paraId="1099850B" w14:textId="77777777" w:rsidR="007B0AA0" w:rsidRDefault="007B0AA0" w:rsidP="00F363FE">
            <w:pPr>
              <w:spacing w:before="60" w:after="60" w:line="260" w:lineRule="exact"/>
              <w:rPr>
                <w:lang w:bidi="ar-EG"/>
              </w:rPr>
            </w:pPr>
          </w:p>
        </w:tc>
        <w:tc>
          <w:tcPr>
            <w:tcW w:w="3117" w:type="dxa"/>
          </w:tcPr>
          <w:p w14:paraId="6C91B722" w14:textId="77777777" w:rsidR="007B0AA0" w:rsidRDefault="007B0AA0" w:rsidP="00F363FE">
            <w:pPr>
              <w:spacing w:before="60" w:after="60" w:line="260" w:lineRule="exact"/>
              <w:rPr>
                <w:rtl/>
                <w:lang w:bidi="ar-EG"/>
              </w:rPr>
            </w:pPr>
          </w:p>
        </w:tc>
      </w:tr>
      <w:tr w:rsidR="007B0AA0" w14:paraId="1D52EA1B" w14:textId="77777777" w:rsidTr="00EE7446">
        <w:tc>
          <w:tcPr>
            <w:tcW w:w="9629" w:type="dxa"/>
            <w:gridSpan w:val="2"/>
          </w:tcPr>
          <w:p w14:paraId="78D1A279" w14:textId="77777777" w:rsidR="007B0AA0" w:rsidRDefault="001D64C7" w:rsidP="007B0AA0">
            <w:pPr>
              <w:pStyle w:val="Source"/>
              <w:jc w:val="left"/>
              <w:rPr>
                <w:lang w:bidi="ar-EG"/>
              </w:rPr>
            </w:pPr>
            <w:r>
              <w:rPr>
                <w:rFonts w:hint="cs"/>
                <w:rtl/>
                <w:lang w:bidi="ar-EG"/>
              </w:rPr>
              <w:t>تقرير من الأمينة العامة</w:t>
            </w:r>
          </w:p>
        </w:tc>
      </w:tr>
      <w:tr w:rsidR="007B0AA0" w14:paraId="3F79DE28" w14:textId="77777777" w:rsidTr="007B0AA0">
        <w:tc>
          <w:tcPr>
            <w:tcW w:w="9629" w:type="dxa"/>
            <w:gridSpan w:val="2"/>
            <w:tcBorders>
              <w:bottom w:val="single" w:sz="4" w:space="0" w:color="auto"/>
            </w:tcBorders>
          </w:tcPr>
          <w:p w14:paraId="10EBC1E3" w14:textId="1C7ECE55" w:rsidR="007B0AA0" w:rsidRPr="00F430AC" w:rsidRDefault="00F67B4E" w:rsidP="00F67B4E">
            <w:pPr>
              <w:pStyle w:val="Subtitle0"/>
              <w:rPr>
                <w:sz w:val="32"/>
                <w:szCs w:val="32"/>
              </w:rPr>
            </w:pPr>
            <w:bookmarkStart w:id="0" w:name="_Hlk196858311"/>
            <w:r w:rsidRPr="00F430AC">
              <w:rPr>
                <w:sz w:val="32"/>
                <w:szCs w:val="32"/>
                <w:rtl/>
                <w:lang w:bidi="ar-SA"/>
              </w:rPr>
              <w:t>المنهجية المقترحة لحساب استرداد تكاليف بطاقات التبليغ عن</w:t>
            </w:r>
            <w:r w:rsidR="00F430AC" w:rsidRPr="00F430AC">
              <w:rPr>
                <w:rFonts w:hint="cs"/>
                <w:sz w:val="32"/>
                <w:szCs w:val="32"/>
                <w:rtl/>
                <w:lang w:bidi="ar-SA"/>
              </w:rPr>
              <w:t xml:space="preserve"> </w:t>
            </w:r>
            <w:r w:rsidRPr="00F430AC">
              <w:rPr>
                <w:sz w:val="32"/>
                <w:szCs w:val="32"/>
                <w:rtl/>
                <w:lang w:bidi="ar-SA"/>
              </w:rPr>
              <w:t>الشبكات</w:t>
            </w:r>
            <w:r w:rsidR="00F430AC" w:rsidRPr="00F430AC">
              <w:rPr>
                <w:rFonts w:hint="cs"/>
                <w:sz w:val="32"/>
                <w:szCs w:val="32"/>
                <w:rtl/>
                <w:lang w:bidi="ar-SA"/>
              </w:rPr>
              <w:t xml:space="preserve"> </w:t>
            </w:r>
            <w:proofErr w:type="spellStart"/>
            <w:r w:rsidRPr="00F430AC">
              <w:rPr>
                <w:sz w:val="32"/>
                <w:szCs w:val="32"/>
                <w:rtl/>
                <w:lang w:bidi="ar-SA"/>
              </w:rPr>
              <w:t>الساتلية</w:t>
            </w:r>
            <w:bookmarkEnd w:id="0"/>
            <w:proofErr w:type="spellEnd"/>
            <w:r w:rsidR="00F430AC" w:rsidRPr="00F430AC">
              <w:rPr>
                <w:rFonts w:hint="cs"/>
                <w:sz w:val="32"/>
                <w:szCs w:val="32"/>
                <w:rtl/>
                <w:lang w:bidi="ar-SA"/>
              </w:rPr>
              <w:t xml:space="preserve"> </w:t>
            </w:r>
            <w:r w:rsidR="00F430AC" w:rsidRPr="00F430AC">
              <w:rPr>
                <w:sz w:val="32"/>
                <w:szCs w:val="32"/>
                <w:lang w:bidi="ar-SA"/>
              </w:rPr>
              <w:t>(</w:t>
            </w:r>
            <w:proofErr w:type="spellStart"/>
            <w:r w:rsidR="00F430AC" w:rsidRPr="00F430AC">
              <w:rPr>
                <w:sz w:val="32"/>
                <w:szCs w:val="32"/>
                <w:lang w:bidi="ar-SA"/>
              </w:rPr>
              <w:t>SNF</w:t>
            </w:r>
            <w:proofErr w:type="spellEnd"/>
            <w:r w:rsidR="00F430AC" w:rsidRPr="00F430AC">
              <w:rPr>
                <w:sz w:val="32"/>
                <w:szCs w:val="32"/>
                <w:lang w:bidi="ar-SA"/>
              </w:rPr>
              <w:t>)</w:t>
            </w:r>
          </w:p>
        </w:tc>
      </w:tr>
      <w:tr w:rsidR="007B0AA0" w14:paraId="7E31AB04" w14:textId="77777777" w:rsidTr="007B0AA0">
        <w:tc>
          <w:tcPr>
            <w:tcW w:w="9629" w:type="dxa"/>
            <w:gridSpan w:val="2"/>
            <w:tcBorders>
              <w:top w:val="single" w:sz="4" w:space="0" w:color="auto"/>
              <w:bottom w:val="single" w:sz="4" w:space="0" w:color="auto"/>
            </w:tcBorders>
          </w:tcPr>
          <w:p w14:paraId="414C8351" w14:textId="27AF404C" w:rsidR="007B0AA0" w:rsidRPr="007B0AA0" w:rsidRDefault="007B0AA0" w:rsidP="007B0AA0">
            <w:pPr>
              <w:rPr>
                <w:b/>
                <w:bCs/>
                <w:rtl/>
              </w:rPr>
            </w:pPr>
            <w:r w:rsidRPr="00F430AC">
              <w:rPr>
                <w:rFonts w:hint="cs"/>
                <w:b/>
                <w:bCs/>
                <w:rtl/>
              </w:rPr>
              <w:t>الغرض</w:t>
            </w:r>
          </w:p>
          <w:p w14:paraId="2F568BA6" w14:textId="03EAB4B8" w:rsidR="007B0AA0" w:rsidRPr="00F67B4E" w:rsidRDefault="00F67B4E" w:rsidP="00F430AC">
            <w:pPr>
              <w:rPr>
                <w:rtl/>
                <w:lang w:bidi="ar-EG"/>
              </w:rPr>
            </w:pPr>
            <w:r w:rsidRPr="00F67B4E">
              <w:rPr>
                <w:rtl/>
              </w:rPr>
              <w:t xml:space="preserve">تقترح هذه الوثيقة منهجية منقحة لتحديد التكاليف الكاملة المنسوبة إلى تطبيق بطاقات التبليغ عن الشبكات </w:t>
            </w:r>
            <w:proofErr w:type="spellStart"/>
            <w:r w:rsidRPr="00F67B4E">
              <w:rPr>
                <w:rtl/>
              </w:rPr>
              <w:t>الساتلية</w:t>
            </w:r>
            <w:proofErr w:type="spellEnd"/>
            <w:r w:rsidRPr="00F67B4E">
              <w:rPr>
                <w:rtl/>
              </w:rPr>
              <w:t xml:space="preserve"> من خلال نهج توزيع التكاليف الكاملة وفقاً للمقرر 535</w:t>
            </w:r>
            <w:r w:rsidR="00205429">
              <w:rPr>
                <w:rFonts w:hint="cs"/>
                <w:rtl/>
              </w:rPr>
              <w:t xml:space="preserve"> الصادر عن المجلس</w:t>
            </w:r>
            <w:r w:rsidRPr="00F67B4E">
              <w:rPr>
                <w:rtl/>
              </w:rPr>
              <w:t>، وطريقة متدرجة للحد من تحصيل تلك التكاليف الكاملة استناداً إلى معايير مرجعية مناسبة وفقاً للقرار 91 (المراج</w:t>
            </w:r>
            <w:r w:rsidR="00B661AA">
              <w:rPr>
                <w:rFonts w:hint="cs"/>
                <w:rtl/>
              </w:rPr>
              <w:t>َ</w:t>
            </w:r>
            <w:r w:rsidRPr="00F67B4E">
              <w:rPr>
                <w:rtl/>
              </w:rPr>
              <w:t xml:space="preserve">ع في </w:t>
            </w:r>
            <w:proofErr w:type="spellStart"/>
            <w:r w:rsidRPr="00F67B4E">
              <w:rPr>
                <w:rtl/>
              </w:rPr>
              <w:t>غوادالاخارا</w:t>
            </w:r>
            <w:proofErr w:type="spellEnd"/>
            <w:r w:rsidRPr="00F67B4E">
              <w:rPr>
                <w:rtl/>
              </w:rPr>
              <w:t>، 2010)</w:t>
            </w:r>
            <w:r w:rsidR="002A1258">
              <w:rPr>
                <w:rFonts w:hint="cs"/>
                <w:rtl/>
              </w:rPr>
              <w:t xml:space="preserve"> لمؤتمر المندوبين</w:t>
            </w:r>
            <w:r w:rsidR="00205429">
              <w:rPr>
                <w:rFonts w:hint="eastAsia"/>
                <w:rtl/>
              </w:rPr>
              <w:t> </w:t>
            </w:r>
            <w:r w:rsidR="002A1258">
              <w:rPr>
                <w:rFonts w:hint="cs"/>
                <w:rtl/>
              </w:rPr>
              <w:t>المفوضين</w:t>
            </w:r>
            <w:r w:rsidRPr="00F67B4E">
              <w:rPr>
                <w:rtl/>
              </w:rPr>
              <w:t>.</w:t>
            </w:r>
          </w:p>
          <w:p w14:paraId="26383540" w14:textId="77777777" w:rsidR="007B0AA0" w:rsidRPr="007B0AA0" w:rsidRDefault="007B0AA0" w:rsidP="007B0AA0">
            <w:pPr>
              <w:rPr>
                <w:b/>
                <w:bCs/>
                <w:rtl/>
              </w:rPr>
            </w:pPr>
            <w:r w:rsidRPr="007B0AA0">
              <w:rPr>
                <w:rFonts w:hint="cs"/>
                <w:b/>
                <w:bCs/>
                <w:rtl/>
              </w:rPr>
              <w:t>الإجراء المطلوب من المجلس</w:t>
            </w:r>
          </w:p>
          <w:p w14:paraId="555F98D6" w14:textId="1D2732BA" w:rsidR="007B0AA0" w:rsidRDefault="00F67B4E" w:rsidP="00F67B4E">
            <w:pPr>
              <w:rPr>
                <w:rtl/>
              </w:rPr>
            </w:pPr>
            <w:r w:rsidRPr="00F67B4E">
              <w:rPr>
                <w:rtl/>
              </w:rPr>
              <w:t>ي</w:t>
            </w:r>
            <w:r w:rsidR="00B03029">
              <w:rPr>
                <w:rFonts w:hint="cs"/>
                <w:rtl/>
              </w:rPr>
              <w:t>ُ</w:t>
            </w:r>
            <w:r w:rsidRPr="00F67B4E">
              <w:rPr>
                <w:rtl/>
              </w:rPr>
              <w:t xml:space="preserve">رجى من المجلس </w:t>
            </w:r>
            <w:r w:rsidRPr="00F67B4E">
              <w:rPr>
                <w:b/>
                <w:bCs/>
                <w:rtl/>
              </w:rPr>
              <w:t xml:space="preserve">الموافقة </w:t>
            </w:r>
            <w:r w:rsidRPr="00F67B4E">
              <w:rPr>
                <w:rtl/>
              </w:rPr>
              <w:t xml:space="preserve">على المنهجيات المقترحة في هذه الوثيقة بشأن تحديد رسوم معالجة بطاقات التبليغ عن الشبكات </w:t>
            </w:r>
            <w:proofErr w:type="spellStart"/>
            <w:r w:rsidRPr="00F67B4E">
              <w:rPr>
                <w:rtl/>
              </w:rPr>
              <w:t>الساتلية</w:t>
            </w:r>
            <w:proofErr w:type="spellEnd"/>
            <w:r w:rsidRPr="00F67B4E">
              <w:rPr>
                <w:rtl/>
              </w:rPr>
              <w:t xml:space="preserve"> لاسترداد التكاليف.‎</w:t>
            </w:r>
          </w:p>
          <w:p w14:paraId="4F77399C" w14:textId="44F92090" w:rsidR="007B0AA0" w:rsidRPr="007B0AA0" w:rsidRDefault="00C659E8" w:rsidP="007B0AA0">
            <w:pPr>
              <w:rPr>
                <w:b/>
                <w:bCs/>
                <w:rtl/>
              </w:rPr>
            </w:pPr>
            <w:r>
              <w:rPr>
                <w:rFonts w:hint="cs"/>
                <w:b/>
                <w:bCs/>
                <w:rtl/>
              </w:rPr>
              <w:t>الروابط ذات</w:t>
            </w:r>
            <w:r w:rsidR="007B0AA0" w:rsidRPr="007B0AA0">
              <w:rPr>
                <w:b/>
                <w:bCs/>
                <w:rtl/>
              </w:rPr>
              <w:t xml:space="preserve"> الصلة بالخطة ال</w:t>
            </w:r>
            <w:r w:rsidR="007B0AA0" w:rsidRPr="007B0AA0">
              <w:rPr>
                <w:rFonts w:hint="cs"/>
                <w:b/>
                <w:bCs/>
                <w:rtl/>
              </w:rPr>
              <w:t>ا</w:t>
            </w:r>
            <w:r w:rsidR="007B0AA0" w:rsidRPr="007B0AA0">
              <w:rPr>
                <w:b/>
                <w:bCs/>
                <w:rtl/>
              </w:rPr>
              <w:t>ستراتيجية</w:t>
            </w:r>
          </w:p>
          <w:p w14:paraId="2BE9F6C8" w14:textId="057721FB" w:rsidR="007B0AA0" w:rsidRDefault="00F67B4E" w:rsidP="00F67B4E">
            <w:pPr>
              <w:rPr>
                <w:rtl/>
              </w:rPr>
            </w:pPr>
            <w:r w:rsidRPr="00F67B4E">
              <w:rPr>
                <w:rtl/>
              </w:rPr>
              <w:t>غير متاح</w:t>
            </w:r>
          </w:p>
          <w:p w14:paraId="49AD19B8" w14:textId="77777777" w:rsidR="007B0AA0" w:rsidRDefault="007B0AA0" w:rsidP="00B97F32">
            <w:pPr>
              <w:rPr>
                <w:b/>
                <w:bCs/>
              </w:rPr>
            </w:pPr>
            <w:r w:rsidRPr="007B0AA0">
              <w:rPr>
                <w:rFonts w:hint="cs"/>
                <w:b/>
                <w:bCs/>
                <w:rtl/>
              </w:rPr>
              <w:t>الآثار المالية</w:t>
            </w:r>
          </w:p>
          <w:p w14:paraId="3A5D3A33" w14:textId="77777777" w:rsidR="00F67B4E" w:rsidRPr="00F67B4E" w:rsidRDefault="00F67B4E" w:rsidP="00F67B4E">
            <w:r w:rsidRPr="00F67B4E">
              <w:rPr>
                <w:rtl/>
              </w:rPr>
              <w:t xml:space="preserve">زيادة الإيرادات السنوية للاتحاد فيما يتعلق باسترداد التكاليف من بطاقات التبليغ عن الشبكات </w:t>
            </w:r>
            <w:proofErr w:type="spellStart"/>
            <w:r w:rsidRPr="00F67B4E">
              <w:rPr>
                <w:rtl/>
              </w:rPr>
              <w:t>الساتلية</w:t>
            </w:r>
            <w:proofErr w:type="spellEnd"/>
            <w:r w:rsidRPr="00F67B4E">
              <w:rPr>
                <w:rtl/>
              </w:rPr>
              <w:t xml:space="preserve">، لتحقيق إيرادات إجمالية تصل إلى </w:t>
            </w:r>
            <w:r w:rsidRPr="00F67B4E">
              <w:rPr>
                <w:b/>
                <w:bCs/>
                <w:lang w:val="en-GB"/>
              </w:rPr>
              <w:t>18 032 400</w:t>
            </w:r>
            <w:r w:rsidRPr="00F67B4E">
              <w:rPr>
                <w:rtl/>
              </w:rPr>
              <w:t xml:space="preserve"> فرنك سويسري.</w:t>
            </w:r>
          </w:p>
          <w:p w14:paraId="28087961" w14:textId="77777777" w:rsidR="00F67B4E" w:rsidRPr="00F67B4E" w:rsidRDefault="00F67B4E" w:rsidP="00F67B4E">
            <w:pPr>
              <w:rPr>
                <w:sz w:val="30"/>
                <w:szCs w:val="30"/>
                <w:rtl/>
                <w:lang w:bidi="ar-EG"/>
              </w:rPr>
            </w:pPr>
            <w:r w:rsidRPr="00F67B4E">
              <w:rPr>
                <w:rFonts w:hint="cs"/>
                <w:sz w:val="30"/>
                <w:szCs w:val="30"/>
                <w:rtl/>
                <w:lang w:bidi="ar-EG"/>
              </w:rPr>
              <w:t>ــــــــــــــــــــــــــــــــــــــــــــــــــــــــــــــــــــــــــــــــــــــــــــــــ</w:t>
            </w:r>
          </w:p>
          <w:p w14:paraId="16802871" w14:textId="77777777" w:rsidR="007B0AA0" w:rsidRDefault="007B0AA0" w:rsidP="007B0AA0">
            <w:pPr>
              <w:rPr>
                <w:b/>
                <w:bCs/>
              </w:rPr>
            </w:pPr>
            <w:r w:rsidRPr="007B0AA0">
              <w:rPr>
                <w:rFonts w:hint="cs"/>
                <w:b/>
                <w:bCs/>
                <w:rtl/>
              </w:rPr>
              <w:t>المراجع</w:t>
            </w:r>
          </w:p>
          <w:p w14:paraId="510BB4F5" w14:textId="6749AAF3" w:rsidR="00F67B4E" w:rsidRPr="00F67B4E" w:rsidRDefault="00B661AA" w:rsidP="00F67B4E">
            <w:pPr>
              <w:rPr>
                <w:i/>
                <w:iCs/>
                <w:lang w:val="ar-SA"/>
              </w:rPr>
            </w:pPr>
            <w:r w:rsidRPr="002A1258">
              <w:rPr>
                <w:rtl/>
              </w:rPr>
              <w:t xml:space="preserve">الوثيقة </w:t>
            </w:r>
            <w:hyperlink r:id="rId8" w:history="1">
              <w:proofErr w:type="spellStart"/>
              <w:r w:rsidRPr="00B661AA">
                <w:rPr>
                  <w:rStyle w:val="Hyperlink"/>
                  <w:rFonts w:ascii="Dubai" w:eastAsiaTheme="minorEastAsia" w:hAnsi="Dubai" w:cs="Dubai"/>
                  <w:i/>
                  <w:iCs/>
                  <w:noProof w:val="0"/>
                  <w:sz w:val="22"/>
                  <w:rtl/>
                  <w:lang w:val="en-US" w:eastAsia="zh-CN"/>
                </w:rPr>
                <w:t>C25</w:t>
              </w:r>
              <w:proofErr w:type="spellEnd"/>
              <w:r w:rsidRPr="00B661AA">
                <w:rPr>
                  <w:rStyle w:val="Hyperlink"/>
                  <w:rFonts w:ascii="Dubai" w:eastAsiaTheme="minorEastAsia" w:hAnsi="Dubai" w:cs="Dubai"/>
                  <w:i/>
                  <w:iCs/>
                  <w:noProof w:val="0"/>
                  <w:sz w:val="22"/>
                  <w:rtl/>
                  <w:lang w:val="en-US" w:eastAsia="zh-CN"/>
                </w:rPr>
                <w:t>/10</w:t>
              </w:r>
            </w:hyperlink>
          </w:p>
          <w:p w14:paraId="01431A3E" w14:textId="10301A6D" w:rsidR="00F430AC" w:rsidRDefault="00F67B4E" w:rsidP="00F430AC">
            <w:pPr>
              <w:rPr>
                <w:i/>
                <w:iCs/>
                <w:rtl/>
              </w:rPr>
            </w:pPr>
            <w:hyperlink r:id="rId9" w:history="1">
              <w:r w:rsidRPr="00F67B4E">
                <w:rPr>
                  <w:rStyle w:val="Hyperlink"/>
                  <w:rFonts w:ascii="Dubai" w:eastAsiaTheme="minorEastAsia" w:hAnsi="Dubai" w:cs="Dubai"/>
                  <w:i/>
                  <w:iCs/>
                  <w:noProof w:val="0"/>
                  <w:sz w:val="22"/>
                  <w:rtl/>
                  <w:lang w:val="en-US" w:eastAsia="zh-CN"/>
                </w:rPr>
                <w:t>القرار 91</w:t>
              </w:r>
              <w:r w:rsidR="00F430AC" w:rsidRPr="003B2D1A">
                <w:rPr>
                  <w:rStyle w:val="Hyperlink"/>
                  <w:rFonts w:ascii="Dubai" w:eastAsiaTheme="minorEastAsia" w:hAnsi="Dubai" w:cs="Dubai"/>
                  <w:i/>
                  <w:iCs/>
                  <w:noProof w:val="0"/>
                  <w:sz w:val="22"/>
                  <w:rtl/>
                  <w:lang w:val="en-US" w:eastAsia="zh-CN"/>
                </w:rPr>
                <w:t xml:space="preserve"> (</w:t>
              </w:r>
              <w:r w:rsidRPr="00F67B4E">
                <w:rPr>
                  <w:rStyle w:val="Hyperlink"/>
                  <w:rFonts w:ascii="Dubai" w:eastAsiaTheme="minorEastAsia" w:hAnsi="Dubai" w:cs="Dubai"/>
                  <w:i/>
                  <w:iCs/>
                  <w:noProof w:val="0"/>
                  <w:sz w:val="22"/>
                  <w:rtl/>
                  <w:lang w:val="en-US" w:eastAsia="zh-CN"/>
                </w:rPr>
                <w:t>المراج</w:t>
              </w:r>
              <w:r w:rsidR="00B661AA">
                <w:rPr>
                  <w:rStyle w:val="Hyperlink"/>
                  <w:rFonts w:ascii="Dubai" w:eastAsiaTheme="minorEastAsia" w:hAnsi="Dubai" w:cs="Dubai" w:hint="cs"/>
                  <w:i/>
                  <w:iCs/>
                  <w:noProof w:val="0"/>
                  <w:sz w:val="22"/>
                  <w:rtl/>
                  <w:lang w:val="en-US" w:eastAsia="zh-CN"/>
                </w:rPr>
                <w:t>َ</w:t>
              </w:r>
              <w:r w:rsidRPr="00F67B4E">
                <w:rPr>
                  <w:rStyle w:val="Hyperlink"/>
                  <w:rFonts w:ascii="Dubai" w:eastAsiaTheme="minorEastAsia" w:hAnsi="Dubai" w:cs="Dubai"/>
                  <w:i/>
                  <w:iCs/>
                  <w:noProof w:val="0"/>
                  <w:sz w:val="22"/>
                  <w:rtl/>
                  <w:lang w:val="en-US" w:eastAsia="zh-CN"/>
                </w:rPr>
                <w:t xml:space="preserve">ع في </w:t>
              </w:r>
              <w:proofErr w:type="spellStart"/>
              <w:r w:rsidRPr="00F67B4E">
                <w:rPr>
                  <w:rStyle w:val="Hyperlink"/>
                  <w:rFonts w:ascii="Dubai" w:eastAsiaTheme="minorEastAsia" w:hAnsi="Dubai" w:cs="Dubai"/>
                  <w:i/>
                  <w:iCs/>
                  <w:noProof w:val="0"/>
                  <w:sz w:val="22"/>
                  <w:rtl/>
                  <w:lang w:val="en-US" w:eastAsia="zh-CN"/>
                </w:rPr>
                <w:t>غوادالاخارا</w:t>
              </w:r>
              <w:proofErr w:type="spellEnd"/>
              <w:r w:rsidRPr="00F67B4E">
                <w:rPr>
                  <w:rStyle w:val="Hyperlink"/>
                  <w:rFonts w:ascii="Dubai" w:eastAsiaTheme="minorEastAsia" w:hAnsi="Dubai" w:cs="Dubai"/>
                  <w:i/>
                  <w:iCs/>
                  <w:noProof w:val="0"/>
                  <w:sz w:val="22"/>
                  <w:rtl/>
                  <w:lang w:val="en-US" w:eastAsia="zh-CN"/>
                </w:rPr>
                <w:t>، 2010</w:t>
              </w:r>
              <w:r w:rsidR="00F430AC" w:rsidRPr="003B2D1A">
                <w:rPr>
                  <w:rStyle w:val="Hyperlink"/>
                  <w:rFonts w:ascii="Dubai" w:eastAsiaTheme="minorEastAsia" w:hAnsi="Dubai" w:cs="Dubai"/>
                  <w:i/>
                  <w:iCs/>
                  <w:noProof w:val="0"/>
                  <w:sz w:val="22"/>
                  <w:rtl/>
                  <w:lang w:val="en-US" w:eastAsia="zh-CN"/>
                </w:rPr>
                <w:t xml:space="preserve">) </w:t>
              </w:r>
              <w:r w:rsidRPr="00F67B4E">
                <w:rPr>
                  <w:rStyle w:val="Hyperlink"/>
                  <w:rFonts w:ascii="Dubai" w:eastAsiaTheme="minorEastAsia" w:hAnsi="Dubai" w:cs="Dubai"/>
                  <w:i/>
                  <w:iCs/>
                  <w:noProof w:val="0"/>
                  <w:sz w:val="22"/>
                  <w:rtl/>
                  <w:lang w:val="en-US" w:eastAsia="zh-CN"/>
                </w:rPr>
                <w:t>لمؤتمر المندوبين المفوضين</w:t>
              </w:r>
            </w:hyperlink>
          </w:p>
          <w:p w14:paraId="4D9C3F35" w14:textId="62F998CC" w:rsidR="007B0AA0" w:rsidRPr="005546CF" w:rsidRDefault="00F67B4E" w:rsidP="00B661AA">
            <w:pPr>
              <w:rPr>
                <w:i/>
                <w:iCs/>
                <w:rtl/>
              </w:rPr>
            </w:pPr>
            <w:hyperlink r:id="rId10" w:history="1">
              <w:r w:rsidRPr="003B2D1A">
                <w:rPr>
                  <w:rStyle w:val="Hyperlink"/>
                  <w:rFonts w:ascii="Dubai" w:eastAsiaTheme="minorEastAsia" w:hAnsi="Dubai" w:cs="Dubai"/>
                  <w:i/>
                  <w:iCs/>
                  <w:noProof w:val="0"/>
                  <w:sz w:val="22"/>
                  <w:rtl/>
                  <w:lang w:val="en-US" w:eastAsia="zh-CN"/>
                </w:rPr>
                <w:t>المقرر 535 الصادر عن المجلس</w:t>
              </w:r>
              <w:r w:rsidR="003B2D1A" w:rsidRPr="003B2D1A">
                <w:rPr>
                  <w:rStyle w:val="Hyperlink"/>
                  <w:rFonts w:ascii="Dubai" w:eastAsiaTheme="minorEastAsia" w:hAnsi="Dubai" w:cs="Dubai"/>
                  <w:i/>
                  <w:iCs/>
                  <w:noProof w:val="0"/>
                  <w:sz w:val="22"/>
                  <w:rtl/>
                  <w:lang w:val="en-US" w:eastAsia="zh-CN"/>
                </w:rPr>
                <w:t xml:space="preserve"> (</w:t>
              </w:r>
              <w:r w:rsidRPr="003B2D1A">
                <w:rPr>
                  <w:rStyle w:val="Hyperlink"/>
                  <w:rFonts w:ascii="Dubai" w:eastAsiaTheme="minorEastAsia" w:hAnsi="Dubai" w:cs="Dubai"/>
                  <w:i/>
                  <w:iCs/>
                  <w:noProof w:val="0"/>
                  <w:sz w:val="22"/>
                  <w:rtl/>
                  <w:lang w:val="en-US" w:eastAsia="zh-CN"/>
                </w:rPr>
                <w:t>والمعد</w:t>
              </w:r>
              <w:r w:rsidR="00B661AA">
                <w:rPr>
                  <w:rStyle w:val="Hyperlink"/>
                  <w:rFonts w:ascii="Dubai" w:eastAsiaTheme="minorEastAsia" w:hAnsi="Dubai" w:cs="Dubai" w:hint="cs"/>
                  <w:i/>
                  <w:iCs/>
                  <w:noProof w:val="0"/>
                  <w:sz w:val="22"/>
                  <w:rtl/>
                  <w:lang w:val="en-US" w:eastAsia="zh-CN"/>
                </w:rPr>
                <w:t>َّ</w:t>
              </w:r>
              <w:r w:rsidRPr="003B2D1A">
                <w:rPr>
                  <w:rStyle w:val="Hyperlink"/>
                  <w:rFonts w:ascii="Dubai" w:eastAsiaTheme="minorEastAsia" w:hAnsi="Dubai" w:cs="Dubai"/>
                  <w:i/>
                  <w:iCs/>
                  <w:noProof w:val="0"/>
                  <w:sz w:val="22"/>
                  <w:rtl/>
                  <w:lang w:val="en-US" w:eastAsia="zh-CN"/>
                </w:rPr>
                <w:t>ل عام 2014</w:t>
              </w:r>
              <w:r w:rsidR="003B2D1A" w:rsidRPr="003B2D1A">
                <w:rPr>
                  <w:rStyle w:val="Hyperlink"/>
                  <w:rFonts w:ascii="Dubai" w:eastAsiaTheme="minorEastAsia" w:hAnsi="Dubai" w:cs="Dubai"/>
                  <w:i/>
                  <w:iCs/>
                  <w:noProof w:val="0"/>
                  <w:sz w:val="22"/>
                  <w:rtl/>
                  <w:lang w:val="en-US" w:eastAsia="zh-CN"/>
                </w:rPr>
                <w:t>)</w:t>
              </w:r>
            </w:hyperlink>
          </w:p>
        </w:tc>
      </w:tr>
    </w:tbl>
    <w:p w14:paraId="527AC5B1" w14:textId="77777777" w:rsidR="00E61BE8" w:rsidRDefault="00E61BE8" w:rsidP="00E61BE8">
      <w:pPr>
        <w:rPr>
          <w:rtl/>
          <w:lang w:bidi="ar-EG"/>
        </w:rPr>
      </w:pPr>
    </w:p>
    <w:p w14:paraId="4AFF0046" w14:textId="77777777" w:rsidR="00F50E3F" w:rsidRDefault="00F50E3F" w:rsidP="0043260A">
      <w:pPr>
        <w:rPr>
          <w:rtl/>
          <w:lang w:bidi="ar-EG"/>
        </w:rPr>
      </w:pPr>
      <w:r>
        <w:rPr>
          <w:rtl/>
          <w:lang w:bidi="ar-EG"/>
        </w:rPr>
        <w:br w:type="page"/>
      </w:r>
    </w:p>
    <w:p w14:paraId="12DB2671" w14:textId="77777777" w:rsidR="00F67B4E" w:rsidRPr="00F67B4E" w:rsidRDefault="00F67B4E" w:rsidP="003B2D1A">
      <w:pPr>
        <w:pStyle w:val="Headingb"/>
        <w:rPr>
          <w:lang w:val="ar-SA" w:bidi="ar-EG"/>
        </w:rPr>
      </w:pPr>
      <w:r w:rsidRPr="00F67B4E">
        <w:rPr>
          <w:rtl/>
          <w:lang w:val="en-GB"/>
        </w:rPr>
        <w:lastRenderedPageBreak/>
        <w:t>مقدمة</w:t>
      </w:r>
    </w:p>
    <w:p w14:paraId="7C5E6BBA" w14:textId="2C7048AB" w:rsidR="00F67B4E" w:rsidRPr="00F67B4E" w:rsidRDefault="00F67B4E" w:rsidP="00F67B4E">
      <w:pPr>
        <w:rPr>
          <w:lang w:val="ar-SA" w:bidi="ar-EG"/>
        </w:rPr>
      </w:pPr>
      <w:r w:rsidRPr="00F67B4E">
        <w:rPr>
          <w:rtl/>
          <w:lang w:val="en-GB"/>
        </w:rPr>
        <w:t>1</w:t>
      </w:r>
      <w:r w:rsidRPr="00F67B4E">
        <w:rPr>
          <w:rtl/>
          <w:lang w:val="en-GB"/>
        </w:rPr>
        <w:tab/>
        <w:t>وضعت الأمانة نموذجاً للتكلفة ي</w:t>
      </w:r>
      <w:r w:rsidR="00B03029">
        <w:rPr>
          <w:rFonts w:hint="cs"/>
          <w:rtl/>
          <w:lang w:val="en-GB"/>
        </w:rPr>
        <w:t>ُ</w:t>
      </w:r>
      <w:r w:rsidRPr="00F67B4E">
        <w:rPr>
          <w:rtl/>
          <w:lang w:val="en-GB"/>
        </w:rPr>
        <w:t xml:space="preserve">خصص نسباً ملائمة من تكاليف الاتحاد المرتبطة ببطاقات التبليغ عن الشبكات </w:t>
      </w:r>
      <w:proofErr w:type="spellStart"/>
      <w:r w:rsidRPr="00F67B4E">
        <w:rPr>
          <w:rtl/>
          <w:lang w:val="en-GB"/>
        </w:rPr>
        <w:t>الساتلية</w:t>
      </w:r>
      <w:proofErr w:type="spellEnd"/>
      <w:r w:rsidRPr="00F67B4E">
        <w:rPr>
          <w:rtl/>
          <w:lang w:val="en-GB"/>
        </w:rPr>
        <w:t xml:space="preserve"> </w:t>
      </w:r>
      <w:r w:rsidR="003B2D1A">
        <w:rPr>
          <w:lang w:val="en-GB"/>
        </w:rPr>
        <w:t>(</w:t>
      </w:r>
      <w:proofErr w:type="spellStart"/>
      <w:r w:rsidRPr="00F67B4E">
        <w:rPr>
          <w:lang w:bidi="ar-EG"/>
        </w:rPr>
        <w:t>SNF</w:t>
      </w:r>
      <w:proofErr w:type="spellEnd"/>
      <w:r w:rsidR="003B2D1A">
        <w:t>)</w:t>
      </w:r>
      <w:r w:rsidRPr="00F67B4E">
        <w:rPr>
          <w:rtl/>
          <w:lang w:val="en-GB"/>
        </w:rPr>
        <w:t>، وذلك سعياً إلى تنفيذ القرار 91 (المراج</w:t>
      </w:r>
      <w:r w:rsidR="0043726F">
        <w:rPr>
          <w:rFonts w:hint="cs"/>
          <w:rtl/>
          <w:lang w:val="en-GB"/>
        </w:rPr>
        <w:t>َ</w:t>
      </w:r>
      <w:r w:rsidRPr="00F67B4E">
        <w:rPr>
          <w:rtl/>
          <w:lang w:val="en-GB"/>
        </w:rPr>
        <w:t xml:space="preserve">ع في </w:t>
      </w:r>
      <w:proofErr w:type="spellStart"/>
      <w:r w:rsidRPr="00F67B4E">
        <w:rPr>
          <w:rtl/>
          <w:lang w:val="en-GB"/>
        </w:rPr>
        <w:t>غوادالاخارا</w:t>
      </w:r>
      <w:proofErr w:type="spellEnd"/>
      <w:r w:rsidRPr="00F67B4E">
        <w:rPr>
          <w:rtl/>
          <w:lang w:val="en-GB"/>
        </w:rPr>
        <w:t xml:space="preserve">، 2010) لمؤتمر المندوبين المفوضين والمقرر 535 الصادر عن المجلس. وقُدّرت التكاليف الإجمالية باستخدام هذا النموذج بمبلغ </w:t>
      </w:r>
      <w:r w:rsidRPr="00F67B4E">
        <w:rPr>
          <w:b/>
          <w:bCs/>
          <w:rtl/>
          <w:lang w:val="en-GB"/>
        </w:rPr>
        <w:t>22,81 مليون فرنك سويسري</w:t>
      </w:r>
      <w:r w:rsidRPr="00F67B4E">
        <w:rPr>
          <w:rtl/>
          <w:lang w:val="en-GB"/>
        </w:rPr>
        <w:t xml:space="preserve">، منها مبلغ </w:t>
      </w:r>
      <w:r w:rsidRPr="00F67B4E">
        <w:rPr>
          <w:b/>
          <w:bCs/>
          <w:rtl/>
          <w:lang w:val="en-GB"/>
        </w:rPr>
        <w:t>11 مليون فرنك سويسري كتكاليف مباشرة</w:t>
      </w:r>
      <w:r w:rsidRPr="00F67B4E">
        <w:rPr>
          <w:rtl/>
          <w:lang w:val="en-GB"/>
        </w:rPr>
        <w:t xml:space="preserve"> والمبلغ الباقي </w:t>
      </w:r>
      <w:r w:rsidRPr="00F67B4E">
        <w:rPr>
          <w:b/>
          <w:bCs/>
          <w:rtl/>
          <w:lang w:val="en-GB"/>
        </w:rPr>
        <w:t>11,81 مليون فرنك سويسري كتكاليف غير مباشرة.</w:t>
      </w:r>
      <w:r w:rsidRPr="00F67B4E">
        <w:rPr>
          <w:rtl/>
          <w:lang w:val="en-GB"/>
        </w:rPr>
        <w:t xml:space="preserve"> وهذا يعني حالياً أن "النفقات العامة" الحالية للاتحاد المنسوبة إلى بطاقات التبليغ عن الشبكات </w:t>
      </w:r>
      <w:proofErr w:type="spellStart"/>
      <w:r w:rsidRPr="00F67B4E">
        <w:rPr>
          <w:rtl/>
          <w:lang w:val="en-GB"/>
        </w:rPr>
        <w:t>الساتلية</w:t>
      </w:r>
      <w:proofErr w:type="spellEnd"/>
      <w:r w:rsidRPr="00F67B4E">
        <w:rPr>
          <w:rtl/>
          <w:lang w:val="en-GB"/>
        </w:rPr>
        <w:t xml:space="preserve"> تبلغ </w:t>
      </w:r>
      <w:r w:rsidR="003B2D1A" w:rsidRPr="00F67B4E">
        <w:rPr>
          <w:b/>
          <w:bCs/>
          <w:lang w:bidi="ar-EG"/>
        </w:rPr>
        <w:t>%</w:t>
      </w:r>
      <w:r w:rsidRPr="00F67B4E">
        <w:rPr>
          <w:b/>
          <w:bCs/>
          <w:lang w:bidi="ar-EG"/>
        </w:rPr>
        <w:t>107</w:t>
      </w:r>
      <w:r w:rsidRPr="00F67B4E">
        <w:rPr>
          <w:rtl/>
          <w:lang w:val="en-GB"/>
        </w:rPr>
        <w:t xml:space="preserve"> من </w:t>
      </w:r>
      <w:r w:rsidRPr="00F67B4E">
        <w:rPr>
          <w:b/>
          <w:bCs/>
          <w:rtl/>
          <w:lang w:val="en-GB"/>
        </w:rPr>
        <w:t>التكاليف المباشرة</w:t>
      </w:r>
      <w:r w:rsidRPr="00F67B4E">
        <w:rPr>
          <w:rtl/>
          <w:lang w:val="en-GB"/>
        </w:rPr>
        <w:t xml:space="preserve"> المتكبدة. وتدرك الأمانة أن تكاليف غير مباشرة بهذا المستوى غير مقبولة لأصحاب المصلحة، واستناداً إلى التعليقات الواردة خلال اجتماعات فريق الخبراء المعني بالمقرر 482 (</w:t>
      </w:r>
      <w:proofErr w:type="spellStart"/>
      <w:r w:rsidRPr="00F67B4E">
        <w:rPr>
          <w:rtl/>
          <w:lang w:val="en-GB"/>
        </w:rPr>
        <w:t>EG-DEC482</w:t>
      </w:r>
      <w:proofErr w:type="spellEnd"/>
      <w:r w:rsidRPr="00F67B4E">
        <w:rPr>
          <w:rtl/>
          <w:lang w:val="en-GB"/>
        </w:rPr>
        <w:t xml:space="preserve">) وفريق العمل التابع للمجلس، فقد أثّر ذلك سلباً على قدرة الأعضاء على الوصول إلى مستوى من رسوم معالجة بطاقات التبليغ عن الشبكات </w:t>
      </w:r>
      <w:proofErr w:type="spellStart"/>
      <w:r w:rsidRPr="00F67B4E">
        <w:rPr>
          <w:rtl/>
          <w:lang w:val="en-GB"/>
        </w:rPr>
        <w:t>الساتلية</w:t>
      </w:r>
      <w:proofErr w:type="spellEnd"/>
      <w:r w:rsidRPr="00F67B4E">
        <w:rPr>
          <w:rtl/>
          <w:lang w:val="en-GB"/>
        </w:rPr>
        <w:t xml:space="preserve"> يضمن عدم قيام الدول الأعضاء في الاتحاد بدعم العمل الذي يضطلع به الاتحاد لمعالجة بطاقات التبليغ.</w:t>
      </w:r>
    </w:p>
    <w:p w14:paraId="4D57C4FE" w14:textId="3C42F584" w:rsidR="00F67B4E" w:rsidRPr="00F67B4E" w:rsidRDefault="00F67B4E" w:rsidP="00F67B4E">
      <w:pPr>
        <w:rPr>
          <w:lang w:val="ar-SA" w:bidi="ar-EG"/>
        </w:rPr>
      </w:pPr>
      <w:r w:rsidRPr="00F67B4E">
        <w:rPr>
          <w:rtl/>
          <w:lang w:val="en-GB"/>
        </w:rPr>
        <w:t>2</w:t>
      </w:r>
      <w:r w:rsidRPr="00F67B4E">
        <w:rPr>
          <w:rtl/>
          <w:lang w:val="en-GB"/>
        </w:rPr>
        <w:tab/>
        <w:t>‏ويُعزى ارتفاع مستوى التكاليف الناجمة عن حسابات نموذج التكلفة، في تقدير الأمانة، إلى العوامل التالية:‎</w:t>
      </w:r>
    </w:p>
    <w:p w14:paraId="3B2D1905" w14:textId="121ED42B" w:rsidR="00F67B4E" w:rsidRPr="00F67B4E" w:rsidRDefault="005B2ECA" w:rsidP="005B2ECA">
      <w:pPr>
        <w:pStyle w:val="enumlev1"/>
        <w:rPr>
          <w:lang w:val="ar-SA" w:bidi="ar-EG"/>
        </w:rPr>
      </w:pPr>
      <w:r>
        <w:sym w:font="Symbol" w:char="F0B7"/>
      </w:r>
      <w:r w:rsidR="003B2D1A">
        <w:rPr>
          <w:rtl/>
          <w:lang w:val="en-GB"/>
        </w:rPr>
        <w:tab/>
      </w:r>
      <w:r w:rsidR="00F67B4E" w:rsidRPr="00F67B4E">
        <w:rPr>
          <w:rtl/>
          <w:lang w:val="en-GB"/>
        </w:rPr>
        <w:t>عدم الوضوح أو التوافق في الآراء بشأن جوانب عمل الاتحاد التي يمكن اعتبارها على النحو الصحيح منسوبة</w:t>
      </w:r>
      <w:r w:rsidR="00B03029">
        <w:rPr>
          <w:rFonts w:hint="cs"/>
          <w:rtl/>
          <w:lang w:val="en-GB"/>
        </w:rPr>
        <w:t>ً</w:t>
      </w:r>
      <w:r w:rsidR="00F67B4E" w:rsidRPr="00F67B4E">
        <w:rPr>
          <w:rtl/>
          <w:lang w:val="en-GB"/>
        </w:rPr>
        <w:t xml:space="preserve"> إلى 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4C259900" w14:textId="2E1B22AF" w:rsidR="00F67B4E" w:rsidRPr="00F67B4E" w:rsidRDefault="005B2ECA" w:rsidP="005B2ECA">
      <w:pPr>
        <w:pStyle w:val="enumlev1"/>
        <w:rPr>
          <w:lang w:val="ar-SA" w:bidi="ar-EG"/>
        </w:rPr>
      </w:pPr>
      <w:r>
        <w:sym w:font="Symbol" w:char="F0B7"/>
      </w:r>
      <w:r w:rsidR="00280F33">
        <w:rPr>
          <w:rtl/>
          <w:lang w:val="en-GB"/>
        </w:rPr>
        <w:tab/>
      </w:r>
      <w:r w:rsidR="00F67B4E" w:rsidRPr="00F67B4E">
        <w:rPr>
          <w:rtl/>
          <w:lang w:val="en-GB"/>
        </w:rPr>
        <w:t>عدم الكفاءة وارتفاع التكاليف المتأصلة في الهيكل التنظيمي لأمانة الاتحاد وإطارها.</w:t>
      </w:r>
    </w:p>
    <w:p w14:paraId="596B7A14" w14:textId="77777777" w:rsidR="00F67B4E" w:rsidRPr="00F67B4E" w:rsidRDefault="00F67B4E" w:rsidP="00280F33">
      <w:pPr>
        <w:pStyle w:val="Headingb"/>
        <w:rPr>
          <w:lang w:val="ar-SA" w:bidi="ar-EG"/>
        </w:rPr>
      </w:pPr>
      <w:r w:rsidRPr="00F67B4E">
        <w:rPr>
          <w:rtl/>
          <w:lang w:val="en-GB"/>
        </w:rPr>
        <w:t>مناقشة بشأن التغييرات في المنهجية</w:t>
      </w:r>
    </w:p>
    <w:p w14:paraId="0B372C62" w14:textId="352A8A79" w:rsidR="00F67B4E" w:rsidRPr="00F67B4E" w:rsidRDefault="00F67B4E" w:rsidP="00F67B4E">
      <w:pPr>
        <w:rPr>
          <w:lang w:val="ar-SA" w:bidi="ar-EG"/>
        </w:rPr>
      </w:pPr>
      <w:r w:rsidRPr="00F67B4E">
        <w:rPr>
          <w:rtl/>
          <w:lang w:val="en-GB"/>
        </w:rPr>
        <w:t>3</w:t>
      </w:r>
      <w:r w:rsidRPr="00F67B4E">
        <w:rPr>
          <w:rtl/>
          <w:lang w:val="en-GB"/>
        </w:rPr>
        <w:tab/>
      </w:r>
      <w:r w:rsidRPr="00F67B4E">
        <w:rPr>
          <w:spacing w:val="-2"/>
          <w:rtl/>
          <w:lang w:val="en-GB"/>
        </w:rPr>
        <w:t>نظرت الأمانة في منهجيات جديدة ي</w:t>
      </w:r>
      <w:r w:rsidR="00B03029">
        <w:rPr>
          <w:rFonts w:hint="cs"/>
          <w:spacing w:val="-2"/>
          <w:rtl/>
          <w:lang w:val="en-GB"/>
        </w:rPr>
        <w:t>ُ</w:t>
      </w:r>
      <w:r w:rsidRPr="00F67B4E">
        <w:rPr>
          <w:spacing w:val="-2"/>
          <w:rtl/>
          <w:lang w:val="en-GB"/>
        </w:rPr>
        <w:t xml:space="preserve">مكن استخدامها لحساب التكاليف المسندة إلى العمل المتعلق ببطاقات التبليغ عن الشبكات </w:t>
      </w:r>
      <w:proofErr w:type="spellStart"/>
      <w:r w:rsidRPr="00F67B4E">
        <w:rPr>
          <w:spacing w:val="-2"/>
          <w:rtl/>
          <w:lang w:val="en-GB"/>
        </w:rPr>
        <w:t>الساتلية</w:t>
      </w:r>
      <w:proofErr w:type="spellEnd"/>
      <w:r w:rsidRPr="00F67B4E">
        <w:rPr>
          <w:spacing w:val="-2"/>
          <w:rtl/>
          <w:lang w:val="en-GB"/>
        </w:rPr>
        <w:t xml:space="preserve"> على نحو يتماشى مع مبادئ القرار 91 ويعكس أيضاً مستوى فعالاً ومعقولاً من التكاليف غير المباشرة ("العامة"). وفي هذا الصدد، تقترح الأمانة استخدام مزيج من منهجية المقارنة المرجعية ومنهجية توزيع التكاليف الكاملة لحساب الرسوم، والتي ستُعدل على الفور، ثم مرة أخرى كل أربع (4) سنوات استناداً إلى قرارات المجلس.</w:t>
      </w:r>
    </w:p>
    <w:p w14:paraId="5EAE5A48" w14:textId="22375B6A" w:rsidR="00F67B4E" w:rsidRPr="00F67B4E" w:rsidRDefault="00F67B4E" w:rsidP="00F67B4E">
      <w:pPr>
        <w:rPr>
          <w:lang w:val="ar-SA" w:bidi="ar-EG"/>
        </w:rPr>
      </w:pPr>
      <w:r w:rsidRPr="00F67B4E">
        <w:rPr>
          <w:rtl/>
          <w:lang w:val="en-GB"/>
        </w:rPr>
        <w:t>4</w:t>
      </w:r>
      <w:r w:rsidRPr="00F67B4E">
        <w:rPr>
          <w:rtl/>
          <w:lang w:val="en-GB"/>
        </w:rPr>
        <w:tab/>
      </w:r>
      <w:r w:rsidRPr="00F67B4E">
        <w:rPr>
          <w:spacing w:val="-2"/>
          <w:rtl/>
          <w:lang w:val="en-GB"/>
        </w:rPr>
        <w:t xml:space="preserve">يقدم </w:t>
      </w:r>
      <w:hyperlink w:anchor="الملحق1" w:history="1">
        <w:r w:rsidRPr="00F67B4E">
          <w:rPr>
            <w:rStyle w:val="Hyperlink"/>
            <w:rFonts w:ascii="Dubai" w:eastAsiaTheme="minorEastAsia" w:hAnsi="Dubai" w:cs="Dubai"/>
            <w:noProof w:val="0"/>
            <w:spacing w:val="-2"/>
            <w:sz w:val="22"/>
            <w:rtl/>
            <w:lang w:eastAsia="zh-CN"/>
          </w:rPr>
          <w:t>الملحق 1</w:t>
        </w:r>
      </w:hyperlink>
      <w:r w:rsidRPr="00F67B4E">
        <w:rPr>
          <w:spacing w:val="-2"/>
          <w:rtl/>
          <w:lang w:val="en-GB"/>
        </w:rPr>
        <w:t xml:space="preserve"> تحليلاً لنتائج المقارنة المستخلصة من أعمال أو منظمات مشابهة. وتشير الدراسات التي أجراها البنك الدولي والأمم المتحدة إلى أن النطاق المناسب للتكاليف العامة يتراوح بين 25 و</w:t>
      </w:r>
      <w:r w:rsidRPr="00F67B4E">
        <w:rPr>
          <w:spacing w:val="-2"/>
          <w:lang w:bidi="ar-EG"/>
        </w:rPr>
        <w:t>%30</w:t>
      </w:r>
      <w:r w:rsidRPr="00F67B4E">
        <w:rPr>
          <w:spacing w:val="-2"/>
          <w:rtl/>
          <w:lang w:val="en-GB"/>
        </w:rPr>
        <w:t xml:space="preserve"> من التكاليف المباشرة.</w:t>
      </w:r>
    </w:p>
    <w:p w14:paraId="61CA5C36" w14:textId="5D01BA89" w:rsidR="00F67B4E" w:rsidRPr="00F67B4E" w:rsidRDefault="00F67B4E" w:rsidP="00F67B4E">
      <w:pPr>
        <w:rPr>
          <w:lang w:val="ar-SA" w:bidi="ar-EG"/>
        </w:rPr>
      </w:pPr>
      <w:r w:rsidRPr="00F67B4E">
        <w:rPr>
          <w:rtl/>
          <w:lang w:val="en-GB"/>
        </w:rPr>
        <w:t>5</w:t>
      </w:r>
      <w:r w:rsidRPr="00F67B4E">
        <w:rPr>
          <w:rtl/>
          <w:lang w:val="en-GB"/>
        </w:rPr>
        <w:tab/>
        <w:t>‏وتقر الأمانة العامة بأنه في سياق هذه المعايير المرجعية، فإن المستوى الحالي للتكاليف غير المباشرة للاتحاد والذي يتجاوز 100% ‏من النفقات المباشرة يعتبر مفرطاً.‎ ومع ذلك، تدرك الأمانة أيضاً أن الجهود المبذولة لمعالجة أوجه عدم الكفاءة وإعادة تنظيم التكاليف بطريقة مستدامة تتطلب وقتاً طو</w:t>
      </w:r>
      <w:r w:rsidR="00A50597">
        <w:rPr>
          <w:rFonts w:hint="cs"/>
          <w:rtl/>
          <w:lang w:val="en-GB"/>
        </w:rPr>
        <w:t>ي</w:t>
      </w:r>
      <w:r w:rsidRPr="00F67B4E">
        <w:rPr>
          <w:rtl/>
          <w:lang w:val="en-GB"/>
        </w:rPr>
        <w:t>لاً. ولا يمكن خفض المستوى الحالي للتكاليف على الفور، وستتطلب الكفاءات استثمارات إضافية في الأدوات والمهارات الحديثة للحد من النفقات العامة.</w:t>
      </w:r>
    </w:p>
    <w:p w14:paraId="2B407E93" w14:textId="75F868EC" w:rsidR="00F67B4E" w:rsidRPr="00F67B4E" w:rsidRDefault="00F67B4E" w:rsidP="00F67B4E">
      <w:pPr>
        <w:rPr>
          <w:lang w:val="ar-SA" w:bidi="ar-EG"/>
        </w:rPr>
      </w:pPr>
      <w:r w:rsidRPr="00F67B4E">
        <w:rPr>
          <w:rtl/>
          <w:lang w:val="en-GB"/>
        </w:rPr>
        <w:t>6</w:t>
      </w:r>
      <w:r w:rsidRPr="00F67B4E">
        <w:rPr>
          <w:rtl/>
          <w:lang w:val="en-GB"/>
        </w:rPr>
        <w:tab/>
        <w:t>ومن شأن ذلك أن يعزز الشفافية، ويعكس بدقة استخدام الموارد، ويتماشى مع المعايير الدولية لاسترداد التكاليف غير المباشرة. ‏ومع ذلك، سيتطلب التنفيذ السليم لمنهجية مفصلة لتوزيع التكاليف بالكامل ما يلي:‎</w:t>
      </w:r>
    </w:p>
    <w:p w14:paraId="6444AA03" w14:textId="07C8D382" w:rsidR="00F67B4E" w:rsidRPr="00F67B4E" w:rsidRDefault="00330569" w:rsidP="00330569">
      <w:pPr>
        <w:pStyle w:val="enumlev1"/>
        <w:rPr>
          <w:lang w:val="ar-SA" w:bidi="ar-EG"/>
        </w:rPr>
      </w:pPr>
      <w:r>
        <w:sym w:font="Symbol" w:char="F0B7"/>
      </w:r>
      <w:r>
        <w:tab/>
      </w:r>
      <w:r w:rsidR="00F67B4E" w:rsidRPr="00F67B4E">
        <w:rPr>
          <w:rtl/>
          <w:lang w:val="en-GB"/>
        </w:rPr>
        <w:t>ينبغي إدراج استعراض فئات التكاليف على النحو الواجب، وفقاً للمبادئ المحددة في القرار 91.</w:t>
      </w:r>
    </w:p>
    <w:p w14:paraId="393B2269" w14:textId="0D85089C" w:rsidR="00F67B4E" w:rsidRPr="00F67B4E" w:rsidRDefault="00330569" w:rsidP="00330569">
      <w:pPr>
        <w:pStyle w:val="enumlev1"/>
        <w:rPr>
          <w:lang w:val="ar-SA" w:bidi="ar-EG"/>
        </w:rPr>
      </w:pPr>
      <w:r>
        <w:sym w:font="Symbol" w:char="F0B7"/>
      </w:r>
      <w:r>
        <w:rPr>
          <w:rtl/>
          <w:lang w:val="en-GB"/>
        </w:rPr>
        <w:tab/>
      </w:r>
      <w:r w:rsidR="00F67B4E" w:rsidRPr="00F67B4E">
        <w:rPr>
          <w:rtl/>
          <w:lang w:val="en-GB"/>
        </w:rPr>
        <w:t>إدخال واستعراض محاسبة التكاليف فيما يتعلق بجميع المنتجات والخدمات التي يقدمها الاتحاد. ويجري حالياً اقتراح هذا العمل في سياق الخطتين الاستراتيجية والمالية للفترة 2028-2031.</w:t>
      </w:r>
    </w:p>
    <w:p w14:paraId="2CA3F082" w14:textId="7ACC17F3" w:rsidR="00F67B4E" w:rsidRPr="00F67B4E" w:rsidRDefault="00F67B4E" w:rsidP="00F67B4E">
      <w:pPr>
        <w:rPr>
          <w:lang w:val="ar-SA" w:bidi="ar-EG"/>
        </w:rPr>
      </w:pPr>
      <w:r w:rsidRPr="00F67B4E">
        <w:rPr>
          <w:rtl/>
          <w:lang w:val="en-GB"/>
        </w:rPr>
        <w:t>7</w:t>
      </w:r>
      <w:r w:rsidRPr="00F67B4E">
        <w:rPr>
          <w:rtl/>
          <w:lang w:val="en-GB"/>
        </w:rPr>
        <w:tab/>
        <w:t>سيتطلب تنفيذ هذه الأنشطة على نحو</w:t>
      </w:r>
      <w:r w:rsidR="00C44703">
        <w:rPr>
          <w:rFonts w:hint="cs"/>
          <w:rtl/>
          <w:lang w:val="en-GB"/>
        </w:rPr>
        <w:t>ٍ</w:t>
      </w:r>
      <w:r w:rsidRPr="00F67B4E">
        <w:rPr>
          <w:rtl/>
          <w:lang w:val="en-GB"/>
        </w:rPr>
        <w:t xml:space="preserve"> فعال وقتاً طويلاً، ومن غير المرجح أن يُستكمل خلال دورة الخطة المالية الحالية. ويقدم </w:t>
      </w:r>
      <w:hyperlink w:anchor="الملحق2" w:history="1">
        <w:r w:rsidRPr="00F67B4E">
          <w:rPr>
            <w:rStyle w:val="Hyperlink"/>
            <w:rFonts w:ascii="Dubai" w:eastAsiaTheme="minorEastAsia" w:hAnsi="Dubai" w:cs="Dubai"/>
            <w:noProof w:val="0"/>
            <w:sz w:val="22"/>
            <w:rtl/>
            <w:lang w:eastAsia="zh-CN"/>
          </w:rPr>
          <w:t>الملحق 2</w:t>
        </w:r>
      </w:hyperlink>
      <w:r w:rsidRPr="00F67B4E">
        <w:rPr>
          <w:rtl/>
          <w:lang w:val="en-GB"/>
        </w:rPr>
        <w:t xml:space="preserve"> وصفاً لنهج توزيع التكاليف الذي تقترح الأمانة تطبيقه.</w:t>
      </w:r>
    </w:p>
    <w:p w14:paraId="284E8751" w14:textId="1B515F19" w:rsidR="00F67B4E" w:rsidRPr="00F67B4E" w:rsidRDefault="00F67B4E" w:rsidP="00F67B4E">
      <w:pPr>
        <w:rPr>
          <w:lang w:val="ar-SA" w:bidi="ar-EG"/>
        </w:rPr>
      </w:pPr>
      <w:r w:rsidRPr="00F67B4E">
        <w:rPr>
          <w:rtl/>
          <w:lang w:val="en-GB"/>
        </w:rPr>
        <w:t>8</w:t>
      </w:r>
      <w:r w:rsidRPr="00F67B4E">
        <w:rPr>
          <w:rtl/>
          <w:lang w:val="en-GB"/>
        </w:rPr>
        <w:tab/>
        <w:t xml:space="preserve">ومع ذلك، تلاحظ الأمانة أن التأخير في هذا العمل سيؤدي إلى استمرار الوضع الحالي حيث لا تغطي رسوم استرداد تكاليف معالجة بطاقات التبليغ عن الشبكات </w:t>
      </w:r>
      <w:proofErr w:type="spellStart"/>
      <w:r w:rsidRPr="00F67B4E">
        <w:rPr>
          <w:rtl/>
          <w:lang w:val="en-GB"/>
        </w:rPr>
        <w:t>الساتلية</w:t>
      </w:r>
      <w:proofErr w:type="spellEnd"/>
      <w:r w:rsidRPr="00F67B4E">
        <w:rPr>
          <w:rtl/>
          <w:lang w:val="en-GB"/>
        </w:rPr>
        <w:t xml:space="preserve"> التكاليف الفعلية التي يتحملها الاتحاد في تقديم الخدمة، مما يترك الاتحاد خارج أحكام القرار 91 وبعجز كبير يجب أن تغطيه الدول الأعضاء من خلال مساهماتها المقررة.</w:t>
      </w:r>
    </w:p>
    <w:p w14:paraId="67A9EAF7" w14:textId="77777777" w:rsidR="00F67B4E" w:rsidRPr="00F67B4E" w:rsidRDefault="00F67B4E" w:rsidP="002925E0">
      <w:pPr>
        <w:pStyle w:val="Headingb"/>
        <w:rPr>
          <w:lang w:val="ar-SA" w:bidi="ar-EG"/>
        </w:rPr>
      </w:pPr>
      <w:r w:rsidRPr="00F67B4E">
        <w:rPr>
          <w:rtl/>
          <w:lang w:val="en-GB"/>
        </w:rPr>
        <w:t>الزيادة المقترحة في الرسوم والتخفيض التدريجي للتكاليف الكاملة</w:t>
      </w:r>
    </w:p>
    <w:p w14:paraId="7CA7FCF0" w14:textId="3D4D61D5" w:rsidR="00F67B4E" w:rsidRPr="00F67B4E" w:rsidRDefault="00F67B4E" w:rsidP="00F67B4E">
      <w:pPr>
        <w:rPr>
          <w:lang w:val="ar-SA" w:bidi="ar-EG"/>
        </w:rPr>
      </w:pPr>
      <w:r w:rsidRPr="00F67B4E">
        <w:rPr>
          <w:rtl/>
          <w:lang w:val="en-GB"/>
        </w:rPr>
        <w:t>9</w:t>
      </w:r>
      <w:r w:rsidRPr="00F67B4E">
        <w:rPr>
          <w:rtl/>
          <w:lang w:val="en-GB"/>
        </w:rPr>
        <w:tab/>
      </w:r>
      <w:r w:rsidRPr="00F67B4E">
        <w:rPr>
          <w:spacing w:val="-2"/>
          <w:rtl/>
          <w:lang w:val="en-GB"/>
        </w:rPr>
        <w:t xml:space="preserve">تطلب الأمانة أن يوافق المجلس على استرداد الاتحاد للتكاليف الكاملة التي يتكبدها الاتحاد في معالجة بطاقات التبليغ عن الشبكات </w:t>
      </w:r>
      <w:proofErr w:type="spellStart"/>
      <w:r w:rsidRPr="00F67B4E">
        <w:rPr>
          <w:spacing w:val="-2"/>
          <w:rtl/>
          <w:lang w:val="en-GB"/>
        </w:rPr>
        <w:t>الساتلية</w:t>
      </w:r>
      <w:proofErr w:type="spellEnd"/>
      <w:r w:rsidRPr="00F67B4E">
        <w:rPr>
          <w:spacing w:val="-2"/>
          <w:rtl/>
          <w:lang w:val="en-GB"/>
        </w:rPr>
        <w:t>، وذلك رهناً بالحدود الموضوعة وفقاً لأحكام الفقرة</w:t>
      </w:r>
      <w:r w:rsidRPr="00F67B4E">
        <w:rPr>
          <w:i/>
          <w:iCs/>
          <w:spacing w:val="-2"/>
          <w:rtl/>
          <w:lang w:val="en-GB"/>
        </w:rPr>
        <w:t xml:space="preserve"> </w:t>
      </w:r>
      <w:r w:rsidRPr="00F67B4E">
        <w:rPr>
          <w:spacing w:val="-2"/>
          <w:rtl/>
          <w:lang w:val="en-GB"/>
        </w:rPr>
        <w:t xml:space="preserve">4 ت) </w:t>
      </w:r>
      <w:r w:rsidR="00205429">
        <w:rPr>
          <w:rFonts w:hint="cs"/>
          <w:spacing w:val="-2"/>
          <w:rtl/>
          <w:lang w:val="en-GB"/>
        </w:rPr>
        <w:t xml:space="preserve">من </w:t>
      </w:r>
      <w:r w:rsidR="00205429" w:rsidRPr="00205429">
        <w:rPr>
          <w:rFonts w:hint="cs"/>
          <w:spacing w:val="-2"/>
          <w:rtl/>
          <w:lang w:val="en-GB"/>
        </w:rPr>
        <w:t>"</w:t>
      </w:r>
      <w:r w:rsidR="00205429" w:rsidRPr="00F67B4E">
        <w:rPr>
          <w:i/>
          <w:iCs/>
          <w:spacing w:val="-2"/>
          <w:rtl/>
          <w:lang w:val="en-GB"/>
        </w:rPr>
        <w:t xml:space="preserve">يقرر </w:t>
      </w:r>
      <w:r w:rsidR="00205429" w:rsidRPr="00205429">
        <w:rPr>
          <w:rFonts w:hint="cs"/>
          <w:spacing w:val="-2"/>
          <w:rtl/>
          <w:lang w:val="en-GB"/>
        </w:rPr>
        <w:t>"</w:t>
      </w:r>
      <w:r w:rsidR="00205429">
        <w:rPr>
          <w:rFonts w:hint="cs"/>
          <w:spacing w:val="-2"/>
          <w:rtl/>
          <w:lang w:val="en-GB"/>
        </w:rPr>
        <w:t xml:space="preserve"> في</w:t>
      </w:r>
      <w:r w:rsidRPr="00F67B4E">
        <w:rPr>
          <w:spacing w:val="-2"/>
          <w:rtl/>
          <w:lang w:val="en-GB"/>
        </w:rPr>
        <w:t xml:space="preserve"> القرار 91، على النحو</w:t>
      </w:r>
      <w:r w:rsidR="00205429">
        <w:rPr>
          <w:rFonts w:hint="cs"/>
          <w:spacing w:val="-2"/>
          <w:rtl/>
          <w:lang w:val="en-GB"/>
        </w:rPr>
        <w:t> </w:t>
      </w:r>
      <w:r w:rsidRPr="00F67B4E">
        <w:rPr>
          <w:spacing w:val="-2"/>
          <w:rtl/>
          <w:lang w:val="en-GB"/>
        </w:rPr>
        <w:t>التالي:</w:t>
      </w:r>
    </w:p>
    <w:p w14:paraId="539F8304" w14:textId="40178D7A" w:rsidR="00F67B4E" w:rsidRPr="00F67B4E" w:rsidRDefault="00E4181C" w:rsidP="00205429">
      <w:pPr>
        <w:pStyle w:val="enumlev1"/>
        <w:rPr>
          <w:lang w:val="ar-SA" w:bidi="ar-EG"/>
        </w:rPr>
      </w:pPr>
      <w:r w:rsidRPr="00E4181C">
        <w:rPr>
          <w:rFonts w:hint="cs"/>
          <w:rtl/>
          <w:lang w:val="en-GB"/>
        </w:rPr>
        <w:lastRenderedPageBreak/>
        <w:t>’1‘</w:t>
      </w:r>
      <w:r w:rsidR="002925E0" w:rsidRPr="00E4181C">
        <w:rPr>
          <w:lang w:val="en-GB"/>
        </w:rPr>
        <w:tab/>
      </w:r>
      <w:r w:rsidR="00F67B4E" w:rsidRPr="00F67B4E">
        <w:rPr>
          <w:rtl/>
          <w:lang w:val="en-GB"/>
        </w:rPr>
        <w:t xml:space="preserve">فيما يخص الفترة من 1 يناير 2026 إلى 31 ديسمبر 2027، يجب أن يُحدد استرداد الاتحاد للتكاليف غير المباشرة بنسبة </w:t>
      </w:r>
      <w:r w:rsidRPr="00F67B4E">
        <w:rPr>
          <w:b/>
          <w:bCs/>
          <w:lang w:bidi="ar-EG"/>
        </w:rPr>
        <w:t>%</w:t>
      </w:r>
      <w:r w:rsidR="00F67B4E" w:rsidRPr="00F67B4E">
        <w:rPr>
          <w:b/>
          <w:bCs/>
          <w:lang w:bidi="ar-EG"/>
        </w:rPr>
        <w:t>40</w:t>
      </w:r>
      <w:r w:rsidR="00F67B4E" w:rsidRPr="00F67B4E">
        <w:rPr>
          <w:b/>
          <w:bCs/>
          <w:rtl/>
          <w:lang w:val="en-GB"/>
        </w:rPr>
        <w:t xml:space="preserve"> من التكاليف المباشرة التي يتكبدها الاتحاد</w:t>
      </w:r>
      <w:r w:rsidR="00F67B4E" w:rsidRPr="00F67B4E">
        <w:rPr>
          <w:rtl/>
          <w:lang w:val="en-GB"/>
        </w:rPr>
        <w:t xml:space="preserve"> وأن يقتصر عليها. ويقر الاتحاد بأن هذا يتجاوز المعايير الدولية </w:t>
      </w:r>
      <w:proofErr w:type="spellStart"/>
      <w:r w:rsidR="00F67B4E" w:rsidRPr="00F67B4E">
        <w:rPr>
          <w:rtl/>
          <w:lang w:val="en-GB"/>
        </w:rPr>
        <w:t>الموصى</w:t>
      </w:r>
      <w:proofErr w:type="spellEnd"/>
      <w:r w:rsidR="00F67B4E" w:rsidRPr="00F67B4E">
        <w:rPr>
          <w:rtl/>
          <w:lang w:val="en-GB"/>
        </w:rPr>
        <w:t xml:space="preserve"> بها، غير أن ذلك يمثل مستوى استرداد معقولاً بالنظر إلى التكاليف الفعلية الحالية للاتحاد.</w:t>
      </w:r>
    </w:p>
    <w:p w14:paraId="297205CC" w14:textId="7B5CF3EE" w:rsidR="00F67B4E" w:rsidRPr="00F67B4E" w:rsidRDefault="00E4181C" w:rsidP="00205429">
      <w:pPr>
        <w:pStyle w:val="enumlev1"/>
        <w:rPr>
          <w:lang w:val="ar-SA" w:bidi="ar-EG"/>
        </w:rPr>
      </w:pPr>
      <w:r w:rsidRPr="00E4181C">
        <w:rPr>
          <w:rFonts w:hint="cs"/>
          <w:rtl/>
        </w:rPr>
        <w:t>’2‘</w:t>
      </w:r>
      <w:r w:rsidRPr="00E4181C">
        <w:tab/>
      </w:r>
      <w:r w:rsidR="00C44703">
        <w:rPr>
          <w:rFonts w:hint="cs"/>
          <w:rtl/>
          <w:lang w:val="en-GB"/>
        </w:rPr>
        <w:t>تُ</w:t>
      </w:r>
      <w:r w:rsidR="00C44703" w:rsidRPr="00F67B4E">
        <w:rPr>
          <w:rtl/>
          <w:lang w:val="en-GB"/>
        </w:rPr>
        <w:t xml:space="preserve">قدم </w:t>
      </w:r>
      <w:r w:rsidR="00F67B4E" w:rsidRPr="00F67B4E">
        <w:rPr>
          <w:rtl/>
          <w:lang w:val="en-GB"/>
        </w:rPr>
        <w:t>الأمين</w:t>
      </w:r>
      <w:r w:rsidR="00C44703">
        <w:rPr>
          <w:rFonts w:hint="cs"/>
          <w:rtl/>
          <w:lang w:val="en-GB"/>
        </w:rPr>
        <w:t>ة</w:t>
      </w:r>
      <w:r w:rsidR="00F67B4E" w:rsidRPr="00F67B4E">
        <w:rPr>
          <w:rtl/>
          <w:lang w:val="en-GB"/>
        </w:rPr>
        <w:t xml:space="preserve"> العام</w:t>
      </w:r>
      <w:r w:rsidR="00C44703">
        <w:rPr>
          <w:rFonts w:hint="cs"/>
          <w:rtl/>
          <w:lang w:val="en-GB"/>
        </w:rPr>
        <w:t>ة</w:t>
      </w:r>
      <w:r w:rsidR="00F67B4E" w:rsidRPr="00F67B4E">
        <w:rPr>
          <w:rtl/>
          <w:lang w:val="en-GB"/>
        </w:rPr>
        <w:t xml:space="preserve"> إلى المجلس في دورته لعام 2027 تقريراً أولياً عن نهج استرداد التكاليف الكاملة الخاصة بمعالجة بطاقات التبليغ عن الشبكات </w:t>
      </w:r>
      <w:proofErr w:type="spellStart"/>
      <w:r w:rsidR="00F67B4E" w:rsidRPr="00F67B4E">
        <w:rPr>
          <w:rtl/>
          <w:lang w:val="en-GB"/>
        </w:rPr>
        <w:t>الساتلية</w:t>
      </w:r>
      <w:proofErr w:type="spellEnd"/>
      <w:r w:rsidR="00F67B4E" w:rsidRPr="00F67B4E">
        <w:rPr>
          <w:rtl/>
          <w:lang w:val="en-GB"/>
        </w:rPr>
        <w:t xml:space="preserve"> للموافقة عليه، ويقترح تخفيض الحد الأقصى للتكاليف غير المباشرة إلى </w:t>
      </w:r>
      <w:r w:rsidR="00F67B4E" w:rsidRPr="00F67B4E">
        <w:rPr>
          <w:b/>
          <w:bCs/>
          <w:rtl/>
          <w:lang w:val="en-GB"/>
        </w:rPr>
        <w:t xml:space="preserve">ما لا يزيد عن </w:t>
      </w:r>
      <w:r w:rsidRPr="00F67B4E">
        <w:rPr>
          <w:b/>
          <w:bCs/>
          <w:lang w:bidi="ar-EG"/>
        </w:rPr>
        <w:t>%</w:t>
      </w:r>
      <w:r w:rsidR="00F67B4E" w:rsidRPr="00F67B4E">
        <w:rPr>
          <w:b/>
          <w:bCs/>
          <w:lang w:bidi="ar-EG"/>
        </w:rPr>
        <w:t>35</w:t>
      </w:r>
      <w:r w:rsidR="00F67B4E" w:rsidRPr="00F67B4E">
        <w:rPr>
          <w:b/>
          <w:bCs/>
          <w:rtl/>
          <w:lang w:val="en-GB"/>
        </w:rPr>
        <w:t xml:space="preserve"> من التكاليف المباشرة</w:t>
      </w:r>
      <w:r w:rsidR="00F67B4E" w:rsidRPr="00F67B4E">
        <w:rPr>
          <w:rtl/>
          <w:lang w:val="en-GB"/>
        </w:rPr>
        <w:t>، على أن يُطبق ذلك اعتباراً من</w:t>
      </w:r>
      <w:r w:rsidR="00205429">
        <w:rPr>
          <w:rFonts w:hint="cs"/>
          <w:rtl/>
          <w:lang w:val="en-GB"/>
        </w:rPr>
        <w:t> </w:t>
      </w:r>
      <w:r w:rsidR="00F67B4E" w:rsidRPr="00F67B4E">
        <w:rPr>
          <w:rtl/>
          <w:lang w:val="en-GB"/>
        </w:rPr>
        <w:t>1</w:t>
      </w:r>
      <w:r w:rsidR="00205429">
        <w:rPr>
          <w:rFonts w:hint="cs"/>
          <w:rtl/>
          <w:lang w:val="en-GB"/>
        </w:rPr>
        <w:t> </w:t>
      </w:r>
      <w:r w:rsidR="00F67B4E" w:rsidRPr="00F67B4E">
        <w:rPr>
          <w:rtl/>
          <w:lang w:val="en-GB"/>
        </w:rPr>
        <w:t>يناير</w:t>
      </w:r>
      <w:r w:rsidR="00205429">
        <w:rPr>
          <w:rFonts w:hint="cs"/>
          <w:rtl/>
          <w:lang w:val="en-GB"/>
        </w:rPr>
        <w:t> </w:t>
      </w:r>
      <w:r w:rsidR="00F67B4E" w:rsidRPr="00F67B4E">
        <w:rPr>
          <w:rtl/>
          <w:lang w:val="en-GB"/>
        </w:rPr>
        <w:t>2028.</w:t>
      </w:r>
    </w:p>
    <w:p w14:paraId="165538AE" w14:textId="7EDC4158" w:rsidR="00F67B4E" w:rsidRPr="00F67B4E" w:rsidRDefault="00E4181C" w:rsidP="00205429">
      <w:pPr>
        <w:pStyle w:val="enumlev1"/>
        <w:rPr>
          <w:lang w:val="ar-SA" w:bidi="ar-EG"/>
        </w:rPr>
      </w:pPr>
      <w:r w:rsidRPr="00E4181C">
        <w:rPr>
          <w:rFonts w:hint="cs"/>
          <w:rtl/>
        </w:rPr>
        <w:t>’3‘</w:t>
      </w:r>
      <w:r w:rsidRPr="00E4181C">
        <w:rPr>
          <w:rtl/>
        </w:rPr>
        <w:tab/>
      </w:r>
      <w:r w:rsidR="00F67B4E" w:rsidRPr="00F67B4E">
        <w:rPr>
          <w:rtl/>
          <w:lang w:val="en-GB"/>
        </w:rPr>
        <w:t>سيُقترح تقرير إضافي بشأن استرداد التكاليف الكاملة التفصيلية في دورة المجلس لعام 2029 لتطبيقه اعتباراً من 1 يناير 2030، مما سيخفض الحد الأقصى المطبق لاسترداد التكاليف غير المباشرة إلى</w:t>
      </w:r>
      <w:r w:rsidR="00F67B4E" w:rsidRPr="00F67B4E">
        <w:rPr>
          <w:b/>
          <w:bCs/>
          <w:rtl/>
          <w:lang w:val="en-GB"/>
        </w:rPr>
        <w:t xml:space="preserve"> ما لا يزيد عن </w:t>
      </w:r>
      <w:r w:rsidRPr="00F67B4E">
        <w:rPr>
          <w:b/>
          <w:bCs/>
          <w:lang w:bidi="ar-EG"/>
        </w:rPr>
        <w:t>%</w:t>
      </w:r>
      <w:r w:rsidR="00F67B4E" w:rsidRPr="00F67B4E">
        <w:rPr>
          <w:b/>
          <w:bCs/>
          <w:lang w:bidi="ar-EG"/>
        </w:rPr>
        <w:t>30</w:t>
      </w:r>
      <w:r w:rsidR="00F67B4E" w:rsidRPr="00F67B4E">
        <w:rPr>
          <w:b/>
          <w:bCs/>
          <w:rtl/>
          <w:lang w:val="en-GB"/>
        </w:rPr>
        <w:t xml:space="preserve"> من التكاليف المباشرة.</w:t>
      </w:r>
    </w:p>
    <w:p w14:paraId="5E6C2F52" w14:textId="2607F08C" w:rsidR="00F67B4E" w:rsidRPr="00F67B4E" w:rsidRDefault="00F67B4E" w:rsidP="00F67B4E">
      <w:pPr>
        <w:rPr>
          <w:lang w:val="ar-SA" w:bidi="ar-EG"/>
        </w:rPr>
      </w:pPr>
      <w:r w:rsidRPr="00F67B4E">
        <w:rPr>
          <w:rtl/>
          <w:lang w:val="en-GB"/>
        </w:rPr>
        <w:t>10</w:t>
      </w:r>
      <w:r w:rsidRPr="00F67B4E">
        <w:rPr>
          <w:rtl/>
          <w:lang w:val="en-GB"/>
        </w:rPr>
        <w:tab/>
        <w:t>في حين أن الاتحاد لن يستوفي كامل تكاليفه في بداية هذه التخفيضات المرحلية، تقترح الأمانة تحقيق تخفيضات في التكاليف الفعلية إلى الحدود المقررة من خلال مزيج من التطبيق المنهجي لنموذج التوزيع الكامل للتكاليف، وزيادة الكفاءة التشغيلية، وتحسين الخدمات. ويتسق هذا النهج المتدرج للوصول إلى مستويات فعالة ومعقولة من التكاليف غير المباشرة مع القرار 91 (المراج</w:t>
      </w:r>
      <w:r w:rsidR="00E4181C">
        <w:rPr>
          <w:rFonts w:hint="cs"/>
          <w:rtl/>
          <w:lang w:val="en-GB"/>
        </w:rPr>
        <w:t>َ</w:t>
      </w:r>
      <w:r w:rsidRPr="00F67B4E">
        <w:rPr>
          <w:rtl/>
          <w:lang w:val="en-GB"/>
        </w:rPr>
        <w:t xml:space="preserve">ع في </w:t>
      </w:r>
      <w:proofErr w:type="spellStart"/>
      <w:r w:rsidRPr="00F67B4E">
        <w:rPr>
          <w:rtl/>
          <w:lang w:val="en-GB"/>
        </w:rPr>
        <w:t>غوادالاخارا</w:t>
      </w:r>
      <w:proofErr w:type="spellEnd"/>
      <w:r w:rsidRPr="00F67B4E">
        <w:rPr>
          <w:rtl/>
          <w:lang w:val="en-GB"/>
        </w:rPr>
        <w:t>، 2010) والملحق 2 بالمقرر 5 (المراج</w:t>
      </w:r>
      <w:r w:rsidR="00446C2F">
        <w:rPr>
          <w:rFonts w:hint="cs"/>
          <w:rtl/>
          <w:lang w:val="en-GB"/>
        </w:rPr>
        <w:t>َ</w:t>
      </w:r>
      <w:r w:rsidRPr="00F67B4E">
        <w:rPr>
          <w:rtl/>
          <w:lang w:val="en-GB"/>
        </w:rPr>
        <w:t>ع في بوخارست، 2022)</w:t>
      </w:r>
      <w:r w:rsidR="00205429">
        <w:rPr>
          <w:rFonts w:hint="cs"/>
          <w:rtl/>
          <w:lang w:val="en-GB"/>
        </w:rPr>
        <w:t xml:space="preserve"> لمؤتمر المندوبين المفوضين</w:t>
      </w:r>
      <w:r w:rsidRPr="00F67B4E">
        <w:rPr>
          <w:rtl/>
          <w:lang w:val="en-GB"/>
        </w:rPr>
        <w:t>.</w:t>
      </w:r>
    </w:p>
    <w:p w14:paraId="77603AE5" w14:textId="77777777" w:rsidR="00F67B4E" w:rsidRPr="00F67B4E" w:rsidRDefault="00F67B4E" w:rsidP="00E4181C">
      <w:pPr>
        <w:pStyle w:val="Headingb"/>
        <w:rPr>
          <w:lang w:val="ar-SA" w:bidi="ar-EG"/>
        </w:rPr>
      </w:pPr>
      <w:r w:rsidRPr="00F67B4E">
        <w:rPr>
          <w:rtl/>
          <w:lang w:val="en-GB"/>
        </w:rPr>
        <w:t>حساب التكاليف المباشرة وغير المباشرة</w:t>
      </w:r>
    </w:p>
    <w:p w14:paraId="41C068CA" w14:textId="788C7BA4" w:rsidR="00F67B4E" w:rsidRPr="00F67B4E" w:rsidRDefault="00F67B4E" w:rsidP="00F67B4E">
      <w:pPr>
        <w:rPr>
          <w:lang w:val="ar-SA" w:bidi="ar-EG"/>
        </w:rPr>
      </w:pPr>
      <w:r w:rsidRPr="00F67B4E">
        <w:rPr>
          <w:rtl/>
          <w:lang w:val="en-GB"/>
        </w:rPr>
        <w:t>11</w:t>
      </w:r>
      <w:r w:rsidRPr="00F67B4E">
        <w:rPr>
          <w:rtl/>
          <w:lang w:val="en-GB"/>
        </w:rPr>
        <w:tab/>
        <w:t xml:space="preserve">قُدّرت التكاليف المباشرة للاتحاد بمبلغ </w:t>
      </w:r>
      <w:r w:rsidRPr="00F67B4E">
        <w:rPr>
          <w:b/>
          <w:bCs/>
          <w:rtl/>
          <w:lang w:val="en-GB"/>
        </w:rPr>
        <w:t>11,0 مليون فرنك سويسري</w:t>
      </w:r>
      <w:r w:rsidRPr="00F67B4E">
        <w:rPr>
          <w:rtl/>
          <w:lang w:val="en-GB"/>
        </w:rPr>
        <w:t xml:space="preserve"> منذ عام 2006 عندما حدد مؤتمر المندوبين المفوضين القيمة الحالية لوحدة المساهمة. ونظراً للضغوط التضخمية، عدّل الاتحاد هذه التكاليف لتجسد الزيادات الفعلية استناداً إلى الرقم القياسي لأسعار المستهلك في جنيف الذي يقدر بزيادة بنسبة</w:t>
      </w:r>
      <w:r w:rsidR="00E4181C">
        <w:rPr>
          <w:rFonts w:hint="cs"/>
          <w:rtl/>
          <w:lang w:val="en-GB"/>
        </w:rPr>
        <w:t xml:space="preserve"> </w:t>
      </w:r>
      <w:r w:rsidR="00E4181C" w:rsidRPr="00F67B4E">
        <w:rPr>
          <w:b/>
          <w:bCs/>
          <w:lang w:bidi="ar-EG"/>
        </w:rPr>
        <w:t>%</w:t>
      </w:r>
      <w:r w:rsidRPr="00F67B4E">
        <w:rPr>
          <w:b/>
          <w:bCs/>
          <w:lang w:bidi="ar-EG"/>
        </w:rPr>
        <w:t>10,6</w:t>
      </w:r>
      <w:r w:rsidRPr="00F67B4E">
        <w:rPr>
          <w:rtl/>
          <w:lang w:val="en-GB"/>
        </w:rPr>
        <w:t xml:space="preserve">. وبالتالي فإن القيمة الحقيقية للتكاليف المباشرة بالقيمة الحالية هي </w:t>
      </w:r>
      <w:r w:rsidRPr="00F67B4E">
        <w:rPr>
          <w:b/>
          <w:bCs/>
          <w:lang w:val="en-GB" w:bidi="ar-EG"/>
        </w:rPr>
        <w:t>12 166 000</w:t>
      </w:r>
      <w:r w:rsidRPr="00F67B4E">
        <w:rPr>
          <w:b/>
          <w:bCs/>
          <w:rtl/>
          <w:lang w:val="en-GB"/>
        </w:rPr>
        <w:t xml:space="preserve"> فرنك سويسري</w:t>
      </w:r>
      <w:r w:rsidRPr="00F67B4E">
        <w:rPr>
          <w:rtl/>
          <w:lang w:val="en-GB"/>
        </w:rPr>
        <w:t>.</w:t>
      </w:r>
    </w:p>
    <w:p w14:paraId="0D80E221" w14:textId="2CF3287E" w:rsidR="00F67B4E" w:rsidRPr="00F67B4E" w:rsidRDefault="00F67B4E" w:rsidP="00F67B4E">
      <w:pPr>
        <w:rPr>
          <w:b/>
          <w:lang w:val="ar-SA" w:bidi="ar-EG"/>
        </w:rPr>
      </w:pPr>
      <w:r w:rsidRPr="00F67B4E">
        <w:rPr>
          <w:b/>
          <w:rtl/>
          <w:lang w:val="en-GB"/>
        </w:rPr>
        <w:t>12</w:t>
      </w:r>
      <w:r w:rsidRPr="00F67B4E">
        <w:rPr>
          <w:bCs/>
          <w:rtl/>
          <w:lang w:val="en-GB"/>
        </w:rPr>
        <w:tab/>
      </w:r>
      <w:r w:rsidRPr="00F67B4E">
        <w:rPr>
          <w:b/>
          <w:rtl/>
          <w:lang w:val="en-GB"/>
        </w:rPr>
        <w:t xml:space="preserve">وباستخدام التخفيضات المتدرجة المقترحة أعلاه، ستؤدي حدود التكاليف غير المباشرة البالغة </w:t>
      </w:r>
      <w:r w:rsidR="00210CA3" w:rsidRPr="00F67B4E">
        <w:rPr>
          <w:b/>
          <w:lang w:bidi="ar-EG"/>
        </w:rPr>
        <w:t>%</w:t>
      </w:r>
      <w:r w:rsidRPr="00F67B4E">
        <w:rPr>
          <w:b/>
          <w:lang w:bidi="ar-EG"/>
        </w:rPr>
        <w:t>40</w:t>
      </w:r>
      <w:r w:rsidRPr="00F67B4E">
        <w:rPr>
          <w:b/>
          <w:rtl/>
          <w:lang w:val="en-GB"/>
        </w:rPr>
        <w:t xml:space="preserve"> إلى</w:t>
      </w:r>
      <w:r w:rsidR="00C44703">
        <w:rPr>
          <w:rFonts w:hint="cs"/>
          <w:b/>
          <w:rtl/>
          <w:lang w:val="en-GB"/>
        </w:rPr>
        <w:t> </w:t>
      </w:r>
      <w:r w:rsidRPr="00F67B4E">
        <w:rPr>
          <w:b/>
          <w:rtl/>
          <w:lang w:val="en-GB"/>
        </w:rPr>
        <w:t xml:space="preserve">تحصيل تكاليف غير مباشرة قدرها </w:t>
      </w:r>
      <w:r w:rsidRPr="00F67B4E">
        <w:rPr>
          <w:b/>
          <w:bCs/>
          <w:lang w:val="en-GB" w:bidi="ar-EG"/>
        </w:rPr>
        <w:t>4 866 400</w:t>
      </w:r>
      <w:r w:rsidRPr="00205429">
        <w:rPr>
          <w:b/>
          <w:bCs/>
          <w:rtl/>
          <w:lang w:val="en-GB"/>
        </w:rPr>
        <w:t xml:space="preserve"> فرنك سويسري</w:t>
      </w:r>
      <w:r w:rsidRPr="00F67B4E">
        <w:rPr>
          <w:b/>
          <w:rtl/>
          <w:lang w:val="en-GB"/>
        </w:rPr>
        <w:t xml:space="preserve"> من رسوم معالجة بطاقات التبليغ عن الشبكات </w:t>
      </w:r>
      <w:proofErr w:type="spellStart"/>
      <w:r w:rsidRPr="00F67B4E">
        <w:rPr>
          <w:b/>
          <w:rtl/>
          <w:lang w:val="en-GB"/>
        </w:rPr>
        <w:t>الساتلية</w:t>
      </w:r>
      <w:proofErr w:type="spellEnd"/>
      <w:r w:rsidRPr="00F67B4E">
        <w:rPr>
          <w:b/>
          <w:rtl/>
          <w:lang w:val="en-GB"/>
        </w:rPr>
        <w:t xml:space="preserve"> اعتباراً من 1 يناير 2026. وسيكون المبلغ الإجمالي الذي يتعين تحصيله من رسوم معالجة بطاقات التبليغ عن الشبكات </w:t>
      </w:r>
      <w:proofErr w:type="spellStart"/>
      <w:r w:rsidRPr="00F67B4E">
        <w:rPr>
          <w:b/>
          <w:rtl/>
          <w:lang w:val="en-GB"/>
        </w:rPr>
        <w:t>الساتلية</w:t>
      </w:r>
      <w:proofErr w:type="spellEnd"/>
      <w:r w:rsidRPr="00F67B4E">
        <w:rPr>
          <w:b/>
          <w:rtl/>
          <w:lang w:val="en-GB"/>
        </w:rPr>
        <w:t xml:space="preserve"> هو </w:t>
      </w:r>
      <w:r w:rsidRPr="00F67B4E">
        <w:rPr>
          <w:b/>
          <w:bCs/>
          <w:lang w:val="en-GB" w:bidi="ar-EG"/>
        </w:rPr>
        <w:t>17 032 400</w:t>
      </w:r>
      <w:r w:rsidRPr="00F67B4E">
        <w:rPr>
          <w:b/>
          <w:rtl/>
          <w:lang w:val="en-GB"/>
        </w:rPr>
        <w:t xml:space="preserve"> </w:t>
      </w:r>
      <w:r w:rsidRPr="00205429">
        <w:rPr>
          <w:b/>
          <w:bCs/>
          <w:rtl/>
          <w:lang w:val="en-GB"/>
        </w:rPr>
        <w:t>فرنك سويسري</w:t>
      </w:r>
      <w:r w:rsidRPr="00F67B4E">
        <w:rPr>
          <w:b/>
          <w:rtl/>
          <w:lang w:val="en-GB"/>
        </w:rPr>
        <w:t>.</w:t>
      </w:r>
    </w:p>
    <w:p w14:paraId="246FD02D" w14:textId="77777777" w:rsidR="00F67B4E" w:rsidRPr="00F67B4E" w:rsidRDefault="00F67B4E" w:rsidP="00210CA3">
      <w:pPr>
        <w:pStyle w:val="Headingb"/>
        <w:rPr>
          <w:lang w:val="ar-SA" w:bidi="ar-EG"/>
        </w:rPr>
      </w:pPr>
      <w:r w:rsidRPr="00F67B4E">
        <w:rPr>
          <w:rtl/>
          <w:lang w:val="en-GB"/>
        </w:rPr>
        <w:t>اعتمادات من أجل تطوير البرمجيات</w:t>
      </w:r>
    </w:p>
    <w:p w14:paraId="70920D0F" w14:textId="0D42CED8" w:rsidR="00F67B4E" w:rsidRPr="00F67B4E" w:rsidRDefault="00F67B4E" w:rsidP="00210CA3">
      <w:pPr>
        <w:rPr>
          <w:lang w:val="ar-SA" w:bidi="ar-EG"/>
        </w:rPr>
      </w:pPr>
      <w:r w:rsidRPr="00F67B4E">
        <w:rPr>
          <w:rtl/>
          <w:lang w:val="en-GB"/>
        </w:rPr>
        <w:t>13</w:t>
      </w:r>
      <w:r w:rsidRPr="00F67B4E">
        <w:rPr>
          <w:rtl/>
          <w:lang w:val="en-GB"/>
        </w:rPr>
        <w:tab/>
      </w:r>
      <w:r w:rsidRPr="00F67B4E">
        <w:rPr>
          <w:spacing w:val="-2"/>
          <w:rtl/>
          <w:lang w:val="en-GB"/>
        </w:rPr>
        <w:t xml:space="preserve">تلاحظ الأمانة أن فريق الخبراء التابع للمجلس والمعني بالمقرر </w:t>
      </w:r>
      <w:r w:rsidRPr="00205429">
        <w:rPr>
          <w:spacing w:val="-2"/>
          <w:rtl/>
          <w:lang w:val="en-GB"/>
        </w:rPr>
        <w:t>482</w:t>
      </w:r>
      <w:r w:rsidRPr="00F67B4E">
        <w:rPr>
          <w:spacing w:val="-2"/>
          <w:rtl/>
          <w:lang w:val="en-GB"/>
        </w:rPr>
        <w:t xml:space="preserve"> (</w:t>
      </w:r>
      <w:proofErr w:type="spellStart"/>
      <w:r w:rsidRPr="00F67B4E">
        <w:rPr>
          <w:spacing w:val="-2"/>
          <w:rtl/>
          <w:lang w:val="en-GB"/>
        </w:rPr>
        <w:t>EG-DEC482</w:t>
      </w:r>
      <w:proofErr w:type="spellEnd"/>
      <w:r w:rsidRPr="00F67B4E">
        <w:rPr>
          <w:spacing w:val="-2"/>
          <w:rtl/>
          <w:lang w:val="en-GB"/>
        </w:rPr>
        <w:t xml:space="preserve">) لم يتناول النفقات اللازمة لضمان إمكانية مواصلة معالجة بطاقات التبليغ بكفاءة مع مراعاة زيادة حجمها. ولمعالجة هذه المسألة، تقترح الأمانة إضافة مبلغ إضافي قدره </w:t>
      </w:r>
      <w:r w:rsidR="00210CA3" w:rsidRPr="00210CA3">
        <w:rPr>
          <w:b/>
          <w:bCs/>
          <w:spacing w:val="-2"/>
          <w:lang w:val="en-GB"/>
        </w:rPr>
        <w:t>1 000 000</w:t>
      </w:r>
      <w:r w:rsidRPr="00F67B4E">
        <w:rPr>
          <w:b/>
          <w:bCs/>
          <w:spacing w:val="-2"/>
          <w:rtl/>
          <w:lang w:val="en-GB"/>
        </w:rPr>
        <w:t xml:space="preserve"> فرنك سويسري</w:t>
      </w:r>
      <w:r w:rsidRPr="00F67B4E">
        <w:rPr>
          <w:spacing w:val="-2"/>
          <w:rtl/>
          <w:lang w:val="en-GB"/>
        </w:rPr>
        <w:t xml:space="preserve"> سنوياً يتم تحصيله كجزء من رسوم معالجة بطاقات التبليغ عن الشبكات </w:t>
      </w:r>
      <w:proofErr w:type="spellStart"/>
      <w:r w:rsidRPr="00F67B4E">
        <w:rPr>
          <w:spacing w:val="-2"/>
          <w:rtl/>
          <w:lang w:val="en-GB"/>
        </w:rPr>
        <w:t>الساتلية</w:t>
      </w:r>
      <w:proofErr w:type="spellEnd"/>
      <w:r w:rsidRPr="00F67B4E">
        <w:rPr>
          <w:spacing w:val="-2"/>
          <w:rtl/>
          <w:lang w:val="en-GB"/>
        </w:rPr>
        <w:t>. وسيودع هذا المبلغ في الصندوق الرأسمالي لتكنولوجيا المعلومات والاتصالات</w:t>
      </w:r>
      <w:r w:rsidR="009C3B2D" w:rsidRPr="00210CA3">
        <w:rPr>
          <w:rFonts w:hint="cs"/>
          <w:spacing w:val="-2"/>
          <w:rtl/>
          <w:lang w:val="en-GB"/>
        </w:rPr>
        <w:t xml:space="preserve"> </w:t>
      </w:r>
      <w:r w:rsidR="009C3B2D" w:rsidRPr="00210CA3">
        <w:rPr>
          <w:spacing w:val="-2"/>
        </w:rPr>
        <w:t>(ICT)</w:t>
      </w:r>
      <w:r w:rsidRPr="00F67B4E">
        <w:rPr>
          <w:spacing w:val="-2"/>
          <w:rtl/>
          <w:lang w:val="en-GB"/>
        </w:rPr>
        <w:t xml:space="preserve"> وسيُخصص لتحديث وتطوير تطبيقات برمجيات مكتب الاتصالات الراديوية المستخدمة في معالجة بطاقات التبليغ عن الشبكات </w:t>
      </w:r>
      <w:proofErr w:type="spellStart"/>
      <w:r w:rsidRPr="00F67B4E">
        <w:rPr>
          <w:spacing w:val="-2"/>
          <w:rtl/>
          <w:lang w:val="en-GB"/>
        </w:rPr>
        <w:t>الساتلية</w:t>
      </w:r>
      <w:proofErr w:type="spellEnd"/>
      <w:r w:rsidRPr="00F67B4E">
        <w:rPr>
          <w:spacing w:val="-2"/>
          <w:rtl/>
          <w:lang w:val="en-GB"/>
        </w:rPr>
        <w:t>.‎</w:t>
      </w:r>
    </w:p>
    <w:p w14:paraId="2E0BF9ED" w14:textId="77777777" w:rsidR="00F67B4E" w:rsidRPr="00F67B4E" w:rsidRDefault="00F67B4E" w:rsidP="00210CA3">
      <w:pPr>
        <w:pStyle w:val="Headingb"/>
        <w:rPr>
          <w:lang w:val="ar-SA" w:bidi="ar-EG"/>
        </w:rPr>
      </w:pPr>
      <w:r w:rsidRPr="00F67B4E">
        <w:rPr>
          <w:rtl/>
          <w:lang w:val="en-GB"/>
        </w:rPr>
        <w:t>طريقة تطبيق الحدود المعتمدة</w:t>
      </w:r>
    </w:p>
    <w:p w14:paraId="1C7FCE25" w14:textId="2D365D4F" w:rsidR="00F67B4E" w:rsidRPr="00205429" w:rsidRDefault="00F67B4E" w:rsidP="00210CA3">
      <w:pPr>
        <w:rPr>
          <w:b/>
          <w:spacing w:val="-3"/>
          <w:lang w:val="ar-SA" w:bidi="ar-EG"/>
        </w:rPr>
      </w:pPr>
      <w:r w:rsidRPr="00205429">
        <w:rPr>
          <w:b/>
          <w:spacing w:val="-3"/>
          <w:rtl/>
          <w:lang w:val="en-GB"/>
        </w:rPr>
        <w:t>14</w:t>
      </w:r>
      <w:r w:rsidRPr="00205429">
        <w:rPr>
          <w:bCs/>
          <w:spacing w:val="-3"/>
          <w:rtl/>
          <w:lang w:val="en-GB"/>
        </w:rPr>
        <w:tab/>
      </w:r>
      <w:r w:rsidRPr="00205429">
        <w:rPr>
          <w:b/>
          <w:spacing w:val="-3"/>
          <w:rtl/>
          <w:lang w:val="en-GB"/>
        </w:rPr>
        <w:t xml:space="preserve">تطلب الأمانة من المجلس أن يأذن بتطبيق الحدود باستخدام مضاعف الرسوم الذي حدده الفريق </w:t>
      </w:r>
      <w:proofErr w:type="spellStart"/>
      <w:r w:rsidRPr="00205429">
        <w:rPr>
          <w:b/>
          <w:spacing w:val="-3"/>
          <w:lang w:val="en-GB"/>
        </w:rPr>
        <w:t>EG-DEC482</w:t>
      </w:r>
      <w:proofErr w:type="spellEnd"/>
      <w:r w:rsidRPr="00205429">
        <w:rPr>
          <w:b/>
          <w:spacing w:val="-3"/>
          <w:rtl/>
          <w:lang w:val="en-GB"/>
        </w:rPr>
        <w:t xml:space="preserve"> في </w:t>
      </w:r>
      <w:r w:rsidRPr="00205429">
        <w:rPr>
          <w:spacing w:val="-3"/>
          <w:rtl/>
          <w:lang w:val="en-GB"/>
        </w:rPr>
        <w:t xml:space="preserve">الوثيقة </w:t>
      </w:r>
      <w:hyperlink r:id="rId11" w:history="1">
        <w:proofErr w:type="spellStart"/>
        <w:r w:rsidRPr="00205429">
          <w:rPr>
            <w:rStyle w:val="Hyperlink"/>
            <w:rFonts w:ascii="Dubai" w:eastAsiaTheme="minorEastAsia" w:hAnsi="Dubai" w:cs="Dubai"/>
            <w:noProof w:val="0"/>
            <w:spacing w:val="-3"/>
            <w:sz w:val="22"/>
            <w:lang w:eastAsia="zh-CN"/>
          </w:rPr>
          <w:t>C25</w:t>
        </w:r>
        <w:proofErr w:type="spellEnd"/>
        <w:r w:rsidRPr="00205429">
          <w:rPr>
            <w:rStyle w:val="Hyperlink"/>
            <w:rFonts w:ascii="Dubai" w:eastAsiaTheme="minorEastAsia" w:hAnsi="Dubai" w:cs="Dubai"/>
            <w:noProof w:val="0"/>
            <w:spacing w:val="-3"/>
            <w:sz w:val="22"/>
            <w:lang w:eastAsia="zh-CN"/>
          </w:rPr>
          <w:t>/10</w:t>
        </w:r>
      </w:hyperlink>
      <w:r w:rsidRPr="00205429">
        <w:rPr>
          <w:spacing w:val="-3"/>
          <w:rtl/>
          <w:lang w:val="en-GB"/>
        </w:rPr>
        <w:t>، وذلك استناداً</w:t>
      </w:r>
      <w:r w:rsidRPr="00205429">
        <w:rPr>
          <w:b/>
          <w:spacing w:val="-3"/>
          <w:rtl/>
          <w:lang w:val="en-GB"/>
        </w:rPr>
        <w:t xml:space="preserve"> إلى الاسترداد المتوقع بناءً على الرسوم الجديدة ومستويات التبليغ الحالية، لتحقيق مستوى بطاقات التبليغ الموافق عليه. وتقوم الأمانة حالياً بحساب الرسوم المقدرة التي سيتم تحصيلها استناداً إلى توصيات </w:t>
      </w:r>
      <w:r w:rsidRPr="00205429">
        <w:rPr>
          <w:spacing w:val="-3"/>
          <w:rtl/>
          <w:lang w:val="en-GB"/>
        </w:rPr>
        <w:t xml:space="preserve">الفريق </w:t>
      </w:r>
      <w:proofErr w:type="spellStart"/>
      <w:r w:rsidRPr="00205429">
        <w:rPr>
          <w:spacing w:val="-3"/>
          <w:lang w:val="en-GB"/>
        </w:rPr>
        <w:t>EG-DEC482</w:t>
      </w:r>
      <w:proofErr w:type="spellEnd"/>
      <w:r w:rsidRPr="00205429">
        <w:rPr>
          <w:spacing w:val="-3"/>
          <w:rtl/>
          <w:lang w:val="en-GB"/>
        </w:rPr>
        <w:t xml:space="preserve"> المقدمة</w:t>
      </w:r>
      <w:r w:rsidRPr="00205429">
        <w:rPr>
          <w:b/>
          <w:spacing w:val="-3"/>
          <w:rtl/>
          <w:lang w:val="en-GB"/>
        </w:rPr>
        <w:t xml:space="preserve"> إلى المجلس في </w:t>
      </w:r>
      <w:r w:rsidRPr="00205429">
        <w:rPr>
          <w:spacing w:val="-3"/>
          <w:rtl/>
          <w:lang w:val="en-GB"/>
        </w:rPr>
        <w:t xml:space="preserve">الوثيقة </w:t>
      </w:r>
      <w:hyperlink r:id="rId12" w:history="1">
        <w:proofErr w:type="spellStart"/>
        <w:r w:rsidRPr="00205429">
          <w:rPr>
            <w:rStyle w:val="Hyperlink"/>
            <w:rFonts w:ascii="Dubai" w:eastAsiaTheme="minorEastAsia" w:hAnsi="Dubai" w:cs="Dubai"/>
            <w:noProof w:val="0"/>
            <w:spacing w:val="-3"/>
            <w:sz w:val="22"/>
            <w:lang w:eastAsia="zh-CN"/>
          </w:rPr>
          <w:t>C25</w:t>
        </w:r>
        <w:proofErr w:type="spellEnd"/>
        <w:r w:rsidRPr="00205429">
          <w:rPr>
            <w:rStyle w:val="Hyperlink"/>
            <w:rFonts w:ascii="Dubai" w:eastAsiaTheme="minorEastAsia" w:hAnsi="Dubai" w:cs="Dubai"/>
            <w:noProof w:val="0"/>
            <w:spacing w:val="-3"/>
            <w:sz w:val="22"/>
            <w:lang w:eastAsia="zh-CN"/>
          </w:rPr>
          <w:t>/10</w:t>
        </w:r>
      </w:hyperlink>
      <w:r w:rsidRPr="00205429">
        <w:rPr>
          <w:spacing w:val="-3"/>
          <w:rtl/>
          <w:lang w:val="en-GB"/>
        </w:rPr>
        <w:t>، ومع</w:t>
      </w:r>
      <w:r w:rsidRPr="00205429">
        <w:rPr>
          <w:b/>
          <w:spacing w:val="-3"/>
          <w:rtl/>
          <w:lang w:val="en-GB"/>
        </w:rPr>
        <w:t xml:space="preserve"> ذلك يُقترح أن تطلب الأمينة العامة أن يوافق المجلس على إضافة مضاعف معياري إلى جميع الرسوم المقترحة، بمبلغ يضمن تحقيق إيرادات إجمالية قدرها </w:t>
      </w:r>
      <w:r w:rsidR="00210CA3" w:rsidRPr="00205429">
        <w:rPr>
          <w:b/>
          <w:bCs/>
          <w:spacing w:val="-3"/>
          <w:lang w:val="en-GB"/>
        </w:rPr>
        <w:t>18 032 400</w:t>
      </w:r>
      <w:r w:rsidRPr="00205429">
        <w:rPr>
          <w:b/>
          <w:spacing w:val="-3"/>
          <w:rtl/>
          <w:lang w:val="en-GB"/>
        </w:rPr>
        <w:t xml:space="preserve"> </w:t>
      </w:r>
      <w:r w:rsidRPr="00205429">
        <w:rPr>
          <w:bCs/>
          <w:spacing w:val="-3"/>
          <w:rtl/>
          <w:lang w:val="en-GB"/>
        </w:rPr>
        <w:t>فرنك سويسري</w:t>
      </w:r>
      <w:r w:rsidRPr="00205429">
        <w:rPr>
          <w:b/>
          <w:spacing w:val="-3"/>
          <w:rtl/>
          <w:lang w:val="en-GB"/>
        </w:rPr>
        <w:t xml:space="preserve">. وفي حالة الموافقة على ذلك، ستحسب الأمانة الرسوم المناسبة وستنشرها للتنفيذ اعتباراً من </w:t>
      </w:r>
      <w:r w:rsidRPr="00205429">
        <w:rPr>
          <w:bCs/>
          <w:spacing w:val="-3"/>
          <w:rtl/>
          <w:lang w:val="en-GB"/>
        </w:rPr>
        <w:t>1 يناير 2026</w:t>
      </w:r>
      <w:r w:rsidRPr="00205429">
        <w:rPr>
          <w:b/>
          <w:spacing w:val="-3"/>
          <w:rtl/>
          <w:lang w:val="en-GB"/>
        </w:rPr>
        <w:t>.</w:t>
      </w:r>
    </w:p>
    <w:p w14:paraId="6E141B22" w14:textId="77777777" w:rsidR="00F67B4E" w:rsidRPr="00F67B4E" w:rsidRDefault="00F67B4E" w:rsidP="00F67B4E">
      <w:pPr>
        <w:rPr>
          <w:lang w:bidi="ar-EG"/>
        </w:rPr>
      </w:pPr>
      <w:r w:rsidRPr="00F67B4E">
        <w:rPr>
          <w:lang w:bidi="ar-EG"/>
        </w:rPr>
        <w:br w:type="page"/>
      </w:r>
    </w:p>
    <w:p w14:paraId="1461E250" w14:textId="77777777" w:rsidR="00F67B4E" w:rsidRPr="00210CA3" w:rsidRDefault="00F67B4E" w:rsidP="00210CA3">
      <w:pPr>
        <w:pStyle w:val="AnnexNo"/>
        <w:rPr>
          <w:lang w:val="ar-SA" w:bidi="ar-EG"/>
        </w:rPr>
      </w:pPr>
      <w:bookmarkStart w:id="1" w:name="الملحق1"/>
      <w:r w:rsidRPr="00210CA3">
        <w:rPr>
          <w:rtl/>
          <w:lang w:val="en-GB"/>
        </w:rPr>
        <w:lastRenderedPageBreak/>
        <w:t>الملحق 1</w:t>
      </w:r>
      <w:bookmarkEnd w:id="1"/>
    </w:p>
    <w:p w14:paraId="0A33CD64" w14:textId="77777777" w:rsidR="00F67B4E" w:rsidRPr="00F67B4E" w:rsidRDefault="00F67B4E" w:rsidP="00210CA3">
      <w:pPr>
        <w:pStyle w:val="Annextitle"/>
        <w:rPr>
          <w:lang w:val="ar-SA" w:bidi="ar-EG"/>
        </w:rPr>
      </w:pPr>
      <w:r w:rsidRPr="00F67B4E">
        <w:rPr>
          <w:rtl/>
          <w:lang w:val="en-GB"/>
        </w:rPr>
        <w:t>مقارنة مرجعية لتوزيع التكاليف غير المباشرة في المنظمات الدولية</w:t>
      </w:r>
    </w:p>
    <w:p w14:paraId="005B1CE5" w14:textId="29C58017" w:rsidR="00F67B4E" w:rsidRPr="00F67B4E" w:rsidRDefault="00F67B4E" w:rsidP="00F67B4E">
      <w:pPr>
        <w:rPr>
          <w:spacing w:val="-2"/>
          <w:lang w:val="ar-SA" w:bidi="ar-EG"/>
        </w:rPr>
      </w:pPr>
      <w:r w:rsidRPr="00F67B4E">
        <w:rPr>
          <w:spacing w:val="-2"/>
          <w:rtl/>
          <w:lang w:val="en-GB"/>
        </w:rPr>
        <w:t xml:space="preserve">لتحديد توزيع معقول للتكاليف غير المباشرة، تقترح الأمانة الاستناد إلى المعايير المرجعية التي وضعتها مؤسسات دولية معترف بها لتوجيه تحديد المستويات المناسبة. وتم تحديد دراستين حديثتين تقترحان توزيع التكاليف غير المباشرة ضمن نطاق يتراوح بين </w:t>
      </w:r>
      <w:r w:rsidR="00210CA3" w:rsidRPr="00F67B4E">
        <w:rPr>
          <w:b/>
          <w:bCs/>
          <w:spacing w:val="-2"/>
          <w:lang w:bidi="ar-EG"/>
        </w:rPr>
        <w:t>%</w:t>
      </w:r>
      <w:r w:rsidRPr="00F67B4E">
        <w:rPr>
          <w:b/>
          <w:bCs/>
          <w:spacing w:val="-2"/>
          <w:lang w:bidi="ar-EG"/>
        </w:rPr>
        <w:t>25</w:t>
      </w:r>
      <w:r w:rsidRPr="00F67B4E">
        <w:rPr>
          <w:b/>
          <w:bCs/>
          <w:spacing w:val="-2"/>
          <w:rtl/>
          <w:lang w:val="en-GB"/>
        </w:rPr>
        <w:t xml:space="preserve"> و</w:t>
      </w:r>
      <w:r w:rsidR="00210CA3" w:rsidRPr="00F67B4E">
        <w:rPr>
          <w:b/>
          <w:bCs/>
          <w:spacing w:val="-2"/>
          <w:lang w:bidi="ar-EG"/>
        </w:rPr>
        <w:t>%</w:t>
      </w:r>
      <w:r w:rsidRPr="00F67B4E">
        <w:rPr>
          <w:b/>
          <w:bCs/>
          <w:spacing w:val="-2"/>
          <w:lang w:bidi="ar-EG"/>
        </w:rPr>
        <w:t>30</w:t>
      </w:r>
      <w:r w:rsidRPr="00F67B4E">
        <w:rPr>
          <w:b/>
          <w:bCs/>
          <w:spacing w:val="-2"/>
          <w:rtl/>
          <w:lang w:val="en-GB"/>
        </w:rPr>
        <w:t xml:space="preserve"> من التكاليف المباشرة</w:t>
      </w:r>
      <w:r w:rsidRPr="00F67B4E">
        <w:rPr>
          <w:spacing w:val="-2"/>
          <w:rtl/>
          <w:lang w:val="en-GB"/>
        </w:rPr>
        <w:t>، وذلك حسب طبيعة الخدمات المقدمة وتعقيدها.</w:t>
      </w:r>
    </w:p>
    <w:p w14:paraId="42702D12" w14:textId="5ACA62AA" w:rsidR="00F67B4E" w:rsidRPr="00F67B4E" w:rsidRDefault="00210CA3" w:rsidP="00210CA3">
      <w:pPr>
        <w:pStyle w:val="enumlev1"/>
        <w:rPr>
          <w:lang w:val="ar-SA" w:bidi="ar-EG"/>
        </w:rPr>
      </w:pPr>
      <w:r>
        <w:rPr>
          <w:lang w:val="en-GB"/>
        </w:rPr>
        <w:t>1</w:t>
      </w:r>
      <w:r w:rsidRPr="00210CA3">
        <w:rPr>
          <w:b/>
          <w:bCs/>
          <w:lang w:val="en-GB"/>
        </w:rPr>
        <w:tab/>
      </w:r>
      <w:r w:rsidR="00F67B4E" w:rsidRPr="00210CA3">
        <w:rPr>
          <w:b/>
          <w:bCs/>
          <w:rtl/>
          <w:lang w:val="en-GB"/>
        </w:rPr>
        <w:t>دراسات البنك الدولي ومؤسسة التمويل الدولية:</w:t>
      </w:r>
    </w:p>
    <w:p w14:paraId="647DE800" w14:textId="58C4E809" w:rsidR="00F67B4E" w:rsidRPr="00F67B4E" w:rsidRDefault="00210CA3" w:rsidP="00210CA3">
      <w:pPr>
        <w:pStyle w:val="enumlev2"/>
        <w:rPr>
          <w:lang w:val="ar-SA" w:bidi="ar-EG"/>
        </w:rPr>
      </w:pPr>
      <w:r>
        <w:rPr>
          <w:rtl/>
          <w:lang w:val="en-GB"/>
        </w:rPr>
        <w:t>o</w:t>
      </w:r>
      <w:r>
        <w:rPr>
          <w:lang w:val="en-GB"/>
        </w:rPr>
        <w:tab/>
      </w:r>
      <w:r w:rsidR="00F67B4E" w:rsidRPr="00F67B4E">
        <w:rPr>
          <w:rtl/>
          <w:lang w:val="en-GB"/>
        </w:rPr>
        <w:t xml:space="preserve">وفقاً لأطر استرداد التكاليف الخاصة بالبنك الدولي ومؤسسة التمويل الدولية </w:t>
      </w:r>
      <w:r w:rsidR="003F2CC0">
        <w:rPr>
          <w:lang w:val="en-GB"/>
        </w:rPr>
        <w:t>(</w:t>
      </w:r>
      <w:proofErr w:type="spellStart"/>
      <w:r w:rsidR="00F67B4E" w:rsidRPr="00F67B4E">
        <w:rPr>
          <w:lang w:bidi="ar-EG"/>
        </w:rPr>
        <w:t>IFC</w:t>
      </w:r>
      <w:proofErr w:type="spellEnd"/>
      <w:r w:rsidR="003F2CC0">
        <w:rPr>
          <w:lang w:val="en-GB"/>
        </w:rPr>
        <w:t>)</w:t>
      </w:r>
      <w:r w:rsidR="00F67B4E" w:rsidRPr="00F67B4E">
        <w:rPr>
          <w:rtl/>
          <w:lang w:val="en-GB"/>
        </w:rPr>
        <w:t>، ينبغي ألا</w:t>
      </w:r>
      <w:r w:rsidR="00720032">
        <w:rPr>
          <w:rFonts w:hint="cs"/>
          <w:rtl/>
          <w:lang w:val="en-GB"/>
        </w:rPr>
        <w:t> </w:t>
      </w:r>
      <w:r w:rsidR="00F67B4E" w:rsidRPr="00F67B4E">
        <w:rPr>
          <w:rtl/>
          <w:lang w:val="en-GB"/>
        </w:rPr>
        <w:t>تتجاوز النفقات الإدارية العامة لكيانات القطاع العام في الوضع الأمثل</w:t>
      </w:r>
      <w:r w:rsidR="00F67B4E" w:rsidRPr="00F67B4E">
        <w:rPr>
          <w:b/>
          <w:bCs/>
          <w:rtl/>
          <w:lang w:val="en-GB"/>
        </w:rPr>
        <w:t xml:space="preserve"> </w:t>
      </w:r>
      <w:r w:rsidR="003F2CC0" w:rsidRPr="00F67B4E">
        <w:rPr>
          <w:b/>
          <w:bCs/>
          <w:lang w:bidi="ar-EG"/>
        </w:rPr>
        <w:t>%</w:t>
      </w:r>
      <w:r w:rsidR="00F67B4E" w:rsidRPr="00F67B4E">
        <w:rPr>
          <w:b/>
          <w:bCs/>
          <w:lang w:bidi="ar-EG"/>
        </w:rPr>
        <w:t>30</w:t>
      </w:r>
      <w:r w:rsidR="00F67B4E" w:rsidRPr="00F67B4E">
        <w:rPr>
          <w:rtl/>
          <w:lang w:val="en-GB"/>
        </w:rPr>
        <w:t xml:space="preserve"> من النفقات التشغيلية المباشرة، مع التركيز على اتباع نهج متوازن إزاء استرداد التكاليف والشفافية.</w:t>
      </w:r>
    </w:p>
    <w:p w14:paraId="4D3A35C5" w14:textId="6F042280" w:rsidR="00F67B4E" w:rsidRPr="00F67B4E" w:rsidRDefault="00210CA3" w:rsidP="00210CA3">
      <w:pPr>
        <w:pStyle w:val="enumlev2"/>
        <w:rPr>
          <w:lang w:val="ar-SA" w:bidi="ar-EG"/>
        </w:rPr>
      </w:pPr>
      <w:r>
        <w:rPr>
          <w:rtl/>
          <w:lang w:val="en-GB"/>
        </w:rPr>
        <w:t>o</w:t>
      </w:r>
      <w:r>
        <w:rPr>
          <w:lang w:val="en-GB"/>
        </w:rPr>
        <w:tab/>
      </w:r>
      <w:r w:rsidR="00F67B4E" w:rsidRPr="003F2CC0">
        <w:rPr>
          <w:spacing w:val="-4"/>
          <w:rtl/>
          <w:lang w:val="en-GB"/>
        </w:rPr>
        <w:t xml:space="preserve">المرجع: مؤسسة التمويل الدولية (2020)، </w:t>
      </w:r>
      <w:r w:rsidR="00F67B4E" w:rsidRPr="00205429">
        <w:rPr>
          <w:i/>
          <w:iCs/>
          <w:spacing w:val="-4"/>
          <w:rtl/>
          <w:lang w:val="en-GB"/>
        </w:rPr>
        <w:t>المبادئ التوجيهية لتوزيع تكاليف المشاريع واستردادها</w:t>
      </w:r>
      <w:r w:rsidR="00F67B4E" w:rsidRPr="003F2CC0">
        <w:rPr>
          <w:spacing w:val="-4"/>
          <w:rtl/>
          <w:lang w:val="en-GB"/>
        </w:rPr>
        <w:t>، مجموعة البنك الدولي، واشنطن العاصمة.</w:t>
      </w:r>
    </w:p>
    <w:p w14:paraId="4D2DA460" w14:textId="682A4DE2" w:rsidR="00F67B4E" w:rsidRPr="00205429" w:rsidRDefault="003F2CC0" w:rsidP="003F2CC0">
      <w:pPr>
        <w:pStyle w:val="enumlev1"/>
        <w:rPr>
          <w:b/>
          <w:bCs/>
          <w:lang w:val="ar-SA" w:bidi="ar-EG"/>
        </w:rPr>
      </w:pPr>
      <w:r>
        <w:rPr>
          <w:lang w:val="en-GB"/>
        </w:rPr>
        <w:t>2</w:t>
      </w:r>
      <w:r>
        <w:rPr>
          <w:lang w:val="en-GB"/>
        </w:rPr>
        <w:tab/>
      </w:r>
      <w:r w:rsidR="00F67B4E" w:rsidRPr="003F2CC0">
        <w:rPr>
          <w:b/>
          <w:bCs/>
          <w:rtl/>
          <w:lang w:val="en-GB"/>
        </w:rPr>
        <w:t xml:space="preserve">النظام الموحد للأمم المتحدة </w:t>
      </w:r>
      <w:r w:rsidR="00205429">
        <w:rPr>
          <w:rFonts w:hint="cs"/>
          <w:b/>
          <w:bCs/>
          <w:rtl/>
          <w:lang w:val="en-GB"/>
        </w:rPr>
        <w:t>(</w:t>
      </w:r>
      <w:r w:rsidR="00F67B4E" w:rsidRPr="003F2CC0">
        <w:rPr>
          <w:b/>
          <w:bCs/>
          <w:rtl/>
          <w:lang w:val="en-GB"/>
        </w:rPr>
        <w:t>برنامج الأمم المتحدة الإنمائي</w:t>
      </w:r>
      <w:r w:rsidR="00205429">
        <w:rPr>
          <w:rFonts w:hint="cs"/>
          <w:b/>
          <w:bCs/>
          <w:rtl/>
          <w:lang w:val="en-GB"/>
        </w:rPr>
        <w:t xml:space="preserve"> </w:t>
      </w:r>
      <w:r w:rsidR="00F67B4E" w:rsidRPr="003F2CC0">
        <w:rPr>
          <w:b/>
          <w:bCs/>
          <w:rtl/>
          <w:lang w:val="en-GB"/>
        </w:rPr>
        <w:t>و</w:t>
      </w:r>
      <w:r w:rsidR="00205429" w:rsidRPr="00205429">
        <w:rPr>
          <w:b/>
          <w:bCs/>
          <w:rtl/>
          <w:lang w:val="en-GB"/>
        </w:rPr>
        <w:t>منظمة الأمم المتحدة للطفولة</w:t>
      </w:r>
      <w:r w:rsidR="00205429" w:rsidRPr="00205429">
        <w:rPr>
          <w:rFonts w:hint="cs"/>
          <w:b/>
          <w:bCs/>
          <w:rtl/>
          <w:lang w:val="en-GB" w:bidi="ar-SA"/>
        </w:rPr>
        <w:t>)</w:t>
      </w:r>
      <w:r w:rsidR="00F67B4E" w:rsidRPr="00205429">
        <w:rPr>
          <w:b/>
          <w:bCs/>
          <w:rtl/>
          <w:lang w:val="en-GB"/>
        </w:rPr>
        <w:t>:</w:t>
      </w:r>
    </w:p>
    <w:p w14:paraId="6B07E099" w14:textId="3E922CD0" w:rsidR="00F67B4E" w:rsidRPr="00F67B4E" w:rsidRDefault="003F2CC0" w:rsidP="003F2CC0">
      <w:pPr>
        <w:pStyle w:val="enumlev2"/>
        <w:rPr>
          <w:lang w:val="ar-SA" w:bidi="ar-EG"/>
        </w:rPr>
      </w:pPr>
      <w:r>
        <w:rPr>
          <w:rtl/>
          <w:lang w:val="en-GB"/>
        </w:rPr>
        <w:t>o</w:t>
      </w:r>
      <w:r>
        <w:rPr>
          <w:rtl/>
          <w:lang w:val="en-GB"/>
        </w:rPr>
        <w:tab/>
      </w:r>
      <w:r w:rsidR="00F67B4E" w:rsidRPr="00F67B4E">
        <w:rPr>
          <w:rtl/>
          <w:lang w:val="en-GB"/>
        </w:rPr>
        <w:t>توصي المبادئ التوجيهية لبرنامج الأمم المتحدة الإنمائي</w:t>
      </w:r>
      <w:r w:rsidR="00720032">
        <w:rPr>
          <w:rFonts w:hint="cs"/>
          <w:rtl/>
          <w:lang w:val="en-GB"/>
        </w:rPr>
        <w:t xml:space="preserve"> </w:t>
      </w:r>
      <w:r w:rsidR="00720032">
        <w:t>(UNDP)</w:t>
      </w:r>
      <w:r w:rsidR="00F67B4E" w:rsidRPr="00F67B4E">
        <w:rPr>
          <w:rtl/>
          <w:lang w:val="en-GB"/>
        </w:rPr>
        <w:t xml:space="preserve"> ومنظمة الأمم المتحدة للطفولة</w:t>
      </w:r>
      <w:r w:rsidR="00205429">
        <w:rPr>
          <w:rFonts w:hint="cs"/>
          <w:rtl/>
          <w:lang w:val="en-GB"/>
        </w:rPr>
        <w:t> </w:t>
      </w:r>
      <w:r w:rsidR="00F67B4E" w:rsidRPr="00F67B4E">
        <w:rPr>
          <w:rtl/>
          <w:lang w:val="en-GB"/>
        </w:rPr>
        <w:t xml:space="preserve">(اليونيسيف) بشأن تكاليف دعم البرامج </w:t>
      </w:r>
      <w:r>
        <w:rPr>
          <w:lang w:val="en-GB"/>
        </w:rPr>
        <w:t>(</w:t>
      </w:r>
      <w:r w:rsidR="00F67B4E" w:rsidRPr="00F67B4E">
        <w:rPr>
          <w:lang w:bidi="ar-EG"/>
        </w:rPr>
        <w:t>PSC</w:t>
      </w:r>
      <w:r>
        <w:rPr>
          <w:lang w:bidi="ar-EG"/>
        </w:rPr>
        <w:t>)</w:t>
      </w:r>
      <w:r w:rsidR="00F67B4E" w:rsidRPr="00F67B4E">
        <w:rPr>
          <w:rtl/>
          <w:lang w:val="en-GB"/>
        </w:rPr>
        <w:t xml:space="preserve"> صراحة بالحد من استرداد التكاليف غير المباشرة (العامة) بحد أقصى يتراوح بين </w:t>
      </w:r>
      <w:r w:rsidRPr="00205429">
        <w:rPr>
          <w:b/>
          <w:bCs/>
          <w:lang w:bidi="ar-EG"/>
        </w:rPr>
        <w:t>%</w:t>
      </w:r>
      <w:r w:rsidR="00F67B4E" w:rsidRPr="00205429">
        <w:rPr>
          <w:b/>
          <w:bCs/>
          <w:lang w:bidi="ar-EG"/>
        </w:rPr>
        <w:t>25</w:t>
      </w:r>
      <w:r w:rsidR="00F67B4E" w:rsidRPr="00205429">
        <w:rPr>
          <w:b/>
          <w:bCs/>
          <w:rtl/>
          <w:lang w:val="en-GB"/>
        </w:rPr>
        <w:t xml:space="preserve"> و</w:t>
      </w:r>
      <w:r w:rsidRPr="00205429">
        <w:rPr>
          <w:b/>
          <w:bCs/>
          <w:lang w:bidi="ar-EG"/>
        </w:rPr>
        <w:t>%</w:t>
      </w:r>
      <w:r w:rsidR="00F67B4E" w:rsidRPr="00205429">
        <w:rPr>
          <w:b/>
          <w:bCs/>
          <w:lang w:bidi="ar-EG"/>
        </w:rPr>
        <w:t>30</w:t>
      </w:r>
      <w:r w:rsidR="00F67B4E" w:rsidRPr="00F67B4E">
        <w:rPr>
          <w:rtl/>
          <w:lang w:val="en-GB"/>
        </w:rPr>
        <w:t xml:space="preserve"> من التكاليف المباشرة للمشاريع.</w:t>
      </w:r>
    </w:p>
    <w:p w14:paraId="284032BD" w14:textId="1E4B0840" w:rsidR="00F67B4E" w:rsidRPr="00F67B4E" w:rsidRDefault="003F2CC0" w:rsidP="003F2CC0">
      <w:pPr>
        <w:pStyle w:val="enumlev2"/>
        <w:rPr>
          <w:lang w:val="ar-SA" w:bidi="ar-EG"/>
        </w:rPr>
      </w:pPr>
      <w:r>
        <w:rPr>
          <w:rtl/>
          <w:lang w:val="en-GB"/>
        </w:rPr>
        <w:t>o</w:t>
      </w:r>
      <w:r>
        <w:rPr>
          <w:rtl/>
          <w:lang w:val="en-GB"/>
        </w:rPr>
        <w:tab/>
      </w:r>
      <w:r w:rsidR="00F67B4E" w:rsidRPr="00F67B4E">
        <w:rPr>
          <w:rtl/>
          <w:lang w:val="en-GB"/>
        </w:rPr>
        <w:t xml:space="preserve">المرجع: برنامج الأمم المتحدة الإنمائي (2019)، </w:t>
      </w:r>
      <w:r w:rsidR="00F67B4E" w:rsidRPr="00F67B4E">
        <w:rPr>
          <w:i/>
          <w:iCs/>
          <w:rtl/>
          <w:lang w:val="en-GB"/>
        </w:rPr>
        <w:t>المبادئ التوجيهية لاسترداد التكاليف وتصنيفها،</w:t>
      </w:r>
      <w:r w:rsidR="00F67B4E" w:rsidRPr="00F67B4E">
        <w:rPr>
          <w:rtl/>
          <w:lang w:val="en-GB"/>
        </w:rPr>
        <w:t xml:space="preserve"> برنامج الأمم المتحدة الإنمائي، نيويورك.</w:t>
      </w:r>
    </w:p>
    <w:p w14:paraId="41E73887" w14:textId="6C27E087" w:rsidR="00F67B4E" w:rsidRPr="00F67B4E" w:rsidRDefault="003F2CC0" w:rsidP="003F2CC0">
      <w:pPr>
        <w:pStyle w:val="enumlev2"/>
        <w:rPr>
          <w:lang w:val="ar-SA" w:bidi="ar-EG"/>
        </w:rPr>
      </w:pPr>
      <w:r>
        <w:rPr>
          <w:rtl/>
          <w:lang w:val="en-GB"/>
        </w:rPr>
        <w:t>o</w:t>
      </w:r>
      <w:r>
        <w:rPr>
          <w:rtl/>
          <w:lang w:val="en-GB"/>
        </w:rPr>
        <w:tab/>
      </w:r>
      <w:r w:rsidR="00F67B4E" w:rsidRPr="00F67B4E">
        <w:rPr>
          <w:rtl/>
          <w:lang w:val="en-GB"/>
        </w:rPr>
        <w:t xml:space="preserve">المرجع: اليونيسف (2020)، </w:t>
      </w:r>
      <w:r w:rsidR="00F67B4E" w:rsidRPr="00F67B4E">
        <w:rPr>
          <w:i/>
          <w:iCs/>
          <w:rtl/>
          <w:lang w:val="en-GB"/>
        </w:rPr>
        <w:t>سياسة اليونيسف لاسترداد التكاليف</w:t>
      </w:r>
      <w:r w:rsidR="00F67B4E" w:rsidRPr="00F67B4E">
        <w:rPr>
          <w:rtl/>
          <w:lang w:val="en-GB"/>
        </w:rPr>
        <w:t>، وثيقة المجلس التنفيذي لمنظمة الأمم المتحدة للطفولة، نيويورك.</w:t>
      </w:r>
    </w:p>
    <w:p w14:paraId="5E7071E7" w14:textId="77777777" w:rsidR="00F67B4E" w:rsidRPr="00F67B4E" w:rsidRDefault="00F67B4E" w:rsidP="00F67B4E">
      <w:pPr>
        <w:rPr>
          <w:lang w:bidi="ar-EG"/>
        </w:rPr>
      </w:pPr>
      <w:r w:rsidRPr="00F67B4E">
        <w:rPr>
          <w:lang w:bidi="ar-EG"/>
        </w:rPr>
        <w:br w:type="page"/>
      </w:r>
    </w:p>
    <w:p w14:paraId="1ACE831C" w14:textId="77777777" w:rsidR="00F67B4E" w:rsidRPr="00F67B4E" w:rsidRDefault="00F67B4E" w:rsidP="00205429">
      <w:pPr>
        <w:pStyle w:val="AnnexNo"/>
        <w:rPr>
          <w:lang w:val="ar-SA" w:bidi="ar-EG"/>
        </w:rPr>
      </w:pPr>
      <w:bookmarkStart w:id="2" w:name="الملحق2"/>
      <w:r w:rsidRPr="00F67B4E">
        <w:rPr>
          <w:rtl/>
          <w:lang w:val="en-GB"/>
        </w:rPr>
        <w:lastRenderedPageBreak/>
        <w:t>الملحق 2</w:t>
      </w:r>
      <w:bookmarkEnd w:id="2"/>
    </w:p>
    <w:p w14:paraId="7F889AFD" w14:textId="77777777" w:rsidR="00F67B4E" w:rsidRPr="00F67B4E" w:rsidRDefault="00F67B4E" w:rsidP="00F67B4E">
      <w:pPr>
        <w:rPr>
          <w:lang w:val="ar-SA" w:bidi="ar-EG"/>
        </w:rPr>
      </w:pPr>
      <w:r w:rsidRPr="00F67B4E">
        <w:rPr>
          <w:rtl/>
          <w:lang w:val="en-GB"/>
        </w:rPr>
        <w:t>يلخص التحليل الموجز أدناه المنهجية المتبعة والعوامل الرئيسية للتكاليف غير المباشرة ومجمعات التكاليف.</w:t>
      </w:r>
    </w:p>
    <w:p w14:paraId="36AEE99A" w14:textId="77777777" w:rsidR="00F67B4E" w:rsidRPr="003F2CC0" w:rsidRDefault="00F67B4E" w:rsidP="003F2CC0">
      <w:pPr>
        <w:pStyle w:val="Headingb"/>
        <w:jc w:val="center"/>
        <w:rPr>
          <w:lang w:val="ar-SA" w:bidi="ar-EG"/>
        </w:rPr>
      </w:pPr>
      <w:r w:rsidRPr="003F2CC0">
        <w:rPr>
          <w:rtl/>
          <w:lang w:val="en-GB"/>
        </w:rPr>
        <w:t>موجز مجمعات التكاليف القائمة على الأنشطة وتقدير التكاليف ذات الصلة</w:t>
      </w:r>
    </w:p>
    <w:p w14:paraId="6F447F00" w14:textId="5B0893D9" w:rsidR="00F67B4E" w:rsidRPr="00F67B4E" w:rsidRDefault="00F67B4E" w:rsidP="00F67B4E">
      <w:pPr>
        <w:rPr>
          <w:lang w:val="ar-SA" w:bidi="ar-EG"/>
        </w:rPr>
      </w:pPr>
      <w:r w:rsidRPr="00F67B4E">
        <w:rPr>
          <w:rtl/>
          <w:lang w:val="en-GB"/>
        </w:rPr>
        <w:t xml:space="preserve">أجرى الاتحاد استعراضاً أولياً لتكاليفه غير المباشرة. وتتمثل إحدى العمليات الأولى في تحديد مجمعات التكاليف ذات الصلة المباشرة بالعمل المتعلقة بمعالجة بطاقات التبليغ عن الشبكات </w:t>
      </w:r>
      <w:proofErr w:type="spellStart"/>
      <w:r w:rsidRPr="00F67B4E">
        <w:rPr>
          <w:rtl/>
          <w:lang w:val="en-GB"/>
        </w:rPr>
        <w:t>الساتلية</w:t>
      </w:r>
      <w:proofErr w:type="spellEnd"/>
      <w:r w:rsidRPr="00F67B4E">
        <w:rPr>
          <w:rtl/>
          <w:lang w:val="en-GB"/>
        </w:rPr>
        <w:t>. وقد حُددت على النحو التالي</w:t>
      </w:r>
      <w:r w:rsidRPr="00F67B4E">
        <w:rPr>
          <w:lang w:bidi="ar-EG"/>
        </w:rPr>
        <w:t>:</w:t>
      </w:r>
    </w:p>
    <w:p w14:paraId="31C91CD6" w14:textId="3F7F33BF" w:rsidR="00F67B4E" w:rsidRPr="00F67B4E" w:rsidRDefault="003F2CC0" w:rsidP="003F2CC0">
      <w:pPr>
        <w:pStyle w:val="enumlev1"/>
        <w:rPr>
          <w:lang w:val="ar-SA" w:bidi="ar-EG"/>
        </w:rPr>
      </w:pPr>
      <w:r>
        <w:sym w:font="Symbol" w:char="F0B7"/>
      </w:r>
      <w:r>
        <w:rPr>
          <w:rtl/>
          <w:lang w:val="en-GB"/>
        </w:rPr>
        <w:tab/>
      </w:r>
      <w:r w:rsidR="00F67B4E" w:rsidRPr="00F67B4E">
        <w:rPr>
          <w:rtl/>
          <w:lang w:val="en-GB"/>
        </w:rPr>
        <w:t>دعم تكنولوجيا المعلومات،</w:t>
      </w:r>
    </w:p>
    <w:p w14:paraId="0B63FEB5" w14:textId="6EF28FBC" w:rsidR="00F67B4E" w:rsidRPr="00F67B4E" w:rsidRDefault="003F2CC0" w:rsidP="003F2CC0">
      <w:pPr>
        <w:pStyle w:val="enumlev1"/>
        <w:rPr>
          <w:lang w:val="ar-SA" w:bidi="ar-EG"/>
        </w:rPr>
      </w:pPr>
      <w:r>
        <w:sym w:font="Symbol" w:char="F0B7"/>
      </w:r>
      <w:r>
        <w:rPr>
          <w:rtl/>
          <w:lang w:val="en-GB"/>
        </w:rPr>
        <w:tab/>
      </w:r>
      <w:r w:rsidR="00F67B4E" w:rsidRPr="00F67B4E">
        <w:rPr>
          <w:rtl/>
          <w:lang w:val="en-GB"/>
        </w:rPr>
        <w:t>الخدمات والمرافق،</w:t>
      </w:r>
    </w:p>
    <w:p w14:paraId="162F2BBD" w14:textId="3D2EEF3E" w:rsidR="00F67B4E" w:rsidRPr="00F67B4E" w:rsidRDefault="003F2CC0" w:rsidP="003F2CC0">
      <w:pPr>
        <w:pStyle w:val="enumlev1"/>
        <w:rPr>
          <w:lang w:val="ar-SA" w:bidi="ar-EG"/>
        </w:rPr>
      </w:pPr>
      <w:r>
        <w:sym w:font="Symbol" w:char="F0B7"/>
      </w:r>
      <w:r>
        <w:rPr>
          <w:rtl/>
          <w:lang w:val="en-GB"/>
        </w:rPr>
        <w:tab/>
      </w:r>
      <w:r w:rsidR="00F67B4E" w:rsidRPr="00F67B4E">
        <w:rPr>
          <w:rtl/>
          <w:lang w:val="en-GB"/>
        </w:rPr>
        <w:t>الموارد البشرية،</w:t>
      </w:r>
    </w:p>
    <w:p w14:paraId="2AADBE2A" w14:textId="0B66D9BD" w:rsidR="00F67B4E" w:rsidRPr="00F67B4E" w:rsidRDefault="003F2CC0" w:rsidP="003F2CC0">
      <w:pPr>
        <w:pStyle w:val="enumlev1"/>
        <w:rPr>
          <w:lang w:val="ar-SA" w:bidi="ar-EG"/>
        </w:rPr>
      </w:pPr>
      <w:r>
        <w:sym w:font="Symbol" w:char="F0B7"/>
      </w:r>
      <w:r>
        <w:rPr>
          <w:rtl/>
          <w:lang w:val="en-GB"/>
        </w:rPr>
        <w:tab/>
      </w:r>
      <w:r w:rsidR="00F67B4E" w:rsidRPr="00F67B4E">
        <w:rPr>
          <w:rtl/>
          <w:lang w:val="en-GB"/>
        </w:rPr>
        <w:t>الخدمات المالية والقانونية،</w:t>
      </w:r>
    </w:p>
    <w:p w14:paraId="66651631" w14:textId="78FA6862" w:rsidR="00F67B4E" w:rsidRPr="00F67B4E" w:rsidRDefault="003F2CC0" w:rsidP="003F2CC0">
      <w:pPr>
        <w:pStyle w:val="enumlev1"/>
        <w:rPr>
          <w:lang w:val="ar-SA" w:bidi="ar-EG"/>
        </w:rPr>
      </w:pPr>
      <w:r>
        <w:sym w:font="Symbol" w:char="F0B7"/>
      </w:r>
      <w:r>
        <w:rPr>
          <w:rtl/>
          <w:lang w:val="en-GB"/>
        </w:rPr>
        <w:tab/>
      </w:r>
      <w:r w:rsidR="00F67B4E" w:rsidRPr="00F67B4E">
        <w:rPr>
          <w:rtl/>
          <w:lang w:val="en-GB"/>
        </w:rPr>
        <w:t>النفقات الإدارية العامة.</w:t>
      </w:r>
    </w:p>
    <w:p w14:paraId="4F1133D6" w14:textId="5F743B7C" w:rsidR="00F67B4E" w:rsidRPr="00F67B4E" w:rsidRDefault="00F67B4E" w:rsidP="00F67B4E">
      <w:pPr>
        <w:rPr>
          <w:lang w:val="ar-SA" w:bidi="ar-EG"/>
        </w:rPr>
      </w:pPr>
      <w:r w:rsidRPr="00F67B4E">
        <w:rPr>
          <w:rtl/>
          <w:lang w:val="en-GB"/>
        </w:rPr>
        <w:t>وتتمثل الخطوة التالية المبينة في القسم التالي في تحديد مستوى النشاط الذي يدفع هذه التكاليف، أي تحديد التكاليف المباشرة التي ت</w:t>
      </w:r>
      <w:r w:rsidR="005B24CF">
        <w:rPr>
          <w:rFonts w:hint="cs"/>
          <w:rtl/>
          <w:lang w:val="en-GB"/>
        </w:rPr>
        <w:t>ُ</w:t>
      </w:r>
      <w:r w:rsidRPr="00F67B4E">
        <w:rPr>
          <w:rtl/>
          <w:lang w:val="en-GB"/>
        </w:rPr>
        <w:t>حرك مجمعات التكاليف المذكورة أعلاه.</w:t>
      </w:r>
    </w:p>
    <w:p w14:paraId="61FE7102" w14:textId="77777777" w:rsidR="00F67B4E" w:rsidRPr="00F67B4E" w:rsidRDefault="00F67B4E" w:rsidP="003F2CC0">
      <w:pPr>
        <w:pStyle w:val="Headingb"/>
        <w:jc w:val="center"/>
        <w:rPr>
          <w:lang w:val="ar-SA" w:bidi="ar-EG"/>
        </w:rPr>
      </w:pPr>
      <w:r w:rsidRPr="00F67B4E">
        <w:rPr>
          <w:rtl/>
          <w:lang w:val="en-GB"/>
        </w:rPr>
        <w:t xml:space="preserve">مبادئ توزيع التكاليف الكاملة لتحديد تكاليف معالجة بطاقات التبليغ عن الشبكات </w:t>
      </w:r>
      <w:proofErr w:type="spellStart"/>
      <w:r w:rsidRPr="00F67B4E">
        <w:rPr>
          <w:rtl/>
          <w:lang w:val="en-GB"/>
        </w:rPr>
        <w:t>الساتلية</w:t>
      </w:r>
      <w:proofErr w:type="spellEnd"/>
    </w:p>
    <w:p w14:paraId="79423283" w14:textId="48EE6384" w:rsidR="00F67B4E" w:rsidRPr="00F67B4E" w:rsidRDefault="00F67B4E" w:rsidP="00F67B4E">
      <w:pPr>
        <w:rPr>
          <w:lang w:val="ar-SA" w:bidi="ar-EG"/>
        </w:rPr>
      </w:pPr>
      <w:r w:rsidRPr="00F67B4E">
        <w:rPr>
          <w:rtl/>
          <w:lang w:val="en-GB"/>
        </w:rPr>
        <w:t xml:space="preserve">في سياق بطاقات التبليغ عن الشبكات </w:t>
      </w:r>
      <w:proofErr w:type="spellStart"/>
      <w:r w:rsidRPr="00F67B4E">
        <w:rPr>
          <w:rtl/>
          <w:lang w:val="en-GB"/>
        </w:rPr>
        <w:t>الساتلية</w:t>
      </w:r>
      <w:proofErr w:type="spellEnd"/>
      <w:r w:rsidRPr="00F67B4E">
        <w:rPr>
          <w:rtl/>
          <w:lang w:val="en-GB"/>
        </w:rPr>
        <w:t xml:space="preserve"> </w:t>
      </w:r>
      <w:r w:rsidR="003F2CC0">
        <w:rPr>
          <w:lang w:val="en-GB"/>
        </w:rPr>
        <w:t>(</w:t>
      </w:r>
      <w:proofErr w:type="spellStart"/>
      <w:r w:rsidRPr="00F67B4E">
        <w:rPr>
          <w:lang w:bidi="ar-EG"/>
        </w:rPr>
        <w:t>SNF</w:t>
      </w:r>
      <w:proofErr w:type="spellEnd"/>
      <w:r w:rsidR="003F2CC0">
        <w:rPr>
          <w:lang w:val="en-GB"/>
        </w:rPr>
        <w:t>)</w:t>
      </w:r>
      <w:r w:rsidRPr="00F67B4E">
        <w:rPr>
          <w:rtl/>
          <w:lang w:val="en-GB"/>
        </w:rPr>
        <w:t xml:space="preserve"> الخاصة بالاتحاد، فإن اعتماد نموذج مفصل لتوزيع التكاليف الكاملة من شأنه أن يوفر الوضوح بشأن الاستخدام الفعلي للموارد الذي تنطوي عليه مختلف عمليات معالجة بطاقات التبليغ عن الشبكات </w:t>
      </w:r>
      <w:proofErr w:type="spellStart"/>
      <w:r w:rsidRPr="00F67B4E">
        <w:rPr>
          <w:rtl/>
          <w:lang w:val="en-GB"/>
        </w:rPr>
        <w:t>الساتلية</w:t>
      </w:r>
      <w:proofErr w:type="spellEnd"/>
      <w:r w:rsidRPr="00F67B4E">
        <w:rPr>
          <w:rtl/>
          <w:lang w:val="en-GB"/>
        </w:rPr>
        <w:t xml:space="preserve"> (النشر والتنسيق والتبليغ والخطة). وخصص نموذج توزيع التكاليف غير المباشرة الحالي ما يقرب من </w:t>
      </w:r>
      <w:r w:rsidR="003F2CC0" w:rsidRPr="00F67B4E">
        <w:rPr>
          <w:lang w:bidi="ar-EG"/>
        </w:rPr>
        <w:t>%</w:t>
      </w:r>
      <w:r w:rsidRPr="00F67B4E">
        <w:rPr>
          <w:lang w:bidi="ar-EG"/>
        </w:rPr>
        <w:t>107</w:t>
      </w:r>
      <w:r w:rsidRPr="00F67B4E">
        <w:rPr>
          <w:rtl/>
          <w:lang w:val="en-GB"/>
        </w:rPr>
        <w:t xml:space="preserve"> من التكاليف العامة غير المباشرة لإجمالي عمليات معالجة بطاقات التبليغ عن الشبكات </w:t>
      </w:r>
      <w:proofErr w:type="spellStart"/>
      <w:r w:rsidRPr="00F67B4E">
        <w:rPr>
          <w:rtl/>
          <w:lang w:val="en-GB"/>
        </w:rPr>
        <w:t>الساتلية</w:t>
      </w:r>
      <w:proofErr w:type="spellEnd"/>
      <w:r w:rsidRPr="00F67B4E">
        <w:rPr>
          <w:rtl/>
          <w:lang w:val="en-GB"/>
        </w:rPr>
        <w:t>، وهي نسبة مرتفعة للغاية بالمقارنة مع المعايير الدولية (التي تتراوح عادة</w:t>
      </w:r>
      <w:r w:rsidR="003F2CC0">
        <w:rPr>
          <w:rFonts w:hint="cs"/>
          <w:rtl/>
          <w:lang w:val="en-GB"/>
        </w:rPr>
        <w:t>ً</w:t>
      </w:r>
      <w:r w:rsidRPr="00F67B4E">
        <w:rPr>
          <w:rtl/>
          <w:lang w:val="en-GB"/>
        </w:rPr>
        <w:t xml:space="preserve"> بين </w:t>
      </w:r>
      <w:r w:rsidR="003F2CC0" w:rsidRPr="00F67B4E">
        <w:rPr>
          <w:lang w:bidi="ar-EG"/>
        </w:rPr>
        <w:t>%</w:t>
      </w:r>
      <w:r w:rsidRPr="00F67B4E">
        <w:rPr>
          <w:lang w:bidi="ar-EG"/>
        </w:rPr>
        <w:t>25</w:t>
      </w:r>
      <w:r w:rsidRPr="00F67B4E">
        <w:rPr>
          <w:rtl/>
          <w:lang w:val="en-GB"/>
        </w:rPr>
        <w:t xml:space="preserve"> و</w:t>
      </w:r>
      <w:r w:rsidR="003F2CC0" w:rsidRPr="00F67B4E">
        <w:rPr>
          <w:lang w:bidi="ar-EG"/>
        </w:rPr>
        <w:t>%</w:t>
      </w:r>
      <w:r w:rsidRPr="00F67B4E">
        <w:rPr>
          <w:lang w:bidi="ar-EG"/>
        </w:rPr>
        <w:t>30</w:t>
      </w:r>
      <w:r w:rsidRPr="00F67B4E">
        <w:rPr>
          <w:rtl/>
          <w:lang w:val="en-GB"/>
        </w:rPr>
        <w:t>).</w:t>
      </w:r>
    </w:p>
    <w:p w14:paraId="7B98D528" w14:textId="09B30AF9" w:rsidR="00F67B4E" w:rsidRPr="00F67B4E" w:rsidRDefault="00F67B4E" w:rsidP="00F67B4E">
      <w:pPr>
        <w:rPr>
          <w:lang w:val="ar-SA" w:bidi="ar-EG"/>
        </w:rPr>
      </w:pPr>
      <w:r w:rsidRPr="00F67B4E">
        <w:rPr>
          <w:rtl/>
          <w:lang w:val="en-GB"/>
        </w:rPr>
        <w:t>واستناداً إلى التحليلات السابقة وإدراكاً للحاجة إلى التحسين، سيُتبع نهج منظم ومفصل لتوزيع التكاليف. وسيشمل ذلك مجمعات التكاليف ومحركات التكاليف المحددة بوضوح - أي الأنشطة التي ت</w:t>
      </w:r>
      <w:r w:rsidR="005B24CF">
        <w:rPr>
          <w:rFonts w:hint="cs"/>
          <w:rtl/>
          <w:lang w:val="en-GB"/>
        </w:rPr>
        <w:t>ُ</w:t>
      </w:r>
      <w:r w:rsidRPr="00F67B4E">
        <w:rPr>
          <w:rtl/>
          <w:lang w:val="en-GB"/>
        </w:rPr>
        <w:t xml:space="preserve">مثل على نحو أدق استخدام الموارد في إطار عمليات معالجة بطاقات التبليغ عن الشبكات </w:t>
      </w:r>
      <w:proofErr w:type="spellStart"/>
      <w:r w:rsidRPr="00F67B4E">
        <w:rPr>
          <w:rtl/>
          <w:lang w:val="en-GB"/>
        </w:rPr>
        <w:t>الساتلية</w:t>
      </w:r>
      <w:proofErr w:type="spellEnd"/>
      <w:r w:rsidRPr="00F67B4E">
        <w:rPr>
          <w:rtl/>
          <w:lang w:val="en-GB"/>
        </w:rPr>
        <w:t xml:space="preserve"> بما يتماشى مع تعديل وتبرير توزيع تكاليف معالجة بطاقات التبليغ عن الشبكات </w:t>
      </w:r>
      <w:proofErr w:type="spellStart"/>
      <w:r w:rsidRPr="00F67B4E">
        <w:rPr>
          <w:rtl/>
          <w:lang w:val="en-GB"/>
        </w:rPr>
        <w:t>الساتلية</w:t>
      </w:r>
      <w:proofErr w:type="spellEnd"/>
      <w:r w:rsidRPr="00F67B4E">
        <w:rPr>
          <w:rtl/>
          <w:lang w:val="en-GB"/>
        </w:rPr>
        <w:t>، استناداً إلى القرار 91 (المراج</w:t>
      </w:r>
      <w:r w:rsidR="005B24CF">
        <w:rPr>
          <w:rFonts w:hint="cs"/>
          <w:rtl/>
          <w:lang w:val="en-GB"/>
        </w:rPr>
        <w:t>َ</w:t>
      </w:r>
      <w:r w:rsidRPr="00F67B4E">
        <w:rPr>
          <w:rtl/>
          <w:lang w:val="en-GB"/>
        </w:rPr>
        <w:t xml:space="preserve">ع في </w:t>
      </w:r>
      <w:proofErr w:type="spellStart"/>
      <w:r w:rsidRPr="00F67B4E">
        <w:rPr>
          <w:rtl/>
          <w:lang w:val="en-GB"/>
        </w:rPr>
        <w:t>غوادالاخارا</w:t>
      </w:r>
      <w:proofErr w:type="spellEnd"/>
      <w:r w:rsidRPr="00F67B4E">
        <w:rPr>
          <w:rtl/>
          <w:lang w:val="en-GB"/>
        </w:rPr>
        <w:t>، 2010).</w:t>
      </w:r>
    </w:p>
    <w:p w14:paraId="31364C41" w14:textId="77777777" w:rsidR="00F67B4E" w:rsidRPr="00F67B4E" w:rsidRDefault="00F67B4E" w:rsidP="003F2CC0">
      <w:pPr>
        <w:pStyle w:val="Headingb"/>
        <w:jc w:val="center"/>
        <w:rPr>
          <w:lang w:val="ar-SA" w:bidi="ar-EG"/>
        </w:rPr>
      </w:pPr>
      <w:r w:rsidRPr="00F67B4E">
        <w:rPr>
          <w:rtl/>
          <w:lang w:val="en-GB"/>
        </w:rPr>
        <w:t>المبادئ الأساسية لنموذج توزيع التكاليف الكاملة</w:t>
      </w:r>
    </w:p>
    <w:p w14:paraId="0B1822AC" w14:textId="34A10916" w:rsidR="00F67B4E" w:rsidRPr="00F67B4E" w:rsidRDefault="00F67B4E" w:rsidP="00F67B4E">
      <w:pPr>
        <w:rPr>
          <w:lang w:val="ar-SA" w:bidi="ar-EG"/>
        </w:rPr>
      </w:pPr>
      <w:r w:rsidRPr="00F67B4E">
        <w:rPr>
          <w:b/>
          <w:bCs/>
          <w:rtl/>
          <w:lang w:val="en-GB"/>
        </w:rPr>
        <w:t>فئات التكلفة (مجمعات التكلفة)</w:t>
      </w:r>
      <w:r w:rsidR="00D02CBA">
        <w:rPr>
          <w:rFonts w:hint="cs"/>
          <w:b/>
          <w:bCs/>
          <w:rtl/>
          <w:lang w:bidi="ar-EG"/>
        </w:rPr>
        <w:t xml:space="preserve">: </w:t>
      </w:r>
      <w:r w:rsidRPr="00F67B4E">
        <w:rPr>
          <w:rtl/>
          <w:lang w:val="en-GB"/>
        </w:rPr>
        <w:t xml:space="preserve">يتطلب </w:t>
      </w:r>
      <w:r w:rsidRPr="00F67B4E">
        <w:rPr>
          <w:b/>
          <w:bCs/>
          <w:rtl/>
          <w:lang w:val="en-GB"/>
        </w:rPr>
        <w:t>توزيع التكاليف الكاملة</w:t>
      </w:r>
      <w:r w:rsidRPr="00F67B4E">
        <w:rPr>
          <w:rtl/>
          <w:lang w:val="en-GB"/>
        </w:rPr>
        <w:t xml:space="preserve"> تصنيف التكاليف غير المباشرة إلى مجموعات منطقية أو "مجمعات تكاليف" تمثل أنواعاً مماثلة من النفقات العامة.</w:t>
      </w:r>
    </w:p>
    <w:p w14:paraId="37F6D7C8" w14:textId="77777777" w:rsidR="00F67B4E" w:rsidRPr="00F67B4E" w:rsidRDefault="00F67B4E" w:rsidP="00C276BE">
      <w:pPr>
        <w:pStyle w:val="Headingb"/>
        <w:rPr>
          <w:lang w:val="ar-SA" w:bidi="ar-EG"/>
        </w:rPr>
      </w:pPr>
      <w:r w:rsidRPr="00F67B4E">
        <w:rPr>
          <w:rtl/>
          <w:lang w:val="en-GB"/>
        </w:rPr>
        <w:t>التكاليف المباشرة</w:t>
      </w:r>
    </w:p>
    <w:p w14:paraId="13C0EF72" w14:textId="3EE2E9FD" w:rsidR="00F67B4E" w:rsidRPr="00C276BE" w:rsidRDefault="00F67B4E" w:rsidP="00C276BE">
      <w:pPr>
        <w:rPr>
          <w:spacing w:val="-2"/>
          <w:lang w:val="ar-SA" w:bidi="ar-EG"/>
        </w:rPr>
      </w:pPr>
      <w:r w:rsidRPr="00C276BE">
        <w:rPr>
          <w:rtl/>
          <w:lang w:val="en-GB"/>
        </w:rPr>
        <w:t xml:space="preserve">تشمل التكاليف المباشرة المرتبطة صراحة بخدمات </w:t>
      </w:r>
      <w:proofErr w:type="spellStart"/>
      <w:r w:rsidRPr="00C276BE">
        <w:rPr>
          <w:lang w:bidi="ar-EG"/>
        </w:rPr>
        <w:t>SNF</w:t>
      </w:r>
      <w:proofErr w:type="spellEnd"/>
      <w:r w:rsidR="00C276BE" w:rsidRPr="00C276BE">
        <w:rPr>
          <w:rFonts w:hint="cs"/>
          <w:rtl/>
        </w:rPr>
        <w:t xml:space="preserve"> </w:t>
      </w:r>
      <w:r w:rsidRPr="00C276BE">
        <w:rPr>
          <w:rtl/>
          <w:lang w:val="en-GB"/>
        </w:rPr>
        <w:t xml:space="preserve">(أي معالجة بطاقات التبليغ عن الشبكات </w:t>
      </w:r>
      <w:proofErr w:type="spellStart"/>
      <w:r w:rsidRPr="00C276BE">
        <w:rPr>
          <w:rtl/>
          <w:lang w:val="en-GB"/>
        </w:rPr>
        <w:t>الساتلية</w:t>
      </w:r>
      <w:proofErr w:type="spellEnd"/>
      <w:r w:rsidRPr="00C276BE">
        <w:rPr>
          <w:rtl/>
          <w:lang w:val="en-GB"/>
        </w:rPr>
        <w:t>، بما</w:t>
      </w:r>
      <w:r w:rsidR="005B24CF">
        <w:rPr>
          <w:rFonts w:hint="cs"/>
          <w:rtl/>
          <w:lang w:val="en-GB"/>
        </w:rPr>
        <w:t> </w:t>
      </w:r>
      <w:r w:rsidRPr="00C276BE">
        <w:rPr>
          <w:rtl/>
          <w:lang w:val="en-GB"/>
        </w:rPr>
        <w:t>في</w:t>
      </w:r>
      <w:r w:rsidR="005B24CF">
        <w:rPr>
          <w:rFonts w:hint="cs"/>
          <w:rtl/>
          <w:lang w:val="en-GB"/>
        </w:rPr>
        <w:t> </w:t>
      </w:r>
      <w:r w:rsidRPr="00C276BE">
        <w:rPr>
          <w:rtl/>
          <w:lang w:val="en-GB"/>
        </w:rPr>
        <w:t>ذلك التحقق من إمكانية الاستلام، والفحص التقني والتنظيمي للتنسيق والتبليغ، وإدارة الخطط الفضائية، ونشر الأقسام الخاصة، وتقديم المساعدة إلى الإدارات بشأن تبليغاتها) بشكل أساسي ما يلي:‎</w:t>
      </w:r>
    </w:p>
    <w:p w14:paraId="6BAEAF72" w14:textId="2D1FF1D1" w:rsidR="00F67B4E" w:rsidRPr="00F67B4E" w:rsidRDefault="00C276BE" w:rsidP="00C276BE">
      <w:pPr>
        <w:pStyle w:val="enumlev1"/>
        <w:rPr>
          <w:lang w:val="ar-SA" w:bidi="ar-EG"/>
        </w:rPr>
      </w:pPr>
      <w:r>
        <w:sym w:font="Symbol" w:char="F0B7"/>
      </w:r>
      <w:r>
        <w:rPr>
          <w:rtl/>
          <w:lang w:val="en-GB"/>
        </w:rPr>
        <w:tab/>
      </w:r>
      <w:r w:rsidR="00F67B4E" w:rsidRPr="00F67B4E">
        <w:rPr>
          <w:rtl/>
          <w:lang w:val="en-GB"/>
        </w:rPr>
        <w:t>مرتبات موظفي مكتب الاتصالات الراديوية ومزاياهم والنفقات العامة المخصصة مباشرة</w:t>
      </w:r>
      <w:r w:rsidR="005B24CF">
        <w:rPr>
          <w:rFonts w:hint="cs"/>
          <w:rtl/>
          <w:lang w:val="en-GB"/>
        </w:rPr>
        <w:t>ً</w:t>
      </w:r>
      <w:r w:rsidR="00F67B4E" w:rsidRPr="00F67B4E">
        <w:rPr>
          <w:rtl/>
          <w:lang w:val="en-GB"/>
        </w:rPr>
        <w:t xml:space="preserve"> لمهام معالجة 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278D89BF" w14:textId="4BCCDC45" w:rsidR="00F67B4E" w:rsidRPr="00F67B4E" w:rsidRDefault="00C276BE" w:rsidP="00C276BE">
      <w:pPr>
        <w:pStyle w:val="enumlev1"/>
        <w:rPr>
          <w:lang w:val="ar-SA" w:bidi="ar-EG"/>
        </w:rPr>
      </w:pPr>
      <w:r>
        <w:sym w:font="Symbol" w:char="F0B7"/>
      </w:r>
      <w:r>
        <w:rPr>
          <w:rtl/>
          <w:lang w:val="en-GB"/>
        </w:rPr>
        <w:tab/>
      </w:r>
      <w:r w:rsidR="00F67B4E" w:rsidRPr="00F67B4E">
        <w:rPr>
          <w:rtl/>
          <w:lang w:val="en-GB"/>
        </w:rPr>
        <w:t xml:space="preserve">التدريب والتطوير المهني لصالح موظفي معالجة بطاقات التبليغ عن الشبكات </w:t>
      </w:r>
      <w:proofErr w:type="spellStart"/>
      <w:r w:rsidR="00F67B4E" w:rsidRPr="00F67B4E">
        <w:rPr>
          <w:rtl/>
          <w:lang w:val="en-GB"/>
        </w:rPr>
        <w:t>الساتلية</w:t>
      </w:r>
      <w:proofErr w:type="spellEnd"/>
      <w:r w:rsidR="00F67B4E" w:rsidRPr="00F67B4E">
        <w:rPr>
          <w:rtl/>
          <w:lang w:val="en-GB"/>
        </w:rPr>
        <w:t xml:space="preserve"> حصراً.</w:t>
      </w:r>
    </w:p>
    <w:p w14:paraId="7BEA3C6D" w14:textId="52B7AC08" w:rsidR="00F67B4E" w:rsidRPr="00F67B4E" w:rsidRDefault="00C276BE" w:rsidP="00C276BE">
      <w:pPr>
        <w:pStyle w:val="enumlev1"/>
        <w:rPr>
          <w:lang w:val="ar-SA" w:bidi="ar-EG"/>
        </w:rPr>
      </w:pPr>
      <w:r>
        <w:sym w:font="Symbol" w:char="F0B7"/>
      </w:r>
      <w:r>
        <w:rPr>
          <w:rtl/>
          <w:lang w:val="en-GB"/>
        </w:rPr>
        <w:tab/>
      </w:r>
      <w:r w:rsidR="00F67B4E" w:rsidRPr="00F67B4E">
        <w:rPr>
          <w:rtl/>
          <w:lang w:val="en-GB"/>
        </w:rPr>
        <w:t>الموارد التقنية:</w:t>
      </w:r>
    </w:p>
    <w:p w14:paraId="641D0BD8" w14:textId="2E6EBEE5" w:rsidR="00F67B4E" w:rsidRPr="00F67B4E" w:rsidRDefault="00C276BE" w:rsidP="00C276BE">
      <w:pPr>
        <w:pStyle w:val="enumlev2"/>
        <w:rPr>
          <w:lang w:val="ar-SA" w:bidi="ar-EG"/>
        </w:rPr>
      </w:pPr>
      <w:r>
        <w:rPr>
          <w:rtl/>
          <w:lang w:val="en-GB"/>
        </w:rPr>
        <w:t>o</w:t>
      </w:r>
      <w:r>
        <w:rPr>
          <w:rtl/>
          <w:lang w:val="en-GB"/>
        </w:rPr>
        <w:tab/>
      </w:r>
      <w:r w:rsidR="00F67B4E" w:rsidRPr="00F67B4E">
        <w:rPr>
          <w:rtl/>
          <w:lang w:val="en-GB"/>
        </w:rPr>
        <w:t xml:space="preserve">تطوير أنظمة تكنولوجيا المعلومات المخصصة وصيانتها وتحديثها وتراخيص البرمجيات التشغيلية الخاصة ببطاقات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495C4D30" w14:textId="71173C41" w:rsidR="00F67B4E" w:rsidRPr="00F67B4E" w:rsidRDefault="00F67B4E" w:rsidP="00C276BE">
      <w:pPr>
        <w:pStyle w:val="enumlev2"/>
        <w:rPr>
          <w:lang w:val="ar-SA" w:bidi="ar-EG"/>
        </w:rPr>
      </w:pPr>
      <w:r w:rsidRPr="00F67B4E">
        <w:rPr>
          <w:rtl/>
          <w:lang w:val="en-GB"/>
        </w:rPr>
        <w:t>‏</w:t>
      </w:r>
      <w:r w:rsidR="00C276BE">
        <w:rPr>
          <w:rtl/>
          <w:lang w:val="en-GB"/>
        </w:rPr>
        <w:t>o</w:t>
      </w:r>
      <w:r w:rsidR="00C276BE">
        <w:rPr>
          <w:rtl/>
          <w:lang w:val="en-GB"/>
        </w:rPr>
        <w:tab/>
      </w:r>
      <w:r w:rsidRPr="00F67B4E">
        <w:rPr>
          <w:rtl/>
          <w:lang w:val="en-GB"/>
        </w:rPr>
        <w:t xml:space="preserve">تكاليف المعدات المباشرة (المخدمات، المعدات المتخصصة، تراخيص برمجيات بطاقات التبليغ عن الشبكات </w:t>
      </w:r>
      <w:proofErr w:type="spellStart"/>
      <w:r w:rsidRPr="00F67B4E">
        <w:rPr>
          <w:rtl/>
          <w:lang w:val="en-GB"/>
        </w:rPr>
        <w:t>الساتلية</w:t>
      </w:r>
      <w:proofErr w:type="spellEnd"/>
      <w:r w:rsidRPr="00F67B4E">
        <w:rPr>
          <w:rtl/>
          <w:lang w:val="en-GB"/>
        </w:rPr>
        <w:t>‎).</w:t>
      </w:r>
    </w:p>
    <w:p w14:paraId="7509FD9B" w14:textId="1CC5CA6D" w:rsidR="00F67B4E" w:rsidRPr="00F67B4E" w:rsidRDefault="00C276BE" w:rsidP="00C276BE">
      <w:pPr>
        <w:pStyle w:val="enumlev1"/>
        <w:rPr>
          <w:lang w:val="ar-SA" w:bidi="ar-EG"/>
        </w:rPr>
      </w:pPr>
      <w:r>
        <w:lastRenderedPageBreak/>
        <w:sym w:font="Symbol" w:char="F0B7"/>
      </w:r>
      <w:r>
        <w:rPr>
          <w:rtl/>
          <w:lang w:val="en-GB"/>
        </w:rPr>
        <w:tab/>
      </w:r>
      <w:r w:rsidR="00F67B4E" w:rsidRPr="00F67B4E">
        <w:rPr>
          <w:rtl/>
          <w:lang w:val="en-GB"/>
        </w:rPr>
        <w:t xml:space="preserve">نفقات السفر المتعلقة بالاجتماعات التنسيقية والمؤتمرات الدولية المنظمة فيما يتعلق ببطاقات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1B5314FA" w14:textId="77777777" w:rsidR="00F67B4E" w:rsidRPr="00F67B4E" w:rsidRDefault="00F67B4E" w:rsidP="00C276BE">
      <w:pPr>
        <w:pStyle w:val="Headingb"/>
        <w:rPr>
          <w:lang w:val="ar-SA" w:bidi="ar-EG"/>
        </w:rPr>
      </w:pPr>
      <w:r w:rsidRPr="00F67B4E">
        <w:rPr>
          <w:rtl/>
          <w:lang w:val="en-GB"/>
        </w:rPr>
        <w:t>التكاليف غير المباشرة</w:t>
      </w:r>
    </w:p>
    <w:p w14:paraId="5D58836D" w14:textId="5128D778" w:rsidR="00F67B4E" w:rsidRPr="00F67B4E" w:rsidRDefault="00F67B4E" w:rsidP="00F67B4E">
      <w:pPr>
        <w:rPr>
          <w:lang w:val="ar-SA" w:bidi="ar-EG"/>
        </w:rPr>
      </w:pPr>
      <w:r w:rsidRPr="00F67B4E">
        <w:rPr>
          <w:rtl/>
          <w:lang w:val="en-GB"/>
        </w:rPr>
        <w:t xml:space="preserve">فيما يتعلق بعمليات بطاقات التبليغ عن الشبكات </w:t>
      </w:r>
      <w:proofErr w:type="spellStart"/>
      <w:r w:rsidRPr="00F67B4E">
        <w:rPr>
          <w:rtl/>
          <w:lang w:val="en-GB"/>
        </w:rPr>
        <w:t>الساتلية</w:t>
      </w:r>
      <w:proofErr w:type="spellEnd"/>
      <w:r w:rsidRPr="00F67B4E">
        <w:rPr>
          <w:rtl/>
          <w:lang w:val="en-GB"/>
        </w:rPr>
        <w:t xml:space="preserve"> للاتحاد، تشمل مجمعات التكاليف غير المباشرة </w:t>
      </w:r>
      <w:proofErr w:type="spellStart"/>
      <w:r w:rsidRPr="00F67B4E">
        <w:rPr>
          <w:rtl/>
          <w:lang w:val="en-GB"/>
        </w:rPr>
        <w:t>الم</w:t>
      </w:r>
      <w:r w:rsidR="00C276BE">
        <w:rPr>
          <w:rFonts w:hint="cs"/>
          <w:rtl/>
          <w:lang w:val="en-GB"/>
        </w:rPr>
        <w:t>ُ</w:t>
      </w:r>
      <w:r w:rsidRPr="00F67B4E">
        <w:rPr>
          <w:rtl/>
          <w:lang w:val="en-GB"/>
        </w:rPr>
        <w:t>وصى</w:t>
      </w:r>
      <w:proofErr w:type="spellEnd"/>
      <w:r w:rsidRPr="00F67B4E">
        <w:rPr>
          <w:rtl/>
          <w:lang w:val="en-GB"/>
        </w:rPr>
        <w:t xml:space="preserve"> بها ما يلي:</w:t>
      </w:r>
    </w:p>
    <w:p w14:paraId="27B6C6D0" w14:textId="7E279B77" w:rsidR="00F67B4E" w:rsidRPr="00F67B4E" w:rsidRDefault="00C276BE" w:rsidP="00C276BE">
      <w:pPr>
        <w:pStyle w:val="enumlev1"/>
        <w:rPr>
          <w:lang w:val="ar-SA" w:bidi="ar-EG"/>
        </w:rPr>
      </w:pPr>
      <w:r>
        <w:sym w:font="Symbol" w:char="F0B7"/>
      </w:r>
      <w:r>
        <w:rPr>
          <w:rtl/>
          <w:lang w:val="en-GB"/>
        </w:rPr>
        <w:tab/>
      </w:r>
      <w:r w:rsidR="00F67B4E" w:rsidRPr="00F67B4E">
        <w:rPr>
          <w:rtl/>
          <w:lang w:val="en-GB"/>
        </w:rPr>
        <w:t xml:space="preserve">دعم تكنولوجيا المعلومات </w:t>
      </w:r>
      <w:r>
        <w:rPr>
          <w:rFonts w:hint="cs"/>
          <w:rtl/>
          <w:lang w:bidi="ar-EG"/>
        </w:rPr>
        <w:t>(</w:t>
      </w:r>
      <w:r w:rsidR="00F67B4E" w:rsidRPr="00F67B4E">
        <w:rPr>
          <w:lang w:bidi="ar-EG"/>
        </w:rPr>
        <w:t>IT</w:t>
      </w:r>
      <w:r>
        <w:rPr>
          <w:rFonts w:hint="cs"/>
          <w:rtl/>
          <w:lang w:bidi="ar-EG"/>
        </w:rPr>
        <w:t>)</w:t>
      </w:r>
    </w:p>
    <w:p w14:paraId="29F5E7B7" w14:textId="5D68C2B0" w:rsidR="00F67B4E" w:rsidRPr="00F67B4E" w:rsidRDefault="00C276BE" w:rsidP="00C276BE">
      <w:pPr>
        <w:pStyle w:val="enumlev1"/>
        <w:rPr>
          <w:lang w:val="ar-SA" w:bidi="ar-EG"/>
        </w:rPr>
      </w:pPr>
      <w:r>
        <w:sym w:font="Symbol" w:char="F0B7"/>
      </w:r>
      <w:r>
        <w:rPr>
          <w:rtl/>
          <w:lang w:val="en-GB"/>
        </w:rPr>
        <w:tab/>
      </w:r>
      <w:r w:rsidR="00F67B4E" w:rsidRPr="00F67B4E">
        <w:rPr>
          <w:rtl/>
          <w:lang w:val="en-GB"/>
        </w:rPr>
        <w:t>الخدمات والمرافق</w:t>
      </w:r>
    </w:p>
    <w:p w14:paraId="59C71C43" w14:textId="7C5290F2" w:rsidR="00F67B4E" w:rsidRPr="00F67B4E" w:rsidRDefault="00C276BE" w:rsidP="00C276BE">
      <w:pPr>
        <w:pStyle w:val="enumlev1"/>
        <w:rPr>
          <w:lang w:val="ar-SA" w:bidi="ar-EG"/>
        </w:rPr>
      </w:pPr>
      <w:r>
        <w:sym w:font="Symbol" w:char="F0B7"/>
      </w:r>
      <w:r>
        <w:rPr>
          <w:rtl/>
          <w:lang w:val="en-GB"/>
        </w:rPr>
        <w:tab/>
      </w:r>
      <w:r w:rsidR="00F67B4E" w:rsidRPr="00F67B4E">
        <w:rPr>
          <w:rtl/>
          <w:lang w:val="en-GB"/>
        </w:rPr>
        <w:t xml:space="preserve">خدمات الموارد البشرية </w:t>
      </w:r>
      <w:r>
        <w:rPr>
          <w:rFonts w:hint="cs"/>
          <w:rtl/>
          <w:lang w:val="en-GB"/>
        </w:rPr>
        <w:t>(</w:t>
      </w:r>
      <w:r w:rsidR="00F67B4E" w:rsidRPr="00F67B4E">
        <w:rPr>
          <w:lang w:bidi="ar-EG"/>
        </w:rPr>
        <w:t>HR</w:t>
      </w:r>
      <w:r>
        <w:rPr>
          <w:rFonts w:hint="cs"/>
          <w:rtl/>
          <w:lang w:val="en-GB"/>
        </w:rPr>
        <w:t>)</w:t>
      </w:r>
    </w:p>
    <w:p w14:paraId="46942CCD" w14:textId="533E7F1A" w:rsidR="00F67B4E" w:rsidRPr="00F67B4E" w:rsidRDefault="00C276BE" w:rsidP="00C276BE">
      <w:pPr>
        <w:pStyle w:val="enumlev1"/>
        <w:rPr>
          <w:lang w:val="ar-SA" w:bidi="ar-EG"/>
        </w:rPr>
      </w:pPr>
      <w:r>
        <w:sym w:font="Symbol" w:char="F0B7"/>
      </w:r>
      <w:r>
        <w:rPr>
          <w:rtl/>
          <w:lang w:val="en-GB"/>
        </w:rPr>
        <w:tab/>
      </w:r>
      <w:r w:rsidR="00F67B4E" w:rsidRPr="00F67B4E">
        <w:rPr>
          <w:rtl/>
          <w:lang w:val="en-GB"/>
        </w:rPr>
        <w:t>الخدمات المالية والقانونية</w:t>
      </w:r>
    </w:p>
    <w:p w14:paraId="3D8794FB" w14:textId="008376E3" w:rsidR="00F67B4E" w:rsidRPr="00F67B4E" w:rsidRDefault="00C276BE" w:rsidP="00C276BE">
      <w:pPr>
        <w:pStyle w:val="enumlev1"/>
        <w:rPr>
          <w:lang w:val="ar-SA" w:bidi="ar-EG"/>
        </w:rPr>
      </w:pPr>
      <w:r>
        <w:sym w:font="Symbol" w:char="F0B7"/>
      </w:r>
      <w:r>
        <w:rPr>
          <w:rtl/>
          <w:lang w:val="en-GB"/>
        </w:rPr>
        <w:tab/>
      </w:r>
      <w:r w:rsidR="00F67B4E" w:rsidRPr="00F67B4E">
        <w:rPr>
          <w:rtl/>
          <w:lang w:val="en-GB"/>
        </w:rPr>
        <w:t>النفقات الإدارية العامة</w:t>
      </w:r>
    </w:p>
    <w:p w14:paraId="156B393A" w14:textId="77777777" w:rsidR="00F67B4E" w:rsidRPr="00F67B4E" w:rsidRDefault="00F67B4E" w:rsidP="00C276BE">
      <w:pPr>
        <w:pStyle w:val="Headingb"/>
        <w:rPr>
          <w:lang w:val="ar-SA" w:bidi="ar-EG"/>
        </w:rPr>
      </w:pPr>
      <w:r w:rsidRPr="00F67B4E">
        <w:rPr>
          <w:rtl/>
          <w:lang w:val="en-GB"/>
        </w:rPr>
        <w:t>محركات التكاليف:</w:t>
      </w:r>
    </w:p>
    <w:p w14:paraId="4D7F29F4" w14:textId="77777777" w:rsidR="00F67B4E" w:rsidRPr="00F67B4E" w:rsidRDefault="00F67B4E" w:rsidP="00F67B4E">
      <w:pPr>
        <w:rPr>
          <w:lang w:val="ar-SA" w:bidi="ar-EG"/>
        </w:rPr>
      </w:pPr>
      <w:r w:rsidRPr="00F67B4E">
        <w:rPr>
          <w:rtl/>
          <w:lang w:val="en-GB"/>
        </w:rPr>
        <w:t xml:space="preserve">محركات التكاليف هي مقاييس تعكس مدى استخدام أنشطة معالجة بطاقات التبليغ عن الشبكات </w:t>
      </w:r>
      <w:proofErr w:type="spellStart"/>
      <w:r w:rsidRPr="00F67B4E">
        <w:rPr>
          <w:rtl/>
          <w:lang w:val="en-GB"/>
        </w:rPr>
        <w:t>الساتلية</w:t>
      </w:r>
      <w:proofErr w:type="spellEnd"/>
      <w:r w:rsidRPr="00F67B4E">
        <w:rPr>
          <w:rtl/>
          <w:lang w:val="en-GB"/>
        </w:rPr>
        <w:t xml:space="preserve"> لكل فئة من فئات التكاليف غير المباشرة. وفيما يلي المحركات المقترحة:</w:t>
      </w:r>
    </w:p>
    <w:p w14:paraId="22796536" w14:textId="317AA0CB" w:rsidR="00F67B4E" w:rsidRPr="00F67B4E" w:rsidRDefault="00C276BE" w:rsidP="00C276BE">
      <w:pPr>
        <w:pStyle w:val="enumlev1"/>
        <w:rPr>
          <w:lang w:val="ar-SA" w:bidi="ar-EG"/>
        </w:rPr>
      </w:pPr>
      <w:r>
        <w:sym w:font="Symbol" w:char="F0B7"/>
      </w:r>
      <w:r>
        <w:rPr>
          <w:b/>
          <w:bCs/>
          <w:rtl/>
          <w:lang w:val="en-GB"/>
        </w:rPr>
        <w:tab/>
      </w:r>
      <w:r w:rsidR="00F67B4E" w:rsidRPr="00F67B4E">
        <w:rPr>
          <w:b/>
          <w:bCs/>
          <w:rtl/>
          <w:lang w:val="en-GB"/>
        </w:rPr>
        <w:t>دعم تكنولوجيا المعلومات</w:t>
      </w:r>
      <w:r w:rsidR="00F67B4E" w:rsidRPr="00F67B4E">
        <w:rPr>
          <w:b/>
          <w:bCs/>
          <w:lang w:bidi="ar-EG"/>
        </w:rPr>
        <w:t>:</w:t>
      </w:r>
      <w:r w:rsidR="00F67B4E" w:rsidRPr="00F67B4E">
        <w:rPr>
          <w:rtl/>
          <w:lang w:val="en-GB"/>
        </w:rPr>
        <w:t xml:space="preserve"> عدد طلبات تكنولوجيا المعلومات، واستخدام الأنظمة، وحجم التخزين الخاص بعمليات معالجة 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262C8DDA" w14:textId="0AC93DFE" w:rsidR="00F67B4E" w:rsidRPr="00F67B4E" w:rsidRDefault="00C276BE" w:rsidP="00C276BE">
      <w:pPr>
        <w:pStyle w:val="enumlev1"/>
        <w:rPr>
          <w:lang w:val="ar-SA" w:bidi="ar-EG"/>
        </w:rPr>
      </w:pPr>
      <w:r>
        <w:sym w:font="Symbol" w:char="F0B7"/>
      </w:r>
      <w:r>
        <w:rPr>
          <w:b/>
          <w:bCs/>
          <w:rtl/>
          <w:lang w:val="en-GB"/>
        </w:rPr>
        <w:tab/>
      </w:r>
      <w:r w:rsidR="00F67B4E" w:rsidRPr="00C276BE">
        <w:rPr>
          <w:b/>
          <w:bCs/>
          <w:spacing w:val="-2"/>
          <w:rtl/>
          <w:lang w:val="en-GB"/>
        </w:rPr>
        <w:t>الخدمات والمرافق</w:t>
      </w:r>
      <w:r w:rsidR="00F67B4E" w:rsidRPr="00C276BE">
        <w:rPr>
          <w:b/>
          <w:bCs/>
          <w:spacing w:val="-2"/>
          <w:lang w:bidi="ar-EG"/>
        </w:rPr>
        <w:t>:</w:t>
      </w:r>
      <w:r w:rsidR="00F67B4E" w:rsidRPr="00C276BE">
        <w:rPr>
          <w:spacing w:val="-2"/>
          <w:rtl/>
          <w:lang w:val="en-GB"/>
        </w:rPr>
        <w:t xml:space="preserve"> المساحات المكتبية المشغولة أو عدد الموظفين بدوام كامل (</w:t>
      </w:r>
      <w:r w:rsidR="00F67B4E" w:rsidRPr="00C276BE">
        <w:rPr>
          <w:spacing w:val="-2"/>
          <w:lang w:bidi="ar-EG"/>
        </w:rPr>
        <w:t>FTE</w:t>
      </w:r>
      <w:r w:rsidR="00F67B4E" w:rsidRPr="00C276BE">
        <w:rPr>
          <w:spacing w:val="-2"/>
          <w:rtl/>
          <w:lang w:val="en-GB"/>
        </w:rPr>
        <w:t xml:space="preserve">) المشاركين في معالجة بطاقات التبليغ عن الشبكات </w:t>
      </w:r>
      <w:proofErr w:type="spellStart"/>
      <w:r w:rsidR="00F67B4E" w:rsidRPr="00C276BE">
        <w:rPr>
          <w:spacing w:val="-2"/>
          <w:rtl/>
          <w:lang w:val="en-GB"/>
        </w:rPr>
        <w:t>الساتلية</w:t>
      </w:r>
      <w:proofErr w:type="spellEnd"/>
      <w:r w:rsidR="00F67B4E" w:rsidRPr="00C276BE">
        <w:rPr>
          <w:spacing w:val="-2"/>
          <w:rtl/>
          <w:lang w:val="en-GB"/>
        </w:rPr>
        <w:t>.</w:t>
      </w:r>
    </w:p>
    <w:p w14:paraId="164AB7BE" w14:textId="77F6D24A" w:rsidR="00F67B4E" w:rsidRPr="00F67B4E" w:rsidRDefault="00C276BE" w:rsidP="00C276BE">
      <w:pPr>
        <w:pStyle w:val="enumlev1"/>
        <w:rPr>
          <w:lang w:val="ar-SA" w:bidi="ar-EG"/>
        </w:rPr>
      </w:pPr>
      <w:r>
        <w:sym w:font="Symbol" w:char="F0B7"/>
      </w:r>
      <w:r>
        <w:rPr>
          <w:b/>
          <w:bCs/>
          <w:rtl/>
          <w:lang w:val="en-GB"/>
        </w:rPr>
        <w:tab/>
      </w:r>
      <w:r w:rsidR="00F67B4E" w:rsidRPr="00F67B4E">
        <w:rPr>
          <w:b/>
          <w:bCs/>
          <w:rtl/>
          <w:lang w:val="en-GB"/>
        </w:rPr>
        <w:t>الموارد البشرية</w:t>
      </w:r>
      <w:r w:rsidR="00F67B4E" w:rsidRPr="00F67B4E">
        <w:rPr>
          <w:b/>
          <w:bCs/>
          <w:lang w:bidi="ar-EG"/>
        </w:rPr>
        <w:t>:</w:t>
      </w:r>
      <w:r w:rsidR="00F67B4E" w:rsidRPr="00F67B4E">
        <w:rPr>
          <w:rtl/>
          <w:lang w:val="en-GB"/>
        </w:rPr>
        <w:t xml:space="preserve"> عدد الموظفين المعنيين بمعالجة بطاقات التبليغ عن الشبكات </w:t>
      </w:r>
      <w:proofErr w:type="spellStart"/>
      <w:r w:rsidR="00F67B4E" w:rsidRPr="00F67B4E">
        <w:rPr>
          <w:rtl/>
          <w:lang w:val="en-GB"/>
        </w:rPr>
        <w:t>الساتلية</w:t>
      </w:r>
      <w:proofErr w:type="spellEnd"/>
      <w:r w:rsidR="00F67B4E" w:rsidRPr="00F67B4E">
        <w:rPr>
          <w:rtl/>
          <w:lang w:val="en-GB"/>
        </w:rPr>
        <w:t xml:space="preserve"> أو معاملات الموارد البشرية المحددة ذات الصلة بمعالجة 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4B77BBCE" w14:textId="17186F15" w:rsidR="00F67B4E" w:rsidRPr="00F67B4E" w:rsidRDefault="00C276BE" w:rsidP="00C276BE">
      <w:pPr>
        <w:pStyle w:val="enumlev1"/>
        <w:rPr>
          <w:lang w:val="ar-SA" w:bidi="ar-EG"/>
        </w:rPr>
      </w:pPr>
      <w:r>
        <w:sym w:font="Symbol" w:char="F0B7"/>
      </w:r>
      <w:r>
        <w:rPr>
          <w:b/>
          <w:bCs/>
          <w:rtl/>
          <w:lang w:val="en-GB"/>
        </w:rPr>
        <w:tab/>
      </w:r>
      <w:r w:rsidR="00F67B4E" w:rsidRPr="00F67B4E">
        <w:rPr>
          <w:b/>
          <w:bCs/>
          <w:rtl/>
          <w:lang w:val="en-GB"/>
        </w:rPr>
        <w:t>الخدمات المالية والقانونية</w:t>
      </w:r>
      <w:r w:rsidR="00F67B4E" w:rsidRPr="00F67B4E">
        <w:rPr>
          <w:b/>
          <w:bCs/>
          <w:lang w:bidi="ar-EG"/>
        </w:rPr>
        <w:t>:</w:t>
      </w:r>
      <w:r w:rsidR="00F67B4E" w:rsidRPr="00F67B4E">
        <w:rPr>
          <w:rtl/>
          <w:lang w:val="en-GB"/>
        </w:rPr>
        <w:t xml:space="preserve"> حجم وتعقيد المعاملات المتعلقة بمعالجة بطاقات التبليغ عن الشبكات </w:t>
      </w:r>
      <w:proofErr w:type="spellStart"/>
      <w:r w:rsidR="00F67B4E" w:rsidRPr="00F67B4E">
        <w:rPr>
          <w:rtl/>
          <w:lang w:val="en-GB"/>
        </w:rPr>
        <w:t>الساتلية</w:t>
      </w:r>
      <w:proofErr w:type="spellEnd"/>
      <w:r w:rsidR="00F67B4E" w:rsidRPr="00F67B4E">
        <w:rPr>
          <w:rtl/>
          <w:lang w:val="en-GB"/>
        </w:rPr>
        <w:t xml:space="preserve"> التي تتطلب الرقابة والأنظمة والمعالجة وإعداد التقارير المالية.</w:t>
      </w:r>
    </w:p>
    <w:p w14:paraId="4B6CA820" w14:textId="15AF36E8" w:rsidR="00F67B4E" w:rsidRPr="00F67B4E" w:rsidRDefault="00C276BE" w:rsidP="00C276BE">
      <w:pPr>
        <w:pStyle w:val="enumlev1"/>
        <w:rPr>
          <w:lang w:val="ar-SA" w:bidi="ar-EG"/>
        </w:rPr>
      </w:pPr>
      <w:r>
        <w:sym w:font="Symbol" w:char="F0B7"/>
      </w:r>
      <w:r>
        <w:rPr>
          <w:b/>
          <w:bCs/>
          <w:rtl/>
          <w:lang w:val="en-GB"/>
        </w:rPr>
        <w:tab/>
      </w:r>
      <w:r w:rsidR="00F67B4E" w:rsidRPr="00F67B4E">
        <w:rPr>
          <w:b/>
          <w:bCs/>
          <w:rtl/>
          <w:lang w:val="en-GB"/>
        </w:rPr>
        <w:t>النفقات الإدارية العامة</w:t>
      </w:r>
      <w:r w:rsidR="00F67B4E" w:rsidRPr="00F67B4E">
        <w:rPr>
          <w:b/>
          <w:bCs/>
          <w:lang w:bidi="ar-EG"/>
        </w:rPr>
        <w:t>:</w:t>
      </w:r>
      <w:r w:rsidR="00F67B4E" w:rsidRPr="00F67B4E">
        <w:rPr>
          <w:rtl/>
          <w:lang w:val="en-GB"/>
        </w:rPr>
        <w:t xml:space="preserve"> ساعات الدعم الإداري وحجم نشاط المشتريات وإدارة السياسات المتعلقة بمعالجة بطاقات التبليغ عن الشبكات </w:t>
      </w:r>
      <w:proofErr w:type="spellStart"/>
      <w:r w:rsidR="00F67B4E" w:rsidRPr="00F67B4E">
        <w:rPr>
          <w:rtl/>
          <w:lang w:val="en-GB"/>
        </w:rPr>
        <w:t>الساتلية</w:t>
      </w:r>
      <w:proofErr w:type="spellEnd"/>
      <w:r w:rsidR="00F67B4E" w:rsidRPr="00F67B4E">
        <w:rPr>
          <w:rtl/>
          <w:lang w:val="en-GB"/>
        </w:rPr>
        <w:t>.</w:t>
      </w:r>
    </w:p>
    <w:p w14:paraId="3EE699A0" w14:textId="77777777" w:rsidR="00F50E3F" w:rsidRDefault="00D63735" w:rsidP="00D63735">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3"/>
      <w:headerReference w:type="first" r:id="rId14"/>
      <w:footerReference w:type="first" r:id="rId15"/>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99D7" w14:textId="77777777" w:rsidR="00F67B4E" w:rsidRDefault="00F67B4E" w:rsidP="006C3242">
      <w:pPr>
        <w:spacing w:before="0" w:line="240" w:lineRule="auto"/>
      </w:pPr>
      <w:r>
        <w:separator/>
      </w:r>
    </w:p>
  </w:endnote>
  <w:endnote w:type="continuationSeparator" w:id="0">
    <w:p w14:paraId="34755234" w14:textId="77777777" w:rsidR="00F67B4E" w:rsidRDefault="00F67B4E"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20B0603020202020204"/>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67E16A31" w14:textId="77777777" w:rsidTr="00A67F05">
      <w:trPr>
        <w:jc w:val="center"/>
      </w:trPr>
      <w:tc>
        <w:tcPr>
          <w:tcW w:w="868" w:type="pct"/>
          <w:vAlign w:val="center"/>
        </w:tcPr>
        <w:p w14:paraId="1E7D3E85" w14:textId="5B4C58C7" w:rsidR="00F50E3F" w:rsidRPr="007B0AA0" w:rsidRDefault="00A50597" w:rsidP="006F363C">
          <w:pPr>
            <w:tabs>
              <w:tab w:val="clear" w:pos="794"/>
            </w:tabs>
            <w:overflowPunct w:val="0"/>
            <w:autoSpaceDE w:val="0"/>
            <w:autoSpaceDN w:val="0"/>
            <w:bidi w:val="0"/>
            <w:adjustRightInd w:val="0"/>
            <w:spacing w:before="0" w:line="240" w:lineRule="auto"/>
            <w:jc w:val="right"/>
            <w:textAlignment w:val="baseline"/>
            <w:rPr>
              <w:rFonts w:ascii="Calibri" w:hAnsi="Calibri" w:cs="Arial"/>
              <w:noProof/>
              <w:sz w:val="18"/>
            </w:rPr>
          </w:pPr>
          <w:r w:rsidRPr="00A50597">
            <w:rPr>
              <w:rFonts w:ascii="Calibri" w:hAnsi="Calibri" w:cs="Arial"/>
              <w:sz w:val="18"/>
              <w:szCs w:val="14"/>
            </w:rPr>
            <w:t>2501084</w:t>
          </w:r>
        </w:p>
      </w:tc>
      <w:tc>
        <w:tcPr>
          <w:tcW w:w="3912" w:type="pct"/>
        </w:tcPr>
        <w:p w14:paraId="45D43C66" w14:textId="12B538C5"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2925E0">
            <w:rPr>
              <w:rFonts w:ascii="Calibri" w:hAnsi="Calibri" w:cs="Arial"/>
              <w:bCs/>
              <w:color w:val="7F7F7F"/>
              <w:sz w:val="18"/>
            </w:rPr>
            <w:t>64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7A1DE4DA" w14:textId="77777777" w:rsidR="00F50E3F"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4DB3C253" w14:textId="77777777" w:rsidR="006C3242" w:rsidRPr="0026373E" w:rsidRDefault="006C3242" w:rsidP="00BA04B2">
    <w:pPr>
      <w:pStyle w:val="Footer"/>
      <w:tabs>
        <w:tab w:val="clear" w:pos="4153"/>
        <w:tab w:val="clear" w:pos="8306"/>
        <w:tab w:val="center" w:pos="5103"/>
        <w:tab w:val="right" w:pos="9639"/>
      </w:tabs>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C1DEADD" w14:textId="77777777" w:rsidTr="00A67F05">
      <w:trPr>
        <w:jc w:val="center"/>
      </w:trPr>
      <w:tc>
        <w:tcPr>
          <w:tcW w:w="1013" w:type="pct"/>
          <w:vAlign w:val="center"/>
        </w:tcPr>
        <w:p w14:paraId="16F5D7EA" w14:textId="77777777" w:rsidR="007B0AA0" w:rsidRPr="00660DEA" w:rsidRDefault="00660DEA" w:rsidP="00A67F05">
          <w:pPr>
            <w:tabs>
              <w:tab w:val="clear" w:pos="794"/>
            </w:tabs>
            <w:overflowPunct w:val="0"/>
            <w:autoSpaceDE w:val="0"/>
            <w:autoSpaceDN w:val="0"/>
            <w:bidi w:val="0"/>
            <w:adjustRightInd w:val="0"/>
            <w:spacing w:before="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7068ED7E" w14:textId="13EA84BC" w:rsidR="007B0AA0" w:rsidRPr="007B0AA0" w:rsidRDefault="007B0AA0"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Arial" w:hAnsi="Arial" w:cs="Arial"/>
              <w:b/>
              <w:bCs/>
              <w:color w:val="7F7F7F"/>
              <w:sz w:val="18"/>
              <w:szCs w:val="18"/>
            </w:rPr>
          </w:pPr>
          <w:proofErr w:type="spellStart"/>
          <w:r w:rsidRPr="007B0AA0">
            <w:rPr>
              <w:rFonts w:ascii="Calibri" w:hAnsi="Calibri" w:cs="Arial"/>
              <w:bCs/>
              <w:color w:val="7F7F7F"/>
              <w:sz w:val="18"/>
            </w:rPr>
            <w:t>C2</w:t>
          </w:r>
          <w:r w:rsidR="006F363C">
            <w:rPr>
              <w:rFonts w:ascii="Calibri" w:hAnsi="Calibri" w:cs="Arial"/>
              <w:bCs/>
              <w:color w:val="7F7F7F"/>
              <w:sz w:val="18"/>
            </w:rPr>
            <w:t>5</w:t>
          </w:r>
          <w:proofErr w:type="spellEnd"/>
          <w:r w:rsidRPr="007B0AA0">
            <w:rPr>
              <w:rFonts w:ascii="Calibri" w:hAnsi="Calibri" w:cs="Arial"/>
              <w:bCs/>
              <w:color w:val="7F7F7F"/>
              <w:sz w:val="18"/>
            </w:rPr>
            <w:t>/</w:t>
          </w:r>
          <w:r w:rsidR="00F67B4E">
            <w:rPr>
              <w:rFonts w:ascii="Calibri" w:hAnsi="Calibri" w:cs="Arial"/>
              <w:bCs/>
              <w:color w:val="7F7F7F"/>
              <w:sz w:val="18"/>
            </w:rPr>
            <w:t>64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046BF18A" w14:textId="77777777" w:rsidR="007B0AA0" w:rsidRPr="007B0AA0" w:rsidRDefault="00F50E3F" w:rsidP="006F363C">
          <w:pPr>
            <w:tabs>
              <w:tab w:val="clear" w:pos="794"/>
              <w:tab w:val="left" w:pos="862"/>
              <w:tab w:val="right" w:pos="8505"/>
              <w:tab w:val="right" w:pos="9639"/>
            </w:tabs>
            <w:overflowPunct w:val="0"/>
            <w:autoSpaceDE w:val="0"/>
            <w:autoSpaceDN w:val="0"/>
            <w:adjustRightInd w:val="0"/>
            <w:spacing w:before="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62C7EECF" w14:textId="77777777" w:rsidR="0006468A" w:rsidRPr="007B0AA0" w:rsidRDefault="0006468A" w:rsidP="00BA04B2">
    <w:pPr>
      <w:pStyle w:val="Footer"/>
      <w:tabs>
        <w:tab w:val="clear" w:pos="4153"/>
        <w:tab w:val="clear" w:pos="8306"/>
        <w:tab w:val="center" w:pos="5103"/>
        <w:tab w:val="right" w:pos="9639"/>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973F6" w14:textId="77777777" w:rsidR="00F67B4E" w:rsidRDefault="00F67B4E" w:rsidP="006C3242">
      <w:pPr>
        <w:spacing w:before="0" w:line="240" w:lineRule="auto"/>
      </w:pPr>
      <w:r>
        <w:separator/>
      </w:r>
    </w:p>
  </w:footnote>
  <w:footnote w:type="continuationSeparator" w:id="0">
    <w:p w14:paraId="1EA81F3B" w14:textId="77777777" w:rsidR="00F67B4E" w:rsidRDefault="00F67B4E"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BF36"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5DACF9C" wp14:editId="265B5A1B">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A736F"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199C8DC2" wp14:editId="25F71E0D">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5C168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B73F49"/>
    <w:multiLevelType w:val="hybridMultilevel"/>
    <w:tmpl w:val="F104AB38"/>
    <w:lvl w:ilvl="0" w:tplc="F2EE2BCE">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F6558C"/>
    <w:multiLevelType w:val="hybridMultilevel"/>
    <w:tmpl w:val="235AB0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E2F45BA"/>
    <w:multiLevelType w:val="hybridMultilevel"/>
    <w:tmpl w:val="7516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1F650D3"/>
    <w:multiLevelType w:val="hybridMultilevel"/>
    <w:tmpl w:val="65B2F8C4"/>
    <w:lvl w:ilvl="0" w:tplc="9E188EB0">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813C51"/>
    <w:multiLevelType w:val="hybridMultilevel"/>
    <w:tmpl w:val="503ED0FA"/>
    <w:lvl w:ilvl="0" w:tplc="F1C8236C">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A22C29"/>
    <w:multiLevelType w:val="hybridMultilevel"/>
    <w:tmpl w:val="9B1C0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C3D0C1C"/>
    <w:multiLevelType w:val="hybridMultilevel"/>
    <w:tmpl w:val="7E3E9F62"/>
    <w:lvl w:ilvl="0" w:tplc="FBCEB768">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9B1A45"/>
    <w:multiLevelType w:val="multilevel"/>
    <w:tmpl w:val="9620F564"/>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BB03CE"/>
    <w:multiLevelType w:val="hybridMultilevel"/>
    <w:tmpl w:val="F912D1E2"/>
    <w:lvl w:ilvl="0" w:tplc="A2D8A792">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AF0B11"/>
    <w:multiLevelType w:val="hybridMultilevel"/>
    <w:tmpl w:val="AF56FC50"/>
    <w:lvl w:ilvl="0" w:tplc="41DAA176">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73744D"/>
    <w:multiLevelType w:val="hybridMultilevel"/>
    <w:tmpl w:val="FE48B350"/>
    <w:lvl w:ilvl="0" w:tplc="12A83CAC">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DA5F47"/>
    <w:multiLevelType w:val="hybridMultilevel"/>
    <w:tmpl w:val="8D0A1E5E"/>
    <w:lvl w:ilvl="0" w:tplc="C7E63DF6">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BB73CF"/>
    <w:multiLevelType w:val="hybridMultilevel"/>
    <w:tmpl w:val="37BEC600"/>
    <w:lvl w:ilvl="0" w:tplc="0914C168">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9E5722"/>
    <w:multiLevelType w:val="hybridMultilevel"/>
    <w:tmpl w:val="88EC2DE8"/>
    <w:lvl w:ilvl="0" w:tplc="F580E040">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704511"/>
    <w:multiLevelType w:val="multilevel"/>
    <w:tmpl w:val="7E4A6038"/>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A832DA"/>
    <w:multiLevelType w:val="hybridMultilevel"/>
    <w:tmpl w:val="0DB41584"/>
    <w:lvl w:ilvl="0" w:tplc="8750B046">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05697A"/>
    <w:multiLevelType w:val="multilevel"/>
    <w:tmpl w:val="C72EBF60"/>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D22D3C"/>
    <w:multiLevelType w:val="hybridMultilevel"/>
    <w:tmpl w:val="6BB20F6C"/>
    <w:lvl w:ilvl="0" w:tplc="4B686684">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667047"/>
    <w:multiLevelType w:val="hybridMultilevel"/>
    <w:tmpl w:val="1234B172"/>
    <w:lvl w:ilvl="0" w:tplc="4F862072">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710EEC"/>
    <w:multiLevelType w:val="hybridMultilevel"/>
    <w:tmpl w:val="F7A62880"/>
    <w:lvl w:ilvl="0" w:tplc="22DCDD58">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2792F70"/>
    <w:multiLevelType w:val="hybridMultilevel"/>
    <w:tmpl w:val="0A3AA130"/>
    <w:lvl w:ilvl="0" w:tplc="CABE7452">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646652"/>
    <w:multiLevelType w:val="multilevel"/>
    <w:tmpl w:val="57F001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E47ED0"/>
    <w:multiLevelType w:val="hybridMultilevel"/>
    <w:tmpl w:val="16947E9A"/>
    <w:lvl w:ilvl="0" w:tplc="C0E6AE52">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FC634B"/>
    <w:multiLevelType w:val="hybridMultilevel"/>
    <w:tmpl w:val="BDEA721A"/>
    <w:lvl w:ilvl="0" w:tplc="2870AF46">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21509E"/>
    <w:multiLevelType w:val="multilevel"/>
    <w:tmpl w:val="D18C82E0"/>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B23EA2"/>
    <w:multiLevelType w:val="hybridMultilevel"/>
    <w:tmpl w:val="6BF6342A"/>
    <w:lvl w:ilvl="0" w:tplc="DDAC8E1C">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47F31"/>
    <w:multiLevelType w:val="hybridMultilevel"/>
    <w:tmpl w:val="32146FAC"/>
    <w:lvl w:ilvl="0" w:tplc="CE507370">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7178B8"/>
    <w:multiLevelType w:val="hybridMultilevel"/>
    <w:tmpl w:val="960E3F1E"/>
    <w:lvl w:ilvl="0" w:tplc="6E76FD6A">
      <w:start w:val="2"/>
      <w:numFmt w:val="bullet"/>
      <w:lvlText w:val=""/>
      <w:lvlJc w:val="left"/>
      <w:pPr>
        <w:ind w:left="720" w:hanging="360"/>
      </w:pPr>
      <w:rPr>
        <w:rFonts w:ascii="Symbol" w:eastAsiaTheme="minorEastAsia" w:hAnsi="Symbol" w:cs="Duba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8C0D10"/>
    <w:multiLevelType w:val="hybridMultilevel"/>
    <w:tmpl w:val="A7EED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6"/>
  </w:num>
  <w:num w:numId="12" w16cid:durableId="1622027705">
    <w:abstractNumId w:val="27"/>
    <w:lvlOverride w:ilvl="0">
      <w:lvl w:ilvl="0">
        <w:start w:val="1"/>
        <w:numFmt w:val="bullet"/>
        <w:lvlText w:val=""/>
        <w:lvlJc w:val="left"/>
        <w:pPr>
          <w:tabs>
            <w:tab w:val="num" w:pos="720"/>
          </w:tabs>
          <w:ind w:left="720" w:hanging="360"/>
        </w:pPr>
        <w:rPr>
          <w:rFonts w:ascii="Symbol" w:hAnsi="Symbol" w:hint="default"/>
          <w:sz w:val="24"/>
          <w:szCs w:val="24"/>
        </w:rPr>
      </w:lvl>
    </w:lvlOverride>
  </w:num>
  <w:num w:numId="13" w16cid:durableId="2084334879">
    <w:abstractNumId w:val="25"/>
    <w:lvlOverride w:ilvl="0">
      <w:lvl w:ilvl="0">
        <w:start w:val="1"/>
        <w:numFmt w:val="bullet"/>
        <w:lvlText w:val=""/>
        <w:lvlJc w:val="left"/>
        <w:pPr>
          <w:tabs>
            <w:tab w:val="num" w:pos="720"/>
          </w:tabs>
          <w:ind w:left="720" w:hanging="360"/>
        </w:pPr>
        <w:rPr>
          <w:rFonts w:ascii="Symbol" w:hAnsi="Symbol" w:hint="default"/>
          <w:sz w:val="24"/>
          <w:szCs w:val="24"/>
        </w:rPr>
      </w:lvl>
    </w:lvlOverride>
  </w:num>
  <w:num w:numId="14" w16cid:durableId="520048459">
    <w:abstractNumId w:val="18"/>
    <w:lvlOverride w:ilvl="0">
      <w:lvl w:ilvl="0">
        <w:start w:val="1"/>
        <w:numFmt w:val="bullet"/>
        <w:lvlText w:val=""/>
        <w:lvlJc w:val="left"/>
        <w:pPr>
          <w:tabs>
            <w:tab w:val="num" w:pos="720"/>
          </w:tabs>
          <w:ind w:left="720" w:hanging="360"/>
        </w:pPr>
        <w:rPr>
          <w:rFonts w:ascii="Symbol" w:hAnsi="Symbol" w:hint="default"/>
          <w:sz w:val="24"/>
          <w:szCs w:val="24"/>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15" w16cid:durableId="546769101">
    <w:abstractNumId w:val="32"/>
    <w:lvlOverride w:ilvl="0">
      <w:lvl w:ilvl="0">
        <w:start w:val="1"/>
        <w:numFmt w:val="decimal"/>
        <w:lvlText w:val="%1."/>
        <w:lvlJc w:val="left"/>
        <w:pPr>
          <w:tabs>
            <w:tab w:val="num" w:pos="720"/>
          </w:tabs>
          <w:ind w:left="720" w:hanging="360"/>
        </w:p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num>
  <w:num w:numId="16" w16cid:durableId="239950663">
    <w:abstractNumId w:val="39"/>
    <w:lvlOverride w:ilvl="0">
      <w:lvl w:ilvl="0" w:tplc="08090001">
        <w:start w:val="1"/>
        <w:numFmt w:val="bullet"/>
        <w:lvlText w:val=""/>
        <w:lvlJc w:val="left"/>
        <w:pPr>
          <w:ind w:left="720" w:hanging="360"/>
        </w:pPr>
        <w:rPr>
          <w:rFonts w:ascii="Symbol" w:hAnsi="Symbol" w:hint="default"/>
        </w:rPr>
      </w:lvl>
    </w:lvlOverride>
  </w:num>
  <w:num w:numId="17" w16cid:durableId="1517846379">
    <w:abstractNumId w:val="12"/>
    <w:lvlOverride w:ilvl="0">
      <w:lvl w:ilvl="0" w:tplc="08090001">
        <w:start w:val="1"/>
        <w:numFmt w:val="bullet"/>
        <w:lvlText w:val=""/>
        <w:lvlJc w:val="left"/>
        <w:pPr>
          <w:ind w:left="720" w:hanging="360"/>
        </w:pPr>
        <w:rPr>
          <w:rFonts w:ascii="Symbol" w:hAnsi="Symbol" w:hint="default"/>
        </w:rPr>
      </w:lvl>
    </w:lvlOverride>
  </w:num>
  <w:num w:numId="18" w16cid:durableId="760834986">
    <w:abstractNumId w:val="15"/>
    <w:lvlOverride w:ilvl="0">
      <w:lvl w:ilvl="0" w:tplc="08090001">
        <w:start w:val="1"/>
        <w:numFmt w:val="bullet"/>
        <w:lvlText w:val=""/>
        <w:lvlJc w:val="left"/>
        <w:pPr>
          <w:ind w:left="720" w:hanging="360"/>
        </w:pPr>
        <w:rPr>
          <w:rFonts w:ascii="Symbol" w:hAnsi="Symbol" w:hint="default"/>
        </w:rPr>
      </w:lvl>
    </w:lvlOverride>
  </w:num>
  <w:num w:numId="19" w16cid:durableId="1745180070">
    <w:abstractNumId w:val="11"/>
    <w:lvlOverride w:ilvl="0">
      <w:lvl w:ilvl="0" w:tplc="0809001B">
        <w:start w:val="1"/>
        <w:numFmt w:val="lowerRoman"/>
        <w:lvlText w:val="%1."/>
        <w:lvlJc w:val="right"/>
        <w:pPr>
          <w:ind w:left="720" w:hanging="360"/>
        </w:pPr>
      </w:lvl>
    </w:lvlOverride>
  </w:num>
  <w:num w:numId="20" w16cid:durableId="80303566">
    <w:abstractNumId w:val="35"/>
    <w:lvlOverride w:ilvl="0">
      <w:lvl w:ilvl="0">
        <w:start w:val="1"/>
        <w:numFmt w:val="bullet"/>
        <w:lvlText w:val="o"/>
        <w:lvlJc w:val="left"/>
        <w:pPr>
          <w:ind w:left="1440" w:hanging="360"/>
        </w:pPr>
        <w:rPr>
          <w:rFonts w:ascii="Courier New" w:hAnsi="Courier New" w:hint="default"/>
        </w:rPr>
      </w:lvl>
    </w:lvlOverride>
  </w:num>
  <w:num w:numId="21" w16cid:durableId="1661274979">
    <w:abstractNumId w:val="24"/>
  </w:num>
  <w:num w:numId="22" w16cid:durableId="294796420">
    <w:abstractNumId w:val="13"/>
  </w:num>
  <w:num w:numId="23" w16cid:durableId="490408533">
    <w:abstractNumId w:val="21"/>
  </w:num>
  <w:num w:numId="24" w16cid:durableId="1275402297">
    <w:abstractNumId w:val="36"/>
  </w:num>
  <w:num w:numId="25" w16cid:durableId="1086922073">
    <w:abstractNumId w:val="30"/>
  </w:num>
  <w:num w:numId="26" w16cid:durableId="846332666">
    <w:abstractNumId w:val="31"/>
  </w:num>
  <w:num w:numId="27" w16cid:durableId="1669599315">
    <w:abstractNumId w:val="22"/>
  </w:num>
  <w:num w:numId="28" w16cid:durableId="936333760">
    <w:abstractNumId w:val="37"/>
  </w:num>
  <w:num w:numId="29" w16cid:durableId="821119234">
    <w:abstractNumId w:val="28"/>
  </w:num>
  <w:num w:numId="30" w16cid:durableId="1071853150">
    <w:abstractNumId w:val="10"/>
  </w:num>
  <w:num w:numId="31" w16cid:durableId="1627737707">
    <w:abstractNumId w:val="20"/>
  </w:num>
  <w:num w:numId="32" w16cid:durableId="1908026518">
    <w:abstractNumId w:val="38"/>
  </w:num>
  <w:num w:numId="33" w16cid:durableId="908422304">
    <w:abstractNumId w:val="23"/>
  </w:num>
  <w:num w:numId="34" w16cid:durableId="1036655837">
    <w:abstractNumId w:val="34"/>
  </w:num>
  <w:num w:numId="35" w16cid:durableId="652686292">
    <w:abstractNumId w:val="17"/>
  </w:num>
  <w:num w:numId="36" w16cid:durableId="2083985842">
    <w:abstractNumId w:val="14"/>
  </w:num>
  <w:num w:numId="37" w16cid:durableId="1004743323">
    <w:abstractNumId w:val="26"/>
  </w:num>
  <w:num w:numId="38" w16cid:durableId="91441657">
    <w:abstractNumId w:val="29"/>
  </w:num>
  <w:num w:numId="39" w16cid:durableId="1341270931">
    <w:abstractNumId w:val="33"/>
  </w:num>
  <w:num w:numId="40" w16cid:durableId="4658597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B4E"/>
    <w:rsid w:val="0006468A"/>
    <w:rsid w:val="00090574"/>
    <w:rsid w:val="000C1C0E"/>
    <w:rsid w:val="000C548A"/>
    <w:rsid w:val="00191059"/>
    <w:rsid w:val="001B6E2B"/>
    <w:rsid w:val="001B7A64"/>
    <w:rsid w:val="001C0169"/>
    <w:rsid w:val="001C0C21"/>
    <w:rsid w:val="001D1D50"/>
    <w:rsid w:val="001D64C7"/>
    <w:rsid w:val="001D6745"/>
    <w:rsid w:val="001E446E"/>
    <w:rsid w:val="001F4B51"/>
    <w:rsid w:val="00205429"/>
    <w:rsid w:val="00210CA3"/>
    <w:rsid w:val="002154EE"/>
    <w:rsid w:val="002276D2"/>
    <w:rsid w:val="0023283D"/>
    <w:rsid w:val="00254393"/>
    <w:rsid w:val="0026373E"/>
    <w:rsid w:val="00271C43"/>
    <w:rsid w:val="00280F33"/>
    <w:rsid w:val="00290728"/>
    <w:rsid w:val="002925E0"/>
    <w:rsid w:val="002978F4"/>
    <w:rsid w:val="002A1258"/>
    <w:rsid w:val="002B028D"/>
    <w:rsid w:val="002C3F32"/>
    <w:rsid w:val="002E6541"/>
    <w:rsid w:val="00303DA5"/>
    <w:rsid w:val="00330569"/>
    <w:rsid w:val="00334924"/>
    <w:rsid w:val="003409BC"/>
    <w:rsid w:val="00357185"/>
    <w:rsid w:val="00383829"/>
    <w:rsid w:val="003B2D1A"/>
    <w:rsid w:val="003F2CC0"/>
    <w:rsid w:val="003F4B29"/>
    <w:rsid w:val="00420F8A"/>
    <w:rsid w:val="0042686F"/>
    <w:rsid w:val="00426CCF"/>
    <w:rsid w:val="004317D8"/>
    <w:rsid w:val="0043260A"/>
    <w:rsid w:val="00434183"/>
    <w:rsid w:val="0043726F"/>
    <w:rsid w:val="00443869"/>
    <w:rsid w:val="00446C2F"/>
    <w:rsid w:val="00447F32"/>
    <w:rsid w:val="00491BA9"/>
    <w:rsid w:val="004A4701"/>
    <w:rsid w:val="004B7334"/>
    <w:rsid w:val="004E11DC"/>
    <w:rsid w:val="005130DE"/>
    <w:rsid w:val="00513157"/>
    <w:rsid w:val="00525DDD"/>
    <w:rsid w:val="005409AC"/>
    <w:rsid w:val="005434E0"/>
    <w:rsid w:val="005546CF"/>
    <w:rsid w:val="0055516A"/>
    <w:rsid w:val="00570EEC"/>
    <w:rsid w:val="0058491B"/>
    <w:rsid w:val="00592EA5"/>
    <w:rsid w:val="005A012C"/>
    <w:rsid w:val="005A3170"/>
    <w:rsid w:val="005B24CF"/>
    <w:rsid w:val="005B2ECA"/>
    <w:rsid w:val="00660DEA"/>
    <w:rsid w:val="00677396"/>
    <w:rsid w:val="0069200F"/>
    <w:rsid w:val="006A65CB"/>
    <w:rsid w:val="006B12E5"/>
    <w:rsid w:val="006C3242"/>
    <w:rsid w:val="006C7CC0"/>
    <w:rsid w:val="006F2088"/>
    <w:rsid w:val="006F363C"/>
    <w:rsid w:val="006F63F7"/>
    <w:rsid w:val="007025C7"/>
    <w:rsid w:val="00706D7A"/>
    <w:rsid w:val="00720032"/>
    <w:rsid w:val="00722F0D"/>
    <w:rsid w:val="0074420E"/>
    <w:rsid w:val="007648A6"/>
    <w:rsid w:val="0077110E"/>
    <w:rsid w:val="00783E26"/>
    <w:rsid w:val="007A6684"/>
    <w:rsid w:val="007B0AA0"/>
    <w:rsid w:val="007B3637"/>
    <w:rsid w:val="007C3BC7"/>
    <w:rsid w:val="007C3BCD"/>
    <w:rsid w:val="007D4ACF"/>
    <w:rsid w:val="007F0787"/>
    <w:rsid w:val="00810B7B"/>
    <w:rsid w:val="0082358A"/>
    <w:rsid w:val="008235CD"/>
    <w:rsid w:val="008247DE"/>
    <w:rsid w:val="008339C0"/>
    <w:rsid w:val="00840B10"/>
    <w:rsid w:val="008513CB"/>
    <w:rsid w:val="0085789F"/>
    <w:rsid w:val="00874E9F"/>
    <w:rsid w:val="008A7F84"/>
    <w:rsid w:val="0091702E"/>
    <w:rsid w:val="00921442"/>
    <w:rsid w:val="00923B0C"/>
    <w:rsid w:val="00924F46"/>
    <w:rsid w:val="00935AAC"/>
    <w:rsid w:val="0094021C"/>
    <w:rsid w:val="00952F86"/>
    <w:rsid w:val="00982B28"/>
    <w:rsid w:val="009C3B2D"/>
    <w:rsid w:val="009D313F"/>
    <w:rsid w:val="00A15A78"/>
    <w:rsid w:val="00A47A5A"/>
    <w:rsid w:val="00A50597"/>
    <w:rsid w:val="00A63AE6"/>
    <w:rsid w:val="00A6683B"/>
    <w:rsid w:val="00A67F05"/>
    <w:rsid w:val="00A97F94"/>
    <w:rsid w:val="00AA7EA2"/>
    <w:rsid w:val="00AB5A56"/>
    <w:rsid w:val="00B03029"/>
    <w:rsid w:val="00B03099"/>
    <w:rsid w:val="00B05BC8"/>
    <w:rsid w:val="00B30F5E"/>
    <w:rsid w:val="00B64B47"/>
    <w:rsid w:val="00B661AA"/>
    <w:rsid w:val="00B95654"/>
    <w:rsid w:val="00B97F32"/>
    <w:rsid w:val="00BA04B2"/>
    <w:rsid w:val="00C002DE"/>
    <w:rsid w:val="00C0602B"/>
    <w:rsid w:val="00C224DA"/>
    <w:rsid w:val="00C276BE"/>
    <w:rsid w:val="00C44703"/>
    <w:rsid w:val="00C53BF8"/>
    <w:rsid w:val="00C659E8"/>
    <w:rsid w:val="00C66157"/>
    <w:rsid w:val="00C674FE"/>
    <w:rsid w:val="00C67501"/>
    <w:rsid w:val="00C75633"/>
    <w:rsid w:val="00CC0C35"/>
    <w:rsid w:val="00CE2EE1"/>
    <w:rsid w:val="00CE3349"/>
    <w:rsid w:val="00CE36E5"/>
    <w:rsid w:val="00CE4360"/>
    <w:rsid w:val="00CF27F5"/>
    <w:rsid w:val="00CF3FFD"/>
    <w:rsid w:val="00D02CBA"/>
    <w:rsid w:val="00D10CCF"/>
    <w:rsid w:val="00D13941"/>
    <w:rsid w:val="00D23F5F"/>
    <w:rsid w:val="00D43F7D"/>
    <w:rsid w:val="00D63735"/>
    <w:rsid w:val="00D77D0F"/>
    <w:rsid w:val="00DA1CF0"/>
    <w:rsid w:val="00DC1E02"/>
    <w:rsid w:val="00DC24B4"/>
    <w:rsid w:val="00DC5FB0"/>
    <w:rsid w:val="00DF16DC"/>
    <w:rsid w:val="00E4181C"/>
    <w:rsid w:val="00E44F43"/>
    <w:rsid w:val="00E45211"/>
    <w:rsid w:val="00E473C5"/>
    <w:rsid w:val="00E61BE8"/>
    <w:rsid w:val="00E83FF1"/>
    <w:rsid w:val="00E92863"/>
    <w:rsid w:val="00E979B2"/>
    <w:rsid w:val="00EB796D"/>
    <w:rsid w:val="00ED6630"/>
    <w:rsid w:val="00F058DC"/>
    <w:rsid w:val="00F24FC4"/>
    <w:rsid w:val="00F2676C"/>
    <w:rsid w:val="00F363FE"/>
    <w:rsid w:val="00F430AC"/>
    <w:rsid w:val="00F50E3F"/>
    <w:rsid w:val="00F67B4E"/>
    <w:rsid w:val="00F84366"/>
    <w:rsid w:val="00F85089"/>
    <w:rsid w:val="00F974C5"/>
    <w:rsid w:val="00FA3763"/>
    <w:rsid w:val="00FA6F46"/>
    <w:rsid w:val="00FB7875"/>
    <w:rsid w:val="00FC0E94"/>
    <w:rsid w:val="00FC4592"/>
    <w:rsid w:val="00FD527F"/>
    <w:rsid w:val="00FE46EA"/>
    <w:rsid w:val="00FE5872"/>
    <w:rsid w:val="00FE700E"/>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E8714"/>
  <w15:chartTrackingRefBased/>
  <w15:docId w15:val="{805C3B56-6127-457A-B470-35BC7E70C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after="12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after="12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after="12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_No"/>
    <w:basedOn w:val="Normal"/>
    <w:qFormat/>
    <w:rsid w:val="00F974C5"/>
    <w:pPr>
      <w:keepNext/>
      <w:spacing w:before="240" w:after="12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after="12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after="12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after="12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B661AA"/>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styleId="FollowedHyperlink">
    <w:name w:val="FollowedHyperlink"/>
    <w:basedOn w:val="DefaultParagraphFont"/>
    <w:uiPriority w:val="99"/>
    <w:semiHidden/>
    <w:unhideWhenUsed/>
    <w:rsid w:val="00F430AC"/>
    <w:rPr>
      <w:color w:val="954F72" w:themeColor="followedHyperlink"/>
      <w:u w:val="single"/>
    </w:rPr>
  </w:style>
  <w:style w:type="paragraph" w:styleId="ListBullet">
    <w:name w:val="List Bullet"/>
    <w:basedOn w:val="Normal"/>
    <w:uiPriority w:val="99"/>
    <w:unhideWhenUsed/>
    <w:rsid w:val="003B2D1A"/>
    <w:pPr>
      <w:numPr>
        <w:numId w:val="1"/>
      </w:numPr>
      <w:contextualSpacing/>
    </w:pPr>
  </w:style>
  <w:style w:type="paragraph" w:styleId="Revision">
    <w:name w:val="Revision"/>
    <w:hidden/>
    <w:uiPriority w:val="99"/>
    <w:semiHidden/>
    <w:rsid w:val="006F2088"/>
    <w:pPr>
      <w:spacing w:after="0" w:line="240" w:lineRule="auto"/>
    </w:pPr>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CL-C-0010/e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md/S25-CL-C-0010/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10/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tu.int/md/S14-CL-C-0102/en" TargetMode="External"/><Relationship Id="rId4" Type="http://schemas.openxmlformats.org/officeDocument/2006/relationships/settings" Target="settings.xml"/><Relationship Id="rId9" Type="http://schemas.openxmlformats.org/officeDocument/2006/relationships/hyperlink" Target="https://www.itu.int/en/council/Documents/basic-texts-2023/RES-091-A.pdf"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0</TotalTime>
  <Pages>6</Pages>
  <Words>2019</Words>
  <Characters>11544</Characters>
  <Application>Microsoft Office Word</Application>
  <DocSecurity>0</DocSecurity>
  <Lines>190</Lines>
  <Paragraphs>94</Paragraphs>
  <ScaleCrop>false</ScaleCrop>
  <HeadingPairs>
    <vt:vector size="2" baseType="variant">
      <vt:variant>
        <vt:lpstr>Title</vt:lpstr>
      </vt:variant>
      <vt:variant>
        <vt:i4>1</vt:i4>
      </vt:variant>
    </vt:vector>
  </HeadingPairs>
  <TitlesOfParts>
    <vt:vector size="1" baseType="lpstr">
      <vt:lpstr>Proposed methodology for calculation of SNF cost recovery</vt:lpstr>
    </vt:vector>
  </TitlesOfParts>
  <Company>International Telecommunication Union</Company>
  <LinksUpToDate>false</LinksUpToDate>
  <CharactersWithSpaces>13492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methodology for calculation of SNF cost recovery</dc:title>
  <dc:subject>ITU Council 2025</dc:subject>
  <cp:keywords>C2025, C25, Council-25</cp:keywords>
  <dc:description/>
  <dcterms:created xsi:type="dcterms:W3CDTF">2025-05-26T12:14:00Z</dcterms:created>
  <dcterms:modified xsi:type="dcterms:W3CDTF">2025-05-26T12:14:00Z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