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23B55" w14:paraId="4A1D6D57" w14:textId="77777777" w:rsidTr="00D72F49">
        <w:trPr>
          <w:cantSplit/>
          <w:trHeight w:val="23"/>
        </w:trPr>
        <w:tc>
          <w:tcPr>
            <w:tcW w:w="3969" w:type="dxa"/>
            <w:vMerge w:val="restart"/>
            <w:tcMar>
              <w:left w:w="0" w:type="dxa"/>
            </w:tcMar>
          </w:tcPr>
          <w:p w14:paraId="0A59899D" w14:textId="5A01219E" w:rsidR="00D72F49" w:rsidRPr="00023B55" w:rsidRDefault="00D72F49" w:rsidP="00D72F49">
            <w:pPr>
              <w:tabs>
                <w:tab w:val="left" w:pos="851"/>
              </w:tabs>
              <w:spacing w:before="0" w:line="240" w:lineRule="atLeast"/>
              <w:rPr>
                <w:b/>
              </w:rPr>
            </w:pPr>
            <w:r w:rsidRPr="00023B55">
              <w:rPr>
                <w:b/>
              </w:rPr>
              <w:t>Point de l'ordre du jour:</w:t>
            </w:r>
            <w:r w:rsidR="0014379F" w:rsidRPr="00023B55">
              <w:rPr>
                <w:b/>
              </w:rPr>
              <w:t xml:space="preserve"> PL 2</w:t>
            </w:r>
          </w:p>
        </w:tc>
        <w:tc>
          <w:tcPr>
            <w:tcW w:w="5245" w:type="dxa"/>
          </w:tcPr>
          <w:p w14:paraId="280104AF" w14:textId="36F8609B" w:rsidR="00D72F49" w:rsidRPr="00023B55" w:rsidRDefault="00D72F49" w:rsidP="00D72F49">
            <w:pPr>
              <w:tabs>
                <w:tab w:val="left" w:pos="851"/>
              </w:tabs>
              <w:spacing w:before="0" w:line="240" w:lineRule="atLeast"/>
              <w:jc w:val="right"/>
              <w:rPr>
                <w:b/>
              </w:rPr>
            </w:pPr>
            <w:r w:rsidRPr="00023B55">
              <w:rPr>
                <w:b/>
              </w:rPr>
              <w:t>Document C2</w:t>
            </w:r>
            <w:r w:rsidR="00FC6D7D" w:rsidRPr="00023B55">
              <w:rPr>
                <w:b/>
              </w:rPr>
              <w:t>5</w:t>
            </w:r>
            <w:r w:rsidRPr="00023B55">
              <w:rPr>
                <w:b/>
              </w:rPr>
              <w:t>/</w:t>
            </w:r>
            <w:r w:rsidR="0014379F" w:rsidRPr="00023B55">
              <w:rPr>
                <w:b/>
              </w:rPr>
              <w:t>61</w:t>
            </w:r>
            <w:r w:rsidRPr="00023B55">
              <w:rPr>
                <w:b/>
              </w:rPr>
              <w:t>-F</w:t>
            </w:r>
          </w:p>
        </w:tc>
      </w:tr>
      <w:tr w:rsidR="00D72F49" w:rsidRPr="00023B55" w14:paraId="732CAA1B" w14:textId="77777777" w:rsidTr="00D72F49">
        <w:trPr>
          <w:cantSplit/>
        </w:trPr>
        <w:tc>
          <w:tcPr>
            <w:tcW w:w="3969" w:type="dxa"/>
            <w:vMerge/>
          </w:tcPr>
          <w:p w14:paraId="65F86C2F" w14:textId="77777777" w:rsidR="00D72F49" w:rsidRPr="00023B55" w:rsidRDefault="00D72F49" w:rsidP="00D72F49">
            <w:pPr>
              <w:tabs>
                <w:tab w:val="left" w:pos="851"/>
              </w:tabs>
              <w:spacing w:line="240" w:lineRule="atLeast"/>
              <w:rPr>
                <w:b/>
              </w:rPr>
            </w:pPr>
          </w:p>
        </w:tc>
        <w:tc>
          <w:tcPr>
            <w:tcW w:w="5245" w:type="dxa"/>
          </w:tcPr>
          <w:p w14:paraId="065B2F27" w14:textId="65BF4025" w:rsidR="00D72F49" w:rsidRPr="00023B55" w:rsidRDefault="0014379F" w:rsidP="00D72F49">
            <w:pPr>
              <w:tabs>
                <w:tab w:val="left" w:pos="851"/>
              </w:tabs>
              <w:spacing w:before="0"/>
              <w:jc w:val="right"/>
              <w:rPr>
                <w:b/>
              </w:rPr>
            </w:pPr>
            <w:r w:rsidRPr="00023B55">
              <w:rPr>
                <w:b/>
              </w:rPr>
              <w:t>16 mai 2025</w:t>
            </w:r>
          </w:p>
        </w:tc>
      </w:tr>
      <w:tr w:rsidR="00D72F49" w:rsidRPr="00023B55" w14:paraId="689B0BB7" w14:textId="77777777" w:rsidTr="00D72F49">
        <w:trPr>
          <w:cantSplit/>
          <w:trHeight w:val="23"/>
        </w:trPr>
        <w:tc>
          <w:tcPr>
            <w:tcW w:w="3969" w:type="dxa"/>
            <w:vMerge/>
          </w:tcPr>
          <w:p w14:paraId="1386BDD4" w14:textId="77777777" w:rsidR="00D72F49" w:rsidRPr="00023B55" w:rsidRDefault="00D72F49" w:rsidP="00D72F49">
            <w:pPr>
              <w:tabs>
                <w:tab w:val="left" w:pos="851"/>
              </w:tabs>
              <w:spacing w:line="240" w:lineRule="atLeast"/>
              <w:rPr>
                <w:b/>
              </w:rPr>
            </w:pPr>
          </w:p>
        </w:tc>
        <w:tc>
          <w:tcPr>
            <w:tcW w:w="5245" w:type="dxa"/>
          </w:tcPr>
          <w:p w14:paraId="332D36C6" w14:textId="77777777" w:rsidR="00D72F49" w:rsidRPr="00023B55" w:rsidRDefault="00D72F49" w:rsidP="00D72F49">
            <w:pPr>
              <w:tabs>
                <w:tab w:val="left" w:pos="851"/>
              </w:tabs>
              <w:spacing w:before="0" w:line="240" w:lineRule="atLeast"/>
              <w:jc w:val="right"/>
              <w:rPr>
                <w:b/>
              </w:rPr>
            </w:pPr>
            <w:r w:rsidRPr="00023B55">
              <w:rPr>
                <w:b/>
              </w:rPr>
              <w:t>Original: anglais</w:t>
            </w:r>
          </w:p>
        </w:tc>
      </w:tr>
      <w:tr w:rsidR="00D72F49" w:rsidRPr="00023B55" w14:paraId="29D5455D" w14:textId="77777777" w:rsidTr="00D72F49">
        <w:trPr>
          <w:cantSplit/>
          <w:trHeight w:val="23"/>
        </w:trPr>
        <w:tc>
          <w:tcPr>
            <w:tcW w:w="3969" w:type="dxa"/>
          </w:tcPr>
          <w:p w14:paraId="1F1D57C1" w14:textId="77777777" w:rsidR="00D72F49" w:rsidRPr="00023B55" w:rsidRDefault="00D72F49" w:rsidP="00EE2EFD">
            <w:pPr>
              <w:tabs>
                <w:tab w:val="left" w:pos="851"/>
              </w:tabs>
              <w:spacing w:before="0" w:line="240" w:lineRule="atLeast"/>
              <w:rPr>
                <w:b/>
              </w:rPr>
            </w:pPr>
          </w:p>
        </w:tc>
        <w:tc>
          <w:tcPr>
            <w:tcW w:w="5245" w:type="dxa"/>
          </w:tcPr>
          <w:p w14:paraId="43BC4CA6" w14:textId="77777777" w:rsidR="00D72F49" w:rsidRPr="00023B55" w:rsidRDefault="00D72F49" w:rsidP="00EE2EFD">
            <w:pPr>
              <w:tabs>
                <w:tab w:val="left" w:pos="851"/>
              </w:tabs>
              <w:spacing w:before="0" w:line="240" w:lineRule="atLeast"/>
              <w:jc w:val="right"/>
              <w:rPr>
                <w:b/>
              </w:rPr>
            </w:pPr>
          </w:p>
        </w:tc>
      </w:tr>
      <w:tr w:rsidR="00D72F49" w:rsidRPr="00023B55" w14:paraId="2FECD96B" w14:textId="77777777" w:rsidTr="00D72F49">
        <w:trPr>
          <w:cantSplit/>
        </w:trPr>
        <w:tc>
          <w:tcPr>
            <w:tcW w:w="9214" w:type="dxa"/>
            <w:gridSpan w:val="2"/>
            <w:tcMar>
              <w:left w:w="0" w:type="dxa"/>
            </w:tcMar>
          </w:tcPr>
          <w:p w14:paraId="75D2B814" w14:textId="77777777" w:rsidR="00D72F49" w:rsidRPr="00023B55" w:rsidRDefault="00D72F49" w:rsidP="00F52608">
            <w:pPr>
              <w:pStyle w:val="Source"/>
              <w:spacing w:before="600"/>
              <w:jc w:val="left"/>
              <w:rPr>
                <w:sz w:val="34"/>
                <w:szCs w:val="34"/>
              </w:rPr>
            </w:pPr>
            <w:r w:rsidRPr="00023B55">
              <w:rPr>
                <w:rFonts w:cstheme="minorHAnsi"/>
                <w:color w:val="000000"/>
                <w:sz w:val="34"/>
                <w:szCs w:val="34"/>
              </w:rPr>
              <w:t xml:space="preserve">Rapport </w:t>
            </w:r>
            <w:r w:rsidR="00E95647" w:rsidRPr="00023B55">
              <w:rPr>
                <w:rFonts w:cstheme="minorHAnsi"/>
                <w:color w:val="000000"/>
                <w:sz w:val="34"/>
                <w:szCs w:val="34"/>
              </w:rPr>
              <w:t xml:space="preserve">de la </w:t>
            </w:r>
            <w:r w:rsidRPr="00023B55">
              <w:rPr>
                <w:rFonts w:cstheme="minorHAnsi"/>
                <w:color w:val="000000"/>
                <w:sz w:val="34"/>
                <w:szCs w:val="34"/>
              </w:rPr>
              <w:t>Secrétaire général</w:t>
            </w:r>
            <w:r w:rsidR="00E95647" w:rsidRPr="00023B55">
              <w:rPr>
                <w:rFonts w:cstheme="minorHAnsi"/>
                <w:color w:val="000000"/>
                <w:sz w:val="34"/>
                <w:szCs w:val="34"/>
              </w:rPr>
              <w:t>e</w:t>
            </w:r>
          </w:p>
        </w:tc>
      </w:tr>
      <w:tr w:rsidR="00D72F49" w:rsidRPr="00023B55" w14:paraId="1F8EF31F" w14:textId="77777777" w:rsidTr="00D72F49">
        <w:trPr>
          <w:cantSplit/>
        </w:trPr>
        <w:tc>
          <w:tcPr>
            <w:tcW w:w="9214" w:type="dxa"/>
            <w:gridSpan w:val="2"/>
            <w:tcMar>
              <w:left w:w="0" w:type="dxa"/>
            </w:tcMar>
          </w:tcPr>
          <w:p w14:paraId="2C5DA4FB" w14:textId="0A12D541" w:rsidR="0014379F" w:rsidRPr="00023B55" w:rsidRDefault="00E66781" w:rsidP="00F52608">
            <w:pPr>
              <w:pStyle w:val="Subtitle"/>
              <w:framePr w:hSpace="0" w:wrap="auto" w:hAnchor="text" w:xAlign="left" w:yAlign="inline"/>
              <w:spacing w:after="120"/>
              <w:ind w:right="-113"/>
              <w:rPr>
                <w:sz w:val="32"/>
                <w:szCs w:val="32"/>
                <w:lang w:val="fr-FR"/>
              </w:rPr>
            </w:pPr>
            <w:r w:rsidRPr="00023B55">
              <w:rPr>
                <w:rFonts w:cstheme="minorHAnsi"/>
                <w:sz w:val="32"/>
                <w:szCs w:val="32"/>
                <w:lang w:val="fr-FR"/>
              </w:rPr>
              <w:t>RAPPORT SUR LE SMSI+20 SUR LA CONTRIBUTION DE L'UIT À LA MISE EN ŒUVRE ET AU SUIVI DES RÉSULTATS DU SMSI ET SON RÔLE DANS LA RÉALISATION DES ODD</w:t>
            </w:r>
            <w:r w:rsidR="00BA42FD">
              <w:rPr>
                <w:rFonts w:cstheme="minorHAnsi"/>
                <w:sz w:val="32"/>
                <w:szCs w:val="32"/>
                <w:lang w:val="fr-FR"/>
              </w:rPr>
              <w:br/>
            </w:r>
            <w:r w:rsidR="0014379F" w:rsidRPr="00D85AF1">
              <w:rPr>
                <w:spacing w:val="-2"/>
                <w:sz w:val="32"/>
                <w:szCs w:val="32"/>
                <w:lang w:val="fr-FR"/>
              </w:rPr>
              <w:t>(Rapport sur le SMSI+20 intitulé "Bâtir un avenir numérique pour tous")</w:t>
            </w:r>
          </w:p>
        </w:tc>
      </w:tr>
      <w:tr w:rsidR="00D72F49" w:rsidRPr="00023B55" w14:paraId="0F01DF8B" w14:textId="77777777" w:rsidTr="00D72F49">
        <w:trPr>
          <w:cantSplit/>
        </w:trPr>
        <w:tc>
          <w:tcPr>
            <w:tcW w:w="9214" w:type="dxa"/>
            <w:gridSpan w:val="2"/>
            <w:tcBorders>
              <w:top w:val="single" w:sz="4" w:space="0" w:color="auto"/>
              <w:bottom w:val="single" w:sz="4" w:space="0" w:color="auto"/>
            </w:tcBorders>
            <w:tcMar>
              <w:left w:w="0" w:type="dxa"/>
            </w:tcMar>
          </w:tcPr>
          <w:p w14:paraId="4A11C01B" w14:textId="77777777" w:rsidR="00D72F49" w:rsidRPr="00023B55" w:rsidRDefault="00F37FE5" w:rsidP="00E66781">
            <w:pPr>
              <w:rPr>
                <w:b/>
                <w:bCs/>
                <w:sz w:val="26"/>
                <w:szCs w:val="26"/>
              </w:rPr>
            </w:pPr>
            <w:r w:rsidRPr="00023B55">
              <w:rPr>
                <w:b/>
                <w:bCs/>
                <w:sz w:val="26"/>
                <w:szCs w:val="26"/>
              </w:rPr>
              <w:t>Objet</w:t>
            </w:r>
          </w:p>
          <w:p w14:paraId="2603AF77" w14:textId="2FFBB04F" w:rsidR="00D72F49" w:rsidRPr="00023B55" w:rsidRDefault="0014379F" w:rsidP="00EE2EFD">
            <w:pPr>
              <w:spacing w:before="100"/>
              <w:jc w:val="both"/>
            </w:pPr>
            <w:r w:rsidRPr="00023B55">
              <w:t>Dans le cadre des préparatifs de l'examen d'ensemble du SMSI+20, la Secrétaire générale de l'UIT est chargée de présenter le rapport sur le SMSI+20 sur la contribution de l'UIT à la mise en œuvre et au suivi des résultats du SMSI et son rôle dans la réalisation du Programme de développement durable à l'horizon 2030. Le rapport sera soumis par la Secrétaire générale de l'UIT à la session de 2025 de l'Assemblée générale des Nations Unies.</w:t>
            </w:r>
          </w:p>
          <w:p w14:paraId="766F3208" w14:textId="77777777" w:rsidR="00D72F49" w:rsidRPr="00023B55" w:rsidRDefault="00D72F49" w:rsidP="00E66781">
            <w:pPr>
              <w:rPr>
                <w:b/>
                <w:bCs/>
                <w:sz w:val="26"/>
                <w:szCs w:val="26"/>
              </w:rPr>
            </w:pPr>
            <w:r w:rsidRPr="00023B55">
              <w:rPr>
                <w:b/>
                <w:bCs/>
                <w:sz w:val="26"/>
                <w:szCs w:val="26"/>
              </w:rPr>
              <w:t>Suite à donner par le Conseil</w:t>
            </w:r>
          </w:p>
          <w:p w14:paraId="22DF59E4" w14:textId="6B8EDD12" w:rsidR="00D72F49" w:rsidRPr="00023B55" w:rsidRDefault="0014379F" w:rsidP="00EE2EFD">
            <w:pPr>
              <w:spacing w:before="100"/>
            </w:pPr>
            <w:r w:rsidRPr="00023B55">
              <w:t xml:space="preserve">Le Conseil est invité à </w:t>
            </w:r>
            <w:r w:rsidRPr="00023B55">
              <w:rPr>
                <w:b/>
                <w:bCs/>
              </w:rPr>
              <w:t>prendre note</w:t>
            </w:r>
            <w:r w:rsidRPr="00023B55">
              <w:t xml:space="preserve"> du présent rapport.</w:t>
            </w:r>
          </w:p>
          <w:p w14:paraId="6D883267" w14:textId="396326EA" w:rsidR="00D72F49" w:rsidRPr="00023B55" w:rsidRDefault="00D72F49" w:rsidP="00E66781">
            <w:pPr>
              <w:rPr>
                <w:b/>
                <w:bCs/>
                <w:sz w:val="26"/>
                <w:szCs w:val="26"/>
              </w:rPr>
            </w:pPr>
            <w:r w:rsidRPr="00023B55">
              <w:rPr>
                <w:b/>
                <w:bCs/>
                <w:sz w:val="26"/>
                <w:szCs w:val="26"/>
              </w:rPr>
              <w:t xml:space="preserve">Liens pertinents avec le </w:t>
            </w:r>
            <w:r w:rsidR="00F37FE5" w:rsidRPr="00023B55">
              <w:rPr>
                <w:b/>
                <w:bCs/>
                <w:sz w:val="26"/>
                <w:szCs w:val="26"/>
              </w:rPr>
              <w:t>p</w:t>
            </w:r>
            <w:r w:rsidRPr="00023B55">
              <w:rPr>
                <w:b/>
                <w:bCs/>
                <w:sz w:val="26"/>
                <w:szCs w:val="26"/>
              </w:rPr>
              <w:t>lan stratégique</w:t>
            </w:r>
          </w:p>
          <w:p w14:paraId="1D028A90" w14:textId="5CA14C85" w:rsidR="00D72F49" w:rsidRPr="00023B55" w:rsidRDefault="0014379F" w:rsidP="00EE2EFD">
            <w:pPr>
              <w:spacing w:before="100"/>
            </w:pPr>
            <w:r w:rsidRPr="00023B55">
              <w:t>Plates-formes fédératrices; partenariats et coopération internationale.</w:t>
            </w:r>
          </w:p>
          <w:p w14:paraId="058A7495" w14:textId="77777777" w:rsidR="00E95647" w:rsidRPr="00023B55" w:rsidRDefault="00D72F49" w:rsidP="00E66781">
            <w:pPr>
              <w:rPr>
                <w:b/>
                <w:bCs/>
                <w:sz w:val="26"/>
                <w:szCs w:val="26"/>
              </w:rPr>
            </w:pPr>
            <w:r w:rsidRPr="00023B55">
              <w:rPr>
                <w:b/>
                <w:bCs/>
                <w:sz w:val="26"/>
                <w:szCs w:val="26"/>
              </w:rPr>
              <w:t>Incidences financières</w:t>
            </w:r>
          </w:p>
          <w:p w14:paraId="2BA7296F" w14:textId="0FBC1584" w:rsidR="00D72F49" w:rsidRPr="00023B55" w:rsidRDefault="0014379F" w:rsidP="00EE2EFD">
            <w:pPr>
              <w:spacing w:before="100"/>
              <w:rPr>
                <w:szCs w:val="24"/>
              </w:rPr>
            </w:pPr>
            <w:r w:rsidRPr="00023B55">
              <w:rPr>
                <w:szCs w:val="24"/>
              </w:rPr>
              <w:t>Dans les limites des ressources affectées dans le plan financier.</w:t>
            </w:r>
          </w:p>
          <w:p w14:paraId="46ED4EBB" w14:textId="77777777" w:rsidR="00D72F49" w:rsidRPr="00023B55" w:rsidRDefault="00D72F49" w:rsidP="00F52608">
            <w:pPr>
              <w:spacing w:before="0"/>
              <w:rPr>
                <w:caps/>
                <w:sz w:val="22"/>
              </w:rPr>
            </w:pPr>
            <w:r w:rsidRPr="00023B55">
              <w:rPr>
                <w:sz w:val="22"/>
              </w:rPr>
              <w:t>__________________</w:t>
            </w:r>
          </w:p>
          <w:p w14:paraId="18F239BF" w14:textId="77777777" w:rsidR="00D72F49" w:rsidRPr="00023B55" w:rsidRDefault="00D72F49" w:rsidP="00E66781">
            <w:pPr>
              <w:rPr>
                <w:b/>
                <w:bCs/>
                <w:sz w:val="26"/>
                <w:szCs w:val="26"/>
              </w:rPr>
            </w:pPr>
            <w:r w:rsidRPr="00023B55">
              <w:rPr>
                <w:b/>
                <w:bCs/>
                <w:sz w:val="26"/>
                <w:szCs w:val="26"/>
              </w:rPr>
              <w:t>Références</w:t>
            </w:r>
          </w:p>
          <w:p w14:paraId="1F9E17C0" w14:textId="67809890" w:rsidR="00D72F49" w:rsidRPr="00EE2EFD" w:rsidRDefault="0014379F" w:rsidP="00F52608">
            <w:pPr>
              <w:spacing w:before="100" w:after="100"/>
              <w:jc w:val="both"/>
              <w:rPr>
                <w:i/>
                <w:iCs/>
                <w:spacing w:val="-2"/>
                <w:sz w:val="22"/>
                <w:szCs w:val="22"/>
              </w:rPr>
            </w:pPr>
            <w:hyperlink r:id="rId8" w:history="1">
              <w:r w:rsidRPr="00EE2EFD">
                <w:rPr>
                  <w:rStyle w:val="Hyperlink"/>
                  <w:rFonts w:eastAsia="Times New Roman" w:cs="Times New Roman"/>
                  <w:i/>
                  <w:iCs/>
                  <w:spacing w:val="-2"/>
                  <w:sz w:val="22"/>
                </w:rPr>
                <w:t>Site web du GTC-SMSI/ODD</w:t>
              </w:r>
            </w:hyperlink>
            <w:r w:rsidRPr="00EE2EFD">
              <w:rPr>
                <w:i/>
                <w:iCs/>
                <w:spacing w:val="-2"/>
                <w:sz w:val="22"/>
                <w:szCs w:val="22"/>
              </w:rPr>
              <w:t xml:space="preserve">; Résolutions </w:t>
            </w:r>
            <w:hyperlink r:id="rId9" w:history="1">
              <w:r w:rsidRPr="00EE2EFD">
                <w:rPr>
                  <w:rStyle w:val="Hyperlink"/>
                  <w:rFonts w:eastAsia="Times New Roman" w:cs="Times New Roman"/>
                  <w:i/>
                  <w:iCs/>
                  <w:spacing w:val="-2"/>
                  <w:sz w:val="22"/>
                </w:rPr>
                <w:t>A/RES/70/125</w:t>
              </w:r>
            </w:hyperlink>
            <w:r w:rsidRPr="00EE2EFD">
              <w:rPr>
                <w:i/>
                <w:iCs/>
                <w:spacing w:val="-2"/>
                <w:sz w:val="22"/>
                <w:szCs w:val="22"/>
              </w:rPr>
              <w:t xml:space="preserve">, </w:t>
            </w:r>
            <w:hyperlink r:id="rId10" w:history="1">
              <w:r w:rsidRPr="00EE2EFD">
                <w:rPr>
                  <w:rStyle w:val="Hyperlink"/>
                  <w:rFonts w:eastAsia="Times New Roman" w:cs="Times New Roman"/>
                  <w:i/>
                  <w:iCs/>
                  <w:spacing w:val="-2"/>
                  <w:sz w:val="22"/>
                </w:rPr>
                <w:t>A/RES/70/1</w:t>
              </w:r>
            </w:hyperlink>
            <w:r w:rsidRPr="00EE2EFD">
              <w:rPr>
                <w:rFonts w:eastAsiaTheme="minorHAnsi" w:cstheme="minorBidi"/>
                <w:i/>
                <w:iCs/>
                <w:spacing w:val="-2"/>
                <w:sz w:val="22"/>
                <w:szCs w:val="22"/>
              </w:rPr>
              <w:t xml:space="preserve">, </w:t>
            </w:r>
            <w:hyperlink r:id="rId11" w:history="1">
              <w:r w:rsidRPr="00EE2EFD">
                <w:rPr>
                  <w:rStyle w:val="Hyperlink"/>
                  <w:i/>
                  <w:iCs/>
                  <w:spacing w:val="-2"/>
                  <w:sz w:val="22"/>
                </w:rPr>
                <w:t>A/RES/77/150</w:t>
              </w:r>
            </w:hyperlink>
            <w:r w:rsidRPr="00EE2EFD">
              <w:rPr>
                <w:i/>
                <w:iCs/>
                <w:spacing w:val="-2"/>
                <w:sz w:val="22"/>
                <w:szCs w:val="22"/>
              </w:rPr>
              <w:t xml:space="preserve">, </w:t>
            </w:r>
            <w:hyperlink r:id="rId12" w:history="1">
              <w:r w:rsidRPr="00EE2EFD">
                <w:rPr>
                  <w:rStyle w:val="Hyperlink"/>
                  <w:rFonts w:eastAsia="Times New Roman" w:cs="Times New Roman"/>
                  <w:i/>
                  <w:iCs/>
                  <w:spacing w:val="-2"/>
                  <w:sz w:val="22"/>
                </w:rPr>
                <w:t>A/71/212</w:t>
              </w:r>
            </w:hyperlink>
            <w:r w:rsidRPr="00EE2EFD">
              <w:rPr>
                <w:i/>
                <w:iCs/>
                <w:spacing w:val="-2"/>
                <w:sz w:val="22"/>
                <w:szCs w:val="22"/>
              </w:rPr>
              <w:t xml:space="preserve">, </w:t>
            </w:r>
            <w:hyperlink r:id="rId13" w:history="1">
              <w:r w:rsidRPr="00EE2EFD">
                <w:rPr>
                  <w:rStyle w:val="Hyperlink"/>
                  <w:rFonts w:eastAsia="Times New Roman" w:cs="Times New Roman"/>
                  <w:i/>
                  <w:iCs/>
                  <w:spacing w:val="-2"/>
                  <w:sz w:val="22"/>
                </w:rPr>
                <w:t>A/70/299</w:t>
              </w:r>
            </w:hyperlink>
            <w:r w:rsidRPr="00EE2EFD">
              <w:rPr>
                <w:i/>
                <w:iCs/>
                <w:spacing w:val="-2"/>
                <w:sz w:val="22"/>
                <w:szCs w:val="22"/>
              </w:rPr>
              <w:t xml:space="preserve">, </w:t>
            </w:r>
            <w:hyperlink r:id="rId14" w:history="1">
              <w:r w:rsidRPr="00EE2EFD">
                <w:rPr>
                  <w:rStyle w:val="Hyperlink"/>
                  <w:rFonts w:eastAsia="Times New Roman" w:cs="Times New Roman"/>
                  <w:i/>
                  <w:iCs/>
                  <w:spacing w:val="-2"/>
                  <w:sz w:val="22"/>
                </w:rPr>
                <w:t>A/70/684</w:t>
              </w:r>
            </w:hyperlink>
            <w:r w:rsidRPr="00EE2EFD">
              <w:rPr>
                <w:i/>
                <w:iCs/>
                <w:spacing w:val="-2"/>
                <w:sz w:val="22"/>
                <w:szCs w:val="22"/>
              </w:rPr>
              <w:t xml:space="preserve">, </w:t>
            </w:r>
            <w:hyperlink r:id="rId15" w:history="1">
              <w:r w:rsidRPr="00EE2EFD">
                <w:rPr>
                  <w:rStyle w:val="Hyperlink"/>
                  <w:rFonts w:eastAsia="Times New Roman" w:cs="Times New Roman"/>
                  <w:i/>
                  <w:iCs/>
                  <w:spacing w:val="-2"/>
                  <w:sz w:val="22"/>
                </w:rPr>
                <w:t>A/RES/73/218</w:t>
              </w:r>
            </w:hyperlink>
            <w:r w:rsidRPr="00EE2EFD">
              <w:rPr>
                <w:i/>
                <w:iCs/>
                <w:spacing w:val="-2"/>
                <w:sz w:val="22"/>
                <w:szCs w:val="22"/>
              </w:rPr>
              <w:t xml:space="preserve"> de l'Assemblée générale des Nations Unies; </w:t>
            </w:r>
            <w:hyperlink r:id="rId16" w:history="1">
              <w:r w:rsidRPr="00EE2EFD">
                <w:rPr>
                  <w:rStyle w:val="Hyperlink"/>
                  <w:rFonts w:eastAsia="Times New Roman" w:cs="Times New Roman"/>
                  <w:i/>
                  <w:iCs/>
                  <w:spacing w:val="-2"/>
                  <w:sz w:val="22"/>
                </w:rPr>
                <w:t>Résolution E/RES/2024/13</w:t>
              </w:r>
            </w:hyperlink>
            <w:r w:rsidRPr="00EE2EFD">
              <w:rPr>
                <w:i/>
                <w:iCs/>
                <w:spacing w:val="-2"/>
                <w:sz w:val="22"/>
                <w:szCs w:val="22"/>
              </w:rPr>
              <w:t xml:space="preserve"> du Conseil économique et social de l'Organisation des Nations</w:t>
            </w:r>
            <w:r w:rsidR="00D14D87" w:rsidRPr="00EE2EFD">
              <w:rPr>
                <w:i/>
                <w:iCs/>
                <w:spacing w:val="-2"/>
                <w:sz w:val="22"/>
                <w:szCs w:val="22"/>
              </w:rPr>
              <w:t> </w:t>
            </w:r>
            <w:r w:rsidRPr="00EE2EFD">
              <w:rPr>
                <w:i/>
                <w:iCs/>
                <w:spacing w:val="-2"/>
                <w:sz w:val="22"/>
                <w:szCs w:val="22"/>
              </w:rPr>
              <w:t xml:space="preserve">Unies (ONU); Résolutions </w:t>
            </w:r>
            <w:hyperlink r:id="rId17" w:history="1">
              <w:r w:rsidRPr="00EE2EFD">
                <w:rPr>
                  <w:rStyle w:val="Hyperlink"/>
                  <w:rFonts w:eastAsia="Times New Roman" w:cs="Times New Roman"/>
                  <w:i/>
                  <w:iCs/>
                  <w:spacing w:val="-2"/>
                  <w:sz w:val="22"/>
                </w:rPr>
                <w:t>140</w:t>
              </w:r>
            </w:hyperlink>
            <w:r w:rsidRPr="00EE2EFD">
              <w:rPr>
                <w:i/>
                <w:iCs/>
                <w:spacing w:val="-2"/>
                <w:sz w:val="22"/>
                <w:szCs w:val="22"/>
              </w:rPr>
              <w:t xml:space="preserve"> (Rév. Bucarest, 2022), </w:t>
            </w:r>
            <w:hyperlink r:id="rId18" w:history="1">
              <w:r w:rsidRPr="00EE2EFD">
                <w:rPr>
                  <w:rStyle w:val="Hyperlink"/>
                  <w:rFonts w:eastAsia="Times New Roman" w:cs="Times New Roman"/>
                  <w:i/>
                  <w:iCs/>
                  <w:spacing w:val="-2"/>
                  <w:sz w:val="22"/>
                </w:rPr>
                <w:t>172</w:t>
              </w:r>
            </w:hyperlink>
            <w:r w:rsidRPr="00EE2EFD">
              <w:rPr>
                <w:i/>
                <w:iCs/>
                <w:spacing w:val="-2"/>
                <w:sz w:val="22"/>
                <w:szCs w:val="22"/>
              </w:rPr>
              <w:t xml:space="preserve"> (Rév. Guadalajara, 2010) et </w:t>
            </w:r>
            <w:hyperlink r:id="rId19" w:history="1">
              <w:r w:rsidRPr="00EE2EFD">
                <w:rPr>
                  <w:rStyle w:val="Hyperlink"/>
                  <w:rFonts w:eastAsia="Times New Roman" w:cs="Times New Roman"/>
                  <w:i/>
                  <w:iCs/>
                  <w:spacing w:val="-2"/>
                  <w:sz w:val="22"/>
                </w:rPr>
                <w:t>71</w:t>
              </w:r>
            </w:hyperlink>
            <w:r w:rsidRPr="00EE2EFD">
              <w:rPr>
                <w:i/>
                <w:iCs/>
                <w:spacing w:val="-2"/>
                <w:sz w:val="22"/>
                <w:szCs w:val="22"/>
              </w:rPr>
              <w:t xml:space="preserve"> (Rév. Bucarest 2022) de la Conférence de plénipotentiaires; Résolutions </w:t>
            </w:r>
            <w:hyperlink r:id="rId20" w:history="1">
              <w:r w:rsidRPr="00EE2EFD">
                <w:rPr>
                  <w:rStyle w:val="Hyperlink"/>
                  <w:rFonts w:eastAsia="Times New Roman" w:cs="Times New Roman"/>
                  <w:i/>
                  <w:iCs/>
                  <w:spacing w:val="-2"/>
                  <w:sz w:val="22"/>
                </w:rPr>
                <w:t>1332</w:t>
              </w:r>
            </w:hyperlink>
            <w:r w:rsidRPr="00EE2EFD">
              <w:rPr>
                <w:i/>
                <w:iCs/>
                <w:spacing w:val="-2"/>
                <w:sz w:val="22"/>
                <w:szCs w:val="22"/>
              </w:rPr>
              <w:t xml:space="preserve"> (modifiée en 2024) et </w:t>
            </w:r>
            <w:hyperlink r:id="rId21" w:history="1">
              <w:r w:rsidRPr="00EE2EFD">
                <w:rPr>
                  <w:rStyle w:val="Hyperlink"/>
                  <w:rFonts w:eastAsia="Times New Roman" w:cs="Times New Roman"/>
                  <w:i/>
                  <w:iCs/>
                  <w:spacing w:val="-2"/>
                  <w:sz w:val="22"/>
                </w:rPr>
                <w:t>1334</w:t>
              </w:r>
            </w:hyperlink>
            <w:r w:rsidRPr="00EE2EFD">
              <w:rPr>
                <w:i/>
                <w:iCs/>
                <w:spacing w:val="-2"/>
                <w:sz w:val="22"/>
                <w:szCs w:val="22"/>
              </w:rPr>
              <w:t xml:space="preserve"> (modifiée en 2023) du Conseil; </w:t>
            </w:r>
            <w:hyperlink r:id="rId22" w:history="1">
              <w:r w:rsidRPr="00EE2EFD">
                <w:rPr>
                  <w:rStyle w:val="Hyperlink"/>
                  <w:rFonts w:eastAsia="Times New Roman" w:cs="Times New Roman"/>
                  <w:i/>
                  <w:iCs/>
                  <w:spacing w:val="-2"/>
                  <w:sz w:val="22"/>
                </w:rPr>
                <w:t>Résolution 30</w:t>
              </w:r>
            </w:hyperlink>
            <w:r w:rsidRPr="00EE2EFD">
              <w:rPr>
                <w:i/>
                <w:iCs/>
                <w:spacing w:val="-2"/>
                <w:sz w:val="22"/>
                <w:szCs w:val="22"/>
              </w:rPr>
              <w:t xml:space="preserve"> (Rév. Kigali, 2022) de la Conférence mondiale de développement des télécommunications (CMDT); </w:t>
            </w:r>
            <w:hyperlink r:id="rId23" w:history="1">
              <w:r w:rsidRPr="00EE2EFD">
                <w:rPr>
                  <w:rStyle w:val="Hyperlink"/>
                  <w:rFonts w:eastAsia="Times New Roman" w:cs="Times New Roman"/>
                  <w:i/>
                  <w:iCs/>
                  <w:spacing w:val="-2"/>
                  <w:sz w:val="22"/>
                </w:rPr>
                <w:t>Résolution 75</w:t>
              </w:r>
            </w:hyperlink>
            <w:r w:rsidRPr="00EE2EFD">
              <w:rPr>
                <w:i/>
                <w:iCs/>
                <w:spacing w:val="-2"/>
                <w:sz w:val="22"/>
                <w:szCs w:val="22"/>
              </w:rPr>
              <w:t xml:space="preserve"> (Rév. Genève, 2022) de l'Assemblée mondiale de la normalisation des télécommunications (AMNT); </w:t>
            </w:r>
            <w:hyperlink r:id="rId24" w:history="1">
              <w:r w:rsidRPr="00EE2EFD">
                <w:rPr>
                  <w:rStyle w:val="Hyperlink"/>
                  <w:rFonts w:eastAsia="Times New Roman" w:cs="Times New Roman"/>
                  <w:i/>
                  <w:iCs/>
                  <w:spacing w:val="-2"/>
                  <w:sz w:val="22"/>
                </w:rPr>
                <w:t>Résolution</w:t>
              </w:r>
              <w:r w:rsidR="00E66781" w:rsidRPr="00EE2EFD">
                <w:rPr>
                  <w:rStyle w:val="Hyperlink"/>
                  <w:rFonts w:eastAsia="Times New Roman" w:cs="Times New Roman"/>
                  <w:i/>
                  <w:iCs/>
                  <w:spacing w:val="-2"/>
                  <w:sz w:val="22"/>
                </w:rPr>
                <w:t xml:space="preserve"> UIT-R</w:t>
              </w:r>
              <w:r w:rsidRPr="00EE2EFD">
                <w:rPr>
                  <w:rStyle w:val="Hyperlink"/>
                  <w:rFonts w:eastAsia="Times New Roman" w:cs="Times New Roman"/>
                  <w:i/>
                  <w:iCs/>
                  <w:spacing w:val="-2"/>
                  <w:sz w:val="22"/>
                </w:rPr>
                <w:t xml:space="preserve"> 61-3</w:t>
              </w:r>
            </w:hyperlink>
            <w:r w:rsidRPr="00EE2EFD">
              <w:rPr>
                <w:i/>
                <w:iCs/>
                <w:spacing w:val="-2"/>
                <w:sz w:val="22"/>
                <w:szCs w:val="22"/>
              </w:rPr>
              <w:t xml:space="preserve"> de l'Assemblée des radiocommunications; </w:t>
            </w:r>
            <w:hyperlink r:id="rId25" w:history="1">
              <w:r w:rsidRPr="00EE2EFD">
                <w:rPr>
                  <w:rStyle w:val="Hyperlink"/>
                  <w:rFonts w:eastAsia="Times New Roman" w:cs="Times New Roman"/>
                  <w:i/>
                  <w:iCs/>
                  <w:spacing w:val="-2"/>
                  <w:sz w:val="22"/>
                </w:rPr>
                <w:t>Déclaration du SMSI+10 sur la mise en œuvre des résultats du SMSI</w:t>
              </w:r>
            </w:hyperlink>
            <w:r w:rsidRPr="00EE2EFD">
              <w:rPr>
                <w:i/>
                <w:iCs/>
                <w:spacing w:val="-2"/>
                <w:sz w:val="22"/>
                <w:szCs w:val="22"/>
              </w:rPr>
              <w:t xml:space="preserve">; </w:t>
            </w:r>
            <w:hyperlink r:id="rId26" w:anchor="page=21" w:history="1">
              <w:r w:rsidRPr="00EE2EFD">
                <w:rPr>
                  <w:rStyle w:val="Hyperlink"/>
                  <w:rFonts w:eastAsia="Times New Roman" w:cs="Times New Roman"/>
                  <w:i/>
                  <w:iCs/>
                  <w:spacing w:val="-2"/>
                  <w:sz w:val="22"/>
                </w:rPr>
                <w:t>Vision du SMSI+10 pour l'après-2015</w:t>
              </w:r>
            </w:hyperlink>
            <w:r w:rsidRPr="00EE2EFD">
              <w:rPr>
                <w:i/>
                <w:iCs/>
                <w:spacing w:val="-2"/>
                <w:sz w:val="22"/>
                <w:szCs w:val="22"/>
              </w:rPr>
              <w:t xml:space="preserve">; </w:t>
            </w:r>
            <w:hyperlink r:id="rId27" w:history="1">
              <w:r w:rsidRPr="00EE2EFD">
                <w:rPr>
                  <w:rStyle w:val="Hyperlink"/>
                  <w:rFonts w:eastAsia="Times New Roman" w:cs="Times New Roman"/>
                  <w:i/>
                  <w:iCs/>
                  <w:spacing w:val="-2"/>
                  <w:sz w:val="22"/>
                </w:rPr>
                <w:t>Examen final des cibles du SMSI</w:t>
              </w:r>
            </w:hyperlink>
            <w:r w:rsidRPr="00EE2EFD">
              <w:rPr>
                <w:i/>
                <w:iCs/>
                <w:spacing w:val="-2"/>
                <w:sz w:val="22"/>
                <w:szCs w:val="22"/>
              </w:rPr>
              <w:t xml:space="preserve">; </w:t>
            </w:r>
            <w:hyperlink r:id="rId28" w:history="1">
              <w:r w:rsidRPr="00EE2EFD">
                <w:rPr>
                  <w:rStyle w:val="Hyperlink"/>
                  <w:rFonts w:eastAsia="Times New Roman" w:cs="Times New Roman"/>
                  <w:i/>
                  <w:iCs/>
                  <w:spacing w:val="-2"/>
                  <w:sz w:val="22"/>
                </w:rPr>
                <w:t>Rapport sur le SMSI+10</w:t>
              </w:r>
            </w:hyperlink>
            <w:r w:rsidR="00D14D87" w:rsidRPr="00EE2EFD">
              <w:rPr>
                <w:i/>
                <w:iCs/>
                <w:spacing w:val="-2"/>
                <w:sz w:val="22"/>
                <w:szCs w:val="22"/>
              </w:rPr>
              <w:t>,</w:t>
            </w:r>
            <w:r w:rsidRPr="00EE2EFD">
              <w:rPr>
                <w:i/>
                <w:iCs/>
                <w:spacing w:val="-2"/>
                <w:sz w:val="22"/>
                <w:szCs w:val="22"/>
              </w:rPr>
              <w:t xml:space="preserve"> </w:t>
            </w:r>
            <w:hyperlink r:id="rId29" w:history="1">
              <w:r w:rsidRPr="00EE2EFD">
                <w:rPr>
                  <w:rStyle w:val="Hyperlink"/>
                  <w:rFonts w:eastAsia="Times New Roman" w:cs="Times New Roman"/>
                  <w:i/>
                  <w:iCs/>
                  <w:spacing w:val="-2"/>
                  <w:sz w:val="22"/>
                </w:rPr>
                <w:t>Contribution de l'UIT sur dix ans à la mise en œuvre et au suivi des résultats du SMSI (2005-2014)</w:t>
              </w:r>
            </w:hyperlink>
            <w:r w:rsidRPr="00EE2EFD">
              <w:rPr>
                <w:i/>
                <w:iCs/>
                <w:spacing w:val="-2"/>
                <w:sz w:val="22"/>
                <w:szCs w:val="22"/>
              </w:rPr>
              <w:t xml:space="preserve">; </w:t>
            </w:r>
            <w:hyperlink r:id="rId30" w:history="1">
              <w:r w:rsidRPr="00EE2EFD">
                <w:rPr>
                  <w:rStyle w:val="Hyperlink"/>
                  <w:rFonts w:eastAsia="Times New Roman" w:cs="Times New Roman"/>
                  <w:i/>
                  <w:iCs/>
                  <w:spacing w:val="-2"/>
                  <w:sz w:val="22"/>
                </w:rPr>
                <w:t>Feuille de route pour les activités de l'UIT visant à contribuer à la réalisation du Programme de développement durable à l'horizon 2030</w:t>
              </w:r>
            </w:hyperlink>
            <w:r w:rsidRPr="00EE2EFD">
              <w:rPr>
                <w:i/>
                <w:iCs/>
                <w:spacing w:val="-2"/>
                <w:sz w:val="22"/>
                <w:szCs w:val="22"/>
              </w:rPr>
              <w:t xml:space="preserve">; </w:t>
            </w:r>
            <w:hyperlink r:id="rId31" w:history="1">
              <w:r w:rsidRPr="00EE2EFD">
                <w:rPr>
                  <w:rStyle w:val="Hyperlink"/>
                  <w:rFonts w:eastAsia="Times New Roman" w:cs="Times New Roman"/>
                  <w:i/>
                  <w:iCs/>
                  <w:spacing w:val="-2"/>
                  <w:sz w:val="22"/>
                </w:rPr>
                <w:t>Sommet mondial sur la société de l'information (SMSI)+20: le SMSI après 2025 – Feuille de route pour le SMSI+20</w:t>
              </w:r>
            </w:hyperlink>
            <w:r w:rsidRPr="00EE2EFD">
              <w:rPr>
                <w:i/>
                <w:iCs/>
                <w:spacing w:val="-2"/>
                <w:sz w:val="22"/>
                <w:szCs w:val="22"/>
              </w:rPr>
              <w:t xml:space="preserve">; </w:t>
            </w:r>
            <w:hyperlink r:id="rId32" w:history="1">
              <w:r w:rsidRPr="00EE2EFD">
                <w:rPr>
                  <w:rStyle w:val="Hyperlink"/>
                  <w:rFonts w:eastAsia="Times New Roman" w:cs="Times New Roman"/>
                  <w:i/>
                  <w:iCs/>
                  <w:spacing w:val="-2"/>
                  <w:sz w:val="22"/>
                </w:rPr>
                <w:t>Résultats finals du Sommet de l'avenir</w:t>
              </w:r>
            </w:hyperlink>
            <w:r w:rsidRPr="00EE2EFD">
              <w:rPr>
                <w:i/>
                <w:iCs/>
                <w:spacing w:val="-2"/>
                <w:sz w:val="22"/>
                <w:szCs w:val="22"/>
              </w:rPr>
              <w:t xml:space="preserve">; </w:t>
            </w:r>
            <w:hyperlink r:id="rId33" w:history="1">
              <w:r w:rsidRPr="00EE2EFD">
                <w:rPr>
                  <w:rStyle w:val="Hyperlink"/>
                  <w:rFonts w:eastAsia="Times New Roman" w:cs="Times New Roman"/>
                  <w:i/>
                  <w:iCs/>
                  <w:spacing w:val="-2"/>
                  <w:sz w:val="22"/>
                </w:rPr>
                <w:t>Projet de plan du Rapport sur le SMSI+20</w:t>
              </w:r>
            </w:hyperlink>
            <w:r w:rsidRPr="00EE2EFD">
              <w:rPr>
                <w:i/>
                <w:iCs/>
                <w:spacing w:val="-2"/>
                <w:sz w:val="22"/>
                <w:szCs w:val="22"/>
              </w:rPr>
              <w:t xml:space="preserve">; </w:t>
            </w:r>
            <w:hyperlink r:id="rId34" w:history="1">
              <w:r w:rsidRPr="00EE2EFD">
                <w:rPr>
                  <w:rStyle w:val="Hyperlink"/>
                  <w:rFonts w:eastAsia="Times New Roman" w:cs="Times New Roman"/>
                  <w:i/>
                  <w:iCs/>
                  <w:spacing w:val="-2"/>
                  <w:sz w:val="22"/>
                </w:rPr>
                <w:t>Projet du Rapport sur le SMSI+20</w:t>
              </w:r>
            </w:hyperlink>
            <w:r w:rsidRPr="00EE2EFD">
              <w:rPr>
                <w:i/>
                <w:iCs/>
                <w:spacing w:val="-2"/>
                <w:sz w:val="22"/>
                <w:szCs w:val="22"/>
              </w:rPr>
              <w:t>.</w:t>
            </w:r>
          </w:p>
        </w:tc>
      </w:tr>
    </w:tbl>
    <w:p w14:paraId="7CC175E6" w14:textId="30495887" w:rsidR="00A51849" w:rsidRPr="00023B55" w:rsidRDefault="00A51849">
      <w:pPr>
        <w:tabs>
          <w:tab w:val="clear" w:pos="567"/>
          <w:tab w:val="clear" w:pos="1134"/>
          <w:tab w:val="clear" w:pos="1701"/>
          <w:tab w:val="clear" w:pos="2268"/>
          <w:tab w:val="clear" w:pos="2835"/>
        </w:tabs>
        <w:overflowPunct/>
        <w:autoSpaceDE/>
        <w:autoSpaceDN/>
        <w:adjustRightInd/>
        <w:spacing w:before="0"/>
        <w:textAlignment w:val="auto"/>
      </w:pPr>
    </w:p>
    <w:p w14:paraId="01975DBE" w14:textId="36B6E6EB" w:rsidR="00264AAE" w:rsidRPr="00023B55" w:rsidRDefault="00264AAE" w:rsidP="00474A7C">
      <w:pPr>
        <w:pStyle w:val="Title1"/>
        <w:jc w:val="left"/>
        <w:rPr>
          <w:sz w:val="56"/>
          <w:szCs w:val="56"/>
        </w:rPr>
      </w:pPr>
      <w:r w:rsidRPr="00023B55">
        <w:rPr>
          <w:sz w:val="56"/>
          <w:szCs w:val="56"/>
        </w:rPr>
        <w:t xml:space="preserve">Rapport sur le SMSI+20 intitulé "Bâtir un avenir numérique </w:t>
      </w:r>
      <w:r w:rsidR="00474A7C" w:rsidRPr="00023B55">
        <w:rPr>
          <w:sz w:val="56"/>
          <w:szCs w:val="56"/>
        </w:rPr>
        <w:br/>
      </w:r>
      <w:r w:rsidRPr="00023B55">
        <w:rPr>
          <w:sz w:val="56"/>
          <w:szCs w:val="56"/>
        </w:rPr>
        <w:t>pour tous"</w:t>
      </w:r>
    </w:p>
    <w:p w14:paraId="26F3EADC" w14:textId="77777777" w:rsidR="00264AAE" w:rsidRPr="00023B55" w:rsidRDefault="00264AAE" w:rsidP="00474A7C">
      <w:pPr>
        <w:spacing w:before="360"/>
      </w:pPr>
      <w:r w:rsidRPr="00023B55">
        <w:t>Le présent rapport comprend trois grandes parties qui ont pour objectif de permettre d'appréhender le processus du SMSI+20 dans sa globalité.</w:t>
      </w:r>
    </w:p>
    <w:p w14:paraId="2BE09991" w14:textId="77777777" w:rsidR="0049037C" w:rsidRPr="00023B55" w:rsidRDefault="00264AAE" w:rsidP="00264AAE">
      <w:r w:rsidRPr="00023B55">
        <w:t>La Partie I (Résumé analytique) expose un aperçu des conclusions principales et des principaux enseignements tirés.</w:t>
      </w:r>
    </w:p>
    <w:p w14:paraId="025A711F" w14:textId="77777777" w:rsidR="0049037C" w:rsidRPr="00023B55" w:rsidRDefault="00264AAE" w:rsidP="00264AAE">
      <w:r w:rsidRPr="00023B55">
        <w:t>La Partie II (Vue d'ensemble du processus du SMSI+20) offre une vue d'ensemble concise mais informative des grands thèmes et des points critiques examinés.</w:t>
      </w:r>
    </w:p>
    <w:p w14:paraId="360C242E" w14:textId="62701ECC" w:rsidR="00264AAE" w:rsidRPr="00023B55" w:rsidRDefault="00264AAE" w:rsidP="00264AAE">
      <w:r w:rsidRPr="00023B55">
        <w:t>La Partie III (Rapport détaillé) se penche sur l'analyse, fournit des informations approfondies et des éléments de preuve pour disposer d'une connaissance approfondie du rapport.</w:t>
      </w:r>
    </w:p>
    <w:p w14:paraId="22A39A82" w14:textId="77777777" w:rsidR="00264AAE" w:rsidRPr="00023B55" w:rsidRDefault="00264AAE">
      <w:pPr>
        <w:tabs>
          <w:tab w:val="clear" w:pos="567"/>
          <w:tab w:val="clear" w:pos="1134"/>
          <w:tab w:val="clear" w:pos="1701"/>
          <w:tab w:val="clear" w:pos="2268"/>
          <w:tab w:val="clear" w:pos="2835"/>
        </w:tabs>
        <w:overflowPunct/>
        <w:autoSpaceDE/>
        <w:autoSpaceDN/>
        <w:adjustRightInd/>
        <w:spacing w:before="0"/>
        <w:textAlignment w:val="auto"/>
      </w:pPr>
      <w:r w:rsidRPr="00023B55">
        <w:br w:type="page"/>
      </w:r>
    </w:p>
    <w:p w14:paraId="6A639DB5" w14:textId="6B3C6A12" w:rsidR="00264AAE" w:rsidRPr="00023B55" w:rsidRDefault="00474A7C" w:rsidP="00A375F5">
      <w:pPr>
        <w:pStyle w:val="Title4"/>
        <w:jc w:val="left"/>
        <w:rPr>
          <w:color w:val="0F4761"/>
        </w:rPr>
      </w:pPr>
      <w:r w:rsidRPr="00023B55">
        <w:rPr>
          <w:color w:val="0F4761"/>
        </w:rPr>
        <w:lastRenderedPageBreak/>
        <w:t>Table des matières</w:t>
      </w:r>
    </w:p>
    <w:p w14:paraId="0BFC2B03" w14:textId="322C7CA2" w:rsidR="00684A3B" w:rsidRPr="00023B55" w:rsidRDefault="00684A3B" w:rsidP="00684A3B">
      <w:pPr>
        <w:pStyle w:val="toc0"/>
        <w:jc w:val="right"/>
      </w:pPr>
      <w:r w:rsidRPr="00023B55">
        <w:t>Page</w:t>
      </w:r>
    </w:p>
    <w:p w14:paraId="1E1943F0" w14:textId="6F36C1DD" w:rsidR="00684A3B" w:rsidRPr="00023B55" w:rsidRDefault="00684A3B" w:rsidP="00FC0D6A">
      <w:pPr>
        <w:pStyle w:val="TOC1"/>
        <w:spacing w:before="120"/>
        <w:rPr>
          <w:rFonts w:asciiTheme="minorHAnsi" w:eastAsiaTheme="minorEastAsia" w:hAnsiTheme="minorHAnsi" w:cstheme="minorBidi"/>
          <w:b/>
          <w:bCs/>
          <w:noProof/>
          <w:kern w:val="2"/>
          <w:szCs w:val="24"/>
          <w:lang w:eastAsia="en-GB"/>
          <w14:ligatures w14:val="standardContextual"/>
        </w:rPr>
      </w:pPr>
      <w:r w:rsidRPr="00023B55">
        <w:fldChar w:fldCharType="begin"/>
      </w:r>
      <w:r w:rsidRPr="00023B55">
        <w:instrText xml:space="preserve"> TOC \h \z \t "Heading 1;1;Chap_No;1;Chap_title;1;Part_No;1;Part_title;1" </w:instrText>
      </w:r>
      <w:r w:rsidRPr="00023B55">
        <w:fldChar w:fldCharType="separate"/>
      </w:r>
      <w:hyperlink w:anchor="_Toc200377651" w:history="1">
        <w:r w:rsidRPr="00023B55">
          <w:rPr>
            <w:rStyle w:val="Hyperlink"/>
            <w:b/>
            <w:bCs/>
            <w:noProof/>
          </w:rPr>
          <w:t>Partie I – Résumé analytique</w:t>
        </w:r>
        <w:r w:rsidRPr="00023B55">
          <w:rPr>
            <w:b/>
            <w:bCs/>
            <w:noProof/>
            <w:webHidden/>
          </w:rPr>
          <w:tab/>
        </w:r>
        <w:r w:rsidRPr="00023B55">
          <w:rPr>
            <w:b/>
            <w:bCs/>
            <w:noProof/>
            <w:webHidden/>
          </w:rPr>
          <w:fldChar w:fldCharType="begin"/>
        </w:r>
        <w:r w:rsidRPr="00023B55">
          <w:rPr>
            <w:b/>
            <w:bCs/>
            <w:noProof/>
            <w:webHidden/>
          </w:rPr>
          <w:instrText xml:space="preserve"> PAGEREF _Toc200377651 \h </w:instrText>
        </w:r>
        <w:r w:rsidRPr="00023B55">
          <w:rPr>
            <w:b/>
            <w:bCs/>
            <w:noProof/>
            <w:webHidden/>
          </w:rPr>
        </w:r>
        <w:r w:rsidRPr="00023B55">
          <w:rPr>
            <w:b/>
            <w:bCs/>
            <w:noProof/>
            <w:webHidden/>
          </w:rPr>
          <w:fldChar w:fldCharType="separate"/>
        </w:r>
        <w:r w:rsidR="00862B49">
          <w:rPr>
            <w:b/>
            <w:bCs/>
            <w:noProof/>
            <w:webHidden/>
          </w:rPr>
          <w:t>5</w:t>
        </w:r>
        <w:r w:rsidRPr="00023B55">
          <w:rPr>
            <w:b/>
            <w:bCs/>
            <w:noProof/>
            <w:webHidden/>
          </w:rPr>
          <w:fldChar w:fldCharType="end"/>
        </w:r>
      </w:hyperlink>
    </w:p>
    <w:p w14:paraId="4A5019DE" w14:textId="0F0BB08A"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52" w:history="1">
        <w:r w:rsidRPr="00023B55">
          <w:rPr>
            <w:rStyle w:val="Hyperlink"/>
            <w:noProof/>
          </w:rPr>
          <w:t>Principaux enseignements tirés</w:t>
        </w:r>
        <w:r w:rsidRPr="00023B55">
          <w:rPr>
            <w:noProof/>
            <w:webHidden/>
          </w:rPr>
          <w:tab/>
        </w:r>
        <w:r w:rsidRPr="00023B55">
          <w:rPr>
            <w:noProof/>
            <w:webHidden/>
          </w:rPr>
          <w:fldChar w:fldCharType="begin"/>
        </w:r>
        <w:r w:rsidRPr="00023B55">
          <w:rPr>
            <w:noProof/>
            <w:webHidden/>
          </w:rPr>
          <w:instrText xml:space="preserve"> PAGEREF _Toc200377652 \h </w:instrText>
        </w:r>
        <w:r w:rsidRPr="00023B55">
          <w:rPr>
            <w:noProof/>
            <w:webHidden/>
          </w:rPr>
        </w:r>
        <w:r w:rsidRPr="00023B55">
          <w:rPr>
            <w:noProof/>
            <w:webHidden/>
          </w:rPr>
          <w:fldChar w:fldCharType="separate"/>
        </w:r>
        <w:r w:rsidR="00862B49">
          <w:rPr>
            <w:noProof/>
            <w:webHidden/>
          </w:rPr>
          <w:t>6</w:t>
        </w:r>
        <w:r w:rsidRPr="00023B55">
          <w:rPr>
            <w:noProof/>
            <w:webHidden/>
          </w:rPr>
          <w:fldChar w:fldCharType="end"/>
        </w:r>
      </w:hyperlink>
    </w:p>
    <w:p w14:paraId="7DFD2D0A" w14:textId="2D06B0FD" w:rsidR="00684A3B" w:rsidRPr="00023B55" w:rsidRDefault="00684A3B" w:rsidP="00FC0D6A">
      <w:pPr>
        <w:pStyle w:val="TOC1"/>
        <w:spacing w:before="120"/>
        <w:ind w:left="0" w:firstLine="0"/>
        <w:rPr>
          <w:rFonts w:asciiTheme="minorHAnsi" w:eastAsiaTheme="minorEastAsia" w:hAnsiTheme="minorHAnsi" w:cstheme="minorBidi"/>
          <w:b/>
          <w:bCs/>
          <w:noProof/>
          <w:kern w:val="2"/>
          <w:szCs w:val="24"/>
          <w:lang w:eastAsia="en-GB"/>
          <w14:ligatures w14:val="standardContextual"/>
        </w:rPr>
      </w:pPr>
      <w:hyperlink w:anchor="_Toc200377653" w:history="1">
        <w:r w:rsidRPr="00023B55">
          <w:rPr>
            <w:rStyle w:val="Hyperlink"/>
            <w:b/>
            <w:bCs/>
            <w:noProof/>
          </w:rPr>
          <w:t xml:space="preserve">Partie II – Vue d'ensemble du Rapport sur le SMSI+20 intitulé "Bâtir un avenir </w:t>
        </w:r>
        <w:r w:rsidR="00FC0D6A" w:rsidRPr="00023B55">
          <w:rPr>
            <w:rStyle w:val="Hyperlink"/>
            <w:b/>
            <w:bCs/>
            <w:noProof/>
          </w:rPr>
          <w:br/>
        </w:r>
        <w:r w:rsidRPr="00023B55">
          <w:rPr>
            <w:rStyle w:val="Hyperlink"/>
            <w:b/>
            <w:bCs/>
            <w:noProof/>
          </w:rPr>
          <w:t>numérique pour tous"</w:t>
        </w:r>
        <w:r w:rsidRPr="00023B55">
          <w:rPr>
            <w:b/>
            <w:bCs/>
            <w:noProof/>
            <w:webHidden/>
          </w:rPr>
          <w:tab/>
        </w:r>
        <w:r w:rsidRPr="00023B55">
          <w:rPr>
            <w:b/>
            <w:bCs/>
            <w:noProof/>
            <w:webHidden/>
          </w:rPr>
          <w:fldChar w:fldCharType="begin"/>
        </w:r>
        <w:r w:rsidRPr="00023B55">
          <w:rPr>
            <w:b/>
            <w:bCs/>
            <w:noProof/>
            <w:webHidden/>
          </w:rPr>
          <w:instrText xml:space="preserve"> PAGEREF _Toc200377653 \h </w:instrText>
        </w:r>
        <w:r w:rsidRPr="00023B55">
          <w:rPr>
            <w:b/>
            <w:bCs/>
            <w:noProof/>
            <w:webHidden/>
          </w:rPr>
        </w:r>
        <w:r w:rsidRPr="00023B55">
          <w:rPr>
            <w:b/>
            <w:bCs/>
            <w:noProof/>
            <w:webHidden/>
          </w:rPr>
          <w:fldChar w:fldCharType="separate"/>
        </w:r>
        <w:r w:rsidR="00862B49">
          <w:rPr>
            <w:b/>
            <w:bCs/>
            <w:noProof/>
            <w:webHidden/>
          </w:rPr>
          <w:t>9</w:t>
        </w:r>
        <w:r w:rsidRPr="00023B55">
          <w:rPr>
            <w:b/>
            <w:bCs/>
            <w:noProof/>
            <w:webHidden/>
          </w:rPr>
          <w:fldChar w:fldCharType="end"/>
        </w:r>
      </w:hyperlink>
    </w:p>
    <w:p w14:paraId="74B5DF33" w14:textId="201B7A28"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54" w:history="1">
        <w:r w:rsidRPr="00023B55">
          <w:rPr>
            <w:rStyle w:val="Hyperlink"/>
            <w:noProof/>
          </w:rPr>
          <w:t>a)</w:t>
        </w:r>
        <w:r w:rsidRPr="00023B55">
          <w:rPr>
            <w:rFonts w:asciiTheme="minorHAnsi" w:eastAsiaTheme="minorEastAsia" w:hAnsiTheme="minorHAnsi" w:cstheme="minorBidi"/>
            <w:noProof/>
            <w:kern w:val="2"/>
            <w:szCs w:val="24"/>
            <w:lang w:eastAsia="en-GB"/>
            <w14:ligatures w14:val="standardContextual"/>
          </w:rPr>
          <w:tab/>
        </w:r>
        <w:r w:rsidRPr="00023B55">
          <w:rPr>
            <w:rStyle w:val="Hyperlink"/>
            <w:noProof/>
          </w:rPr>
          <w:t>Vingt années de coopération numérique</w:t>
        </w:r>
        <w:r w:rsidRPr="00023B55">
          <w:rPr>
            <w:noProof/>
            <w:webHidden/>
          </w:rPr>
          <w:tab/>
        </w:r>
        <w:r w:rsidRPr="00023B55">
          <w:rPr>
            <w:noProof/>
            <w:webHidden/>
          </w:rPr>
          <w:fldChar w:fldCharType="begin"/>
        </w:r>
        <w:r w:rsidRPr="00023B55">
          <w:rPr>
            <w:noProof/>
            <w:webHidden/>
          </w:rPr>
          <w:instrText xml:space="preserve"> PAGEREF _Toc200377654 \h </w:instrText>
        </w:r>
        <w:r w:rsidRPr="00023B55">
          <w:rPr>
            <w:noProof/>
            <w:webHidden/>
          </w:rPr>
        </w:r>
        <w:r w:rsidRPr="00023B55">
          <w:rPr>
            <w:noProof/>
            <w:webHidden/>
          </w:rPr>
          <w:fldChar w:fldCharType="separate"/>
        </w:r>
        <w:r w:rsidR="00862B49">
          <w:rPr>
            <w:noProof/>
            <w:webHidden/>
          </w:rPr>
          <w:t>10</w:t>
        </w:r>
        <w:r w:rsidRPr="00023B55">
          <w:rPr>
            <w:noProof/>
            <w:webHidden/>
          </w:rPr>
          <w:fldChar w:fldCharType="end"/>
        </w:r>
      </w:hyperlink>
    </w:p>
    <w:p w14:paraId="0040B06D" w14:textId="3E77F4EA"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55" w:history="1">
        <w:r w:rsidRPr="00023B55">
          <w:rPr>
            <w:rStyle w:val="Hyperlink"/>
            <w:noProof/>
          </w:rPr>
          <w:t>b)</w:t>
        </w:r>
        <w:r w:rsidRPr="00023B55">
          <w:rPr>
            <w:rFonts w:asciiTheme="minorHAnsi" w:eastAsiaTheme="minorEastAsia" w:hAnsiTheme="minorHAnsi" w:cstheme="minorBidi"/>
            <w:noProof/>
            <w:kern w:val="2"/>
            <w:szCs w:val="24"/>
            <w:lang w:eastAsia="en-GB"/>
            <w14:ligatures w14:val="standardContextual"/>
          </w:rPr>
          <w:tab/>
        </w:r>
        <w:r w:rsidRPr="00023B55">
          <w:rPr>
            <w:rStyle w:val="Hyperlink"/>
            <w:noProof/>
          </w:rPr>
          <w:t>Rôle de coordonnateur de l'UIT</w:t>
        </w:r>
        <w:r w:rsidRPr="00023B55">
          <w:rPr>
            <w:noProof/>
            <w:webHidden/>
          </w:rPr>
          <w:tab/>
        </w:r>
        <w:r w:rsidRPr="00023B55">
          <w:rPr>
            <w:noProof/>
            <w:webHidden/>
          </w:rPr>
          <w:fldChar w:fldCharType="begin"/>
        </w:r>
        <w:r w:rsidRPr="00023B55">
          <w:rPr>
            <w:noProof/>
            <w:webHidden/>
          </w:rPr>
          <w:instrText xml:space="preserve"> PAGEREF _Toc200377655 \h </w:instrText>
        </w:r>
        <w:r w:rsidRPr="00023B55">
          <w:rPr>
            <w:noProof/>
            <w:webHidden/>
          </w:rPr>
        </w:r>
        <w:r w:rsidRPr="00023B55">
          <w:rPr>
            <w:noProof/>
            <w:webHidden/>
          </w:rPr>
          <w:fldChar w:fldCharType="separate"/>
        </w:r>
        <w:r w:rsidR="00862B49">
          <w:rPr>
            <w:noProof/>
            <w:webHidden/>
          </w:rPr>
          <w:t>15</w:t>
        </w:r>
        <w:r w:rsidRPr="00023B55">
          <w:rPr>
            <w:noProof/>
            <w:webHidden/>
          </w:rPr>
          <w:fldChar w:fldCharType="end"/>
        </w:r>
      </w:hyperlink>
    </w:p>
    <w:p w14:paraId="4CBCF3AE" w14:textId="3CBE4DDF"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56" w:history="1">
        <w:r w:rsidRPr="00023B55">
          <w:rPr>
            <w:rStyle w:val="Hyperlink"/>
            <w:noProof/>
          </w:rPr>
          <w:t>c)</w:t>
        </w:r>
        <w:r w:rsidRPr="00023B55">
          <w:rPr>
            <w:rFonts w:asciiTheme="minorHAnsi" w:eastAsiaTheme="minorEastAsia" w:hAnsiTheme="minorHAnsi" w:cstheme="minorBidi"/>
            <w:noProof/>
            <w:kern w:val="2"/>
            <w:szCs w:val="24"/>
            <w:lang w:eastAsia="en-GB"/>
            <w14:ligatures w14:val="standardContextual"/>
          </w:rPr>
          <w:tab/>
        </w:r>
        <w:r w:rsidRPr="00023B55">
          <w:rPr>
            <w:rStyle w:val="Hyperlink"/>
            <w:noProof/>
          </w:rPr>
          <w:t>Après 2025</w:t>
        </w:r>
        <w:r w:rsidRPr="00023B55">
          <w:rPr>
            <w:noProof/>
            <w:webHidden/>
          </w:rPr>
          <w:tab/>
        </w:r>
        <w:r w:rsidRPr="00023B55">
          <w:rPr>
            <w:noProof/>
            <w:webHidden/>
          </w:rPr>
          <w:fldChar w:fldCharType="begin"/>
        </w:r>
        <w:r w:rsidRPr="00023B55">
          <w:rPr>
            <w:noProof/>
            <w:webHidden/>
          </w:rPr>
          <w:instrText xml:space="preserve"> PAGEREF _Toc200377656 \h </w:instrText>
        </w:r>
        <w:r w:rsidRPr="00023B55">
          <w:rPr>
            <w:noProof/>
            <w:webHidden/>
          </w:rPr>
        </w:r>
        <w:r w:rsidRPr="00023B55">
          <w:rPr>
            <w:noProof/>
            <w:webHidden/>
          </w:rPr>
          <w:fldChar w:fldCharType="separate"/>
        </w:r>
        <w:r w:rsidR="00862B49">
          <w:rPr>
            <w:noProof/>
            <w:webHidden/>
          </w:rPr>
          <w:t>34</w:t>
        </w:r>
        <w:r w:rsidRPr="00023B55">
          <w:rPr>
            <w:noProof/>
            <w:webHidden/>
          </w:rPr>
          <w:fldChar w:fldCharType="end"/>
        </w:r>
      </w:hyperlink>
    </w:p>
    <w:p w14:paraId="07DD28E4" w14:textId="7AA2B985" w:rsidR="00684A3B" w:rsidRPr="00023B55" w:rsidRDefault="00684A3B" w:rsidP="00FC0D6A">
      <w:pPr>
        <w:pStyle w:val="TOC1"/>
        <w:spacing w:before="120"/>
        <w:ind w:left="0" w:firstLine="0"/>
        <w:rPr>
          <w:rFonts w:asciiTheme="minorHAnsi" w:eastAsiaTheme="minorEastAsia" w:hAnsiTheme="minorHAnsi" w:cstheme="minorBidi"/>
          <w:b/>
          <w:bCs/>
          <w:noProof/>
          <w:kern w:val="2"/>
          <w:szCs w:val="24"/>
          <w:lang w:eastAsia="en-GB"/>
          <w14:ligatures w14:val="standardContextual"/>
        </w:rPr>
      </w:pPr>
      <w:hyperlink w:anchor="_Toc200377657" w:history="1">
        <w:r w:rsidRPr="00023B55">
          <w:rPr>
            <w:rStyle w:val="Hyperlink"/>
            <w:b/>
            <w:bCs/>
            <w:noProof/>
          </w:rPr>
          <w:t xml:space="preserve">Partie III – Rapport détaillé du Rapport sur le SMSI+20 intitulé "Bâtir un avenir </w:t>
        </w:r>
        <w:r w:rsidR="00FC0D6A" w:rsidRPr="00023B55">
          <w:rPr>
            <w:rStyle w:val="Hyperlink"/>
            <w:b/>
            <w:bCs/>
            <w:noProof/>
          </w:rPr>
          <w:br/>
        </w:r>
        <w:r w:rsidRPr="00023B55">
          <w:rPr>
            <w:rStyle w:val="Hyperlink"/>
            <w:b/>
            <w:bCs/>
            <w:noProof/>
          </w:rPr>
          <w:t>numérique pour tous"</w:t>
        </w:r>
        <w:r w:rsidRPr="00023B55">
          <w:rPr>
            <w:b/>
            <w:bCs/>
            <w:noProof/>
            <w:webHidden/>
          </w:rPr>
          <w:tab/>
        </w:r>
        <w:r w:rsidRPr="00023B55">
          <w:rPr>
            <w:b/>
            <w:bCs/>
            <w:noProof/>
            <w:webHidden/>
          </w:rPr>
          <w:fldChar w:fldCharType="begin"/>
        </w:r>
        <w:r w:rsidRPr="00023B55">
          <w:rPr>
            <w:b/>
            <w:bCs/>
            <w:noProof/>
            <w:webHidden/>
          </w:rPr>
          <w:instrText xml:space="preserve"> PAGEREF _Toc200377657 \h </w:instrText>
        </w:r>
        <w:r w:rsidRPr="00023B55">
          <w:rPr>
            <w:b/>
            <w:bCs/>
            <w:noProof/>
            <w:webHidden/>
          </w:rPr>
        </w:r>
        <w:r w:rsidRPr="00023B55">
          <w:rPr>
            <w:b/>
            <w:bCs/>
            <w:noProof/>
            <w:webHidden/>
          </w:rPr>
          <w:fldChar w:fldCharType="separate"/>
        </w:r>
        <w:r w:rsidR="00862B49">
          <w:rPr>
            <w:b/>
            <w:bCs/>
            <w:noProof/>
            <w:webHidden/>
          </w:rPr>
          <w:t>38</w:t>
        </w:r>
        <w:r w:rsidRPr="00023B55">
          <w:rPr>
            <w:b/>
            <w:bCs/>
            <w:noProof/>
            <w:webHidden/>
          </w:rPr>
          <w:fldChar w:fldCharType="end"/>
        </w:r>
      </w:hyperlink>
    </w:p>
    <w:p w14:paraId="4A766A0D" w14:textId="4E9AE1DA" w:rsidR="00684A3B" w:rsidRPr="00023B55" w:rsidRDefault="00684A3B" w:rsidP="00FC0D6A">
      <w:pPr>
        <w:pStyle w:val="TOC1"/>
        <w:rPr>
          <w:rFonts w:asciiTheme="minorHAnsi" w:eastAsiaTheme="minorEastAsia" w:hAnsiTheme="minorHAnsi" w:cstheme="minorBidi"/>
          <w:noProof/>
          <w:kern w:val="2"/>
          <w:szCs w:val="24"/>
          <w:lang w:eastAsia="en-GB"/>
          <w14:ligatures w14:val="standardContextual"/>
        </w:rPr>
      </w:pPr>
      <w:hyperlink w:anchor="_Toc200377658" w:history="1">
        <w:r w:rsidRPr="00023B55">
          <w:rPr>
            <w:rStyle w:val="Hyperlink"/>
            <w:noProof/>
          </w:rPr>
          <w:t>Partie 1 – Comment tout a commencé</w:t>
        </w:r>
        <w:r w:rsidRPr="00023B55">
          <w:rPr>
            <w:noProof/>
            <w:webHidden/>
          </w:rPr>
          <w:tab/>
        </w:r>
        <w:r w:rsidRPr="00023B55">
          <w:rPr>
            <w:noProof/>
            <w:webHidden/>
          </w:rPr>
          <w:fldChar w:fldCharType="begin"/>
        </w:r>
        <w:r w:rsidRPr="00023B55">
          <w:rPr>
            <w:noProof/>
            <w:webHidden/>
          </w:rPr>
          <w:instrText xml:space="preserve"> PAGEREF _Toc200377658 \h </w:instrText>
        </w:r>
        <w:r w:rsidRPr="00023B55">
          <w:rPr>
            <w:noProof/>
            <w:webHidden/>
          </w:rPr>
        </w:r>
        <w:r w:rsidRPr="00023B55">
          <w:rPr>
            <w:noProof/>
            <w:webHidden/>
          </w:rPr>
          <w:fldChar w:fldCharType="separate"/>
        </w:r>
        <w:r w:rsidR="00862B49">
          <w:rPr>
            <w:noProof/>
            <w:webHidden/>
          </w:rPr>
          <w:t>38</w:t>
        </w:r>
        <w:r w:rsidRPr="00023B55">
          <w:rPr>
            <w:noProof/>
            <w:webHidden/>
          </w:rPr>
          <w:fldChar w:fldCharType="end"/>
        </w:r>
      </w:hyperlink>
    </w:p>
    <w:p w14:paraId="3BCF498B" w14:textId="2E3AA058"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59" w:history="1">
        <w:r w:rsidRPr="00023B55">
          <w:rPr>
            <w:rStyle w:val="Hyperlink"/>
            <w:noProof/>
          </w:rPr>
          <w:t>Principales étapes du SMSI</w:t>
        </w:r>
        <w:r w:rsidRPr="00023B55">
          <w:rPr>
            <w:noProof/>
            <w:webHidden/>
          </w:rPr>
          <w:tab/>
        </w:r>
        <w:r w:rsidRPr="00023B55">
          <w:rPr>
            <w:noProof/>
            <w:webHidden/>
          </w:rPr>
          <w:fldChar w:fldCharType="begin"/>
        </w:r>
        <w:r w:rsidRPr="00023B55">
          <w:rPr>
            <w:noProof/>
            <w:webHidden/>
          </w:rPr>
          <w:instrText xml:space="preserve"> PAGEREF _Toc200377659 \h </w:instrText>
        </w:r>
        <w:r w:rsidRPr="00023B55">
          <w:rPr>
            <w:noProof/>
            <w:webHidden/>
          </w:rPr>
        </w:r>
        <w:r w:rsidRPr="00023B55">
          <w:rPr>
            <w:noProof/>
            <w:webHidden/>
          </w:rPr>
          <w:fldChar w:fldCharType="separate"/>
        </w:r>
        <w:r w:rsidR="00862B49">
          <w:rPr>
            <w:noProof/>
            <w:webHidden/>
          </w:rPr>
          <w:t>38</w:t>
        </w:r>
        <w:r w:rsidRPr="00023B55">
          <w:rPr>
            <w:noProof/>
            <w:webHidden/>
          </w:rPr>
          <w:fldChar w:fldCharType="end"/>
        </w:r>
      </w:hyperlink>
    </w:p>
    <w:p w14:paraId="1A4524A7" w14:textId="42C03729"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0" w:history="1">
        <w:r w:rsidRPr="00023B55">
          <w:rPr>
            <w:rStyle w:val="Hyperlink"/>
            <w:noProof/>
          </w:rPr>
          <w:t>Une plate-forme multi-parties prenantes</w:t>
        </w:r>
        <w:r w:rsidRPr="00023B55">
          <w:rPr>
            <w:noProof/>
            <w:webHidden/>
          </w:rPr>
          <w:tab/>
        </w:r>
        <w:r w:rsidRPr="00023B55">
          <w:rPr>
            <w:noProof/>
            <w:webHidden/>
          </w:rPr>
          <w:fldChar w:fldCharType="begin"/>
        </w:r>
        <w:r w:rsidRPr="00023B55">
          <w:rPr>
            <w:noProof/>
            <w:webHidden/>
          </w:rPr>
          <w:instrText xml:space="preserve"> PAGEREF _Toc200377660 \h </w:instrText>
        </w:r>
        <w:r w:rsidRPr="00023B55">
          <w:rPr>
            <w:noProof/>
            <w:webHidden/>
          </w:rPr>
        </w:r>
        <w:r w:rsidRPr="00023B55">
          <w:rPr>
            <w:noProof/>
            <w:webHidden/>
          </w:rPr>
          <w:fldChar w:fldCharType="separate"/>
        </w:r>
        <w:r w:rsidR="00862B49">
          <w:rPr>
            <w:noProof/>
            <w:webHidden/>
          </w:rPr>
          <w:t>39</w:t>
        </w:r>
        <w:r w:rsidRPr="00023B55">
          <w:rPr>
            <w:noProof/>
            <w:webHidden/>
          </w:rPr>
          <w:fldChar w:fldCharType="end"/>
        </w:r>
      </w:hyperlink>
    </w:p>
    <w:p w14:paraId="699BD542" w14:textId="1B4CA9DD"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1" w:history="1">
        <w:r w:rsidRPr="00023B55">
          <w:rPr>
            <w:rStyle w:val="Hyperlink"/>
            <w:noProof/>
          </w:rPr>
          <w:t>Tirer parti de la technologie pour atteindre les objectifs de développement</w:t>
        </w:r>
        <w:r w:rsidRPr="00023B55">
          <w:rPr>
            <w:noProof/>
            <w:webHidden/>
          </w:rPr>
          <w:tab/>
        </w:r>
        <w:r w:rsidRPr="00023B55">
          <w:rPr>
            <w:noProof/>
            <w:webHidden/>
          </w:rPr>
          <w:fldChar w:fldCharType="begin"/>
        </w:r>
        <w:r w:rsidRPr="00023B55">
          <w:rPr>
            <w:noProof/>
            <w:webHidden/>
          </w:rPr>
          <w:instrText xml:space="preserve"> PAGEREF _Toc200377661 \h </w:instrText>
        </w:r>
        <w:r w:rsidRPr="00023B55">
          <w:rPr>
            <w:noProof/>
            <w:webHidden/>
          </w:rPr>
        </w:r>
        <w:r w:rsidRPr="00023B55">
          <w:rPr>
            <w:noProof/>
            <w:webHidden/>
          </w:rPr>
          <w:fldChar w:fldCharType="separate"/>
        </w:r>
        <w:r w:rsidR="00862B49">
          <w:rPr>
            <w:noProof/>
            <w:webHidden/>
          </w:rPr>
          <w:t>42</w:t>
        </w:r>
        <w:r w:rsidRPr="00023B55">
          <w:rPr>
            <w:noProof/>
            <w:webHidden/>
          </w:rPr>
          <w:fldChar w:fldCharType="end"/>
        </w:r>
      </w:hyperlink>
    </w:p>
    <w:p w14:paraId="1A5146D4" w14:textId="66CD8861"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2" w:history="1">
        <w:r w:rsidRPr="00023B55">
          <w:rPr>
            <w:rStyle w:val="Hyperlink"/>
            <w:noProof/>
          </w:rPr>
          <w:t>Plan d'action de Genève: situation actuelle</w:t>
        </w:r>
        <w:r w:rsidRPr="00023B55">
          <w:rPr>
            <w:noProof/>
            <w:webHidden/>
          </w:rPr>
          <w:tab/>
        </w:r>
        <w:r w:rsidRPr="00023B55">
          <w:rPr>
            <w:noProof/>
            <w:webHidden/>
          </w:rPr>
          <w:fldChar w:fldCharType="begin"/>
        </w:r>
        <w:r w:rsidRPr="00023B55">
          <w:rPr>
            <w:noProof/>
            <w:webHidden/>
          </w:rPr>
          <w:instrText xml:space="preserve"> PAGEREF _Toc200377662 \h </w:instrText>
        </w:r>
        <w:r w:rsidRPr="00023B55">
          <w:rPr>
            <w:noProof/>
            <w:webHidden/>
          </w:rPr>
        </w:r>
        <w:r w:rsidRPr="00023B55">
          <w:rPr>
            <w:noProof/>
            <w:webHidden/>
          </w:rPr>
          <w:fldChar w:fldCharType="separate"/>
        </w:r>
        <w:r w:rsidR="00862B49">
          <w:rPr>
            <w:noProof/>
            <w:webHidden/>
          </w:rPr>
          <w:t>45</w:t>
        </w:r>
        <w:r w:rsidRPr="00023B55">
          <w:rPr>
            <w:noProof/>
            <w:webHidden/>
          </w:rPr>
          <w:fldChar w:fldCharType="end"/>
        </w:r>
      </w:hyperlink>
    </w:p>
    <w:p w14:paraId="3B17048A" w14:textId="768CF59C" w:rsidR="00684A3B" w:rsidRPr="00023B55" w:rsidRDefault="00684A3B" w:rsidP="00FC0D6A">
      <w:pPr>
        <w:pStyle w:val="TOC1"/>
        <w:spacing w:before="120"/>
        <w:ind w:left="0" w:firstLine="0"/>
        <w:rPr>
          <w:rFonts w:asciiTheme="minorHAnsi" w:eastAsiaTheme="minorEastAsia" w:hAnsiTheme="minorHAnsi" w:cstheme="minorBidi"/>
          <w:noProof/>
          <w:kern w:val="2"/>
          <w:szCs w:val="24"/>
          <w:lang w:eastAsia="en-GB"/>
          <w14:ligatures w14:val="standardContextual"/>
        </w:rPr>
      </w:pPr>
      <w:hyperlink w:anchor="_Toc200377663" w:history="1">
        <w:r w:rsidRPr="00023B55">
          <w:rPr>
            <w:rStyle w:val="Hyperlink"/>
            <w:noProof/>
          </w:rPr>
          <w:t xml:space="preserve">Progrès accomplis en vue de la réalisation des objectifs indicatifs du Plan d'action de </w:t>
        </w:r>
        <w:r w:rsidR="00FC0D6A" w:rsidRPr="00023B55">
          <w:rPr>
            <w:rStyle w:val="Hyperlink"/>
            <w:noProof/>
          </w:rPr>
          <w:br/>
        </w:r>
        <w:r w:rsidRPr="00023B55">
          <w:rPr>
            <w:rStyle w:val="Hyperlink"/>
            <w:noProof/>
          </w:rPr>
          <w:t>Genève depuis 2003 (les informations figurant dans le tableau ne sont pas complètes)</w:t>
        </w:r>
        <w:r w:rsidRPr="00023B55">
          <w:rPr>
            <w:noProof/>
            <w:webHidden/>
          </w:rPr>
          <w:tab/>
        </w:r>
        <w:r w:rsidRPr="00023B55">
          <w:rPr>
            <w:noProof/>
            <w:webHidden/>
          </w:rPr>
          <w:fldChar w:fldCharType="begin"/>
        </w:r>
        <w:r w:rsidRPr="00023B55">
          <w:rPr>
            <w:noProof/>
            <w:webHidden/>
          </w:rPr>
          <w:instrText xml:space="preserve"> PAGEREF _Toc200377663 \h </w:instrText>
        </w:r>
        <w:r w:rsidRPr="00023B55">
          <w:rPr>
            <w:noProof/>
            <w:webHidden/>
          </w:rPr>
        </w:r>
        <w:r w:rsidRPr="00023B55">
          <w:rPr>
            <w:noProof/>
            <w:webHidden/>
          </w:rPr>
          <w:fldChar w:fldCharType="separate"/>
        </w:r>
        <w:r w:rsidR="00862B49">
          <w:rPr>
            <w:noProof/>
            <w:webHidden/>
          </w:rPr>
          <w:t>47</w:t>
        </w:r>
        <w:r w:rsidRPr="00023B55">
          <w:rPr>
            <w:noProof/>
            <w:webHidden/>
          </w:rPr>
          <w:fldChar w:fldCharType="end"/>
        </w:r>
      </w:hyperlink>
    </w:p>
    <w:p w14:paraId="7D15ED95" w14:textId="4B91FE62" w:rsidR="00684A3B" w:rsidRPr="00023B55" w:rsidRDefault="00684A3B" w:rsidP="00FC0D6A">
      <w:pPr>
        <w:pStyle w:val="TOC1"/>
        <w:rPr>
          <w:rFonts w:asciiTheme="minorHAnsi" w:eastAsiaTheme="minorEastAsia" w:hAnsiTheme="minorHAnsi" w:cstheme="minorBidi"/>
          <w:noProof/>
          <w:kern w:val="2"/>
          <w:szCs w:val="24"/>
          <w:lang w:eastAsia="en-GB"/>
          <w14:ligatures w14:val="standardContextual"/>
        </w:rPr>
      </w:pPr>
      <w:hyperlink w:anchor="_Toc200377664" w:history="1">
        <w:r w:rsidRPr="00023B55">
          <w:rPr>
            <w:rStyle w:val="Hyperlink"/>
            <w:noProof/>
          </w:rPr>
          <w:t>Partie 2 – L'UIT, moteur des résultats obtenus dans le cadre du SMSI</w:t>
        </w:r>
        <w:r w:rsidRPr="00023B55">
          <w:rPr>
            <w:noProof/>
            <w:webHidden/>
          </w:rPr>
          <w:tab/>
        </w:r>
        <w:r w:rsidRPr="00023B55">
          <w:rPr>
            <w:noProof/>
            <w:webHidden/>
          </w:rPr>
          <w:fldChar w:fldCharType="begin"/>
        </w:r>
        <w:r w:rsidRPr="00023B55">
          <w:rPr>
            <w:noProof/>
            <w:webHidden/>
          </w:rPr>
          <w:instrText xml:space="preserve"> PAGEREF _Toc200377664 \h </w:instrText>
        </w:r>
        <w:r w:rsidRPr="00023B55">
          <w:rPr>
            <w:noProof/>
            <w:webHidden/>
          </w:rPr>
        </w:r>
        <w:r w:rsidRPr="00023B55">
          <w:rPr>
            <w:noProof/>
            <w:webHidden/>
          </w:rPr>
          <w:fldChar w:fldCharType="separate"/>
        </w:r>
        <w:r w:rsidR="00862B49">
          <w:rPr>
            <w:noProof/>
            <w:webHidden/>
          </w:rPr>
          <w:t>53</w:t>
        </w:r>
        <w:r w:rsidRPr="00023B55">
          <w:rPr>
            <w:noProof/>
            <w:webHidden/>
          </w:rPr>
          <w:fldChar w:fldCharType="end"/>
        </w:r>
      </w:hyperlink>
    </w:p>
    <w:p w14:paraId="4D4869F5" w14:textId="2C5E3F6C"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5" w:history="1">
        <w:r w:rsidRPr="00023B55">
          <w:rPr>
            <w:rStyle w:val="Hyperlink"/>
            <w:noProof/>
          </w:rPr>
          <w:t>Résultats obtenus grâce à l'UIT</w:t>
        </w:r>
        <w:r w:rsidRPr="00023B55">
          <w:rPr>
            <w:noProof/>
            <w:webHidden/>
          </w:rPr>
          <w:tab/>
        </w:r>
        <w:r w:rsidRPr="00023B55">
          <w:rPr>
            <w:noProof/>
            <w:webHidden/>
          </w:rPr>
          <w:fldChar w:fldCharType="begin"/>
        </w:r>
        <w:r w:rsidRPr="00023B55">
          <w:rPr>
            <w:noProof/>
            <w:webHidden/>
          </w:rPr>
          <w:instrText xml:space="preserve"> PAGEREF _Toc200377665 \h </w:instrText>
        </w:r>
        <w:r w:rsidRPr="00023B55">
          <w:rPr>
            <w:noProof/>
            <w:webHidden/>
          </w:rPr>
        </w:r>
        <w:r w:rsidRPr="00023B55">
          <w:rPr>
            <w:noProof/>
            <w:webHidden/>
          </w:rPr>
          <w:fldChar w:fldCharType="separate"/>
        </w:r>
        <w:r w:rsidR="00862B49">
          <w:rPr>
            <w:noProof/>
            <w:webHidden/>
          </w:rPr>
          <w:t>53</w:t>
        </w:r>
        <w:r w:rsidRPr="00023B55">
          <w:rPr>
            <w:noProof/>
            <w:webHidden/>
          </w:rPr>
          <w:fldChar w:fldCharType="end"/>
        </w:r>
      </w:hyperlink>
    </w:p>
    <w:p w14:paraId="6E15CD85" w14:textId="2A69C0A5"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6" w:history="1">
        <w:r w:rsidRPr="00023B55">
          <w:rPr>
            <w:rStyle w:val="Hyperlink"/>
            <w:noProof/>
          </w:rPr>
          <w:t>Gouvernance et résolutions</w:t>
        </w:r>
        <w:r w:rsidRPr="00023B55">
          <w:rPr>
            <w:noProof/>
            <w:webHidden/>
          </w:rPr>
          <w:tab/>
        </w:r>
        <w:r w:rsidRPr="00023B55">
          <w:rPr>
            <w:noProof/>
            <w:webHidden/>
          </w:rPr>
          <w:fldChar w:fldCharType="begin"/>
        </w:r>
        <w:r w:rsidRPr="00023B55">
          <w:rPr>
            <w:noProof/>
            <w:webHidden/>
          </w:rPr>
          <w:instrText xml:space="preserve"> PAGEREF _Toc200377666 \h </w:instrText>
        </w:r>
        <w:r w:rsidRPr="00023B55">
          <w:rPr>
            <w:noProof/>
            <w:webHidden/>
          </w:rPr>
        </w:r>
        <w:r w:rsidRPr="00023B55">
          <w:rPr>
            <w:noProof/>
            <w:webHidden/>
          </w:rPr>
          <w:fldChar w:fldCharType="separate"/>
        </w:r>
        <w:r w:rsidR="00862B49">
          <w:rPr>
            <w:noProof/>
            <w:webHidden/>
          </w:rPr>
          <w:t>54</w:t>
        </w:r>
        <w:r w:rsidRPr="00023B55">
          <w:rPr>
            <w:noProof/>
            <w:webHidden/>
          </w:rPr>
          <w:fldChar w:fldCharType="end"/>
        </w:r>
      </w:hyperlink>
    </w:p>
    <w:p w14:paraId="557A4846" w14:textId="26F004EE"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7" w:history="1">
        <w:r w:rsidRPr="00023B55">
          <w:rPr>
            <w:rStyle w:val="Hyperlink"/>
            <w:noProof/>
          </w:rPr>
          <w:t>Mise en œuvre de la coordination intersectorielle au sein de l'UIT</w:t>
        </w:r>
        <w:r w:rsidRPr="00023B55">
          <w:rPr>
            <w:noProof/>
            <w:webHidden/>
          </w:rPr>
          <w:tab/>
        </w:r>
        <w:r w:rsidRPr="00023B55">
          <w:rPr>
            <w:noProof/>
            <w:webHidden/>
          </w:rPr>
          <w:fldChar w:fldCharType="begin"/>
        </w:r>
        <w:r w:rsidRPr="00023B55">
          <w:rPr>
            <w:noProof/>
            <w:webHidden/>
          </w:rPr>
          <w:instrText xml:space="preserve"> PAGEREF _Toc200377667 \h </w:instrText>
        </w:r>
        <w:r w:rsidRPr="00023B55">
          <w:rPr>
            <w:noProof/>
            <w:webHidden/>
          </w:rPr>
        </w:r>
        <w:r w:rsidRPr="00023B55">
          <w:rPr>
            <w:noProof/>
            <w:webHidden/>
          </w:rPr>
          <w:fldChar w:fldCharType="separate"/>
        </w:r>
        <w:r w:rsidR="00862B49">
          <w:rPr>
            <w:noProof/>
            <w:webHidden/>
          </w:rPr>
          <w:t>54</w:t>
        </w:r>
        <w:r w:rsidRPr="00023B55">
          <w:rPr>
            <w:noProof/>
            <w:webHidden/>
          </w:rPr>
          <w:fldChar w:fldCharType="end"/>
        </w:r>
      </w:hyperlink>
    </w:p>
    <w:p w14:paraId="4F338111" w14:textId="6FDA1D9A"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8" w:history="1">
        <w:r w:rsidRPr="00023B55">
          <w:rPr>
            <w:rStyle w:val="Hyperlink"/>
            <w:noProof/>
          </w:rPr>
          <w:t>Coordination des 11 grandes orientations du SMSI</w:t>
        </w:r>
        <w:r w:rsidRPr="00023B55">
          <w:rPr>
            <w:noProof/>
            <w:webHidden/>
          </w:rPr>
          <w:tab/>
        </w:r>
        <w:r w:rsidRPr="00023B55">
          <w:rPr>
            <w:noProof/>
            <w:webHidden/>
          </w:rPr>
          <w:fldChar w:fldCharType="begin"/>
        </w:r>
        <w:r w:rsidRPr="00023B55">
          <w:rPr>
            <w:noProof/>
            <w:webHidden/>
          </w:rPr>
          <w:instrText xml:space="preserve"> PAGEREF _Toc200377668 \h </w:instrText>
        </w:r>
        <w:r w:rsidRPr="00023B55">
          <w:rPr>
            <w:noProof/>
            <w:webHidden/>
          </w:rPr>
        </w:r>
        <w:r w:rsidRPr="00023B55">
          <w:rPr>
            <w:noProof/>
            <w:webHidden/>
          </w:rPr>
          <w:fldChar w:fldCharType="separate"/>
        </w:r>
        <w:r w:rsidR="00862B49">
          <w:rPr>
            <w:noProof/>
            <w:webHidden/>
          </w:rPr>
          <w:t>55</w:t>
        </w:r>
        <w:r w:rsidRPr="00023B55">
          <w:rPr>
            <w:noProof/>
            <w:webHidden/>
          </w:rPr>
          <w:fldChar w:fldCharType="end"/>
        </w:r>
      </w:hyperlink>
    </w:p>
    <w:p w14:paraId="05EB48A3" w14:textId="4A8E1D7E"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69" w:history="1">
        <w:r w:rsidRPr="00023B55">
          <w:rPr>
            <w:rStyle w:val="Hyperlink"/>
            <w:noProof/>
          </w:rPr>
          <w:t>Les quatre principales grandes orientations de l'UIT</w:t>
        </w:r>
        <w:r w:rsidRPr="00023B55">
          <w:rPr>
            <w:noProof/>
            <w:webHidden/>
          </w:rPr>
          <w:tab/>
        </w:r>
        <w:r w:rsidRPr="00023B55">
          <w:rPr>
            <w:noProof/>
            <w:webHidden/>
          </w:rPr>
          <w:fldChar w:fldCharType="begin"/>
        </w:r>
        <w:r w:rsidRPr="00023B55">
          <w:rPr>
            <w:noProof/>
            <w:webHidden/>
          </w:rPr>
          <w:instrText xml:space="preserve"> PAGEREF _Toc200377669 \h </w:instrText>
        </w:r>
        <w:r w:rsidRPr="00023B55">
          <w:rPr>
            <w:noProof/>
            <w:webHidden/>
          </w:rPr>
        </w:r>
        <w:r w:rsidRPr="00023B55">
          <w:rPr>
            <w:noProof/>
            <w:webHidden/>
          </w:rPr>
          <w:fldChar w:fldCharType="separate"/>
        </w:r>
        <w:r w:rsidR="00862B49">
          <w:rPr>
            <w:noProof/>
            <w:webHidden/>
          </w:rPr>
          <w:t>58</w:t>
        </w:r>
        <w:r w:rsidRPr="00023B55">
          <w:rPr>
            <w:noProof/>
            <w:webHidden/>
          </w:rPr>
          <w:fldChar w:fldCharType="end"/>
        </w:r>
      </w:hyperlink>
    </w:p>
    <w:p w14:paraId="2E4E586D" w14:textId="41B3407E"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0" w:history="1">
        <w:r w:rsidRPr="00023B55">
          <w:rPr>
            <w:rStyle w:val="Hyperlink"/>
            <w:noProof/>
          </w:rPr>
          <w:t>Contribuer à faire progresser les autres grandes orientations du SMSI</w:t>
        </w:r>
        <w:r w:rsidRPr="00023B55">
          <w:rPr>
            <w:noProof/>
            <w:webHidden/>
          </w:rPr>
          <w:tab/>
        </w:r>
        <w:r w:rsidRPr="00023B55">
          <w:rPr>
            <w:noProof/>
            <w:webHidden/>
          </w:rPr>
          <w:fldChar w:fldCharType="begin"/>
        </w:r>
        <w:r w:rsidRPr="00023B55">
          <w:rPr>
            <w:noProof/>
            <w:webHidden/>
          </w:rPr>
          <w:instrText xml:space="preserve"> PAGEREF _Toc200377670 \h </w:instrText>
        </w:r>
        <w:r w:rsidRPr="00023B55">
          <w:rPr>
            <w:noProof/>
            <w:webHidden/>
          </w:rPr>
        </w:r>
        <w:r w:rsidRPr="00023B55">
          <w:rPr>
            <w:noProof/>
            <w:webHidden/>
          </w:rPr>
          <w:fldChar w:fldCharType="separate"/>
        </w:r>
        <w:r w:rsidR="00862B49">
          <w:rPr>
            <w:noProof/>
            <w:webHidden/>
          </w:rPr>
          <w:t>67</w:t>
        </w:r>
        <w:r w:rsidRPr="00023B55">
          <w:rPr>
            <w:noProof/>
            <w:webHidden/>
          </w:rPr>
          <w:fldChar w:fldCharType="end"/>
        </w:r>
      </w:hyperlink>
    </w:p>
    <w:p w14:paraId="0EA324D1" w14:textId="59DA4BA4"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1" w:history="1">
        <w:r w:rsidRPr="00023B55">
          <w:rPr>
            <w:rStyle w:val="Hyperlink"/>
            <w:noProof/>
          </w:rPr>
          <w:t>Forum du SMSI</w:t>
        </w:r>
        <w:r w:rsidRPr="00023B55">
          <w:rPr>
            <w:noProof/>
            <w:webHidden/>
          </w:rPr>
          <w:tab/>
        </w:r>
        <w:r w:rsidRPr="00023B55">
          <w:rPr>
            <w:noProof/>
            <w:webHidden/>
          </w:rPr>
          <w:fldChar w:fldCharType="begin"/>
        </w:r>
        <w:r w:rsidRPr="00023B55">
          <w:rPr>
            <w:noProof/>
            <w:webHidden/>
          </w:rPr>
          <w:instrText xml:space="preserve"> PAGEREF _Toc200377671 \h </w:instrText>
        </w:r>
        <w:r w:rsidRPr="00023B55">
          <w:rPr>
            <w:noProof/>
            <w:webHidden/>
          </w:rPr>
        </w:r>
        <w:r w:rsidRPr="00023B55">
          <w:rPr>
            <w:noProof/>
            <w:webHidden/>
          </w:rPr>
          <w:fldChar w:fldCharType="separate"/>
        </w:r>
        <w:r w:rsidR="00862B49">
          <w:rPr>
            <w:noProof/>
            <w:webHidden/>
          </w:rPr>
          <w:t>70</w:t>
        </w:r>
        <w:r w:rsidRPr="00023B55">
          <w:rPr>
            <w:noProof/>
            <w:webHidden/>
          </w:rPr>
          <w:fldChar w:fldCharType="end"/>
        </w:r>
      </w:hyperlink>
    </w:p>
    <w:p w14:paraId="23C829E3" w14:textId="348CC9AB"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2" w:history="1">
        <w:r w:rsidRPr="00023B55">
          <w:rPr>
            <w:rStyle w:val="Hyperlink"/>
            <w:noProof/>
          </w:rPr>
          <w:t>La route vers 2030 et au-delà</w:t>
        </w:r>
        <w:r w:rsidRPr="00023B55">
          <w:rPr>
            <w:noProof/>
            <w:webHidden/>
          </w:rPr>
          <w:tab/>
        </w:r>
        <w:r w:rsidRPr="00023B55">
          <w:rPr>
            <w:noProof/>
            <w:webHidden/>
          </w:rPr>
          <w:fldChar w:fldCharType="begin"/>
        </w:r>
        <w:r w:rsidRPr="00023B55">
          <w:rPr>
            <w:noProof/>
            <w:webHidden/>
          </w:rPr>
          <w:instrText xml:space="preserve"> PAGEREF _Toc200377672 \h </w:instrText>
        </w:r>
        <w:r w:rsidRPr="00023B55">
          <w:rPr>
            <w:noProof/>
            <w:webHidden/>
          </w:rPr>
        </w:r>
        <w:r w:rsidRPr="00023B55">
          <w:rPr>
            <w:noProof/>
            <w:webHidden/>
          </w:rPr>
          <w:fldChar w:fldCharType="separate"/>
        </w:r>
        <w:r w:rsidR="00862B49">
          <w:rPr>
            <w:noProof/>
            <w:webHidden/>
          </w:rPr>
          <w:t>73</w:t>
        </w:r>
        <w:r w:rsidRPr="00023B55">
          <w:rPr>
            <w:noProof/>
            <w:webHidden/>
          </w:rPr>
          <w:fldChar w:fldCharType="end"/>
        </w:r>
      </w:hyperlink>
    </w:p>
    <w:p w14:paraId="50FBB9A3" w14:textId="5669E80D"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3" w:history="1">
        <w:r w:rsidRPr="00023B55">
          <w:rPr>
            <w:rStyle w:val="Hyperlink"/>
            <w:noProof/>
          </w:rPr>
          <w:t>Inventaire des activités du SMSI</w:t>
        </w:r>
        <w:r w:rsidRPr="00023B55">
          <w:rPr>
            <w:noProof/>
            <w:webHidden/>
          </w:rPr>
          <w:tab/>
        </w:r>
        <w:r w:rsidRPr="00023B55">
          <w:rPr>
            <w:noProof/>
            <w:webHidden/>
          </w:rPr>
          <w:fldChar w:fldCharType="begin"/>
        </w:r>
        <w:r w:rsidRPr="00023B55">
          <w:rPr>
            <w:noProof/>
            <w:webHidden/>
          </w:rPr>
          <w:instrText xml:space="preserve"> PAGEREF _Toc200377673 \h </w:instrText>
        </w:r>
        <w:r w:rsidRPr="00023B55">
          <w:rPr>
            <w:noProof/>
            <w:webHidden/>
          </w:rPr>
        </w:r>
        <w:r w:rsidRPr="00023B55">
          <w:rPr>
            <w:noProof/>
            <w:webHidden/>
          </w:rPr>
          <w:fldChar w:fldCharType="separate"/>
        </w:r>
        <w:r w:rsidR="00862B49">
          <w:rPr>
            <w:noProof/>
            <w:webHidden/>
          </w:rPr>
          <w:t>73</w:t>
        </w:r>
        <w:r w:rsidRPr="00023B55">
          <w:rPr>
            <w:noProof/>
            <w:webHidden/>
          </w:rPr>
          <w:fldChar w:fldCharType="end"/>
        </w:r>
      </w:hyperlink>
    </w:p>
    <w:p w14:paraId="640D89B0" w14:textId="41F4D899"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4" w:history="1">
        <w:r w:rsidRPr="00023B55">
          <w:rPr>
            <w:rStyle w:val="Hyperlink"/>
            <w:noProof/>
          </w:rPr>
          <w:t>Prix du SMSI – Reconnaître et célébrer les bonnes pratiques</w:t>
        </w:r>
        <w:r w:rsidRPr="00023B55">
          <w:rPr>
            <w:noProof/>
            <w:webHidden/>
          </w:rPr>
          <w:tab/>
        </w:r>
        <w:r w:rsidRPr="00023B55">
          <w:rPr>
            <w:noProof/>
            <w:webHidden/>
          </w:rPr>
          <w:fldChar w:fldCharType="begin"/>
        </w:r>
        <w:r w:rsidRPr="00023B55">
          <w:rPr>
            <w:noProof/>
            <w:webHidden/>
          </w:rPr>
          <w:instrText xml:space="preserve"> PAGEREF _Toc200377674 \h </w:instrText>
        </w:r>
        <w:r w:rsidRPr="00023B55">
          <w:rPr>
            <w:noProof/>
            <w:webHidden/>
          </w:rPr>
        </w:r>
        <w:r w:rsidRPr="00023B55">
          <w:rPr>
            <w:noProof/>
            <w:webHidden/>
          </w:rPr>
          <w:fldChar w:fldCharType="separate"/>
        </w:r>
        <w:r w:rsidR="00862B49">
          <w:rPr>
            <w:noProof/>
            <w:webHidden/>
          </w:rPr>
          <w:t>74</w:t>
        </w:r>
        <w:r w:rsidRPr="00023B55">
          <w:rPr>
            <w:noProof/>
            <w:webHidden/>
          </w:rPr>
          <w:fldChar w:fldCharType="end"/>
        </w:r>
      </w:hyperlink>
    </w:p>
    <w:p w14:paraId="76681F38" w14:textId="7C16BB7F"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5" w:history="1">
        <w:r w:rsidRPr="00023B55">
          <w:rPr>
            <w:rStyle w:val="Hyperlink"/>
            <w:noProof/>
          </w:rPr>
          <w:t>Partenariat sur la mesure des TIC au service du développement</w:t>
        </w:r>
        <w:r w:rsidRPr="00023B55">
          <w:rPr>
            <w:noProof/>
            <w:webHidden/>
          </w:rPr>
          <w:tab/>
        </w:r>
        <w:r w:rsidRPr="00023B55">
          <w:rPr>
            <w:noProof/>
            <w:webHidden/>
          </w:rPr>
          <w:fldChar w:fldCharType="begin"/>
        </w:r>
        <w:r w:rsidRPr="00023B55">
          <w:rPr>
            <w:noProof/>
            <w:webHidden/>
          </w:rPr>
          <w:instrText xml:space="preserve"> PAGEREF _Toc200377675 \h </w:instrText>
        </w:r>
        <w:r w:rsidRPr="00023B55">
          <w:rPr>
            <w:noProof/>
            <w:webHidden/>
          </w:rPr>
        </w:r>
        <w:r w:rsidRPr="00023B55">
          <w:rPr>
            <w:noProof/>
            <w:webHidden/>
          </w:rPr>
          <w:fldChar w:fldCharType="separate"/>
        </w:r>
        <w:r w:rsidR="00862B49">
          <w:rPr>
            <w:noProof/>
            <w:webHidden/>
          </w:rPr>
          <w:t>75</w:t>
        </w:r>
        <w:r w:rsidRPr="00023B55">
          <w:rPr>
            <w:noProof/>
            <w:webHidden/>
          </w:rPr>
          <w:fldChar w:fldCharType="end"/>
        </w:r>
      </w:hyperlink>
    </w:p>
    <w:p w14:paraId="138291F8" w14:textId="71DD3609"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6" w:history="1">
        <w:r w:rsidRPr="00023B55">
          <w:rPr>
            <w:rStyle w:val="Hyperlink"/>
            <w:noProof/>
          </w:rPr>
          <w:t>Autres éléments importants</w:t>
        </w:r>
        <w:r w:rsidRPr="00023B55">
          <w:rPr>
            <w:noProof/>
            <w:webHidden/>
          </w:rPr>
          <w:tab/>
        </w:r>
        <w:r w:rsidRPr="00023B55">
          <w:rPr>
            <w:noProof/>
            <w:webHidden/>
          </w:rPr>
          <w:fldChar w:fldCharType="begin"/>
        </w:r>
        <w:r w:rsidRPr="00023B55">
          <w:rPr>
            <w:noProof/>
            <w:webHidden/>
          </w:rPr>
          <w:instrText xml:space="preserve"> PAGEREF _Toc200377676 \h </w:instrText>
        </w:r>
        <w:r w:rsidRPr="00023B55">
          <w:rPr>
            <w:noProof/>
            <w:webHidden/>
          </w:rPr>
        </w:r>
        <w:r w:rsidRPr="00023B55">
          <w:rPr>
            <w:noProof/>
            <w:webHidden/>
          </w:rPr>
          <w:fldChar w:fldCharType="separate"/>
        </w:r>
        <w:r w:rsidR="00862B49">
          <w:rPr>
            <w:noProof/>
            <w:webHidden/>
          </w:rPr>
          <w:t>76</w:t>
        </w:r>
        <w:r w:rsidRPr="00023B55">
          <w:rPr>
            <w:noProof/>
            <w:webHidden/>
          </w:rPr>
          <w:fldChar w:fldCharType="end"/>
        </w:r>
      </w:hyperlink>
    </w:p>
    <w:p w14:paraId="13269CDB" w14:textId="1243CCD8"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7" w:history="1">
        <w:r w:rsidRPr="00023B55">
          <w:rPr>
            <w:rStyle w:val="Hyperlink"/>
            <w:noProof/>
          </w:rPr>
          <w:t>Interconnexions et synergies</w:t>
        </w:r>
        <w:r w:rsidRPr="00023B55">
          <w:rPr>
            <w:noProof/>
            <w:webHidden/>
          </w:rPr>
          <w:tab/>
        </w:r>
        <w:r w:rsidRPr="00023B55">
          <w:rPr>
            <w:noProof/>
            <w:webHidden/>
          </w:rPr>
          <w:fldChar w:fldCharType="begin"/>
        </w:r>
        <w:r w:rsidRPr="00023B55">
          <w:rPr>
            <w:noProof/>
            <w:webHidden/>
          </w:rPr>
          <w:instrText xml:space="preserve"> PAGEREF _Toc200377677 \h </w:instrText>
        </w:r>
        <w:r w:rsidRPr="00023B55">
          <w:rPr>
            <w:noProof/>
            <w:webHidden/>
          </w:rPr>
        </w:r>
        <w:r w:rsidRPr="00023B55">
          <w:rPr>
            <w:noProof/>
            <w:webHidden/>
          </w:rPr>
          <w:fldChar w:fldCharType="separate"/>
        </w:r>
        <w:r w:rsidR="00862B49">
          <w:rPr>
            <w:noProof/>
            <w:webHidden/>
          </w:rPr>
          <w:t>78</w:t>
        </w:r>
        <w:r w:rsidRPr="00023B55">
          <w:rPr>
            <w:noProof/>
            <w:webHidden/>
          </w:rPr>
          <w:fldChar w:fldCharType="end"/>
        </w:r>
      </w:hyperlink>
    </w:p>
    <w:p w14:paraId="4B5C3528" w14:textId="426F1FC9"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78" w:history="1">
        <w:r w:rsidRPr="00023B55">
          <w:rPr>
            <w:rStyle w:val="Hyperlink"/>
            <w:noProof/>
          </w:rPr>
          <w:t>Forum sur la gouvernance d'Internet</w:t>
        </w:r>
        <w:r w:rsidRPr="00023B55">
          <w:rPr>
            <w:noProof/>
            <w:webHidden/>
          </w:rPr>
          <w:tab/>
        </w:r>
        <w:r w:rsidRPr="00023B55">
          <w:rPr>
            <w:noProof/>
            <w:webHidden/>
          </w:rPr>
          <w:fldChar w:fldCharType="begin"/>
        </w:r>
        <w:r w:rsidRPr="00023B55">
          <w:rPr>
            <w:noProof/>
            <w:webHidden/>
          </w:rPr>
          <w:instrText xml:space="preserve"> PAGEREF _Toc200377678 \h </w:instrText>
        </w:r>
        <w:r w:rsidRPr="00023B55">
          <w:rPr>
            <w:noProof/>
            <w:webHidden/>
          </w:rPr>
        </w:r>
        <w:r w:rsidRPr="00023B55">
          <w:rPr>
            <w:noProof/>
            <w:webHidden/>
          </w:rPr>
          <w:fldChar w:fldCharType="separate"/>
        </w:r>
        <w:r w:rsidR="00862B49">
          <w:rPr>
            <w:noProof/>
            <w:webHidden/>
          </w:rPr>
          <w:t>78</w:t>
        </w:r>
        <w:r w:rsidRPr="00023B55">
          <w:rPr>
            <w:noProof/>
            <w:webHidden/>
          </w:rPr>
          <w:fldChar w:fldCharType="end"/>
        </w:r>
      </w:hyperlink>
    </w:p>
    <w:p w14:paraId="2B7010D4" w14:textId="3051865C" w:rsidR="00684A3B" w:rsidRPr="00023B55" w:rsidRDefault="00684A3B" w:rsidP="00FC0D6A">
      <w:pPr>
        <w:pStyle w:val="TOC1"/>
        <w:spacing w:before="360"/>
        <w:rPr>
          <w:rFonts w:asciiTheme="minorHAnsi" w:eastAsiaTheme="minorEastAsia" w:hAnsiTheme="minorHAnsi" w:cstheme="minorBidi"/>
          <w:noProof/>
          <w:kern w:val="2"/>
          <w:szCs w:val="24"/>
          <w:lang w:eastAsia="en-GB"/>
          <w14:ligatures w14:val="standardContextual"/>
        </w:rPr>
      </w:pPr>
      <w:hyperlink w:anchor="_Toc200377679" w:history="1">
        <w:r w:rsidRPr="00023B55">
          <w:rPr>
            <w:rStyle w:val="Hyperlink"/>
            <w:noProof/>
          </w:rPr>
          <w:t>Partie 3 – Pourquoi le SMSI est-il important maintenant?</w:t>
        </w:r>
        <w:r w:rsidRPr="00023B55">
          <w:rPr>
            <w:noProof/>
            <w:webHidden/>
          </w:rPr>
          <w:tab/>
        </w:r>
        <w:r w:rsidRPr="00023B55">
          <w:rPr>
            <w:noProof/>
            <w:webHidden/>
          </w:rPr>
          <w:fldChar w:fldCharType="begin"/>
        </w:r>
        <w:r w:rsidRPr="00023B55">
          <w:rPr>
            <w:noProof/>
            <w:webHidden/>
          </w:rPr>
          <w:instrText xml:space="preserve"> PAGEREF _Toc200377679 \h </w:instrText>
        </w:r>
        <w:r w:rsidRPr="00023B55">
          <w:rPr>
            <w:noProof/>
            <w:webHidden/>
          </w:rPr>
        </w:r>
        <w:r w:rsidRPr="00023B55">
          <w:rPr>
            <w:noProof/>
            <w:webHidden/>
          </w:rPr>
          <w:fldChar w:fldCharType="separate"/>
        </w:r>
        <w:r w:rsidR="00862B49">
          <w:rPr>
            <w:noProof/>
            <w:webHidden/>
          </w:rPr>
          <w:t>83</w:t>
        </w:r>
        <w:r w:rsidRPr="00023B55">
          <w:rPr>
            <w:noProof/>
            <w:webHidden/>
          </w:rPr>
          <w:fldChar w:fldCharType="end"/>
        </w:r>
      </w:hyperlink>
    </w:p>
    <w:p w14:paraId="054271EE" w14:textId="00FD737E"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0" w:history="1">
        <w:r w:rsidRPr="00023B55">
          <w:rPr>
            <w:rStyle w:val="Hyperlink"/>
            <w:noProof/>
          </w:rPr>
          <w:t>Un mécanisme actif et éprouvé</w:t>
        </w:r>
        <w:r w:rsidRPr="00023B55">
          <w:rPr>
            <w:noProof/>
            <w:webHidden/>
          </w:rPr>
          <w:tab/>
        </w:r>
        <w:r w:rsidRPr="00023B55">
          <w:rPr>
            <w:noProof/>
            <w:webHidden/>
          </w:rPr>
          <w:fldChar w:fldCharType="begin"/>
        </w:r>
        <w:r w:rsidRPr="00023B55">
          <w:rPr>
            <w:noProof/>
            <w:webHidden/>
          </w:rPr>
          <w:instrText xml:space="preserve"> PAGEREF _Toc200377680 \h </w:instrText>
        </w:r>
        <w:r w:rsidRPr="00023B55">
          <w:rPr>
            <w:noProof/>
            <w:webHidden/>
          </w:rPr>
        </w:r>
        <w:r w:rsidRPr="00023B55">
          <w:rPr>
            <w:noProof/>
            <w:webHidden/>
          </w:rPr>
          <w:fldChar w:fldCharType="separate"/>
        </w:r>
        <w:r w:rsidR="00862B49">
          <w:rPr>
            <w:noProof/>
            <w:webHidden/>
          </w:rPr>
          <w:t>83</w:t>
        </w:r>
        <w:r w:rsidRPr="00023B55">
          <w:rPr>
            <w:noProof/>
            <w:webHidden/>
          </w:rPr>
          <w:fldChar w:fldCharType="end"/>
        </w:r>
      </w:hyperlink>
    </w:p>
    <w:p w14:paraId="611973ED" w14:textId="55CAC97C"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1" w:history="1">
        <w:r w:rsidRPr="00023B55">
          <w:rPr>
            <w:rStyle w:val="Hyperlink"/>
            <w:noProof/>
          </w:rPr>
          <w:t>Processus d'examen du SMSI+10</w:t>
        </w:r>
        <w:r w:rsidRPr="00023B55">
          <w:rPr>
            <w:noProof/>
            <w:webHidden/>
          </w:rPr>
          <w:tab/>
        </w:r>
        <w:r w:rsidRPr="00023B55">
          <w:rPr>
            <w:noProof/>
            <w:webHidden/>
          </w:rPr>
          <w:fldChar w:fldCharType="begin"/>
        </w:r>
        <w:r w:rsidRPr="00023B55">
          <w:rPr>
            <w:noProof/>
            <w:webHidden/>
          </w:rPr>
          <w:instrText xml:space="preserve"> PAGEREF _Toc200377681 \h </w:instrText>
        </w:r>
        <w:r w:rsidRPr="00023B55">
          <w:rPr>
            <w:noProof/>
            <w:webHidden/>
          </w:rPr>
        </w:r>
        <w:r w:rsidRPr="00023B55">
          <w:rPr>
            <w:noProof/>
            <w:webHidden/>
          </w:rPr>
          <w:fldChar w:fldCharType="separate"/>
        </w:r>
        <w:r w:rsidR="00862B49">
          <w:rPr>
            <w:noProof/>
            <w:webHidden/>
          </w:rPr>
          <w:t>84</w:t>
        </w:r>
        <w:r w:rsidRPr="00023B55">
          <w:rPr>
            <w:noProof/>
            <w:webHidden/>
          </w:rPr>
          <w:fldChar w:fldCharType="end"/>
        </w:r>
      </w:hyperlink>
    </w:p>
    <w:p w14:paraId="28813B58" w14:textId="2BA874B9" w:rsidR="00684A3B" w:rsidRPr="00023B55" w:rsidRDefault="00684A3B" w:rsidP="00FC0D6A">
      <w:pPr>
        <w:pStyle w:val="TOC1"/>
        <w:spacing w:before="120"/>
        <w:ind w:left="0" w:firstLine="0"/>
        <w:rPr>
          <w:rFonts w:asciiTheme="minorHAnsi" w:eastAsiaTheme="minorEastAsia" w:hAnsiTheme="minorHAnsi" w:cstheme="minorBidi"/>
          <w:noProof/>
          <w:kern w:val="2"/>
          <w:szCs w:val="24"/>
          <w:lang w:eastAsia="en-GB"/>
          <w14:ligatures w14:val="standardContextual"/>
        </w:rPr>
      </w:pPr>
      <w:hyperlink w:anchor="_Toc200377682" w:history="1">
        <w:r w:rsidRPr="00023B55">
          <w:rPr>
            <w:rStyle w:val="Hyperlink"/>
            <w:noProof/>
          </w:rPr>
          <w:t xml:space="preserve">Travaux préparatoires en vue de l'examen d'ensemble de la mise en œuvre </w:t>
        </w:r>
        <w:r w:rsidR="00FC0D6A" w:rsidRPr="00023B55">
          <w:rPr>
            <w:rStyle w:val="Hyperlink"/>
            <w:noProof/>
          </w:rPr>
          <w:br/>
        </w:r>
        <w:r w:rsidRPr="00023B55">
          <w:rPr>
            <w:rStyle w:val="Hyperlink"/>
            <w:noProof/>
          </w:rPr>
          <w:t>des résultats du SMSI: le SMSI+20 et l'après-2025</w:t>
        </w:r>
        <w:r w:rsidRPr="00023B55">
          <w:rPr>
            <w:noProof/>
            <w:webHidden/>
          </w:rPr>
          <w:tab/>
        </w:r>
        <w:r w:rsidRPr="00023B55">
          <w:rPr>
            <w:noProof/>
            <w:webHidden/>
          </w:rPr>
          <w:fldChar w:fldCharType="begin"/>
        </w:r>
        <w:r w:rsidRPr="00023B55">
          <w:rPr>
            <w:noProof/>
            <w:webHidden/>
          </w:rPr>
          <w:instrText xml:space="preserve"> PAGEREF _Toc200377682 \h </w:instrText>
        </w:r>
        <w:r w:rsidRPr="00023B55">
          <w:rPr>
            <w:noProof/>
            <w:webHidden/>
          </w:rPr>
        </w:r>
        <w:r w:rsidRPr="00023B55">
          <w:rPr>
            <w:noProof/>
            <w:webHidden/>
          </w:rPr>
          <w:fldChar w:fldCharType="separate"/>
        </w:r>
        <w:r w:rsidR="00862B49">
          <w:rPr>
            <w:noProof/>
            <w:webHidden/>
          </w:rPr>
          <w:t>84</w:t>
        </w:r>
        <w:r w:rsidRPr="00023B55">
          <w:rPr>
            <w:noProof/>
            <w:webHidden/>
          </w:rPr>
          <w:fldChar w:fldCharType="end"/>
        </w:r>
      </w:hyperlink>
    </w:p>
    <w:p w14:paraId="00CE5632" w14:textId="2D7FB050"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3" w:history="1">
        <w:r w:rsidRPr="00023B55">
          <w:rPr>
            <w:rStyle w:val="Hyperlink"/>
            <w:noProof/>
          </w:rPr>
          <w:t>Examen du SMSI+20: évaluation des résultats du SMSI à ce jour</w:t>
        </w:r>
        <w:r w:rsidRPr="00023B55">
          <w:rPr>
            <w:noProof/>
            <w:webHidden/>
          </w:rPr>
          <w:tab/>
        </w:r>
        <w:r w:rsidRPr="00023B55">
          <w:rPr>
            <w:noProof/>
            <w:webHidden/>
          </w:rPr>
          <w:fldChar w:fldCharType="begin"/>
        </w:r>
        <w:r w:rsidRPr="00023B55">
          <w:rPr>
            <w:noProof/>
            <w:webHidden/>
          </w:rPr>
          <w:instrText xml:space="preserve"> PAGEREF _Toc200377683 \h </w:instrText>
        </w:r>
        <w:r w:rsidRPr="00023B55">
          <w:rPr>
            <w:noProof/>
            <w:webHidden/>
          </w:rPr>
        </w:r>
        <w:r w:rsidRPr="00023B55">
          <w:rPr>
            <w:noProof/>
            <w:webHidden/>
          </w:rPr>
          <w:fldChar w:fldCharType="separate"/>
        </w:r>
        <w:r w:rsidR="00862B49">
          <w:rPr>
            <w:noProof/>
            <w:webHidden/>
          </w:rPr>
          <w:t>88</w:t>
        </w:r>
        <w:r w:rsidRPr="00023B55">
          <w:rPr>
            <w:noProof/>
            <w:webHidden/>
          </w:rPr>
          <w:fldChar w:fldCharType="end"/>
        </w:r>
      </w:hyperlink>
    </w:p>
    <w:p w14:paraId="06CD6AA0" w14:textId="6D4D8A13"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4" w:history="1">
        <w:r w:rsidRPr="00023B55">
          <w:rPr>
            <w:rStyle w:val="Hyperlink"/>
            <w:noProof/>
          </w:rPr>
          <w:t>La coopération numérique future</w:t>
        </w:r>
        <w:r w:rsidRPr="00023B55">
          <w:rPr>
            <w:noProof/>
            <w:webHidden/>
          </w:rPr>
          <w:tab/>
        </w:r>
        <w:r w:rsidRPr="00023B55">
          <w:rPr>
            <w:noProof/>
            <w:webHidden/>
          </w:rPr>
          <w:fldChar w:fldCharType="begin"/>
        </w:r>
        <w:r w:rsidRPr="00023B55">
          <w:rPr>
            <w:noProof/>
            <w:webHidden/>
          </w:rPr>
          <w:instrText xml:space="preserve"> PAGEREF _Toc200377684 \h </w:instrText>
        </w:r>
        <w:r w:rsidRPr="00023B55">
          <w:rPr>
            <w:noProof/>
            <w:webHidden/>
          </w:rPr>
        </w:r>
        <w:r w:rsidRPr="00023B55">
          <w:rPr>
            <w:noProof/>
            <w:webHidden/>
          </w:rPr>
          <w:fldChar w:fldCharType="separate"/>
        </w:r>
        <w:r w:rsidR="00862B49">
          <w:rPr>
            <w:noProof/>
            <w:webHidden/>
          </w:rPr>
          <w:t>88</w:t>
        </w:r>
        <w:r w:rsidRPr="00023B55">
          <w:rPr>
            <w:noProof/>
            <w:webHidden/>
          </w:rPr>
          <w:fldChar w:fldCharType="end"/>
        </w:r>
      </w:hyperlink>
    </w:p>
    <w:p w14:paraId="118020EB" w14:textId="5075D06F"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5" w:history="1">
        <w:r w:rsidRPr="00023B55">
          <w:rPr>
            <w:rStyle w:val="Hyperlink"/>
            <w:noProof/>
          </w:rPr>
          <w:t>Réduire les fractures numériques</w:t>
        </w:r>
        <w:r w:rsidRPr="00023B55">
          <w:rPr>
            <w:noProof/>
            <w:webHidden/>
          </w:rPr>
          <w:tab/>
        </w:r>
        <w:r w:rsidRPr="00023B55">
          <w:rPr>
            <w:noProof/>
            <w:webHidden/>
          </w:rPr>
          <w:fldChar w:fldCharType="begin"/>
        </w:r>
        <w:r w:rsidRPr="00023B55">
          <w:rPr>
            <w:noProof/>
            <w:webHidden/>
          </w:rPr>
          <w:instrText xml:space="preserve"> PAGEREF _Toc200377685 \h </w:instrText>
        </w:r>
        <w:r w:rsidRPr="00023B55">
          <w:rPr>
            <w:noProof/>
            <w:webHidden/>
          </w:rPr>
        </w:r>
        <w:r w:rsidRPr="00023B55">
          <w:rPr>
            <w:noProof/>
            <w:webHidden/>
          </w:rPr>
          <w:fldChar w:fldCharType="separate"/>
        </w:r>
        <w:r w:rsidR="00862B49">
          <w:rPr>
            <w:noProof/>
            <w:webHidden/>
          </w:rPr>
          <w:t>89</w:t>
        </w:r>
        <w:r w:rsidRPr="00023B55">
          <w:rPr>
            <w:noProof/>
            <w:webHidden/>
          </w:rPr>
          <w:fldChar w:fldCharType="end"/>
        </w:r>
      </w:hyperlink>
    </w:p>
    <w:p w14:paraId="7B7B9D77" w14:textId="2E833EF0"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6" w:history="1">
        <w:r w:rsidRPr="00023B55">
          <w:rPr>
            <w:rStyle w:val="Hyperlink"/>
            <w:noProof/>
          </w:rPr>
          <w:t>Enseignements du Sommet de l'avenir</w:t>
        </w:r>
        <w:r w:rsidRPr="00023B55">
          <w:rPr>
            <w:noProof/>
            <w:webHidden/>
          </w:rPr>
          <w:tab/>
        </w:r>
        <w:r w:rsidRPr="00023B55">
          <w:rPr>
            <w:noProof/>
            <w:webHidden/>
          </w:rPr>
          <w:fldChar w:fldCharType="begin"/>
        </w:r>
        <w:r w:rsidRPr="00023B55">
          <w:rPr>
            <w:noProof/>
            <w:webHidden/>
          </w:rPr>
          <w:instrText xml:space="preserve"> PAGEREF _Toc200377686 \h </w:instrText>
        </w:r>
        <w:r w:rsidRPr="00023B55">
          <w:rPr>
            <w:noProof/>
            <w:webHidden/>
          </w:rPr>
        </w:r>
        <w:r w:rsidRPr="00023B55">
          <w:rPr>
            <w:noProof/>
            <w:webHidden/>
          </w:rPr>
          <w:fldChar w:fldCharType="separate"/>
        </w:r>
        <w:r w:rsidR="00862B49">
          <w:rPr>
            <w:noProof/>
            <w:webHidden/>
          </w:rPr>
          <w:t>91</w:t>
        </w:r>
        <w:r w:rsidRPr="00023B55">
          <w:rPr>
            <w:noProof/>
            <w:webHidden/>
          </w:rPr>
          <w:fldChar w:fldCharType="end"/>
        </w:r>
      </w:hyperlink>
    </w:p>
    <w:p w14:paraId="5054C85E" w14:textId="6329412D"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7" w:history="1">
        <w:r w:rsidRPr="00023B55">
          <w:rPr>
            <w:rStyle w:val="Hyperlink"/>
            <w:noProof/>
          </w:rPr>
          <w:t>Prochaines étapes</w:t>
        </w:r>
        <w:r w:rsidRPr="00023B55">
          <w:rPr>
            <w:noProof/>
            <w:webHidden/>
          </w:rPr>
          <w:tab/>
        </w:r>
        <w:r w:rsidRPr="00023B55">
          <w:rPr>
            <w:noProof/>
            <w:webHidden/>
          </w:rPr>
          <w:fldChar w:fldCharType="begin"/>
        </w:r>
        <w:r w:rsidRPr="00023B55">
          <w:rPr>
            <w:noProof/>
            <w:webHidden/>
          </w:rPr>
          <w:instrText xml:space="preserve"> PAGEREF _Toc200377687 \h </w:instrText>
        </w:r>
        <w:r w:rsidRPr="00023B55">
          <w:rPr>
            <w:noProof/>
            <w:webHidden/>
          </w:rPr>
        </w:r>
        <w:r w:rsidRPr="00023B55">
          <w:rPr>
            <w:noProof/>
            <w:webHidden/>
          </w:rPr>
          <w:fldChar w:fldCharType="separate"/>
        </w:r>
        <w:r w:rsidR="00862B49">
          <w:rPr>
            <w:noProof/>
            <w:webHidden/>
          </w:rPr>
          <w:t>93</w:t>
        </w:r>
        <w:r w:rsidRPr="00023B55">
          <w:rPr>
            <w:noProof/>
            <w:webHidden/>
          </w:rPr>
          <w:fldChar w:fldCharType="end"/>
        </w:r>
      </w:hyperlink>
    </w:p>
    <w:p w14:paraId="5F979031" w14:textId="2A3177F4" w:rsidR="00684A3B" w:rsidRPr="00023B55" w:rsidRDefault="00684A3B" w:rsidP="00FC0D6A">
      <w:pPr>
        <w:pStyle w:val="TOC1"/>
        <w:spacing w:before="120"/>
        <w:rPr>
          <w:rFonts w:asciiTheme="minorHAnsi" w:eastAsiaTheme="minorEastAsia" w:hAnsiTheme="minorHAnsi" w:cstheme="minorBidi"/>
          <w:noProof/>
          <w:kern w:val="2"/>
          <w:szCs w:val="24"/>
          <w:lang w:eastAsia="en-GB"/>
          <w14:ligatures w14:val="standardContextual"/>
        </w:rPr>
      </w:pPr>
      <w:hyperlink w:anchor="_Toc200377688" w:history="1">
        <w:r w:rsidRPr="00023B55">
          <w:rPr>
            <w:rStyle w:val="Hyperlink"/>
            <w:noProof/>
          </w:rPr>
          <w:t>Appel à l'action lancé aux États Membres de l'UIT et aux parties prenantes</w:t>
        </w:r>
        <w:r w:rsidRPr="00023B55">
          <w:rPr>
            <w:noProof/>
            <w:webHidden/>
          </w:rPr>
          <w:tab/>
        </w:r>
        <w:r w:rsidRPr="00023B55">
          <w:rPr>
            <w:noProof/>
            <w:webHidden/>
          </w:rPr>
          <w:fldChar w:fldCharType="begin"/>
        </w:r>
        <w:r w:rsidRPr="00023B55">
          <w:rPr>
            <w:noProof/>
            <w:webHidden/>
          </w:rPr>
          <w:instrText xml:space="preserve"> PAGEREF _Toc200377688 \h </w:instrText>
        </w:r>
        <w:r w:rsidRPr="00023B55">
          <w:rPr>
            <w:noProof/>
            <w:webHidden/>
          </w:rPr>
        </w:r>
        <w:r w:rsidRPr="00023B55">
          <w:rPr>
            <w:noProof/>
            <w:webHidden/>
          </w:rPr>
          <w:fldChar w:fldCharType="separate"/>
        </w:r>
        <w:r w:rsidR="00862B49">
          <w:rPr>
            <w:noProof/>
            <w:webHidden/>
          </w:rPr>
          <w:t>93</w:t>
        </w:r>
        <w:r w:rsidRPr="00023B55">
          <w:rPr>
            <w:noProof/>
            <w:webHidden/>
          </w:rPr>
          <w:fldChar w:fldCharType="end"/>
        </w:r>
      </w:hyperlink>
    </w:p>
    <w:p w14:paraId="5483A408" w14:textId="718B1F91" w:rsidR="00684A3B" w:rsidRPr="00023B55" w:rsidRDefault="00684A3B" w:rsidP="00FC0D6A">
      <w:pPr>
        <w:pStyle w:val="TOC1"/>
        <w:tabs>
          <w:tab w:val="clear" w:pos="8789"/>
          <w:tab w:val="left" w:leader="dot" w:pos="8647"/>
        </w:tabs>
        <w:spacing w:before="120"/>
        <w:rPr>
          <w:rFonts w:asciiTheme="minorHAnsi" w:eastAsiaTheme="minorEastAsia" w:hAnsiTheme="minorHAnsi" w:cstheme="minorBidi"/>
          <w:noProof/>
          <w:kern w:val="2"/>
          <w:szCs w:val="24"/>
          <w:lang w:eastAsia="en-GB"/>
          <w14:ligatures w14:val="standardContextual"/>
        </w:rPr>
      </w:pPr>
      <w:hyperlink w:anchor="_Toc200377689" w:history="1">
        <w:r w:rsidRPr="00023B55">
          <w:rPr>
            <w:rStyle w:val="Hyperlink"/>
            <w:noProof/>
          </w:rPr>
          <w:t>Ressources de l'UIT pour la mise en œuvre et le suivi des résultats du SMSI</w:t>
        </w:r>
        <w:r w:rsidRPr="00023B55">
          <w:rPr>
            <w:noProof/>
            <w:webHidden/>
          </w:rPr>
          <w:tab/>
        </w:r>
        <w:r w:rsidR="00862B49">
          <w:rPr>
            <w:noProof/>
            <w:webHidden/>
          </w:rPr>
          <w:tab/>
        </w:r>
        <w:r w:rsidRPr="00023B55">
          <w:rPr>
            <w:noProof/>
            <w:webHidden/>
          </w:rPr>
          <w:fldChar w:fldCharType="begin"/>
        </w:r>
        <w:r w:rsidRPr="00023B55">
          <w:rPr>
            <w:noProof/>
            <w:webHidden/>
          </w:rPr>
          <w:instrText xml:space="preserve"> PAGEREF _Toc200377689 \h </w:instrText>
        </w:r>
        <w:r w:rsidRPr="00023B55">
          <w:rPr>
            <w:noProof/>
            <w:webHidden/>
          </w:rPr>
        </w:r>
        <w:r w:rsidRPr="00023B55">
          <w:rPr>
            <w:noProof/>
            <w:webHidden/>
          </w:rPr>
          <w:fldChar w:fldCharType="separate"/>
        </w:r>
        <w:r w:rsidR="00862B49">
          <w:rPr>
            <w:noProof/>
            <w:webHidden/>
          </w:rPr>
          <w:t>96</w:t>
        </w:r>
        <w:r w:rsidRPr="00023B55">
          <w:rPr>
            <w:noProof/>
            <w:webHidden/>
          </w:rPr>
          <w:fldChar w:fldCharType="end"/>
        </w:r>
      </w:hyperlink>
    </w:p>
    <w:p w14:paraId="4C6DEEEE" w14:textId="3CEFFD0F" w:rsidR="00264AAE" w:rsidRPr="00023B55" w:rsidRDefault="00684A3B" w:rsidP="00FC0D6A">
      <w:r w:rsidRPr="00023B55">
        <w:fldChar w:fldCharType="end"/>
      </w:r>
      <w:r w:rsidR="00264AAE" w:rsidRPr="00023B55">
        <w:br w:type="page"/>
      </w:r>
    </w:p>
    <w:p w14:paraId="4D108BA4" w14:textId="577A402D" w:rsidR="003D235B" w:rsidRPr="00023B55" w:rsidRDefault="003D235B" w:rsidP="003954E3">
      <w:pPr>
        <w:pStyle w:val="Chaptitle"/>
        <w:jc w:val="left"/>
        <w:rPr>
          <w:color w:val="0F4761"/>
          <w:sz w:val="40"/>
          <w:szCs w:val="28"/>
        </w:rPr>
      </w:pPr>
      <w:bookmarkStart w:id="0" w:name="_Toc200377651"/>
      <w:r w:rsidRPr="00023B55">
        <w:rPr>
          <w:color w:val="0F4761"/>
          <w:sz w:val="40"/>
          <w:szCs w:val="28"/>
        </w:rPr>
        <w:lastRenderedPageBreak/>
        <w:t>Partie I</w:t>
      </w:r>
      <w:r w:rsidR="00A27143" w:rsidRPr="00023B55">
        <w:rPr>
          <w:color w:val="0F4761"/>
          <w:sz w:val="40"/>
          <w:szCs w:val="28"/>
        </w:rPr>
        <w:t xml:space="preserve"> –</w:t>
      </w:r>
      <w:r w:rsidRPr="00023B55">
        <w:rPr>
          <w:color w:val="0F4761"/>
          <w:sz w:val="40"/>
          <w:szCs w:val="28"/>
        </w:rPr>
        <w:t xml:space="preserve"> Résumé analytique</w:t>
      </w:r>
      <w:bookmarkEnd w:id="0"/>
    </w:p>
    <w:p w14:paraId="0EC9EAC6" w14:textId="7CFB3871" w:rsidR="003D235B" w:rsidRPr="00023B55" w:rsidRDefault="003D235B" w:rsidP="00F52608">
      <w:pPr>
        <w:jc w:val="both"/>
      </w:pPr>
      <w:r w:rsidRPr="00023B55">
        <w:t>Le Sommet mondial sur la société de l'information (SMSI) a été lancé en réponse à l'essor des technologies numériques en tant qu'élément décisif du développement social et économique mondial.</w:t>
      </w:r>
    </w:p>
    <w:p w14:paraId="72F85E2F" w14:textId="77777777" w:rsidR="0049037C" w:rsidRPr="00023B55" w:rsidRDefault="003D235B" w:rsidP="00F52608">
      <w:pPr>
        <w:jc w:val="both"/>
      </w:pPr>
      <w:r w:rsidRPr="00023B55">
        <w:t>Proposé par la Tunisie lors de la Conférence de plénipotentiaires de l'Union internationale des télécommunications (UIT) qui s'est tenue à Minneapolis en 1998 et approuvé par l'Assemblée générale des Nations Unies en 2001, le sommet, qui s'est initialement déroulé en deux phases, a permis d'établir une vision mondiale de la société de l'information, soulignant la nécessité de réduire les fractures numériques et de contribuer au développement socio-économique général.</w:t>
      </w:r>
    </w:p>
    <w:p w14:paraId="06B2124B" w14:textId="62B27326" w:rsidR="003D235B" w:rsidRPr="00023B55" w:rsidRDefault="003D235B" w:rsidP="00F52608">
      <w:pPr>
        <w:jc w:val="both"/>
      </w:pPr>
      <w:r w:rsidRPr="00023B55">
        <w:t>La Déclaration de principes de Genève et le Plan d'action de Genève adoptés en 2003 ont montré à quel point le numérique est essentiel pour assurer le développement, de même que l'infrastructure, le renforcement des capacités et la cybersécurité pour tous. L'Agenda de Tunis de 2005 a permis de réaffirmer les principes de Genève et d'établir le Forum annuel sur la gouvernance de l'Internet en tant que mécanisme de consultation multi-parties prenantes.</w:t>
      </w:r>
    </w:p>
    <w:p w14:paraId="2BBA6CF6" w14:textId="5D37107E" w:rsidR="0049037C" w:rsidRPr="00023B55" w:rsidRDefault="003D235B" w:rsidP="00F52608">
      <w:pPr>
        <w:jc w:val="both"/>
      </w:pPr>
      <w:r w:rsidRPr="00023B55">
        <w:t>L'</w:t>
      </w:r>
      <w:hyperlink r:id="rId35" w:history="1">
        <w:r w:rsidRPr="00023B55">
          <w:rPr>
            <w:rStyle w:val="Hyperlink"/>
            <w:rFonts w:eastAsia="Times New Roman" w:cs="Times New Roman"/>
            <w:szCs w:val="20"/>
          </w:rPr>
          <w:t>examen du SMSI+10</w:t>
        </w:r>
      </w:hyperlink>
      <w:r w:rsidRPr="00023B55">
        <w:t xml:space="preserve"> en 2015 a mis en évidence l'essor de la connectivité et les disparités qui persistent en matière d'inclusion numérique, en alignant les résultats du SMSI sur les </w:t>
      </w:r>
      <w:r w:rsidR="002521E1" w:rsidRPr="00023B55">
        <w:t>O</w:t>
      </w:r>
      <w:r w:rsidRPr="00023B55">
        <w:t>bjectifs de développement durable (ODD) définis par les Nations Unies et en promouvant les technologies de l'information et de la communication (TIC) en tant que catalyseurs transversaux du développement social, économique, culturel et environnemental.</w:t>
      </w:r>
    </w:p>
    <w:p w14:paraId="2A5DBCCF" w14:textId="3D4218B3" w:rsidR="003D235B" w:rsidRPr="00023B55" w:rsidRDefault="003D235B" w:rsidP="00F52608">
      <w:pPr>
        <w:jc w:val="both"/>
      </w:pPr>
      <w:r w:rsidRPr="00023B55">
        <w:t>L'examen global du SMSI+20, qui sera mené par l'Assemblée générale des Nations Unies en décembre 2025, représentera une nouvelle opportunité d'évaluer les progrès accomplis, de recenser les nouveaux défis et de renforcer la collaboration en vue de bâtir un avenir numérique pour tous.</w:t>
      </w:r>
    </w:p>
    <w:p w14:paraId="69211229" w14:textId="77777777" w:rsidR="003D235B" w:rsidRPr="00023B55" w:rsidRDefault="003D235B" w:rsidP="00F52608">
      <w:pPr>
        <w:pStyle w:val="Headingb"/>
      </w:pPr>
      <w:r w:rsidRPr="00023B55">
        <w:t>Rôle de coordonnateur de l'UIT</w:t>
      </w:r>
    </w:p>
    <w:p w14:paraId="34C29B3E" w14:textId="36B5A446" w:rsidR="003D235B" w:rsidRPr="00023B55" w:rsidRDefault="003D235B" w:rsidP="00F52608">
      <w:pPr>
        <w:jc w:val="both"/>
      </w:pPr>
      <w:r w:rsidRPr="00023B55">
        <w:t>L'UIT est depuis le début à l'avant-garde du processus du SMSI, assurant le secrétariat du sommet en deux phases en 2003 et 2005, puis mettant en œuvre les grandes orientations du SMSI et continuant de promouvoir activement une transformation numérique axée sur le développement et centrée sur l'humain à l'échelle mondiale.</w:t>
      </w:r>
    </w:p>
    <w:p w14:paraId="28CA6607" w14:textId="59DF8D72" w:rsidR="003D235B" w:rsidRPr="00023B55" w:rsidRDefault="003D235B" w:rsidP="00F52608">
      <w:pPr>
        <w:jc w:val="both"/>
      </w:pPr>
      <w:r w:rsidRPr="00023B55">
        <w:t>C'est en assurant une large mobilisation des parties prenantes et une mise en œuvre efficace que l'UIT veille à ce que le processus du SMSI progresse dans un environnement technologique et politique en constante évolution.</w:t>
      </w:r>
    </w:p>
    <w:p w14:paraId="77B8DF79" w14:textId="77777777" w:rsidR="003D235B" w:rsidRPr="00023B55" w:rsidRDefault="003D235B" w:rsidP="00F52608">
      <w:pPr>
        <w:jc w:val="both"/>
      </w:pPr>
      <w:r w:rsidRPr="00023B55">
        <w:t>Depuis plus de 20 ans, les organes directeurs de l'Union proposent une orientation stratégique cruciale et un appui constant à la réalisation des objectifs du SMSI en matière de coopération numérique et de développement durable à l'échelle mondiale. Le Forum annuel du SMSI, organisé par l'UIT depuis 2009, favorise les échanges et la collaboration et vise à examiner régulièrement la mise en œuvre des grandes orientations du SMSI.</w:t>
      </w:r>
    </w:p>
    <w:p w14:paraId="0A62295C" w14:textId="77777777" w:rsidR="003D235B" w:rsidRPr="00023B55" w:rsidRDefault="003D235B" w:rsidP="00F52608">
      <w:pPr>
        <w:jc w:val="both"/>
      </w:pPr>
      <w:r w:rsidRPr="00023B55">
        <w:t xml:space="preserve">La base de données de l'inventaire des activités du SMSI, tenue à jour par l'UIT, rassemble des informations sur les initiatives et les bonnes pratiques proposées et permet une recherche à critères multiples concernant les tendances, les projets, l'harmonisation, l'établissement de rapports et l'intégration agile. Il s'agit d'une plate-forme qui rassemble des informations sur plus de 15 000 projets et bonnes pratiques liés aux TIC dans le monde, favorisant le </w:t>
      </w:r>
      <w:r w:rsidRPr="00023B55">
        <w:lastRenderedPageBreak/>
        <w:t>développement durable par l'analyse des tendances, l'harmonisation, l'établissement de rapports et l'intégration agile.</w:t>
      </w:r>
    </w:p>
    <w:p w14:paraId="72D96065" w14:textId="4ADEA151" w:rsidR="003D235B" w:rsidRPr="00023B55" w:rsidRDefault="003D235B" w:rsidP="00F52608">
      <w:pPr>
        <w:jc w:val="both"/>
      </w:pPr>
      <w:r w:rsidRPr="00023B55">
        <w:t>L'UIT collabore étroitement avec ses homologues des Nations Unies, ainsi qu'avec un large éventail de partenaires des secteurs public et privé, dans le domaine des normes numériques et du renforcement des capacités. Les initiatives de l'UIT, telles que le Prix du SMSI, la Coalition pour le numérique Partner2Connect et le Partenariat sur la mesure des TIC au service du développement, illustrent également l'esprit de collaboration cultivé par le SMSI.</w:t>
      </w:r>
    </w:p>
    <w:p w14:paraId="185408D1" w14:textId="77777777" w:rsidR="003D235B" w:rsidRPr="00023B55" w:rsidRDefault="003D235B" w:rsidP="00F52608">
      <w:pPr>
        <w:pStyle w:val="Headingb"/>
      </w:pPr>
      <w:r w:rsidRPr="00023B55">
        <w:t>Pourquoi le SMSI est-il important maintenant?</w:t>
      </w:r>
    </w:p>
    <w:p w14:paraId="64FC515E" w14:textId="1EBFE1FD" w:rsidR="0049037C" w:rsidRPr="00023B55" w:rsidRDefault="003D235B" w:rsidP="00F52608">
      <w:pPr>
        <w:jc w:val="both"/>
      </w:pPr>
      <w:r w:rsidRPr="00023B55">
        <w:t>Le processus du SMSI, qui entre dans sa troisième décennie, reste essentiel pour faire progresser le développement numérique et tirer parti des technologies pour le bien commun.</w:t>
      </w:r>
    </w:p>
    <w:p w14:paraId="1F8950C8" w14:textId="29F2DC5B" w:rsidR="003D235B" w:rsidRPr="00023B55" w:rsidRDefault="003D235B" w:rsidP="00F52608">
      <w:pPr>
        <w:jc w:val="both"/>
      </w:pPr>
      <w:r w:rsidRPr="00023B55">
        <w:t>Les solutions numériques sont devenues essentielles pour éradiquer la pauvreté, améliorer l'éducation et les soins de santé, protéger l'environnement et accélérer la réalisation des 17 ODD définis par les Nations Unies. Pourtant, d'importantes disparités subsistent entre les régions, les pays et les populations en matière de connectivité numérique, d'accessibilité financière et de mobilisation.</w:t>
      </w:r>
    </w:p>
    <w:p w14:paraId="71ECC605" w14:textId="77777777" w:rsidR="003D235B" w:rsidRPr="00023B55" w:rsidRDefault="003D235B" w:rsidP="00F52608">
      <w:pPr>
        <w:jc w:val="both"/>
      </w:pPr>
      <w:r w:rsidRPr="00023B55">
        <w:t>Les projets menés par l'UIT pour la mise en œuvre des grandes orientations du SMSI continuent de favoriser la connectivité et la transformation numérique, notamment dans les zones rurales et mal desservies.</w:t>
      </w:r>
    </w:p>
    <w:p w14:paraId="78B0D5CA" w14:textId="77777777" w:rsidR="0049037C" w:rsidRPr="00023B55" w:rsidRDefault="003D235B" w:rsidP="00F52608">
      <w:pPr>
        <w:jc w:val="both"/>
      </w:pPr>
      <w:r w:rsidRPr="00023B55">
        <w:t>Le Pacte numérique mondial adopté lors du Sommet de l'avenir des Nations Unies en 2024 fait écho aux principes du SMSI, en mettant l'accent sur la connectivité universelle, l'inclusion numérique et la collaboration multi-parties prenantes.</w:t>
      </w:r>
    </w:p>
    <w:p w14:paraId="1F1252C2" w14:textId="77777777" w:rsidR="0049037C" w:rsidRPr="00023B55" w:rsidRDefault="003D235B" w:rsidP="00F52608">
      <w:pPr>
        <w:jc w:val="both"/>
      </w:pPr>
      <w:r w:rsidRPr="00023B55">
        <w:t>Le SMSI demeure un cadre mondial essentiel pour assurer un développement numérique inclusif visant à bâtir un avenir meilleur pour tous.</w:t>
      </w:r>
    </w:p>
    <w:p w14:paraId="5E2C92C5" w14:textId="3306986D" w:rsidR="003D235B" w:rsidRPr="00023B55" w:rsidRDefault="003D235B" w:rsidP="00F52608">
      <w:pPr>
        <w:pStyle w:val="Headingb"/>
      </w:pPr>
      <w:r w:rsidRPr="00023B55">
        <w:t>Après 2025</w:t>
      </w:r>
    </w:p>
    <w:p w14:paraId="6F077517" w14:textId="77777777" w:rsidR="003D235B" w:rsidRPr="00023B55" w:rsidRDefault="003D235B" w:rsidP="00F52608">
      <w:pPr>
        <w:jc w:val="both"/>
      </w:pPr>
      <w:r w:rsidRPr="00023B55">
        <w:t>Avec l'avènement des réseaux mobiles avancés, des constellations de satellites, de l'intelligence artificielle (IA) et de l'informatique quantique, la plate-forme robuste de coopération mandatée par les Nations Unies que représente le SMSI continue de rassembler diverses parties prenantes en vue de relever certains des plus grands défis de notre temps.</w:t>
      </w:r>
    </w:p>
    <w:p w14:paraId="0C23F848" w14:textId="41C2E3A7" w:rsidR="003D235B" w:rsidRPr="00023B55" w:rsidRDefault="003D235B" w:rsidP="00F52608">
      <w:pPr>
        <w:jc w:val="both"/>
      </w:pPr>
      <w:r w:rsidRPr="00023B55">
        <w:t>Le rapport du Président de la manifestation de haut niveau SMSI+20 tenue en 2024 souligne notamment la nécessité pour le SMSI de se poursuivre au-delà de 2025 en tant que mécanisme de coopération éprouvé pour relever les défis liés à la connectivité, au développement numérique et plus largement au développement humain</w:t>
      </w:r>
      <w:r w:rsidR="007056E1" w:rsidRPr="00023B55">
        <w:rPr>
          <w:rStyle w:val="FootnoteReference"/>
        </w:rPr>
        <w:footnoteReference w:id="1"/>
      </w:r>
      <w:r w:rsidRPr="00023B55">
        <w:t>.</w:t>
      </w:r>
    </w:p>
    <w:p w14:paraId="1EB2A0FA" w14:textId="5AF89E9F" w:rsidR="00474A7C" w:rsidRPr="00023B55" w:rsidRDefault="003D235B" w:rsidP="00F52608">
      <w:pPr>
        <w:jc w:val="both"/>
      </w:pPr>
      <w:r w:rsidRPr="00023B55">
        <w:t>À travers une réflexion sur le passé et l'exposition d'une vision d'avenir, l'UIT réaffirme son rôle de chef de file mondial dans l'édification d'un avenir numérique pour tous.</w:t>
      </w:r>
    </w:p>
    <w:p w14:paraId="7B989FB7" w14:textId="77777777" w:rsidR="003954E3" w:rsidRPr="00023B55" w:rsidRDefault="003954E3" w:rsidP="00F52608">
      <w:pPr>
        <w:pStyle w:val="Heading1"/>
      </w:pPr>
      <w:bookmarkStart w:id="1" w:name="_Toc200377652"/>
      <w:r w:rsidRPr="00023B55">
        <w:t>Principaux enseignements tirés</w:t>
      </w:r>
      <w:bookmarkEnd w:id="1"/>
    </w:p>
    <w:p w14:paraId="293436BA" w14:textId="63BDD37C" w:rsidR="003954E3" w:rsidRPr="00023B55" w:rsidRDefault="003954E3" w:rsidP="00A27143">
      <w:pPr>
        <w:pStyle w:val="enumlev1"/>
      </w:pPr>
      <w:r w:rsidRPr="00023B55">
        <w:t>–</w:t>
      </w:r>
      <w:r w:rsidRPr="00023B55">
        <w:tab/>
        <w:t>Qu'est-ce que le SMSI?</w:t>
      </w:r>
    </w:p>
    <w:p w14:paraId="5324522A" w14:textId="2B329399" w:rsidR="003954E3" w:rsidRPr="00023B55" w:rsidRDefault="003954E3" w:rsidP="003954E3">
      <w:pPr>
        <w:pStyle w:val="enumlev2"/>
      </w:pPr>
      <w:r w:rsidRPr="00023B55">
        <w:t>•</w:t>
      </w:r>
      <w:r w:rsidRPr="00023B55">
        <w:tab/>
        <w:t>Un processus mondial des Nations Unies visant à mettre les technologies numériques au service du développement durable.</w:t>
      </w:r>
    </w:p>
    <w:p w14:paraId="3370F1DF" w14:textId="77DCEF73" w:rsidR="003954E3" w:rsidRPr="00023B55" w:rsidRDefault="003954E3" w:rsidP="00F52608">
      <w:pPr>
        <w:pStyle w:val="enumlev2"/>
        <w:jc w:val="both"/>
      </w:pPr>
      <w:r w:rsidRPr="00023B55">
        <w:lastRenderedPageBreak/>
        <w:t>•</w:t>
      </w:r>
      <w:r w:rsidRPr="00023B55">
        <w:tab/>
        <w:t>Proposé pour la première fois en 1998 lors de la Conférence de plénipotentiaires de l'UIT tenue à Minneapolis (États-Unis), des sommets majeurs ayant eu lieu à Genève (2003) et à Tunis (2005).</w:t>
      </w:r>
    </w:p>
    <w:p w14:paraId="0EFBBEF9" w14:textId="7956A1E5" w:rsidR="003954E3" w:rsidRPr="00023B55" w:rsidRDefault="003954E3" w:rsidP="00F52608">
      <w:pPr>
        <w:pStyle w:val="enumlev2"/>
        <w:jc w:val="both"/>
      </w:pPr>
      <w:r w:rsidRPr="00023B55">
        <w:t>•</w:t>
      </w:r>
      <w:r w:rsidRPr="00023B55">
        <w:tab/>
        <w:t>Vise à réduire la fracture numérique et à promouvoir un accès inclusif aux TIC.</w:t>
      </w:r>
    </w:p>
    <w:p w14:paraId="42D22372" w14:textId="77777777" w:rsidR="0049037C" w:rsidRPr="00023B55" w:rsidRDefault="003954E3" w:rsidP="00F52608">
      <w:pPr>
        <w:pStyle w:val="enumlev1"/>
        <w:jc w:val="both"/>
      </w:pPr>
      <w:r w:rsidRPr="00023B55">
        <w:t>–</w:t>
      </w:r>
      <w:r w:rsidRPr="00023B55">
        <w:tab/>
        <w:t>Pourquoi est-il important?</w:t>
      </w:r>
    </w:p>
    <w:p w14:paraId="49D00697" w14:textId="271A9BA7" w:rsidR="003954E3" w:rsidRPr="00023B55" w:rsidRDefault="003954E3" w:rsidP="00F52608">
      <w:pPr>
        <w:pStyle w:val="enumlev2"/>
        <w:jc w:val="both"/>
      </w:pPr>
      <w:r w:rsidRPr="00023B55">
        <w:t>•</w:t>
      </w:r>
      <w:r w:rsidRPr="00023B55">
        <w:tab/>
        <w:t>Les outils numériques sont essentiels pour réaliser les objectifs de développement convenus au niveau international.</w:t>
      </w:r>
    </w:p>
    <w:p w14:paraId="4C99B1D6" w14:textId="2C7C2DCC" w:rsidR="003954E3" w:rsidRPr="00023B55" w:rsidRDefault="003954E3" w:rsidP="00F52608">
      <w:pPr>
        <w:pStyle w:val="enumlev2"/>
        <w:jc w:val="both"/>
      </w:pPr>
      <w:r w:rsidRPr="00023B55">
        <w:t>•</w:t>
      </w:r>
      <w:r w:rsidRPr="00023B55">
        <w:tab/>
        <w:t>Le SMSI vise à promouvoir la connectivité universelle, l'inclusion numérique et l'utilisation responsable des technologies.</w:t>
      </w:r>
    </w:p>
    <w:p w14:paraId="3F48368F" w14:textId="176C68A7" w:rsidR="003954E3" w:rsidRPr="00023B55" w:rsidRDefault="003954E3" w:rsidP="00F52608">
      <w:pPr>
        <w:pStyle w:val="enumlev2"/>
        <w:jc w:val="both"/>
      </w:pPr>
      <w:r w:rsidRPr="00023B55">
        <w:t>•</w:t>
      </w:r>
      <w:r w:rsidRPr="00023B55">
        <w:tab/>
        <w:t>Malgré les progrès accomplis, de nombreuses régions ne bénéficient toujours pas d'un accès numérique financièrement abordable et fiable.</w:t>
      </w:r>
    </w:p>
    <w:p w14:paraId="5061E14B" w14:textId="71D8C3A7" w:rsidR="003954E3" w:rsidRPr="00023B55" w:rsidRDefault="003954E3" w:rsidP="00F52608">
      <w:pPr>
        <w:pStyle w:val="enumlev1"/>
        <w:jc w:val="both"/>
      </w:pPr>
      <w:r w:rsidRPr="00023B55">
        <w:t>–</w:t>
      </w:r>
      <w:r w:rsidRPr="00023B55">
        <w:tab/>
        <w:t>Éléments clés</w:t>
      </w:r>
    </w:p>
    <w:p w14:paraId="560CCFD0" w14:textId="05B6FE01" w:rsidR="003954E3" w:rsidRPr="00023B55" w:rsidRDefault="003954E3" w:rsidP="00F52608">
      <w:pPr>
        <w:pStyle w:val="enumlev2"/>
        <w:jc w:val="both"/>
      </w:pPr>
      <w:r w:rsidRPr="00023B55">
        <w:t>•</w:t>
      </w:r>
      <w:r w:rsidRPr="00023B55">
        <w:tab/>
        <w:t>Grandes orientations du SMSI: cadre comportant 11 domaines d'action liés aux</w:t>
      </w:r>
      <w:r w:rsidR="00A27143" w:rsidRPr="00023B55">
        <w:t> </w:t>
      </w:r>
      <w:r w:rsidRPr="00023B55">
        <w:t>TIC, notamment à l'infrastructure, au renforcement des capacités, à la cybersécurité et à la création d'un environnement propice.</w:t>
      </w:r>
    </w:p>
    <w:p w14:paraId="448D4909" w14:textId="6DABFF03" w:rsidR="003954E3" w:rsidRPr="00023B55" w:rsidRDefault="003954E3" w:rsidP="00F52608">
      <w:pPr>
        <w:pStyle w:val="enumlev2"/>
        <w:jc w:val="both"/>
      </w:pPr>
      <w:r w:rsidRPr="00023B55">
        <w:t>•</w:t>
      </w:r>
      <w:r w:rsidRPr="00023B55">
        <w:tab/>
        <w:t>Forum du SMSI: manifestation mondiale annuelle permettant aux parties prenantes d'échanger des vues et d'élaborer des politiques numériques. Plus de</w:t>
      </w:r>
      <w:r w:rsidR="00A27143" w:rsidRPr="00023B55">
        <w:t> </w:t>
      </w:r>
      <w:r w:rsidRPr="00023B55">
        <w:t>50 000 parties prenantes y participent, sur place et à distance.</w:t>
      </w:r>
    </w:p>
    <w:p w14:paraId="7B37BC60" w14:textId="6ADF83FD" w:rsidR="003954E3" w:rsidRPr="00023B55" w:rsidRDefault="003954E3" w:rsidP="00F52608">
      <w:pPr>
        <w:pStyle w:val="enumlev2"/>
        <w:jc w:val="both"/>
      </w:pPr>
      <w:r w:rsidRPr="00023B55">
        <w:t>•</w:t>
      </w:r>
      <w:r w:rsidRPr="00023B55">
        <w:tab/>
        <w:t>Inventaire des activités du SMSI: base de données contenant plus de</w:t>
      </w:r>
      <w:r w:rsidR="00A27143" w:rsidRPr="00023B55">
        <w:t> </w:t>
      </w:r>
      <w:r w:rsidRPr="00023B55">
        <w:t>15</w:t>
      </w:r>
      <w:r w:rsidR="00A27143" w:rsidRPr="00023B55">
        <w:t> </w:t>
      </w:r>
      <w:r w:rsidRPr="00023B55">
        <w:t>000</w:t>
      </w:r>
      <w:r w:rsidR="00A27143" w:rsidRPr="00023B55">
        <w:t> </w:t>
      </w:r>
      <w:r w:rsidRPr="00023B55">
        <w:t>projets TIC dans le monde entier comptant plus de 2</w:t>
      </w:r>
      <w:r w:rsidR="00681CE0" w:rsidRPr="00023B55">
        <w:t> </w:t>
      </w:r>
      <w:r w:rsidRPr="00023B55">
        <w:t>millions</w:t>
      </w:r>
      <w:r w:rsidR="00681CE0" w:rsidRPr="00023B55">
        <w:t> </w:t>
      </w:r>
      <w:r w:rsidRPr="00023B55">
        <w:t>d'utilisateurs enregistrés.</w:t>
      </w:r>
    </w:p>
    <w:p w14:paraId="2442B479" w14:textId="335EDFDB" w:rsidR="003954E3" w:rsidRPr="00023B55" w:rsidRDefault="003954E3" w:rsidP="00F52608">
      <w:pPr>
        <w:pStyle w:val="enumlev2"/>
        <w:jc w:val="both"/>
      </w:pPr>
      <w:r w:rsidRPr="00023B55">
        <w:t>•</w:t>
      </w:r>
      <w:r w:rsidRPr="00023B55">
        <w:tab/>
        <w:t>Prix du SMSI: prix annuel récompensant des projets de développement numérique porteurs d'effets. À ce jour, on dénombre 234 lauréats et 648</w:t>
      </w:r>
      <w:r w:rsidR="00681CE0" w:rsidRPr="00023B55">
        <w:t> </w:t>
      </w:r>
      <w:r w:rsidRPr="00023B55">
        <w:t>champions.</w:t>
      </w:r>
    </w:p>
    <w:p w14:paraId="2E125AB4" w14:textId="2891294F" w:rsidR="003954E3" w:rsidRPr="00023B55" w:rsidRDefault="003954E3" w:rsidP="00F52608">
      <w:pPr>
        <w:pStyle w:val="enumlev1"/>
        <w:jc w:val="both"/>
      </w:pPr>
      <w:r w:rsidRPr="00023B55">
        <w:t>–</w:t>
      </w:r>
      <w:r w:rsidRPr="00023B55">
        <w:tab/>
        <w:t>Le rôle de l'UIT</w:t>
      </w:r>
    </w:p>
    <w:p w14:paraId="112E6F94" w14:textId="3B420814" w:rsidR="003954E3" w:rsidRPr="00023B55" w:rsidRDefault="003954E3" w:rsidP="00F52608">
      <w:pPr>
        <w:pStyle w:val="enumlev2"/>
        <w:jc w:val="both"/>
      </w:pPr>
      <w:r w:rsidRPr="00023B55">
        <w:t>•</w:t>
      </w:r>
      <w:r w:rsidRPr="00023B55">
        <w:tab/>
        <w:t>L'UIT organise et coordonne la mise en œuvre du SMSI.</w:t>
      </w:r>
    </w:p>
    <w:p w14:paraId="3D7B3F7B" w14:textId="04B82C89" w:rsidR="003954E3" w:rsidRPr="00023B55" w:rsidRDefault="003954E3" w:rsidP="00F52608">
      <w:pPr>
        <w:pStyle w:val="enumlev2"/>
        <w:jc w:val="both"/>
      </w:pPr>
      <w:r w:rsidRPr="00023B55">
        <w:t>•</w:t>
      </w:r>
      <w:r w:rsidRPr="00023B55">
        <w:tab/>
        <w:t>L'UIT coordonne les efforts déployés à l'échelle mondiale, accueille le Forum du</w:t>
      </w:r>
      <w:r w:rsidR="00A27143" w:rsidRPr="00023B55">
        <w:t> </w:t>
      </w:r>
      <w:r w:rsidRPr="00023B55">
        <w:t>SMSI et appuie la formation aux compétences numériques et le développement des infrastructures.</w:t>
      </w:r>
    </w:p>
    <w:p w14:paraId="3C3F2CCC" w14:textId="4857480F" w:rsidR="003954E3" w:rsidRPr="00023B55" w:rsidRDefault="003954E3" w:rsidP="00F52608">
      <w:pPr>
        <w:pStyle w:val="enumlev2"/>
        <w:jc w:val="both"/>
      </w:pPr>
      <w:r w:rsidRPr="00023B55">
        <w:t>•</w:t>
      </w:r>
      <w:r w:rsidRPr="00023B55">
        <w:tab/>
        <w:t>L'UIT travaille en coopération avec des institutions du système des Nations Unies, des pouvoirs publics, des organisations internationales, le secteur privé, la communauté technique, des établissements universitaires et la société civile.</w:t>
      </w:r>
    </w:p>
    <w:p w14:paraId="5EA66327" w14:textId="63EA959C" w:rsidR="003954E3" w:rsidRPr="00023B55" w:rsidRDefault="003954E3" w:rsidP="00F52608">
      <w:pPr>
        <w:pStyle w:val="enumlev1"/>
        <w:jc w:val="both"/>
      </w:pPr>
      <w:r w:rsidRPr="00023B55">
        <w:t>–</w:t>
      </w:r>
      <w:r w:rsidRPr="00023B55">
        <w:tab/>
        <w:t>Réalisations</w:t>
      </w:r>
    </w:p>
    <w:p w14:paraId="3036AF3A" w14:textId="21194FA5" w:rsidR="003954E3" w:rsidRPr="00023B55" w:rsidRDefault="003954E3" w:rsidP="00F52608">
      <w:pPr>
        <w:pStyle w:val="enumlev2"/>
        <w:jc w:val="both"/>
      </w:pPr>
      <w:r w:rsidRPr="00023B55">
        <w:t>•</w:t>
      </w:r>
      <w:r w:rsidRPr="00023B55">
        <w:tab/>
        <w:t>L'utilisation de l'Internet est passée de 16% en 2005 à 68% en 2024.</w:t>
      </w:r>
    </w:p>
    <w:p w14:paraId="3CED18AA" w14:textId="2531E23B" w:rsidR="003954E3" w:rsidRPr="00023B55" w:rsidRDefault="003954E3" w:rsidP="00F52608">
      <w:pPr>
        <w:pStyle w:val="enumlev2"/>
        <w:jc w:val="both"/>
      </w:pPr>
      <w:r w:rsidRPr="00023B55">
        <w:t>•</w:t>
      </w:r>
      <w:r w:rsidRPr="00023B55">
        <w:tab/>
        <w:t>Des progrès importants ont été réalisés en matière de cybersécurité, de services en ligne et d'inclusion numérique.</w:t>
      </w:r>
    </w:p>
    <w:p w14:paraId="6ED80E5E" w14:textId="4F125BCF" w:rsidR="003954E3" w:rsidRPr="00023B55" w:rsidRDefault="003954E3" w:rsidP="00F52608">
      <w:pPr>
        <w:pStyle w:val="enumlev2"/>
        <w:jc w:val="both"/>
      </w:pPr>
      <w:r w:rsidRPr="00023B55">
        <w:t>•</w:t>
      </w:r>
      <w:r w:rsidRPr="00023B55">
        <w:tab/>
        <w:t>Le nombre d'abonnements à la téléphonie cellulaire mobile dans le monde a dépassé les 9 milliards.</w:t>
      </w:r>
    </w:p>
    <w:p w14:paraId="71AC1977" w14:textId="06D8AE7A" w:rsidR="003954E3" w:rsidRPr="00023B55" w:rsidRDefault="003954E3" w:rsidP="00F52608">
      <w:pPr>
        <w:pStyle w:val="enumlev2"/>
        <w:jc w:val="both"/>
      </w:pPr>
      <w:r w:rsidRPr="00023B55">
        <w:t>•</w:t>
      </w:r>
      <w:r w:rsidRPr="00023B55">
        <w:tab/>
        <w:t>L'Académie de l'UIT a dispensé des formations à plus de 45 000 apprenants dans le monde.</w:t>
      </w:r>
    </w:p>
    <w:p w14:paraId="7259EB08" w14:textId="3B5BD8BA" w:rsidR="003954E3" w:rsidRPr="00023B55" w:rsidRDefault="003954E3" w:rsidP="00F52608">
      <w:pPr>
        <w:pStyle w:val="enumlev2"/>
        <w:jc w:val="both"/>
      </w:pPr>
      <w:r w:rsidRPr="00023B55">
        <w:t>•</w:t>
      </w:r>
      <w:r w:rsidRPr="00023B55">
        <w:tab/>
        <w:t>Au cours du premier semestre de 2024, les centres de transformation numérique de l'UIT ont accueilli plus de 77 000 participants, dont 55% de femmes.</w:t>
      </w:r>
    </w:p>
    <w:p w14:paraId="7E9A7508" w14:textId="15FDDA4D" w:rsidR="003954E3" w:rsidRPr="00023B55" w:rsidRDefault="003954E3" w:rsidP="00F52608">
      <w:pPr>
        <w:pStyle w:val="enumlev2"/>
        <w:jc w:val="both"/>
      </w:pPr>
      <w:r w:rsidRPr="00023B55">
        <w:lastRenderedPageBreak/>
        <w:t>•</w:t>
      </w:r>
      <w:r w:rsidRPr="00023B55">
        <w:tab/>
        <w:t>Le Programme mondial cybersécurité (GCA) de l'UIT offre un cadre complet pour la promotion de la cybersécurité dans le monde.</w:t>
      </w:r>
    </w:p>
    <w:p w14:paraId="0688C01A" w14:textId="63727B76" w:rsidR="003954E3" w:rsidRPr="00023B55" w:rsidRDefault="003954E3" w:rsidP="00F52608">
      <w:pPr>
        <w:pStyle w:val="enumlev2"/>
        <w:jc w:val="both"/>
      </w:pPr>
      <w:r w:rsidRPr="00023B55">
        <w:t>•</w:t>
      </w:r>
      <w:r w:rsidRPr="00023B55">
        <w:tab/>
        <w:t>L'initiative Giga, lancée conjointement par l'UIT et l'UNICEF, vise à connecter toutes les écoles à l'Internet.</w:t>
      </w:r>
    </w:p>
    <w:p w14:paraId="473E533A" w14:textId="397A80AD" w:rsidR="003954E3" w:rsidRPr="00023B55" w:rsidRDefault="003954E3" w:rsidP="00F52608">
      <w:pPr>
        <w:pStyle w:val="enumlev1"/>
        <w:jc w:val="both"/>
      </w:pPr>
      <w:r w:rsidRPr="00023B55">
        <w:t>–</w:t>
      </w:r>
      <w:r w:rsidRPr="00023B55">
        <w:tab/>
        <w:t>Perspectives (SMSI+20 et au-delà)</w:t>
      </w:r>
    </w:p>
    <w:p w14:paraId="3D0BB13C" w14:textId="5DA7DAD6" w:rsidR="003954E3" w:rsidRPr="00023B55" w:rsidRDefault="003954E3" w:rsidP="00F52608">
      <w:pPr>
        <w:pStyle w:val="enumlev2"/>
        <w:jc w:val="both"/>
      </w:pPr>
      <w:r w:rsidRPr="00023B55">
        <w:t>•</w:t>
      </w:r>
      <w:r w:rsidRPr="00023B55">
        <w:tab/>
        <w:t>L'examen du SMSI+20 en 2025 permettra d'examiner 20 ans de progrès et de fixer de nouveaux objectifs.</w:t>
      </w:r>
    </w:p>
    <w:p w14:paraId="049B2A7C" w14:textId="424055B6" w:rsidR="003954E3" w:rsidRPr="00023B55" w:rsidRDefault="003954E3" w:rsidP="00F52608">
      <w:pPr>
        <w:pStyle w:val="enumlev2"/>
        <w:jc w:val="both"/>
      </w:pPr>
      <w:r w:rsidRPr="00023B55">
        <w:t>•</w:t>
      </w:r>
      <w:r w:rsidRPr="00023B55">
        <w:tab/>
        <w:t>Les domaines d'action portent sur la connectivité universelle et efficace, le renforcement des capacités et des compétences numériques, la cybersécurité, les technologies émergentes, la coopération numérique et l'utilisation durable des technologies.</w:t>
      </w:r>
    </w:p>
    <w:p w14:paraId="37743327" w14:textId="31BF3806" w:rsidR="00264AAE" w:rsidRPr="00023B55" w:rsidRDefault="003954E3" w:rsidP="00F52608">
      <w:pPr>
        <w:pStyle w:val="enumlev2"/>
        <w:jc w:val="both"/>
      </w:pPr>
      <w:r w:rsidRPr="00023B55">
        <w:t>•</w:t>
      </w:r>
      <w:r w:rsidRPr="00023B55">
        <w:tab/>
        <w:t>Il est important d'intégrer les activités de mise en œuvre des engagements pris dans le cadre du Pacte numérique mondial dans l'architecture du SMSI, afin</w:t>
      </w:r>
      <w:r w:rsidR="00DD0509" w:rsidRPr="00023B55">
        <w:t> </w:t>
      </w:r>
      <w:r w:rsidRPr="00023B55">
        <w:t>d'éviter les doubles emplois et d'assurer une approche cohérente et uniforme de la coopération numérique.</w:t>
      </w:r>
    </w:p>
    <w:p w14:paraId="4D1CE01B" w14:textId="77777777" w:rsidR="003954E3" w:rsidRPr="00023B55" w:rsidRDefault="003954E3" w:rsidP="00264AAE">
      <w:r w:rsidRPr="00023B55">
        <w:br w:type="page"/>
      </w:r>
    </w:p>
    <w:p w14:paraId="4266F08C" w14:textId="4D17C921" w:rsidR="00A27143" w:rsidRPr="00023B55" w:rsidRDefault="00A27143" w:rsidP="00A27143">
      <w:pPr>
        <w:pStyle w:val="Chaptitle"/>
        <w:jc w:val="left"/>
        <w:rPr>
          <w:color w:val="0F4761"/>
          <w:sz w:val="40"/>
          <w:szCs w:val="40"/>
        </w:rPr>
      </w:pPr>
      <w:bookmarkStart w:id="2" w:name="_Toc200377653"/>
      <w:r w:rsidRPr="00023B55">
        <w:rPr>
          <w:color w:val="0F4761"/>
          <w:sz w:val="40"/>
          <w:szCs w:val="40"/>
        </w:rPr>
        <w:lastRenderedPageBreak/>
        <w:t>Partie II – Vue d'ensemble du Rapport sur le SMSI+20 intitulé "Bâtir un avenir numérique pour tous"</w:t>
      </w:r>
      <w:bookmarkEnd w:id="2"/>
    </w:p>
    <w:p w14:paraId="2D524F95" w14:textId="77777777" w:rsidR="00A27143" w:rsidRPr="00023B55" w:rsidRDefault="00A27143" w:rsidP="00F52608">
      <w:pPr>
        <w:jc w:val="both"/>
      </w:pPr>
      <w:r w:rsidRPr="00023B55">
        <w:t>Depuis 20 ans, l'UIT est à l'avant-garde de la conduite du processus du SMSI. L'UIT encourage une transformation numérique inclusive axée sur le développement et centrée sur l'humain à l'échelle mondiale. En outre, en sa qualité d'institution spécialisée des Nations Unies pour les TIC, l'Union joue un rôle clé dans la mise en œuvre des grandes orientations du SMSI et veille à ce que les TIC profitent aux populations du monde entier.</w:t>
      </w:r>
    </w:p>
    <w:p w14:paraId="1BA43B8D" w14:textId="77777777" w:rsidR="0049037C" w:rsidRPr="00023B55" w:rsidRDefault="00A27143" w:rsidP="00F52608">
      <w:pPr>
        <w:jc w:val="both"/>
      </w:pPr>
      <w:r w:rsidRPr="00023B55">
        <w:t xml:space="preserve">Le sommet, qui s'est initialement déroulé en deux phases en 2003 et 2005, a permis d'établir une vision mondiale durable, dynamique, inclusive et durable des sociétés de l'information et du savoir. Après la </w:t>
      </w:r>
      <w:hyperlink r:id="rId36" w:history="1">
        <w:r w:rsidRPr="00023B55">
          <w:rPr>
            <w:rStyle w:val="Hyperlink"/>
            <w:rFonts w:eastAsia="Times New Roman" w:cs="Times New Roman"/>
            <w:szCs w:val="20"/>
          </w:rPr>
          <w:t>première phase</w:t>
        </w:r>
      </w:hyperlink>
      <w:r w:rsidRPr="00023B55">
        <w:t xml:space="preserve"> qui s'était tenue à Genève en 2003, la </w:t>
      </w:r>
      <w:hyperlink r:id="rId37" w:history="1">
        <w:r w:rsidRPr="00023B55">
          <w:rPr>
            <w:rStyle w:val="Hyperlink"/>
            <w:rFonts w:eastAsia="Times New Roman" w:cs="Times New Roman"/>
            <w:szCs w:val="20"/>
          </w:rPr>
          <w:t>phase organisée à Tunis</w:t>
        </w:r>
      </w:hyperlink>
      <w:r w:rsidRPr="00023B55">
        <w:t xml:space="preserve"> en 2005 a mis en évidence la nécessité de réduire les fractures numériques et de mettre les technologies au service du développement.</w:t>
      </w:r>
    </w:p>
    <w:p w14:paraId="788F4A4E" w14:textId="12A694B9" w:rsidR="00A27143" w:rsidRPr="00023B55" w:rsidRDefault="00A27143" w:rsidP="00F52608">
      <w:pPr>
        <w:jc w:val="both"/>
      </w:pPr>
      <w:r w:rsidRPr="00023B55">
        <w:t>L'UIT a joué un rôle déterminant dans l'organisation et la coordination des deux phases du</w:t>
      </w:r>
      <w:r w:rsidR="008034AD" w:rsidRPr="00023B55">
        <w:t> </w:t>
      </w:r>
      <w:r w:rsidRPr="00023B55">
        <w:t>SMSI, en collaborant avec des institutions du système des Nations Unies, des pouvoirs publics, le secteur privé, la communauté technique, des établissements universitaires, la société civile et des organisations internationales en vue de créer un cadre d'action stable.</w:t>
      </w:r>
    </w:p>
    <w:p w14:paraId="2C2277CA" w14:textId="77777777" w:rsidR="00A27143" w:rsidRPr="00023B55" w:rsidRDefault="00A27143" w:rsidP="00F52608">
      <w:pPr>
        <w:jc w:val="both"/>
      </w:pPr>
      <w:r w:rsidRPr="00023B55">
        <w:t>Le Plan d'action de Genève et l'Agenda de Tunis ont mis en lumière 11 grandes orientations visant à favoriser l'inclusion numérique et à mettre les TIC au service du développement durable. L'UIT a joué un rôle de premier plan dans la coordination de ces efforts, en particulier dans des domaines tels que l'infrastructure des TIC (C2), le renforcement des capacités (C4), la cybersécurité (C5) et la création d'un environnement propice (C6). Ces efforts se sont depuis transformés en un mouvement multi-parties prenantes à l'échelle mondiale, l'UIT agissant comme pilier central de la coordination et de la mise en œuvre.</w:t>
      </w:r>
    </w:p>
    <w:p w14:paraId="415A5820" w14:textId="77777777" w:rsidR="00A27143" w:rsidRPr="00023B55" w:rsidRDefault="00A27143" w:rsidP="00F52608">
      <w:pPr>
        <w:jc w:val="both"/>
      </w:pPr>
      <w:r w:rsidRPr="00023B55">
        <w:t>Au cours des 20 dernières années, l'UIT n'a cessé de démontrer son engagement à promouvoir la vision du SMSI par le biais d'une série d'initiatives, de programmes et de partenariats:</w:t>
      </w:r>
    </w:p>
    <w:p w14:paraId="41F39200" w14:textId="22AE6AFD" w:rsidR="00A27143" w:rsidRPr="00023B55" w:rsidRDefault="00A27143" w:rsidP="00F52608">
      <w:pPr>
        <w:pStyle w:val="enumlev1"/>
        <w:jc w:val="both"/>
      </w:pPr>
      <w:r w:rsidRPr="00023B55">
        <w:t>1</w:t>
      </w:r>
      <w:r w:rsidR="008034AD" w:rsidRPr="00023B55">
        <w:t>)</w:t>
      </w:r>
      <w:r w:rsidRPr="00023B55">
        <w:tab/>
      </w:r>
      <w:r w:rsidRPr="00023B55">
        <w:rPr>
          <w:b/>
          <w:bCs/>
        </w:rPr>
        <w:t>Coordination des grandes orientations du SMSI</w:t>
      </w:r>
      <w:r w:rsidRPr="00023B55">
        <w:t xml:space="preserve">: </w:t>
      </w:r>
      <w:r w:rsidR="008034AD" w:rsidRPr="00023B55">
        <w:t>l</w:t>
      </w:r>
      <w:r w:rsidRPr="00023B55">
        <w:t>'UIT a coordonné la mise en œuvre des grandes orientations, notamment C2, C4, C5 et C6, en harmonisant leur mise en œuvre en fonction des priorités de développement convenues au niveau mondial. Par</w:t>
      </w:r>
      <w:r w:rsidR="00DD0509" w:rsidRPr="00023B55">
        <w:t> </w:t>
      </w:r>
      <w:r w:rsidRPr="00023B55">
        <w:t xml:space="preserve">exemple, dans le cadre de la </w:t>
      </w:r>
      <w:r w:rsidR="003150D9" w:rsidRPr="00023B55">
        <w:t>g</w:t>
      </w:r>
      <w:r w:rsidRPr="00023B55">
        <w:t>rande orientation C2, l'UIT a encouragé l'expansion de l'infrastructure mondiale large bande, en assurant la connectivité dans les zones mal desservies et en réduisant la fracture numérique.</w:t>
      </w:r>
    </w:p>
    <w:p w14:paraId="3834E3B1" w14:textId="6072B626" w:rsidR="00A27143" w:rsidRPr="00023B55" w:rsidRDefault="00A27143" w:rsidP="00F52608">
      <w:pPr>
        <w:pStyle w:val="enumlev1"/>
        <w:jc w:val="both"/>
      </w:pPr>
      <w:r w:rsidRPr="00023B55">
        <w:t>2</w:t>
      </w:r>
      <w:r w:rsidR="008034AD" w:rsidRPr="00023B55">
        <w:t>)</w:t>
      </w:r>
      <w:r w:rsidRPr="00023B55">
        <w:tab/>
      </w:r>
      <w:r w:rsidRPr="00023B55">
        <w:rPr>
          <w:b/>
          <w:bCs/>
        </w:rPr>
        <w:t>Forum annuel du SMSI</w:t>
      </w:r>
      <w:r w:rsidRPr="00023B55">
        <w:t xml:space="preserve">: </w:t>
      </w:r>
      <w:r w:rsidR="008034AD" w:rsidRPr="00023B55">
        <w:t>d</w:t>
      </w:r>
      <w:r w:rsidRPr="00023B55">
        <w:t>epuis 2009, l'UIT organise chaque année le Forum du SMSI, qui sert de plate-forme de dialogue, de collaboration et de partage des connaissances entre les parties prenantes. Le forum est devenu un événement fondamental pour élaborer le programme mondial en faveur du numérique, favoriser les partenariats et faire progresser les solutions TIC innovantes.</w:t>
      </w:r>
    </w:p>
    <w:p w14:paraId="600FC109" w14:textId="03AD430D" w:rsidR="00A27143" w:rsidRPr="00023B55" w:rsidRDefault="00A27143" w:rsidP="00F52608">
      <w:pPr>
        <w:pStyle w:val="enumlev1"/>
        <w:jc w:val="both"/>
      </w:pPr>
      <w:r w:rsidRPr="00023B55">
        <w:t>3</w:t>
      </w:r>
      <w:r w:rsidR="008034AD" w:rsidRPr="00023B55">
        <w:t>)</w:t>
      </w:r>
      <w:r w:rsidRPr="00023B55">
        <w:tab/>
      </w:r>
      <w:r w:rsidRPr="00023B55">
        <w:rPr>
          <w:b/>
          <w:bCs/>
        </w:rPr>
        <w:t>Inventaire des activités du SMSI et Prix du SMSI</w:t>
      </w:r>
      <w:r w:rsidRPr="00023B55">
        <w:t xml:space="preserve">: </w:t>
      </w:r>
      <w:r w:rsidR="008034AD" w:rsidRPr="00023B55">
        <w:t>l</w:t>
      </w:r>
      <w:r w:rsidRPr="00023B55">
        <w:t>'UIT a lancé la base de données de l'inventaire des activités du SMSI en 2004 dans le but de documenter et de partager les projets TIC qui ont été menés à bonne fin dans le monde entier. En 2025, plus de</w:t>
      </w:r>
      <w:r w:rsidR="0037507F" w:rsidRPr="00023B55">
        <w:t xml:space="preserve"> </w:t>
      </w:r>
      <w:r w:rsidRPr="00023B55">
        <w:t>15</w:t>
      </w:r>
      <w:r w:rsidR="008034AD" w:rsidRPr="00023B55">
        <w:t> </w:t>
      </w:r>
      <w:r w:rsidRPr="00023B55">
        <w:t>000 participations avaient été recueillies et partagées. Le Prix du SMSI, introduit en</w:t>
      </w:r>
      <w:r w:rsidR="0037507F" w:rsidRPr="00023B55">
        <w:t> </w:t>
      </w:r>
      <w:r w:rsidRPr="00023B55">
        <w:t>2012, récompense les contributions exceptionnelles aux grandes orientations du</w:t>
      </w:r>
      <w:r w:rsidR="008034AD" w:rsidRPr="00023B55">
        <w:t> </w:t>
      </w:r>
      <w:r w:rsidRPr="00023B55">
        <w:t>SMSI et à la réalisation des ODD. Cette initiative rend honneur aux bonnes pratiques et met en avant les solutions transposables.</w:t>
      </w:r>
    </w:p>
    <w:p w14:paraId="7522F36B" w14:textId="06B7B445" w:rsidR="0049037C" w:rsidRPr="00023B55" w:rsidRDefault="00A27143" w:rsidP="00F52608">
      <w:pPr>
        <w:pStyle w:val="enumlev1"/>
        <w:jc w:val="both"/>
      </w:pPr>
      <w:r w:rsidRPr="00023B55">
        <w:lastRenderedPageBreak/>
        <w:t>4</w:t>
      </w:r>
      <w:r w:rsidR="008034AD" w:rsidRPr="00023B55">
        <w:t>)</w:t>
      </w:r>
      <w:r w:rsidRPr="00023B55">
        <w:tab/>
      </w:r>
      <w:r w:rsidRPr="00023B55">
        <w:rPr>
          <w:b/>
          <w:bCs/>
        </w:rPr>
        <w:t>Groupe des Nations Unies sur la société de l'information (UNGIS) et coopération numérique mondiale</w:t>
      </w:r>
      <w:r w:rsidRPr="00023B55">
        <w:t xml:space="preserve">: </w:t>
      </w:r>
      <w:r w:rsidR="008034AD" w:rsidRPr="00023B55">
        <w:t>l</w:t>
      </w:r>
      <w:r w:rsidRPr="00023B55">
        <w:t>'UIT a été le fer de lance de la coopération multi-parties prenantes, en travaillant en coopération avec des institutions du système des Nations Unies par le biais de mécanismes tels que le Groupe UNGIS. Cette collaboration garantit que les efforts déployés en matière de transformation numérique sont coordonnés et alignés sur les priorités de développement au niveau mondial. L'UIT assure le secrétariat permanent du Groupe UNGIS, coordonne les efforts déployés par les institutions du système des Nations Unies pour mettre en œuvre les résultats du</w:t>
      </w:r>
      <w:r w:rsidR="00B41EB3" w:rsidRPr="00023B55">
        <w:t> </w:t>
      </w:r>
      <w:r w:rsidRPr="00023B55">
        <w:t>SMSI, et occupe la présidence tournante du groupe.</w:t>
      </w:r>
    </w:p>
    <w:p w14:paraId="18D20666" w14:textId="068D487F" w:rsidR="00A27143" w:rsidRPr="00023B55" w:rsidRDefault="00A27143" w:rsidP="00F52608">
      <w:pPr>
        <w:pStyle w:val="enumlev1"/>
        <w:jc w:val="both"/>
      </w:pPr>
      <w:r w:rsidRPr="00023B55">
        <w:t>5</w:t>
      </w:r>
      <w:r w:rsidR="008034AD" w:rsidRPr="00023B55">
        <w:t>)</w:t>
      </w:r>
      <w:r w:rsidRPr="00023B55">
        <w:tab/>
      </w:r>
      <w:r w:rsidRPr="00023B55">
        <w:rPr>
          <w:b/>
          <w:bCs/>
        </w:rPr>
        <w:t>Partenariat sur la mesure des TIC au service du développement</w:t>
      </w:r>
      <w:r w:rsidRPr="00023B55">
        <w:t xml:space="preserve">: </w:t>
      </w:r>
      <w:r w:rsidR="008034AD" w:rsidRPr="00023B55">
        <w:t>l</w:t>
      </w:r>
      <w:r w:rsidRPr="00023B55">
        <w:t>'UIT assure le secrétariat du Partenariat sur la mesure des TIC au service du développement, est membre du comité directeur, et veille à ce que les efforts déployés à l'échelle mondiale soient coordonnés, que les normes soient tenues à jour et que l'efficacité des stratégies TIC dans la mise en œuvre des grandes orientations du SMSI soit évaluée, aidant ainsi les pays à suivre les progrès accomplis dans leur processus de transformation numérique.</w:t>
      </w:r>
    </w:p>
    <w:p w14:paraId="4C4C237D" w14:textId="44484F48" w:rsidR="00A27143" w:rsidRPr="00023B55" w:rsidRDefault="008034AD" w:rsidP="00F52608">
      <w:pPr>
        <w:pStyle w:val="enumlev1"/>
        <w:jc w:val="both"/>
      </w:pPr>
      <w:r w:rsidRPr="00023B55">
        <w:t>6)</w:t>
      </w:r>
      <w:r w:rsidR="00A27143" w:rsidRPr="00023B55">
        <w:tab/>
      </w:r>
      <w:r w:rsidR="00A27143" w:rsidRPr="00023B55">
        <w:rPr>
          <w:b/>
          <w:bCs/>
        </w:rPr>
        <w:t>Technologies émergentes et IA au service du bien social</w:t>
      </w:r>
      <w:r w:rsidR="00A27143" w:rsidRPr="00023B55">
        <w:t xml:space="preserve">: </w:t>
      </w:r>
      <w:r w:rsidRPr="00023B55">
        <w:t>l</w:t>
      </w:r>
      <w:r w:rsidR="00A27143" w:rsidRPr="00023B55">
        <w:t>e cadre du SMSI a résisté à l'épreuve du temps, et les principes énoncés dans les documents finaux du SMSI ont démontré, au cours des deux dernières décennies, qu'ils étaient applicables aux technologies nouvelles et émergentes, y compris à l'IA et aux technologies de l'informatique quantique. C'est la raison pour laquelle le Forum du SMSI mène depuis le début des discussions stratégiques sur les technologies émergentes. En outre, des initiatives telles que le Sommet mondial sur l'intelligence artificielle au service du bien social rendent compte du travail mené en amont par l'UIT visant à mettre les nouvelles technologies au service du développement. Ce sommet a pour objet de recenser des applications de l'IA qui soient dignes de confiance, de renforcer les compétences, de consolider les normes et de favoriser la coopération en matière d'IA.</w:t>
      </w:r>
    </w:p>
    <w:p w14:paraId="57707326" w14:textId="77777777" w:rsidR="0049037C" w:rsidRPr="00023B55" w:rsidRDefault="00A27143" w:rsidP="00F52608">
      <w:pPr>
        <w:jc w:val="both"/>
      </w:pPr>
      <w:r w:rsidRPr="00023B55">
        <w:t xml:space="preserve">Malgré une croissance numérique constante au cours des 20 dernières années, des défis subsistent. Les priorités en matière de numérique et de développement ont continué de s'appuyer sur les </w:t>
      </w:r>
      <w:hyperlink r:id="rId38" w:history="1">
        <w:r w:rsidR="00CD46A4" w:rsidRPr="00023B55">
          <w:rPr>
            <w:rStyle w:val="Hyperlink"/>
            <w:rFonts w:eastAsia="Times New Roman" w:cs="Times New Roman"/>
            <w:szCs w:val="20"/>
          </w:rPr>
          <w:t>grandes orientations du SMSI</w:t>
        </w:r>
      </w:hyperlink>
      <w:r w:rsidRPr="00023B55">
        <w:t xml:space="preserve"> et les initiatives connexes menées par l'UIT.</w:t>
      </w:r>
    </w:p>
    <w:p w14:paraId="2A5C39A0" w14:textId="77777777" w:rsidR="0049037C" w:rsidRPr="00023B55" w:rsidRDefault="00A27143" w:rsidP="00F52608">
      <w:pPr>
        <w:jc w:val="both"/>
      </w:pPr>
      <w:r w:rsidRPr="00023B55">
        <w:t>À l'approche de la manifestation de haut niveau SMSI+20 de 2025, l'UIT reste déterminée à évaluer les progrès accomplis et à recenser les possibilités de renforcer le cadre du SMSI, en tenant compte du Pacte numérique mondial et d'autres initiatives internationales visant à faire en sorte que la transformation numérique soit inclusive, durable et résiliente.</w:t>
      </w:r>
    </w:p>
    <w:p w14:paraId="0CF6DD33" w14:textId="0FFE5053" w:rsidR="00A27143" w:rsidRPr="00023B55" w:rsidRDefault="00A27143" w:rsidP="00F52608">
      <w:pPr>
        <w:jc w:val="both"/>
      </w:pPr>
      <w:r w:rsidRPr="00023B55">
        <w:t>L'examen du SMSI+20 est une excellente occasion de façonner un cadre stable de coopération numérique mondiale au-delà de 2025.</w:t>
      </w:r>
    </w:p>
    <w:p w14:paraId="7590AB0A" w14:textId="77777777" w:rsidR="00A27143" w:rsidRPr="00023B55" w:rsidRDefault="00A27143" w:rsidP="00F52608">
      <w:pPr>
        <w:keepNext/>
        <w:keepLines/>
        <w:jc w:val="both"/>
      </w:pPr>
      <w:r w:rsidRPr="00023B55">
        <w:t>Le présent rapport se penche sur les résultats obtenus, les défis rencontrés et les enseignements tirés par l'UIT au cours de 20 années de mise en œuvre du SMSI. À travers une réflexion sur le passé et l'exposition d'une vision d'avenir, l'UIT réaffirme son rôle de chef de file mondial dans l'édification d'un avenir numérique pour tous.</w:t>
      </w:r>
    </w:p>
    <w:p w14:paraId="49FEA3B5" w14:textId="28F1FFBF" w:rsidR="00A27143" w:rsidRPr="00023B55" w:rsidRDefault="00A27143" w:rsidP="00F52608">
      <w:pPr>
        <w:pStyle w:val="Heading1"/>
        <w:jc w:val="both"/>
      </w:pPr>
      <w:bookmarkStart w:id="3" w:name="_Toc200377654"/>
      <w:r w:rsidRPr="00023B55">
        <w:t>a</w:t>
      </w:r>
      <w:r w:rsidR="0037507F" w:rsidRPr="00023B55">
        <w:t>)</w:t>
      </w:r>
      <w:r w:rsidR="00211184" w:rsidRPr="00023B55">
        <w:tab/>
      </w:r>
      <w:r w:rsidRPr="00023B55">
        <w:t>Vingt années de coopération numérique</w:t>
      </w:r>
      <w:bookmarkEnd w:id="3"/>
    </w:p>
    <w:p w14:paraId="48DB2102" w14:textId="68EFE468" w:rsidR="00A27143" w:rsidRPr="00023B55" w:rsidRDefault="00A27143" w:rsidP="00F52608">
      <w:pPr>
        <w:jc w:val="both"/>
      </w:pPr>
      <w:r w:rsidRPr="00023B55">
        <w:t xml:space="preserve">À la fin des années 1990, les progrès rapides des TIC présentaient à la fois des enjeux et des perspectives. Il était devenu crucial d'assurer un accès équitable à l'Internet et aux applications connexes pour éviter que quiconque ne soit laissé pour compte dans la "société </w:t>
      </w:r>
      <w:r w:rsidRPr="00023B55">
        <w:lastRenderedPageBreak/>
        <w:t>de l'information" alors en plein essor. En conséquence, la Tunisie a avancé le concept du</w:t>
      </w:r>
      <w:r w:rsidR="00211184" w:rsidRPr="00023B55">
        <w:t> </w:t>
      </w:r>
      <w:r w:rsidRPr="00023B55">
        <w:t xml:space="preserve">SMSI lors de la </w:t>
      </w:r>
      <w:hyperlink r:id="rId39" w:history="1">
        <w:r w:rsidRPr="00023B55">
          <w:rPr>
            <w:rStyle w:val="Hyperlink"/>
            <w:rFonts w:eastAsia="Times New Roman" w:cs="Times New Roman"/>
            <w:szCs w:val="20"/>
          </w:rPr>
          <w:t>Conférence de plénipotentiaires de l'UIT tenue en 1998</w:t>
        </w:r>
      </w:hyperlink>
      <w:r w:rsidRPr="00023B55">
        <w:t xml:space="preserve">, ce qui a conduit à l'adoption de la Résolution 73 (Minneapolis, 1998) par les États </w:t>
      </w:r>
      <w:r w:rsidR="00B41EB3" w:rsidRPr="00023B55">
        <w:t>M</w:t>
      </w:r>
      <w:r w:rsidRPr="00023B55">
        <w:t>embres de l'UIT concernant l'organisation des sommets.</w:t>
      </w:r>
    </w:p>
    <w:p w14:paraId="4A770A89" w14:textId="77777777" w:rsidR="0049037C" w:rsidRPr="00023B55" w:rsidRDefault="00A27143" w:rsidP="00F52608">
      <w:pPr>
        <w:jc w:val="both"/>
      </w:pPr>
      <w:r w:rsidRPr="00023B55">
        <w:t>L'Assemblée générale des Nations Unies a entériné le mécanisme du SMSI en 2001 (</w:t>
      </w:r>
      <w:hyperlink r:id="rId40" w:history="1">
        <w:r w:rsidRPr="00023B55">
          <w:rPr>
            <w:rStyle w:val="Hyperlink"/>
            <w:rFonts w:eastAsia="Times New Roman" w:cs="Times New Roman"/>
            <w:szCs w:val="20"/>
          </w:rPr>
          <w:t>A/RES/56/183</w:t>
        </w:r>
      </w:hyperlink>
      <w:r w:rsidRPr="00023B55">
        <w:t>), ouvrant la voie au sommet historique en deux phases tenu à Genève en</w:t>
      </w:r>
      <w:r w:rsidR="00211184" w:rsidRPr="00023B55">
        <w:t> </w:t>
      </w:r>
      <w:r w:rsidRPr="00023B55">
        <w:t>2003 et à Tunis en 2005.</w:t>
      </w:r>
    </w:p>
    <w:p w14:paraId="7CFFE2F5" w14:textId="2F1B6ED1" w:rsidR="00A27143" w:rsidRPr="00023B55" w:rsidRDefault="00A27143" w:rsidP="00F52608">
      <w:pPr>
        <w:jc w:val="both"/>
      </w:pPr>
      <w:r w:rsidRPr="00023B55">
        <w:t xml:space="preserve">Assurant le </w:t>
      </w:r>
      <w:hyperlink r:id="rId41" w:history="1">
        <w:r w:rsidRPr="00023B55">
          <w:rPr>
            <w:rStyle w:val="Hyperlink"/>
            <w:rFonts w:eastAsia="Times New Roman" w:cs="Times New Roman"/>
            <w:szCs w:val="20"/>
          </w:rPr>
          <w:t>secrétariat</w:t>
        </w:r>
      </w:hyperlink>
      <w:r w:rsidRPr="00023B55">
        <w:t xml:space="preserve"> des deux phases, l'UIT a façonné la vision du SMSI qui oriente depuis lors les consultations multi-parties prenantes sur les questions technologiques à l'échelle mondiale. L'UIT continue de jouer un rôle déterminant dans la coordination du processus du</w:t>
      </w:r>
      <w:r w:rsidR="003E3339" w:rsidRPr="00023B55">
        <w:t> </w:t>
      </w:r>
      <w:r w:rsidRPr="00023B55">
        <w:t xml:space="preserve">SMSI, en mettant l'accent sur la collaboration entre parties prenantes et en rendant compte des progrès accomplis grâce à la </w:t>
      </w:r>
      <w:hyperlink r:id="rId42" w:history="1">
        <w:r w:rsidRPr="00023B55">
          <w:rPr>
            <w:rStyle w:val="Hyperlink"/>
            <w:rFonts w:eastAsia="Times New Roman" w:cs="Times New Roman"/>
            <w:szCs w:val="20"/>
          </w:rPr>
          <w:t>base de données de l'inventaire des activités du</w:t>
        </w:r>
        <w:r w:rsidR="00A26584" w:rsidRPr="00023B55">
          <w:rPr>
            <w:rStyle w:val="Hyperlink"/>
            <w:rFonts w:eastAsia="Times New Roman" w:cs="Times New Roman"/>
            <w:szCs w:val="20"/>
          </w:rPr>
          <w:t> </w:t>
        </w:r>
        <w:r w:rsidRPr="00023B55">
          <w:rPr>
            <w:rStyle w:val="Hyperlink"/>
            <w:rFonts w:eastAsia="Times New Roman" w:cs="Times New Roman"/>
            <w:szCs w:val="20"/>
          </w:rPr>
          <w:t>SMSI</w:t>
        </w:r>
      </w:hyperlink>
      <w:r w:rsidRPr="00023B55">
        <w:t xml:space="preserve"> et à des rapports annuels.</w:t>
      </w:r>
    </w:p>
    <w:p w14:paraId="7FB2C464" w14:textId="48A661DA" w:rsidR="00A27143" w:rsidRPr="00023B55" w:rsidRDefault="00A27143" w:rsidP="00F52608">
      <w:pPr>
        <w:jc w:val="both"/>
      </w:pPr>
      <w:r w:rsidRPr="00023B55">
        <w:t xml:space="preserve">La phase de Genève était axée sur l'élaboration d'une vision commune pour les sociétés de l'information et du savoir émergentes, ce qui a abouti à la </w:t>
      </w:r>
      <w:hyperlink r:id="rId43" w:history="1">
        <w:r w:rsidRPr="00023B55">
          <w:rPr>
            <w:rStyle w:val="Hyperlink"/>
            <w:rFonts w:eastAsia="Times New Roman" w:cs="Times New Roman"/>
            <w:szCs w:val="20"/>
          </w:rPr>
          <w:t>Déclaration de principes de Genève</w:t>
        </w:r>
      </w:hyperlink>
      <w:r w:rsidRPr="00023B55">
        <w:t xml:space="preserve"> et au </w:t>
      </w:r>
      <w:hyperlink r:id="rId44" w:history="1">
        <w:r w:rsidRPr="00023B55">
          <w:rPr>
            <w:rStyle w:val="Hyperlink"/>
            <w:rFonts w:eastAsia="Times New Roman" w:cs="Times New Roman"/>
            <w:szCs w:val="20"/>
          </w:rPr>
          <w:t>Plan d'action de Genève</w:t>
        </w:r>
      </w:hyperlink>
      <w:r w:rsidRPr="00023B55">
        <w:t>. Deux ans plus tard, la phase de Tunis visait à réduire la fracture numérique et à promouvoir les TIC pour le développement, ce qui a abouti à l'</w:t>
      </w:r>
      <w:hyperlink r:id="rId45" w:history="1">
        <w:r w:rsidRPr="00023B55">
          <w:rPr>
            <w:rStyle w:val="Hyperlink"/>
            <w:rFonts w:eastAsia="Times New Roman" w:cs="Times New Roman"/>
            <w:szCs w:val="20"/>
          </w:rPr>
          <w:t>Engagement de Tunis</w:t>
        </w:r>
      </w:hyperlink>
      <w:r w:rsidRPr="00023B55">
        <w:t xml:space="preserve"> et à l'</w:t>
      </w:r>
      <w:hyperlink r:id="rId46" w:history="1">
        <w:r w:rsidRPr="00023B55">
          <w:rPr>
            <w:rStyle w:val="Hyperlink"/>
            <w:rFonts w:eastAsia="Times New Roman" w:cs="Times New Roman"/>
            <w:szCs w:val="20"/>
          </w:rPr>
          <w:t>Agenda de Tunis pour la société de l'information</w:t>
        </w:r>
      </w:hyperlink>
      <w:r w:rsidRPr="00023B55">
        <w:t xml:space="preserve">. Cette seconde phase a permis de réaffirmer les principes de Genève et les 11 grandes orientations du SMSI et d'établir le </w:t>
      </w:r>
      <w:hyperlink r:id="rId47" w:history="1">
        <w:r w:rsidRPr="00023B55">
          <w:rPr>
            <w:rStyle w:val="Hyperlink"/>
            <w:rFonts w:eastAsia="Times New Roman" w:cs="Times New Roman"/>
            <w:szCs w:val="20"/>
          </w:rPr>
          <w:t>Forum annuel sur la gouvernance de l'Internet (IGF)</w:t>
        </w:r>
      </w:hyperlink>
      <w:r w:rsidRPr="00023B55">
        <w:t xml:space="preserve"> en tant que mécanisme multi-parties prenantes permanent.</w:t>
      </w:r>
    </w:p>
    <w:p w14:paraId="0825260B" w14:textId="71B95A35" w:rsidR="00A27143" w:rsidRPr="00023B55" w:rsidRDefault="00A27143" w:rsidP="00F52608">
      <w:pPr>
        <w:jc w:val="both"/>
      </w:pPr>
      <w:r w:rsidRPr="00023B55">
        <w:t xml:space="preserve">Depuis 2006, l'UIT, en collaboration avec d'autres coordonnateurs des grandes orientations du SMSI, a commencé à organiser une série de conférences annuelles sur le suivi des engagements du SMSI. Ces conférences se sont transformé en 2009 en le </w:t>
      </w:r>
      <w:hyperlink r:id="rId48" w:history="1">
        <w:r w:rsidRPr="00023B55">
          <w:rPr>
            <w:rStyle w:val="Hyperlink"/>
            <w:rFonts w:eastAsia="Times New Roman" w:cs="Times New Roman"/>
            <w:szCs w:val="20"/>
          </w:rPr>
          <w:t>Forum du SMSI</w:t>
        </w:r>
      </w:hyperlink>
      <w:r w:rsidRPr="00023B55">
        <w:t>, accueilli par l'UIT et coorganisé par l'UIT, l' Organisation des Nations Unies pour l'éducation, la science et la culture (UNESCO), le Programme des Nations Unies pour le développement (PNUD) et la Conférence des Nations Unies sur le commerce et le développement (CNUCED), qui constitue une plate-forme mondiale unique pour le dialogue multi-parties prenantes, le partage de connaissances et la conclusion de partenariats. Au fil des ans, le Forum du SMSI est devenu le plus vaste rassemblement annuel, à l'échelle mondiale, des acteurs des TIC et du numérique au service du développement, auquel participe un groupe diversifié de parties prenantes, ce qui lui permet de renforcer son importance en tant que mécanisme clé pour façonner la coopération numérique mondiale.</w:t>
      </w:r>
    </w:p>
    <w:p w14:paraId="14313543" w14:textId="6B319631" w:rsidR="00A27143" w:rsidRPr="00023B55" w:rsidRDefault="00A27143" w:rsidP="00F52608">
      <w:pPr>
        <w:keepNext/>
        <w:keepLines/>
        <w:jc w:val="both"/>
      </w:pPr>
      <w:r w:rsidRPr="00023B55">
        <w:t>Dix années se sont écoulées entre les phases initiales du sommet et l'</w:t>
      </w:r>
      <w:hyperlink r:id="rId49" w:history="1">
        <w:r w:rsidRPr="00023B55">
          <w:rPr>
            <w:rStyle w:val="Hyperlink"/>
            <w:rFonts w:eastAsia="Times New Roman" w:cs="Times New Roman"/>
            <w:szCs w:val="20"/>
          </w:rPr>
          <w:t>examen du SMSI+10</w:t>
        </w:r>
      </w:hyperlink>
      <w:r w:rsidRPr="00023B55">
        <w:t xml:space="preserve"> de</w:t>
      </w:r>
      <w:r w:rsidR="00DB4747" w:rsidRPr="00023B55">
        <w:t> </w:t>
      </w:r>
      <w:r w:rsidRPr="00023B55">
        <w:t>2015. L'examen approfondi des progrès a mis en évidence des résultats tels que l'essor de la connectivité mondiale et le renforcement de la coopération internationale, mais a également permis de recenser les défis actuels tels que la persistance de la fracture numérique. L'examen du SMSI+10 a essentiellement produit la nouvelle Vision du SMSI pour l'après-2015, qui souligne la nécessité d'aligner les résultats du SMSI sur les ODD et de veiller à ce que les TIC contribuent à la mise en œuvre du Programme de développement durable à l'horizon 2030.</w:t>
      </w:r>
    </w:p>
    <w:p w14:paraId="3ED506D5" w14:textId="403F66BE" w:rsidR="00A27143" w:rsidRPr="00023B55" w:rsidRDefault="00A27143" w:rsidP="00F52608">
      <w:pPr>
        <w:jc w:val="both"/>
      </w:pPr>
      <w:r w:rsidRPr="00023B55">
        <w:t>L'</w:t>
      </w:r>
      <w:r w:rsidRPr="00023B55">
        <w:rPr>
          <w:b/>
          <w:bCs/>
        </w:rPr>
        <w:t>examen global du SMSI+20</w:t>
      </w:r>
      <w:r w:rsidRPr="00023B55">
        <w:t xml:space="preserve">, qui sera prochainement mené par l'Assemblée générale des Nations Unies en 2025, permettra d'évaluer les progrès accomplis à l'aube des 20 ans du Forum et de recenser les nouveaux enjeux et les nouvelles perspectives compte tenu de l'évolution des sociétés de l'information. L'UIT, en collaboration avec d'autres institutions du système des Nations Unies, coordonne le processus préparatoire et coopère avec les </w:t>
      </w:r>
      <w:r w:rsidRPr="00023B55">
        <w:lastRenderedPageBreak/>
        <w:t>États</w:t>
      </w:r>
      <w:r w:rsidR="006E1F81" w:rsidRPr="00023B55">
        <w:t> </w:t>
      </w:r>
      <w:r w:rsidRPr="00023B55">
        <w:t>Membres et les principales parties prenantes pour veiller à ce que les conclusions et recommandations du processus d'examen alimentent les discussions sur la gouvernance numérique mondiale et restent bien alignées sur les principaux cadres de développement.</w:t>
      </w:r>
    </w:p>
    <w:p w14:paraId="0D73FBC3" w14:textId="77777777" w:rsidR="00A27143" w:rsidRPr="00023B55" w:rsidRDefault="00A27143" w:rsidP="00F52608">
      <w:pPr>
        <w:pStyle w:val="Headingb"/>
        <w:jc w:val="both"/>
      </w:pPr>
      <w:r w:rsidRPr="00023B55">
        <w:t>Une plate-forme multi-parties prenantes</w:t>
      </w:r>
    </w:p>
    <w:p w14:paraId="358E2E46" w14:textId="77777777" w:rsidR="00A27143" w:rsidRPr="00023B55" w:rsidRDefault="00A27143" w:rsidP="00F52608">
      <w:pPr>
        <w:jc w:val="both"/>
      </w:pPr>
      <w:r w:rsidRPr="00023B55">
        <w:t>Le SMSI a permis de souligner, dès le départ, l'importance de mobiliser diverses parties prenantes pour garantir des initiatives technologiques efficaces et inclusives. Les principales catégories de parties prenantes participant aux discussions du SMSI sont les pouvoirs publics, le secteur privé, les organisations de la société civile, les organisations internationales (y compris les institutions du système des Nations Unies), les établissements universitaires et les organisations techniques.</w:t>
      </w:r>
    </w:p>
    <w:p w14:paraId="2A920361" w14:textId="4B755BD8" w:rsidR="00A27143" w:rsidRPr="00023B55" w:rsidRDefault="00A27143" w:rsidP="00F52608">
      <w:pPr>
        <w:jc w:val="both"/>
      </w:pPr>
      <w:r w:rsidRPr="00023B55">
        <w:t xml:space="preserve">L'UIT a joué un rôle déterminant dans le rassemblement de toutes ces parties prenantes. Sa </w:t>
      </w:r>
      <w:hyperlink r:id="rId50" w:anchor="/fr" w:history="1">
        <w:r w:rsidRPr="00023B55">
          <w:rPr>
            <w:rStyle w:val="Hyperlink"/>
            <w:rFonts w:eastAsia="Times New Roman" w:cs="Times New Roman"/>
            <w:szCs w:val="20"/>
          </w:rPr>
          <w:t>composition unique</w:t>
        </w:r>
      </w:hyperlink>
      <w:r w:rsidRPr="00023B55">
        <w:t xml:space="preserve">, qui rassemble 194 États </w:t>
      </w:r>
      <w:r w:rsidR="00B41EB3" w:rsidRPr="00023B55">
        <w:t>M</w:t>
      </w:r>
      <w:r w:rsidRPr="00023B55">
        <w:t>embres et plus de 1 000 entreprises, établissements universitaires, instituts de recherche et autres organisations, représente un pouvoir mobilisateur sans égal dans le système des Nations Unies. Le réseau de l'UIT, qui compte plus de 20 000 professionnels, aide à coordonner des discussions opportunes en matière de politique générale et de technologie, en faisant participer des spécialistes et des dirigeants de l'ensemble de l'écosystème numérique mondial.</w:t>
      </w:r>
    </w:p>
    <w:p w14:paraId="3E9872CF" w14:textId="77777777" w:rsidR="00A27143" w:rsidRPr="00023B55" w:rsidRDefault="00A27143" w:rsidP="00F52608">
      <w:pPr>
        <w:jc w:val="both"/>
      </w:pPr>
      <w:r w:rsidRPr="00023B55">
        <w:t>Le processus du SMSI repose sur la participation active d'une multitude de parties prenantes, à savoir:</w:t>
      </w:r>
    </w:p>
    <w:p w14:paraId="79794F7B" w14:textId="03D09363" w:rsidR="00A27143" w:rsidRPr="00023B55" w:rsidRDefault="00E92CB5" w:rsidP="00F52608">
      <w:pPr>
        <w:pStyle w:val="enumlev1"/>
        <w:jc w:val="both"/>
      </w:pPr>
      <w:r w:rsidRPr="00023B55">
        <w:t>–</w:t>
      </w:r>
      <w:r w:rsidR="00A27143" w:rsidRPr="00023B55">
        <w:tab/>
        <w:t xml:space="preserve">les </w:t>
      </w:r>
      <w:r w:rsidR="00A27143" w:rsidRPr="00023B55">
        <w:rPr>
          <w:b/>
          <w:bCs/>
        </w:rPr>
        <w:t>pouvoirs publics</w:t>
      </w:r>
      <w:r w:rsidR="00A27143" w:rsidRPr="00023B55">
        <w:t>, qui élaborent des politiques numériques au service du développement inclusif, définissent des stratégies nationales en matière de numérique et mettent en œuvre des cadres réglementaires visant à favoriser l'innovation et à protéger les droits des consommateurs;</w:t>
      </w:r>
    </w:p>
    <w:p w14:paraId="3DEB0B2F" w14:textId="5826DA00" w:rsidR="00A27143" w:rsidRPr="00023B55" w:rsidRDefault="00E92CB5" w:rsidP="00F52608">
      <w:pPr>
        <w:pStyle w:val="enumlev1"/>
        <w:jc w:val="both"/>
      </w:pPr>
      <w:r w:rsidRPr="00023B55">
        <w:t>–</w:t>
      </w:r>
      <w:r w:rsidR="00A27143" w:rsidRPr="00023B55">
        <w:tab/>
        <w:t xml:space="preserve">le </w:t>
      </w:r>
      <w:r w:rsidR="00A27143" w:rsidRPr="00023B55">
        <w:rPr>
          <w:b/>
          <w:bCs/>
        </w:rPr>
        <w:t>secteur privé</w:t>
      </w:r>
      <w:r w:rsidR="00A27143" w:rsidRPr="00023B55">
        <w:t>, qui stimule l'innovation et l'investissement dans l'économie numérique, en s'associant à l'UIT et à d'autres parties prenantes pour développer de nouvelles technologies et étendre l'infrastructure numérique;</w:t>
      </w:r>
    </w:p>
    <w:p w14:paraId="7D18DA52" w14:textId="61983340" w:rsidR="00A27143" w:rsidRPr="00023B55" w:rsidRDefault="00E92CB5" w:rsidP="00F52608">
      <w:pPr>
        <w:pStyle w:val="enumlev1"/>
        <w:jc w:val="both"/>
      </w:pPr>
      <w:r w:rsidRPr="00023B55">
        <w:t>–</w:t>
      </w:r>
      <w:r w:rsidR="00A27143" w:rsidRPr="00023B55">
        <w:tab/>
        <w:t xml:space="preserve">les </w:t>
      </w:r>
      <w:r w:rsidR="00A27143" w:rsidRPr="00023B55">
        <w:rPr>
          <w:b/>
          <w:bCs/>
        </w:rPr>
        <w:t>organisations de la société civile</w:t>
      </w:r>
      <w:r w:rsidR="00A27143" w:rsidRPr="00023B55">
        <w:t>, qui plaident en faveur de l'inclusion numérique et de la réduction de la fracture numérique, en veillant à ce que les voix des communautés marginalisées soient entendues;</w:t>
      </w:r>
    </w:p>
    <w:p w14:paraId="3D7C6A3C" w14:textId="561B0E60" w:rsidR="00A27143" w:rsidRPr="00023B55" w:rsidRDefault="00E92CB5" w:rsidP="00F52608">
      <w:pPr>
        <w:pStyle w:val="enumlev1"/>
        <w:jc w:val="both"/>
      </w:pPr>
      <w:r w:rsidRPr="00023B55">
        <w:t>–</w:t>
      </w:r>
      <w:r w:rsidR="00A27143" w:rsidRPr="00023B55">
        <w:tab/>
        <w:t xml:space="preserve">les </w:t>
      </w:r>
      <w:r w:rsidR="00A27143" w:rsidRPr="00023B55">
        <w:rPr>
          <w:b/>
          <w:bCs/>
        </w:rPr>
        <w:t>organisations internationales</w:t>
      </w:r>
      <w:r w:rsidR="00A27143" w:rsidRPr="00023B55">
        <w:t>, qui facilitent la coopération numérique aux niveaux mondial et régional, en soutenant l'élaboration de normes internationales et en promouvant de bonnes pratiques;</w:t>
      </w:r>
    </w:p>
    <w:p w14:paraId="69044FBE" w14:textId="05EDA3A1" w:rsidR="00A27143" w:rsidRPr="00023B55" w:rsidRDefault="00E92CB5" w:rsidP="00F52608">
      <w:pPr>
        <w:pStyle w:val="enumlev1"/>
        <w:jc w:val="both"/>
      </w:pPr>
      <w:r w:rsidRPr="00023B55">
        <w:t>–</w:t>
      </w:r>
      <w:r w:rsidR="00A27143" w:rsidRPr="00023B55">
        <w:tab/>
        <w:t xml:space="preserve">les </w:t>
      </w:r>
      <w:r w:rsidR="00A27143" w:rsidRPr="00023B55">
        <w:rPr>
          <w:b/>
          <w:bCs/>
        </w:rPr>
        <w:t>établissements universitaires</w:t>
      </w:r>
      <w:r w:rsidR="00A27143" w:rsidRPr="00023B55">
        <w:t>, qui font progresser la recherche et les connaissances en matière de transformation numérique, en élaborant des politiques et des stratégies au service du développement numérique;</w:t>
      </w:r>
    </w:p>
    <w:p w14:paraId="657424F5" w14:textId="2620C846" w:rsidR="00A27143" w:rsidRPr="00023B55" w:rsidRDefault="00E92CB5" w:rsidP="00F52608">
      <w:pPr>
        <w:pStyle w:val="enumlev1"/>
        <w:jc w:val="both"/>
      </w:pPr>
      <w:r w:rsidRPr="00023B55">
        <w:t>–</w:t>
      </w:r>
      <w:r w:rsidR="00A27143" w:rsidRPr="00023B55">
        <w:tab/>
        <w:t xml:space="preserve">les </w:t>
      </w:r>
      <w:r w:rsidR="00A27143" w:rsidRPr="00023B55">
        <w:rPr>
          <w:b/>
          <w:bCs/>
        </w:rPr>
        <w:t>organisations techniques</w:t>
      </w:r>
      <w:r w:rsidR="00A27143" w:rsidRPr="00023B55">
        <w:t>, qui permettent le déploiement de l'infrastructure numérique, en veillant à ce que les technologies soient fiables, sécurisées et accessibles.</w:t>
      </w:r>
    </w:p>
    <w:p w14:paraId="33BAAB4A" w14:textId="77777777" w:rsidR="00A27143" w:rsidRPr="00023B55" w:rsidRDefault="00A27143" w:rsidP="00F52608">
      <w:pPr>
        <w:jc w:val="both"/>
      </w:pPr>
      <w:r w:rsidRPr="00023B55">
        <w:t>Ensemble, ces parties prenantes contribuent à la réalisation d'un objectif commun qui vise à mettre la technologie au service du développement et à veiller à ce que les avantages des technologies numériques soient accessibles à tous.</w:t>
      </w:r>
    </w:p>
    <w:p w14:paraId="3D4389A9" w14:textId="77777777" w:rsidR="0049037C" w:rsidRPr="00023B55" w:rsidRDefault="00A27143" w:rsidP="00F52608">
      <w:pPr>
        <w:pStyle w:val="Headingb"/>
      </w:pPr>
      <w:r w:rsidRPr="00023B55">
        <w:t>Mettre la technologie au service du développement durable</w:t>
      </w:r>
    </w:p>
    <w:p w14:paraId="4DE7EF53" w14:textId="16199DF7" w:rsidR="0049037C" w:rsidRPr="00023B55" w:rsidRDefault="00A27143" w:rsidP="00F52608">
      <w:pPr>
        <w:jc w:val="both"/>
      </w:pPr>
      <w:r w:rsidRPr="00023B55">
        <w:t xml:space="preserve">Les technologies numériques peuvent considérablement accélérer les progrès en vue de réaliser les objectifs convenus à l'échelle mondiale. Le </w:t>
      </w:r>
      <w:hyperlink r:id="rId51" w:history="1">
        <w:r w:rsidRPr="00023B55">
          <w:rPr>
            <w:rStyle w:val="Hyperlink"/>
            <w:rFonts w:eastAsia="Times New Roman" w:cs="Times New Roman"/>
            <w:szCs w:val="20"/>
          </w:rPr>
          <w:t>Tableau de correspondance</w:t>
        </w:r>
        <w:r w:rsidR="00E92CB5" w:rsidRPr="00023B55">
          <w:rPr>
            <w:rStyle w:val="Hyperlink"/>
            <w:rFonts w:eastAsia="Times New Roman" w:cs="Times New Roman"/>
            <w:szCs w:val="20"/>
          </w:rPr>
          <w:t> </w:t>
        </w:r>
        <w:r w:rsidRPr="00023B55">
          <w:rPr>
            <w:rStyle w:val="Hyperlink"/>
            <w:rFonts w:eastAsia="Times New Roman" w:cs="Times New Roman"/>
            <w:szCs w:val="20"/>
          </w:rPr>
          <w:t>SMSI</w:t>
        </w:r>
        <w:r w:rsidR="00E92CB5" w:rsidRPr="00023B55">
          <w:rPr>
            <w:rStyle w:val="Hyperlink"/>
            <w:rFonts w:eastAsia="Times New Roman" w:cs="Times New Roman"/>
            <w:szCs w:val="20"/>
          </w:rPr>
          <w:noBreakHyphen/>
        </w:r>
        <w:r w:rsidRPr="00023B55">
          <w:rPr>
            <w:rStyle w:val="Hyperlink"/>
            <w:rFonts w:eastAsia="Times New Roman" w:cs="Times New Roman"/>
            <w:szCs w:val="20"/>
          </w:rPr>
          <w:t>ODD</w:t>
        </w:r>
      </w:hyperlink>
      <w:r w:rsidRPr="00023B55">
        <w:t xml:space="preserve">, </w:t>
      </w:r>
      <w:r w:rsidRPr="00023B55">
        <w:lastRenderedPageBreak/>
        <w:t xml:space="preserve">conçu par les principaux coordonnateurs des grandes orientations du SMSI et des institutions de l'ONU, fournit un cadre clair pour évaluer les incidences de la technologie sur le développement et cerner les domaines dans lesquels de nouvelles mesures doivent être prises. Par exemple, la </w:t>
      </w:r>
      <w:hyperlink r:id="rId52" w:history="1">
        <w:r w:rsidR="003150D9" w:rsidRPr="00023B55">
          <w:rPr>
            <w:rStyle w:val="Hyperlink"/>
            <w:rFonts w:eastAsia="Times New Roman" w:cs="Times New Roman"/>
            <w:szCs w:val="20"/>
          </w:rPr>
          <w:t>g</w:t>
        </w:r>
        <w:r w:rsidRPr="00023B55">
          <w:rPr>
            <w:rStyle w:val="Hyperlink"/>
            <w:rFonts w:eastAsia="Times New Roman" w:cs="Times New Roman"/>
            <w:szCs w:val="20"/>
          </w:rPr>
          <w:t>rande orientation C2 (Infrastructure de l'information et de la communication)</w:t>
        </w:r>
      </w:hyperlink>
      <w:r w:rsidRPr="00023B55">
        <w:t xml:space="preserve"> s'aligne étroitement sur l'ODD 9 (Industrie, innovation et infrastructure) défini par les Nations Unies, aspect central pour l'UIT.</w:t>
      </w:r>
    </w:p>
    <w:p w14:paraId="6C97E481" w14:textId="77777777" w:rsidR="0049037C" w:rsidRPr="00023B55" w:rsidRDefault="00A27143" w:rsidP="00F52608">
      <w:pPr>
        <w:jc w:val="both"/>
      </w:pPr>
      <w:r w:rsidRPr="00023B55">
        <w:t>Les initiatives menées par l'UIT et ses partenaires démontrent qu'il est essentiel de disposer de solutions numériques pour améliorer l'éducation, les soins de santé, la croissance économique et la durabilité environnementale.</w:t>
      </w:r>
    </w:p>
    <w:p w14:paraId="401A1B83" w14:textId="77777777" w:rsidR="0049037C" w:rsidRPr="00023B55" w:rsidRDefault="00A27143" w:rsidP="00F52608">
      <w:pPr>
        <w:jc w:val="both"/>
      </w:pPr>
      <w:r w:rsidRPr="00023B55">
        <w:t xml:space="preserve">Depuis 2016, la base de données de l'inventaire des activités du SMSI rassemble les projets numériques et rend compte de la manière dont ils contribuent à la réalisation des objectifs mondiaux, et le </w:t>
      </w:r>
      <w:hyperlink r:id="rId53" w:history="1">
        <w:r w:rsidRPr="00023B55">
          <w:rPr>
            <w:rStyle w:val="Hyperlink"/>
            <w:rFonts w:eastAsia="Times New Roman" w:cs="Times New Roman"/>
            <w:szCs w:val="20"/>
          </w:rPr>
          <w:t>Prix du SMSI</w:t>
        </w:r>
      </w:hyperlink>
      <w:r w:rsidRPr="00023B55">
        <w:t xml:space="preserve"> récompense les projets et initiatives exceptionnels.</w:t>
      </w:r>
    </w:p>
    <w:p w14:paraId="07656AAC" w14:textId="1A260853" w:rsidR="00A27143" w:rsidRPr="00023B55" w:rsidRDefault="00A27143" w:rsidP="00F52608">
      <w:pPr>
        <w:pStyle w:val="Headingb"/>
        <w:jc w:val="both"/>
      </w:pPr>
      <w:r w:rsidRPr="00023B55">
        <w:t>Plan d'action de Genève: situation actuelle</w:t>
      </w:r>
    </w:p>
    <w:p w14:paraId="58BA028D" w14:textId="77777777" w:rsidR="00A27143" w:rsidRPr="00023B55" w:rsidRDefault="00A27143" w:rsidP="00F52608">
      <w:pPr>
        <w:jc w:val="both"/>
      </w:pPr>
      <w:r w:rsidRPr="00023B55">
        <w:t>Le Plan d'action de Genève visait à façonner une société de l'information inclusive en tirant parti des technologies pour réduire la fracture numérique et promouvoir le développement durable. Au cours des 20 dernières années, des progrès significatifs ont été réalisés dans divers domaines, notamment la connectivité, l'infrastructure numérique, le renforcement des capacités, la cybersécurité, l'inclusion numérique et les services en ligne.</w:t>
      </w:r>
    </w:p>
    <w:p w14:paraId="7300D2A8" w14:textId="567A801F" w:rsidR="00A27143" w:rsidRPr="00023B55" w:rsidRDefault="00A27143" w:rsidP="00F52608">
      <w:pPr>
        <w:jc w:val="both"/>
      </w:pPr>
      <w:r w:rsidRPr="00023B55">
        <w:rPr>
          <w:b/>
          <w:bCs/>
        </w:rPr>
        <w:t>Connectivité améliorée</w:t>
      </w:r>
      <w:r w:rsidRPr="00023B55">
        <w:t xml:space="preserve">: </w:t>
      </w:r>
      <w:r w:rsidR="00AA6348" w:rsidRPr="00023B55">
        <w:t>l</w:t>
      </w:r>
      <w:r w:rsidRPr="00023B55">
        <w:t>a connectivité mondiale s'est considérablement améliorée depuis l'adoption du Plan d'action de Genève. L'utilisation de l'Internet est passée de 16% en 2005 à</w:t>
      </w:r>
      <w:r w:rsidR="001F3EAE" w:rsidRPr="00023B55">
        <w:t> </w:t>
      </w:r>
      <w:r w:rsidRPr="00023B55">
        <w:t>68% à la fin de l'année 2024. Cet essor va de pair avec l'expansion de l'infrastructure large bande, la multiplication des technologies mobiles et les initiatives visant à rendre l'accès à Internet plus accessible et financièrement abordable. Le nombre d'abonnements à la téléphonie cellulaire mobile dans le monde dépasse les 9 milliards, ce qui indique une connectivité mobile pratiquement universelle</w:t>
      </w:r>
      <w:r w:rsidR="002801AE" w:rsidRPr="00023B55">
        <w:rPr>
          <w:rStyle w:val="FootnoteReference"/>
        </w:rPr>
        <w:footnoteReference w:id="2"/>
      </w:r>
      <w:r w:rsidRPr="00023B55">
        <w:t>.</w:t>
      </w:r>
    </w:p>
    <w:p w14:paraId="019E6568" w14:textId="17CC0E01" w:rsidR="00A27143" w:rsidRPr="00023B55" w:rsidRDefault="00A27143" w:rsidP="00F52608">
      <w:pPr>
        <w:jc w:val="both"/>
      </w:pPr>
      <w:r w:rsidRPr="00023B55">
        <w:rPr>
          <w:b/>
          <w:bCs/>
        </w:rPr>
        <w:t>Développement de l'infrastructure</w:t>
      </w:r>
      <w:r w:rsidRPr="00023B55">
        <w:t xml:space="preserve">: </w:t>
      </w:r>
      <w:r w:rsidR="00D10818" w:rsidRPr="00023B55">
        <w:t>p</w:t>
      </w:r>
      <w:r w:rsidRPr="00023B55">
        <w:t>armi les avancées significatives, on peut citer l'expansion des réseaux large bande, la mise en place de points d'échange Internet (IXP) et l'amélioration de la connectivité par satellite. Ces progrès ont permis d'améliorer la connectivité Internet, de réduire les coûts et d'étendre l'accès aux zones reculées et mal desservies.</w:t>
      </w:r>
    </w:p>
    <w:p w14:paraId="34A4E953" w14:textId="0CFFABFC" w:rsidR="00A27143" w:rsidRPr="00023B55" w:rsidRDefault="00A27143" w:rsidP="00F52608">
      <w:pPr>
        <w:jc w:val="both"/>
      </w:pPr>
      <w:r w:rsidRPr="00023B55">
        <w:rPr>
          <w:b/>
          <w:bCs/>
        </w:rPr>
        <w:t>Renforcement des capacités et développement des compétences numériques</w:t>
      </w:r>
      <w:r w:rsidRPr="00023B55">
        <w:t xml:space="preserve">: </w:t>
      </w:r>
      <w:r w:rsidR="00D10818" w:rsidRPr="00023B55">
        <w:t>l</w:t>
      </w:r>
      <w:r w:rsidRPr="00023B55">
        <w:t>es personnes et les institutions ont besoin d'aide pour renforcer leurs capacités à utiliser efficacement les technologies. L'</w:t>
      </w:r>
      <w:hyperlink r:id="rId54" w:anchor="/fr" w:history="1">
        <w:r w:rsidRPr="00023B55">
          <w:rPr>
            <w:rStyle w:val="Hyperlink"/>
            <w:rFonts w:eastAsia="Times New Roman" w:cs="Times New Roman"/>
            <w:szCs w:val="20"/>
          </w:rPr>
          <w:t>Académie de l'UIT</w:t>
        </w:r>
      </w:hyperlink>
      <w:r w:rsidRPr="00023B55">
        <w:t xml:space="preserve"> a dispensé des formations à plus de</w:t>
      </w:r>
      <w:r w:rsidR="00D10818" w:rsidRPr="00023B55">
        <w:t> </w:t>
      </w:r>
      <w:r w:rsidRPr="00023B55">
        <w:t>45</w:t>
      </w:r>
      <w:r w:rsidR="00D10818" w:rsidRPr="00023B55">
        <w:t> </w:t>
      </w:r>
      <w:r w:rsidRPr="00023B55">
        <w:t xml:space="preserve">000 apprenants de pays du monde entier, portant sur des sujets tels que l'Internet large bande fixe et mobile de demain, l'Internet des objets (IoT), les mégadonnées et l'IA, ainsi que le dernier kilomètre de la connectivité Internet, l'infrastructure numérique, la gestion du spectre des fréquences radioélectriques, la cybersécurité et la gouvernance de l'IA. Des initiatives telles que le </w:t>
      </w:r>
      <w:hyperlink r:id="rId55" w:history="1">
        <w:r w:rsidRPr="00023B55">
          <w:rPr>
            <w:rStyle w:val="Hyperlink"/>
            <w:rFonts w:eastAsia="Times New Roman" w:cs="Times New Roman"/>
            <w:szCs w:val="20"/>
          </w:rPr>
          <w:t>Partenariat mondial EQUALS</w:t>
        </w:r>
      </w:hyperlink>
      <w:r w:rsidRPr="00023B55">
        <w:t xml:space="preserve"> et </w:t>
      </w:r>
      <w:hyperlink r:id="rId56" w:history="1">
        <w:r w:rsidRPr="00023B55">
          <w:rPr>
            <w:rStyle w:val="Hyperlink"/>
            <w:rFonts w:eastAsia="Times New Roman" w:cs="Times New Roman"/>
            <w:szCs w:val="20"/>
          </w:rPr>
          <w:t>Her CyberTracks</w:t>
        </w:r>
      </w:hyperlink>
      <w:r w:rsidRPr="00023B55">
        <w:t xml:space="preserve"> ont permis à des milliers de femmes et de filles d'accéder à des formations en compétences numériques, favorisant ainsi l'égalité hommes-femmes dans le secteur mondial de la technologie. De plus, les </w:t>
      </w:r>
      <w:hyperlink r:id="rId57" w:anchor="/fr" w:history="1">
        <w:r w:rsidRPr="00023B55">
          <w:rPr>
            <w:rStyle w:val="Hyperlink"/>
            <w:rFonts w:eastAsia="Times New Roman" w:cs="Times New Roman"/>
            <w:szCs w:val="20"/>
          </w:rPr>
          <w:t>centres de transformation numérique</w:t>
        </w:r>
      </w:hyperlink>
      <w:r w:rsidRPr="00023B55">
        <w:t xml:space="preserve"> ont dispensé des formations aux communautés mal desservies et </w:t>
      </w:r>
      <w:r w:rsidRPr="00023B55">
        <w:lastRenderedPageBreak/>
        <w:t>éloignées, plus de 77 000 participants (55% de femmes) ayant été touchés par cette initiative au cours du premier semestre de 2024</w:t>
      </w:r>
      <w:r w:rsidR="00D10818" w:rsidRPr="00023B55">
        <w:rPr>
          <w:rStyle w:val="FootnoteReference"/>
        </w:rPr>
        <w:footnoteReference w:id="3"/>
      </w:r>
      <w:r w:rsidRPr="00023B55">
        <w:t>.</w:t>
      </w:r>
    </w:p>
    <w:p w14:paraId="3597E4E1" w14:textId="1CB8EA07" w:rsidR="00A27143" w:rsidRPr="00023B55" w:rsidRDefault="00A27143" w:rsidP="00F52608">
      <w:pPr>
        <w:jc w:val="both"/>
      </w:pPr>
      <w:r w:rsidRPr="00023B55">
        <w:rPr>
          <w:b/>
          <w:bCs/>
        </w:rPr>
        <w:t>Promotion de la cybersécurité</w:t>
      </w:r>
      <w:r w:rsidRPr="00023B55">
        <w:t xml:space="preserve">: </w:t>
      </w:r>
      <w:r w:rsidR="00D10818" w:rsidRPr="00023B55">
        <w:t>a</w:t>
      </w:r>
      <w:r w:rsidRPr="00023B55">
        <w:t xml:space="preserve">ssurer un environnement numérique sûr et sécurisé est un aspect essentiel du déploiement d'une connectivité efficace. Le </w:t>
      </w:r>
      <w:hyperlink r:id="rId58" w:history="1">
        <w:r w:rsidRPr="00023B55">
          <w:rPr>
            <w:rStyle w:val="Hyperlink"/>
            <w:rFonts w:eastAsia="Times New Roman" w:cs="Times New Roman"/>
            <w:szCs w:val="20"/>
          </w:rPr>
          <w:t>GCA</w:t>
        </w:r>
      </w:hyperlink>
      <w:r w:rsidRPr="00023B55">
        <w:t xml:space="preserve"> de l'UIT offre un cadre complet destiné à promouvoir la cybersécurité et à instaurer un climat de confiance dans l'utilisation des technologies numériques. L'UIT a élaboré des normes internationales de cybersécurité, aidé les pays à mettre en place des </w:t>
      </w:r>
      <w:hyperlink r:id="rId59" w:history="1">
        <w:r w:rsidRPr="00023B55">
          <w:rPr>
            <w:rStyle w:val="Hyperlink"/>
            <w:rFonts w:eastAsia="Times New Roman" w:cs="Times New Roman"/>
            <w:szCs w:val="20"/>
          </w:rPr>
          <w:t>équipes d'intervention en cas d'incident informatique</w:t>
        </w:r>
      </w:hyperlink>
      <w:r w:rsidRPr="00023B55">
        <w:t xml:space="preserve"> (CIRT) aux niveaux national et régional ainsi que des stratégies nationales de cybersécurité, organisé des cyberexercices, lancé l'</w:t>
      </w:r>
      <w:hyperlink r:id="rId60" w:history="1">
        <w:r w:rsidRPr="00023B55">
          <w:rPr>
            <w:rStyle w:val="Hyperlink"/>
            <w:rFonts w:eastAsia="Times New Roman" w:cs="Times New Roman"/>
            <w:szCs w:val="20"/>
          </w:rPr>
          <w:t>Indice mondial de cybersécurité</w:t>
        </w:r>
      </w:hyperlink>
      <w:r w:rsidRPr="00023B55">
        <w:t xml:space="preserve"> (GCI) de l'UIT et promu des campagnes de sensibilisation et l'adoption de politiques visant à protéger les enfants en ligne.</w:t>
      </w:r>
    </w:p>
    <w:p w14:paraId="1F3454E8" w14:textId="16334A0B" w:rsidR="00A27143" w:rsidRPr="00023B55" w:rsidRDefault="00A27143" w:rsidP="00F52608">
      <w:pPr>
        <w:jc w:val="both"/>
      </w:pPr>
      <w:r w:rsidRPr="00023B55">
        <w:rPr>
          <w:b/>
          <w:bCs/>
        </w:rPr>
        <w:t>Inclusion numérique et accessibilité</w:t>
      </w:r>
      <w:r w:rsidRPr="00023B55">
        <w:t xml:space="preserve">: </w:t>
      </w:r>
      <w:r w:rsidR="00D10818" w:rsidRPr="00023B55">
        <w:t>c</w:t>
      </w:r>
      <w:r w:rsidRPr="00023B55">
        <w:t xml:space="preserve">onformément au Plan d'action de Genève et à son appel en faveur de l'inclusion numérique à l'échelle mondiale, l'UIT a mis en œuvre de nombreux projets visant à rendre la technologie accessible aux </w:t>
      </w:r>
      <w:hyperlink r:id="rId61" w:history="1">
        <w:r w:rsidRPr="00023B55">
          <w:rPr>
            <w:rStyle w:val="Hyperlink"/>
            <w:rFonts w:eastAsia="Times New Roman" w:cs="Times New Roman"/>
            <w:szCs w:val="20"/>
          </w:rPr>
          <w:t>communautés mal desservies et marginalisées</w:t>
        </w:r>
      </w:hyperlink>
      <w:r w:rsidRPr="00023B55">
        <w:t>. Les normes internationales ont contribué à rendre les produits et services numériques accessibles à tous, quel que soit le niveau de maîtrise.</w:t>
      </w:r>
    </w:p>
    <w:p w14:paraId="35AA1D40" w14:textId="63879E77" w:rsidR="00A27143" w:rsidRPr="00023B55" w:rsidRDefault="00A27143" w:rsidP="00F52608">
      <w:pPr>
        <w:jc w:val="both"/>
      </w:pPr>
      <w:r w:rsidRPr="00023B55">
        <w:rPr>
          <w:b/>
          <w:bCs/>
        </w:rPr>
        <w:t>Services en ligne</w:t>
      </w:r>
      <w:r w:rsidRPr="00023B55">
        <w:t xml:space="preserve">: </w:t>
      </w:r>
      <w:r w:rsidR="00D10818" w:rsidRPr="00023B55">
        <w:t>l</w:t>
      </w:r>
      <w:r w:rsidRPr="00023B55">
        <w:t xml:space="preserve">es </w:t>
      </w:r>
      <w:hyperlink r:id="rId62" w:history="1">
        <w:r w:rsidRPr="00023B55">
          <w:rPr>
            <w:rStyle w:val="Hyperlink"/>
            <w:rFonts w:eastAsia="Times New Roman" w:cs="Times New Roman"/>
            <w:szCs w:val="20"/>
          </w:rPr>
          <w:t>applications électroniques</w:t>
        </w:r>
      </w:hyperlink>
      <w:r w:rsidRPr="00023B55">
        <w:t xml:space="preserve"> ont considérablement amélioré l'administration publique, les soins de santé, l'éducation et le commerce. Les services d'administration en ligne ont permis de renforcer l'efficacité et la transparence de l'administration publique, tandis que les initiatives de télémédecine ont contribué à la fourniture de services de santé à distance aux communautés mal desservies.</w:t>
      </w:r>
    </w:p>
    <w:p w14:paraId="5A30F957" w14:textId="021B8F3B" w:rsidR="00A27143" w:rsidRPr="00023B55" w:rsidRDefault="00A27143" w:rsidP="00F52608">
      <w:pPr>
        <w:jc w:val="both"/>
      </w:pPr>
      <w:r w:rsidRPr="00023B55">
        <w:rPr>
          <w:b/>
          <w:bCs/>
        </w:rPr>
        <w:t>Coopération internationale et régionale</w:t>
      </w:r>
      <w:r w:rsidRPr="00023B55">
        <w:t xml:space="preserve">: </w:t>
      </w:r>
      <w:r w:rsidR="00D10818" w:rsidRPr="00023B55">
        <w:t>l</w:t>
      </w:r>
      <w:r w:rsidRPr="00023B55">
        <w:t>a promotion de la coopération internationale et régionale a été la pierre angulaire du Plan d'action de Genève. L'UIT collabore avec un large éventail d'organisations internationales et régionales pour promouvoir les résultats du SMSI et la technologie au service du développement.</w:t>
      </w:r>
    </w:p>
    <w:p w14:paraId="094C3C1C" w14:textId="77777777" w:rsidR="0049037C" w:rsidRPr="00023B55" w:rsidRDefault="00A27143" w:rsidP="00F52608">
      <w:pPr>
        <w:jc w:val="both"/>
      </w:pPr>
      <w:r w:rsidRPr="00023B55">
        <w:t>Dans l'ensemble, le Plan d'action de Genève a permis des progrès significatifs dans divers domaines, grâce aux actions collectives de toutes les parties prenantes, aidés par une coordination continue dans le cadre du mécanisme du SMSI.</w:t>
      </w:r>
    </w:p>
    <w:p w14:paraId="0A54C108" w14:textId="449E55BE" w:rsidR="00A27143" w:rsidRPr="00023B55" w:rsidRDefault="00A27143" w:rsidP="00F52608">
      <w:pPr>
        <w:pStyle w:val="Headingb"/>
        <w:jc w:val="both"/>
      </w:pPr>
      <w:r w:rsidRPr="00023B55">
        <w:t>Adaptation et évolution</w:t>
      </w:r>
    </w:p>
    <w:p w14:paraId="707DF405" w14:textId="77777777" w:rsidR="00A27143" w:rsidRPr="00023B55" w:rsidRDefault="00A27143" w:rsidP="00F52608">
      <w:pPr>
        <w:jc w:val="both"/>
      </w:pPr>
      <w:r w:rsidRPr="00023B55">
        <w:t>Le processus du SMSI a considérablement évolué au fil des ans, en particulier en ce qui concerne son alignement sur les priorités mondiales en matière de développement numérique et les cadres multilatéraux émergents. S'appuyant sur un modèle multi-parties prenantes, le processus du SMSI et ses grandes orientations ont été adaptés en permanence aux tendances technologiques émergentes et aux priorités en matière de développement, ce qui témoigne de sa particularité unique de rester en phase avec un monde numérique en pleine évolution. Aujourd'hui, à l'approche du SMSI+20 et compte tenu des perspectives pour l'après-2025, cette adaptabilité revêt une importance encore plus fondamentale.</w:t>
      </w:r>
    </w:p>
    <w:p w14:paraId="2B0752C9" w14:textId="408B2F1E" w:rsidR="00A27143" w:rsidRPr="00023B55" w:rsidRDefault="00A27143" w:rsidP="00F52608">
      <w:pPr>
        <w:jc w:val="both"/>
      </w:pPr>
      <w:r w:rsidRPr="00023B55">
        <w:t xml:space="preserve">Les progrès accomplis dans l'informatique en nuage, l'IA, la robotique et les technologies spatiales offrent de nouvelles possibilités d'innovation et de développement. Les travaux de l'UIT en matière de normalisation et d'élaboration de politiques sont essentiels pour enrichir les discussions du SMSI à cet égard et pour garantir que ces technologies soient déployées de manière responsable et éthique. Les </w:t>
      </w:r>
      <w:hyperlink r:id="rId63" w:history="1">
        <w:r w:rsidRPr="00023B55">
          <w:rPr>
            <w:rStyle w:val="Hyperlink"/>
            <w:rFonts w:eastAsia="Times New Roman" w:cs="Times New Roman"/>
            <w:szCs w:val="20"/>
          </w:rPr>
          <w:t xml:space="preserve">commissions d'études du Secteur de la normalisation </w:t>
        </w:r>
        <w:r w:rsidRPr="00023B55">
          <w:rPr>
            <w:rStyle w:val="Hyperlink"/>
            <w:rFonts w:eastAsia="Times New Roman" w:cs="Times New Roman"/>
            <w:szCs w:val="20"/>
          </w:rPr>
          <w:lastRenderedPageBreak/>
          <w:t>(UIT-T)</w:t>
        </w:r>
      </w:hyperlink>
      <w:r w:rsidRPr="00023B55">
        <w:t xml:space="preserve"> s'emploient à élaborer des normes internationales concernant les technologies émergentes et à promouvoir l'interopérabilité et la sécurité, notamment dans les domaines de l'IA, de la 5G, de l'IoT et de l'informatique quantique. Les travaux du </w:t>
      </w:r>
      <w:hyperlink r:id="rId64" w:history="1">
        <w:r w:rsidRPr="00023B55">
          <w:rPr>
            <w:rStyle w:val="Hyperlink"/>
            <w:rFonts w:eastAsia="Times New Roman" w:cs="Times New Roman"/>
            <w:szCs w:val="20"/>
          </w:rPr>
          <w:t>Secteur des radiocommunications (UIT-R)</w:t>
        </w:r>
      </w:hyperlink>
      <w:r w:rsidRPr="00023B55">
        <w:t xml:space="preserve"> de l'UIT se poursuivent pour répondre à l'évolution constante des communications modernes, y compris l'identification de fréquences additionnelles pour les Télécommunications mobiles internationales (IMT). Le Secteur du développement des télécommunications (UIT-D) aide les pays à suivre l'évolution rapide de la technologie et de la réglementation.</w:t>
      </w:r>
    </w:p>
    <w:p w14:paraId="4A17EE5E" w14:textId="77777777" w:rsidR="0049037C" w:rsidRPr="00023B55" w:rsidRDefault="00A27143" w:rsidP="00F52608">
      <w:pPr>
        <w:jc w:val="both"/>
      </w:pPr>
      <w:r w:rsidRPr="00023B55">
        <w:t xml:space="preserve">Le Forum annuel du SMSI est devenu un lieu de rencontre pour débattre de manière approfondie de l'éthique de l'IA et des cadres de gouvernance, ainsi que de la coopération et de la coordination en matière de développement et de déploiement de l'IA. En tirant parti du </w:t>
      </w:r>
      <w:hyperlink r:id="rId65" w:history="1">
        <w:r w:rsidRPr="00023B55">
          <w:rPr>
            <w:rStyle w:val="Hyperlink"/>
            <w:rFonts w:eastAsia="Times New Roman" w:cs="Times New Roman"/>
            <w:szCs w:val="20"/>
          </w:rPr>
          <w:t>Groupe de travail interinstitutions sur l'IA (GTI-IA)</w:t>
        </w:r>
      </w:hyperlink>
      <w:r w:rsidRPr="00023B55">
        <w:t xml:space="preserve"> et d'autres partenaires des Nations Unies, l'UIT coordonne les contributions et prépare le rapport annuel sur les activités des Nations Unies relatives à l'IA. Des initiatives telles que le Sommet sur l'</w:t>
      </w:r>
      <w:hyperlink r:id="rId66" w:anchor="/fr" w:history="1">
        <w:r w:rsidRPr="00023B55">
          <w:rPr>
            <w:rStyle w:val="Hyperlink"/>
            <w:rFonts w:eastAsia="Times New Roman" w:cs="Times New Roman"/>
            <w:szCs w:val="20"/>
          </w:rPr>
          <w:t>IA au service du bien social</w:t>
        </w:r>
      </w:hyperlink>
      <w:r w:rsidRPr="00023B55">
        <w:t xml:space="preserve"> illustrent une fois de plus la manière dont les actions alignées sur le SMSI permettent de concrétiser la promesse d'utiliser les technologies numériques pour relever les défis mondiaux, de l'éducation et des soins de santé à la lutte contre les changements climatiques et à la croissance économique inclusive.</w:t>
      </w:r>
    </w:p>
    <w:p w14:paraId="38F482D2" w14:textId="61EBF1BB" w:rsidR="00A27143" w:rsidRPr="00023B55" w:rsidRDefault="00A27143" w:rsidP="00F52608">
      <w:pPr>
        <w:jc w:val="both"/>
      </w:pPr>
      <w:r w:rsidRPr="00023B55">
        <w:t xml:space="preserve">Au cours de la </w:t>
      </w:r>
      <w:hyperlink r:id="rId67" w:history="1">
        <w:r w:rsidRPr="00023B55">
          <w:rPr>
            <w:rStyle w:val="Hyperlink"/>
            <w:rFonts w:eastAsia="Times New Roman" w:cs="Times New Roman"/>
            <w:szCs w:val="20"/>
          </w:rPr>
          <w:t>manifestation de haut niveau du Forum SMSI+20 de 2024</w:t>
        </w:r>
      </w:hyperlink>
      <w:r w:rsidRPr="00023B55">
        <w:t>, un grand nombre de questions ont été examinées, notamment les technologies émergentes, l'inclusion numérique, les processus de gouvernance numérique, la santé numérique, la connectivité universelle, la transformation numérique durable, la cybersécurité et l'infrastructure publique numérique, compte tenu du Sommet de l'avenir de l'ONU, du Pacte numérique mondial et du prochain examen du SMSI+20. Les résultats de la manifestation mettent en évidence le processus du SMSI en tant que cadre existant et éprouvé, notamment au regard des grandes orientations du SMSI, du Forum du SMSI et de l'inventaire des activités du SMSI, en vue de mettre en œuvre les engagements pris au niveau mondial en matière de numérique et de progresser de manière coordonnée, inclusive et efficace.</w:t>
      </w:r>
    </w:p>
    <w:p w14:paraId="4AA0477F" w14:textId="4813EE40" w:rsidR="00A27143" w:rsidRPr="00023B55" w:rsidRDefault="00A27143" w:rsidP="00F52608">
      <w:pPr>
        <w:jc w:val="both"/>
      </w:pPr>
      <w:r w:rsidRPr="00023B55">
        <w:t>En sa qualité de coordonnateur principal de plusieurs grandes orientations du SMSI et organisateur du Forum du SMSI, de l'inventaire des activités du SMSI et du Prix du SMSI, l'UIT est à l'avant-garde de la mise en œuvre des résultats du SMSI et contribue ainsi à accélérer les progrès dans le domaine du développement numérique à l'échelle mondiale. Aujourd'hui plus que jamais, l'UIT, les États Membres de l'UIT, les membres de l'UIT et les parties prenantes sont appelés à renouveler et à renforcer leur attachement au processus du</w:t>
      </w:r>
      <w:r w:rsidR="00670869" w:rsidRPr="00023B55">
        <w:t> </w:t>
      </w:r>
      <w:r w:rsidRPr="00023B55">
        <w:t>SMSI. Ce faisant, on a la certitude que les technologies numériques continuent de servir le bien social, en accélérant le développement, en réduisant les inégalités et en bâtissant un avenir numérique synonyme de progrès pour tous.</w:t>
      </w:r>
    </w:p>
    <w:p w14:paraId="65621AC7" w14:textId="6685ADD3" w:rsidR="00D810CA" w:rsidRPr="00023B55" w:rsidRDefault="00D810CA" w:rsidP="00F52608">
      <w:pPr>
        <w:pStyle w:val="Heading1"/>
        <w:jc w:val="both"/>
      </w:pPr>
      <w:bookmarkStart w:id="4" w:name="_Toc200377655"/>
      <w:r w:rsidRPr="00023B55">
        <w:t>b</w:t>
      </w:r>
      <w:r w:rsidR="009D6221" w:rsidRPr="00023B55">
        <w:t>)</w:t>
      </w:r>
      <w:r w:rsidRPr="00023B55">
        <w:tab/>
        <w:t>Rôle de coordonnateur de l'UIT</w:t>
      </w:r>
      <w:bookmarkEnd w:id="4"/>
    </w:p>
    <w:p w14:paraId="7FAA4218" w14:textId="071CC1DB" w:rsidR="00D810CA" w:rsidRPr="00023B55" w:rsidRDefault="00D810CA" w:rsidP="00F52608">
      <w:pPr>
        <w:jc w:val="both"/>
      </w:pPr>
      <w:r w:rsidRPr="00023B55">
        <w:t xml:space="preserve">L'UIT continue de jouer un rôle de chef de file dans le processus du SMSI afin d'assurer une large participation des parties prenantes et une mise en œuvre efficace. L'Union accueille le Forum annuel du SMSI, tient à jour la base de données de l'inventaire des activités du SMSI et amène les secteurs public et privé à prendre de nouveaux engagements visant à investir dans une connectivité au profit de tous les habitants de la planète. L'UIT travaille en étroite collaboration avec les Nations Unies et d'autres partenaires pour promouvoir une </w:t>
      </w:r>
      <w:r w:rsidRPr="00023B55">
        <w:lastRenderedPageBreak/>
        <w:t xml:space="preserve">transformation numérique durable pour tous, notamment par le biais de mécanismes tels que le </w:t>
      </w:r>
      <w:hyperlink r:id="rId68" w:history="1">
        <w:r w:rsidRPr="00023B55">
          <w:rPr>
            <w:rStyle w:val="Hyperlink"/>
            <w:rFonts w:eastAsia="Times New Roman" w:cs="Times New Roman"/>
            <w:szCs w:val="20"/>
          </w:rPr>
          <w:t>Groupe UNGIS</w:t>
        </w:r>
      </w:hyperlink>
      <w:r w:rsidRPr="00023B55">
        <w:t xml:space="preserve"> et le </w:t>
      </w:r>
      <w:hyperlink r:id="rId69" w:history="1">
        <w:r w:rsidRPr="00023B55">
          <w:rPr>
            <w:rStyle w:val="Hyperlink"/>
            <w:rFonts w:eastAsia="Times New Roman" w:cs="Times New Roman"/>
            <w:szCs w:val="20"/>
          </w:rPr>
          <w:t>Partenariat sur la mesure des TIC au service du développement</w:t>
        </w:r>
      </w:hyperlink>
      <w:r w:rsidRPr="00023B55">
        <w:t>.</w:t>
      </w:r>
    </w:p>
    <w:p w14:paraId="5BA51BB6" w14:textId="77777777" w:rsidR="0049037C" w:rsidRPr="00023B55" w:rsidRDefault="00D810CA" w:rsidP="00F52608">
      <w:pPr>
        <w:jc w:val="both"/>
      </w:pPr>
      <w:r w:rsidRPr="00023B55">
        <w:t xml:space="preserve">L'UIT a toujours veillé à ce que les parties prenantes participent largement et de manière dynamique et à ce que les initiatives du SMSI soient mises en œuvre de façon efficace. Les organes directeurs de l'UIT, tels que la Conférence de plénipotentiaires, le Conseil et le </w:t>
      </w:r>
      <w:hyperlink r:id="rId70" w:history="1">
        <w:r w:rsidRPr="00023B55">
          <w:rPr>
            <w:rStyle w:val="Hyperlink"/>
            <w:rFonts w:eastAsia="Times New Roman" w:cs="Times New Roman"/>
            <w:szCs w:val="20"/>
          </w:rPr>
          <w:t>Groupe de travail du Conseil sur le SMSI et les ODD</w:t>
        </w:r>
      </w:hyperlink>
      <w:r w:rsidRPr="00023B55">
        <w:t>, définissent une orientation stratégique à l'appui de la vision du SMSI en matière de coopération numérique et de développement durable. La mobilisation générale dans le contexte du SMSI témoigne du rôle que joue l'UIT en sa qualité d'institution spécialisée des Nations Unies pour les technologies numériques.</w:t>
      </w:r>
    </w:p>
    <w:p w14:paraId="1409DB3E" w14:textId="13205D39" w:rsidR="00D810CA" w:rsidRPr="00023B55" w:rsidRDefault="00D810CA" w:rsidP="00F52608">
      <w:pPr>
        <w:jc w:val="both"/>
      </w:pPr>
      <w:r w:rsidRPr="00023B55">
        <w:t xml:space="preserve">Les </w:t>
      </w:r>
      <w:hyperlink r:id="rId71" w:history="1">
        <w:r w:rsidRPr="00023B55">
          <w:rPr>
            <w:rStyle w:val="Hyperlink"/>
            <w:rFonts w:eastAsia="Times New Roman" w:cs="Times New Roman"/>
            <w:szCs w:val="20"/>
          </w:rPr>
          <w:t>rapports annuels de l'UIT sur la contribution de l'Union à la mise en œuvre des résultats du SMSI</w:t>
        </w:r>
      </w:hyperlink>
      <w:r w:rsidRPr="00023B55">
        <w:t xml:space="preserve"> font partie d'une série de rapports portant sur les activités annuelles menées par l'Union dans le cadre du SMSI. Les rapports fournissent des renseignements détaillés sur les principales initiatives et activités liées au SMSI qui sont menées à bien par les trois Secteurs de l'Union (Secteur de la normalisation, Secteur des radiocommunications et Secteur du développement), ainsi que par le Secrétariat général. Ces rapports donnent des informations à jour sur les tâches réalisées par l'UIT au niveau opérationnel et sur le plan des politiques et couvrant tous les mandats qui lui sont attribués en relation avec le processus du SMSI, notamment:</w:t>
      </w:r>
    </w:p>
    <w:p w14:paraId="592C8355" w14:textId="01FE445D" w:rsidR="00D810CA" w:rsidRPr="00023B55" w:rsidRDefault="00D810CA" w:rsidP="00F52608">
      <w:pPr>
        <w:pStyle w:val="enumlev1"/>
        <w:jc w:val="both"/>
      </w:pPr>
      <w:r w:rsidRPr="00023B55">
        <w:t>–</w:t>
      </w:r>
      <w:r w:rsidRPr="00023B55">
        <w:tab/>
        <w:t>coordonnateur principal (avec l'UNESCO et le PNUD) de la mise en œuvre multi-parties prenantes du Plan d'action de Genève;</w:t>
      </w:r>
    </w:p>
    <w:p w14:paraId="1BB73B5B" w14:textId="5EE13C6B" w:rsidR="00D810CA" w:rsidRPr="00023B55" w:rsidRDefault="00D810CA" w:rsidP="00F52608">
      <w:pPr>
        <w:pStyle w:val="enumlev1"/>
        <w:jc w:val="both"/>
      </w:pPr>
      <w:r w:rsidRPr="00023B55">
        <w:t>–</w:t>
      </w:r>
      <w:r w:rsidRPr="00023B55">
        <w:tab/>
        <w:t xml:space="preserve">coordonnateur des </w:t>
      </w:r>
      <w:r w:rsidR="003150D9" w:rsidRPr="00023B55">
        <w:t>g</w:t>
      </w:r>
      <w:r w:rsidRPr="00023B55">
        <w:t>randes orientations C2 (Infrastructure de l'information et de la communication), C4 (Renforcement des capacités) et C5 (Établir la confiance et la sécurité dans l'utilisation des TIC); à la demande du PNUD, l'UIT a accepté de jouer le rôle de coordonnateur de la</w:t>
      </w:r>
      <w:r w:rsidR="009D6221" w:rsidRPr="00023B55">
        <w:t xml:space="preserve"> </w:t>
      </w:r>
      <w:r w:rsidR="003150D9" w:rsidRPr="00023B55">
        <w:t>g</w:t>
      </w:r>
      <w:r w:rsidRPr="00023B55">
        <w:t>rande orientation C6 (Créer un environnement propice);</w:t>
      </w:r>
    </w:p>
    <w:p w14:paraId="5F6CE5FA" w14:textId="55E22065" w:rsidR="00D810CA" w:rsidRPr="00023B55" w:rsidRDefault="00D810CA" w:rsidP="00F52608">
      <w:pPr>
        <w:pStyle w:val="enumlev1"/>
        <w:jc w:val="both"/>
      </w:pPr>
      <w:r w:rsidRPr="00023B55">
        <w:t>–</w:t>
      </w:r>
      <w:r w:rsidRPr="00023B55">
        <w:tab/>
        <w:t xml:space="preserve">co-coordonnateur des </w:t>
      </w:r>
      <w:r w:rsidR="003150D9" w:rsidRPr="00023B55">
        <w:t>g</w:t>
      </w:r>
      <w:r w:rsidRPr="00023B55">
        <w:t xml:space="preserve">randes orientations C1, C3, C7, C8 et C11 et partenaire de la </w:t>
      </w:r>
      <w:r w:rsidR="003150D9" w:rsidRPr="00023B55">
        <w:t>g</w:t>
      </w:r>
      <w:r w:rsidRPr="00023B55">
        <w:t>rande orientation C9;</w:t>
      </w:r>
    </w:p>
    <w:p w14:paraId="6FBF9271" w14:textId="612EE2DC" w:rsidR="00D810CA" w:rsidRPr="00023B55" w:rsidRDefault="00D810CA" w:rsidP="00F52608">
      <w:pPr>
        <w:pStyle w:val="enumlev1"/>
        <w:jc w:val="both"/>
      </w:pPr>
      <w:r w:rsidRPr="00023B55">
        <w:t>–</w:t>
      </w:r>
      <w:r w:rsidRPr="00023B55">
        <w:tab/>
        <w:t>présidence tournante et secrétariat du Groupe UNGIS;</w:t>
      </w:r>
    </w:p>
    <w:p w14:paraId="2361E519" w14:textId="543B9E72" w:rsidR="00D810CA" w:rsidRPr="00023B55" w:rsidRDefault="00D810CA" w:rsidP="00F52608">
      <w:pPr>
        <w:pStyle w:val="enumlev1"/>
        <w:jc w:val="both"/>
      </w:pPr>
      <w:r w:rsidRPr="00023B55">
        <w:t>–</w:t>
      </w:r>
      <w:r w:rsidRPr="00023B55">
        <w:tab/>
        <w:t>membre du comité directeur et secrétariat du Partenariat sur la mesure des TIC au service du développement;</w:t>
      </w:r>
    </w:p>
    <w:p w14:paraId="7D9EC738" w14:textId="702481ED" w:rsidR="00D810CA" w:rsidRPr="00023B55" w:rsidRDefault="00D810CA" w:rsidP="00F52608">
      <w:pPr>
        <w:pStyle w:val="enumlev1"/>
        <w:jc w:val="both"/>
      </w:pPr>
      <w:r w:rsidRPr="00023B55">
        <w:t>–</w:t>
      </w:r>
      <w:r w:rsidRPr="00023B55">
        <w:tab/>
        <w:t>superviseur du processus d'inventaire des activités du SMSI;</w:t>
      </w:r>
    </w:p>
    <w:p w14:paraId="4F4DB910" w14:textId="6E957460" w:rsidR="00D810CA" w:rsidRPr="00023B55" w:rsidRDefault="00D810CA" w:rsidP="00F52608">
      <w:pPr>
        <w:pStyle w:val="enumlev1"/>
        <w:jc w:val="both"/>
      </w:pPr>
      <w:r w:rsidRPr="00023B55">
        <w:t>–</w:t>
      </w:r>
      <w:r w:rsidRPr="00023B55">
        <w:tab/>
        <w:t>initiateur et organisateur du Prix du SMSI;</w:t>
      </w:r>
    </w:p>
    <w:p w14:paraId="73C16F41" w14:textId="76E3E8DA" w:rsidR="00D810CA" w:rsidRPr="00023B55" w:rsidRDefault="00D810CA" w:rsidP="00F52608">
      <w:pPr>
        <w:pStyle w:val="enumlev1"/>
        <w:jc w:val="both"/>
      </w:pPr>
      <w:r w:rsidRPr="00023B55">
        <w:t>–</w:t>
      </w:r>
      <w:r w:rsidRPr="00023B55">
        <w:tab/>
        <w:t>responsable de la mise en œuvre d'autres résultats du SMSI.</w:t>
      </w:r>
    </w:p>
    <w:p w14:paraId="5ED605A6" w14:textId="787389E5" w:rsidR="00D810CA" w:rsidRPr="00023B55" w:rsidRDefault="00D810CA" w:rsidP="00F52608">
      <w:pPr>
        <w:keepNext/>
        <w:keepLines/>
        <w:jc w:val="both"/>
      </w:pPr>
      <w:r w:rsidRPr="00023B55">
        <w:t>Les rapports annuels ont valeur de communications officielles de l'UIT lors des différentes réunions internes et externes en rapport avec le processus du SMSI, telles que le Conseil de l'UIT, le Groupe de travail du Conseil sur le SMSI et les ODD et la Commission de la science et de la technique au service du développement (CSTD) sur les activités mises en œuvre au cours de l'année concernée en référence à la mise en œuvre et au suivi des résultats du</w:t>
      </w:r>
      <w:r w:rsidR="005D2362" w:rsidRPr="00023B55">
        <w:t> </w:t>
      </w:r>
      <w:r w:rsidRPr="00023B55">
        <w:t>SMSI.</w:t>
      </w:r>
    </w:p>
    <w:p w14:paraId="53A3A704" w14:textId="77777777" w:rsidR="00D810CA" w:rsidRPr="00023B55" w:rsidRDefault="00D810CA" w:rsidP="00F52608">
      <w:pPr>
        <w:pStyle w:val="Headingb"/>
        <w:jc w:val="both"/>
      </w:pPr>
      <w:r w:rsidRPr="00023B55">
        <w:t>Rapports annuels sur la contribution de l'UIT à la mise en œuvre des résultats du SMSI:</w:t>
      </w:r>
    </w:p>
    <w:p w14:paraId="484B2C01" w14:textId="3254AC4D" w:rsidR="00D810CA" w:rsidRPr="00023B55" w:rsidRDefault="00D07E4D" w:rsidP="00F52608">
      <w:pPr>
        <w:pStyle w:val="enumlev1"/>
        <w:jc w:val="both"/>
      </w:pPr>
      <w:r w:rsidRPr="00023B55">
        <w:t>–</w:t>
      </w:r>
      <w:r w:rsidR="00D810CA" w:rsidRPr="00023B55">
        <w:tab/>
      </w:r>
      <w:hyperlink r:id="rId72" w:history="1">
        <w:r w:rsidR="00D810CA" w:rsidRPr="00023B55">
          <w:rPr>
            <w:rStyle w:val="Hyperlink"/>
            <w:rFonts w:eastAsia="Times New Roman" w:cs="Times New Roman"/>
            <w:szCs w:val="20"/>
          </w:rPr>
          <w:t>Rapport sur la contribution de l'UIT à la mise en œuvre des résultats du SMSI (2024)</w:t>
        </w:r>
      </w:hyperlink>
    </w:p>
    <w:p w14:paraId="06E3FD41" w14:textId="5CC8E748" w:rsidR="00D810CA" w:rsidRPr="00023B55" w:rsidRDefault="00D07E4D" w:rsidP="00F52608">
      <w:pPr>
        <w:pStyle w:val="enumlev1"/>
        <w:jc w:val="both"/>
      </w:pPr>
      <w:r w:rsidRPr="00023B55">
        <w:t>–</w:t>
      </w:r>
      <w:r w:rsidR="00D810CA" w:rsidRPr="00023B55">
        <w:tab/>
      </w:r>
      <w:hyperlink r:id="rId73" w:history="1">
        <w:r w:rsidR="00D810CA" w:rsidRPr="00023B55">
          <w:rPr>
            <w:rStyle w:val="Hyperlink"/>
            <w:rFonts w:eastAsia="Times New Roman" w:cs="Times New Roman"/>
            <w:szCs w:val="20"/>
          </w:rPr>
          <w:t>Rapport sur la contribution de l'UIT à la mise en œuvre des résultats du SMSI (2023)</w:t>
        </w:r>
      </w:hyperlink>
    </w:p>
    <w:p w14:paraId="737766C0" w14:textId="0DD7AAA0" w:rsidR="00D810CA" w:rsidRPr="00023B55" w:rsidRDefault="00D07E4D" w:rsidP="00F52608">
      <w:pPr>
        <w:pStyle w:val="enumlev1"/>
        <w:jc w:val="both"/>
      </w:pPr>
      <w:r w:rsidRPr="00023B55">
        <w:t>–</w:t>
      </w:r>
      <w:r w:rsidR="00D810CA" w:rsidRPr="00023B55">
        <w:tab/>
      </w:r>
      <w:hyperlink r:id="rId74" w:history="1">
        <w:r w:rsidR="00D810CA" w:rsidRPr="00023B55">
          <w:rPr>
            <w:rStyle w:val="Hyperlink"/>
            <w:rFonts w:eastAsia="Times New Roman" w:cs="Times New Roman"/>
            <w:szCs w:val="20"/>
          </w:rPr>
          <w:t>Rapport sur la contribution de l'UIT à la mise en œuvre des résultats du SMSI (2022)</w:t>
        </w:r>
      </w:hyperlink>
    </w:p>
    <w:p w14:paraId="46ADC02C" w14:textId="301DEDEF" w:rsidR="00D810CA" w:rsidRPr="00023B55" w:rsidRDefault="00D07E4D" w:rsidP="00F52608">
      <w:pPr>
        <w:pStyle w:val="enumlev1"/>
        <w:jc w:val="both"/>
      </w:pPr>
      <w:r w:rsidRPr="00023B55">
        <w:t>–</w:t>
      </w:r>
      <w:r w:rsidR="00D810CA" w:rsidRPr="00023B55">
        <w:tab/>
      </w:r>
      <w:hyperlink r:id="rId75" w:history="1">
        <w:r w:rsidR="00D810CA" w:rsidRPr="00023B55">
          <w:rPr>
            <w:rStyle w:val="Hyperlink"/>
            <w:rFonts w:eastAsia="Times New Roman" w:cs="Times New Roman"/>
            <w:szCs w:val="20"/>
          </w:rPr>
          <w:t>Rapport sur la contribution de l'UIT à la mise en œuvre des résultats du SMSI (2021)</w:t>
        </w:r>
      </w:hyperlink>
    </w:p>
    <w:p w14:paraId="12B22B88" w14:textId="0856BFAC" w:rsidR="00D810CA" w:rsidRPr="00023B55" w:rsidRDefault="00D07E4D" w:rsidP="00F52608">
      <w:pPr>
        <w:pStyle w:val="enumlev1"/>
        <w:jc w:val="both"/>
      </w:pPr>
      <w:r w:rsidRPr="00023B55">
        <w:t>–</w:t>
      </w:r>
      <w:r w:rsidR="00D810CA" w:rsidRPr="00023B55">
        <w:tab/>
      </w:r>
      <w:hyperlink r:id="rId76" w:history="1">
        <w:r w:rsidR="00D810CA" w:rsidRPr="00023B55">
          <w:rPr>
            <w:rStyle w:val="Hyperlink"/>
            <w:rFonts w:eastAsia="Times New Roman" w:cs="Times New Roman"/>
            <w:szCs w:val="20"/>
          </w:rPr>
          <w:t>Rapport sur la contribution de l'UIT à la mise en œuvre des résultats du SMSI (2020)</w:t>
        </w:r>
      </w:hyperlink>
    </w:p>
    <w:p w14:paraId="583CC830" w14:textId="502975DD" w:rsidR="00D810CA" w:rsidRPr="00023B55" w:rsidRDefault="00D07E4D" w:rsidP="00F52608">
      <w:pPr>
        <w:pStyle w:val="enumlev1"/>
        <w:jc w:val="both"/>
      </w:pPr>
      <w:r w:rsidRPr="00023B55">
        <w:lastRenderedPageBreak/>
        <w:t>–</w:t>
      </w:r>
      <w:r w:rsidR="00D810CA" w:rsidRPr="00023B55">
        <w:tab/>
      </w:r>
      <w:hyperlink r:id="rId77" w:history="1">
        <w:r w:rsidR="00D810CA" w:rsidRPr="00023B55">
          <w:rPr>
            <w:rStyle w:val="Hyperlink"/>
            <w:rFonts w:eastAsia="Times New Roman" w:cs="Times New Roman"/>
            <w:szCs w:val="20"/>
          </w:rPr>
          <w:t>Rapport sur la contribution de l'UIT à la mise en œuvre des résultats du SMSI (2019)</w:t>
        </w:r>
      </w:hyperlink>
    </w:p>
    <w:p w14:paraId="2ED8B3BA" w14:textId="1A8F96E2" w:rsidR="00D810CA" w:rsidRPr="00023B55" w:rsidRDefault="00D07E4D" w:rsidP="00F52608">
      <w:pPr>
        <w:pStyle w:val="enumlev1"/>
        <w:jc w:val="both"/>
      </w:pPr>
      <w:r w:rsidRPr="00023B55">
        <w:t>–</w:t>
      </w:r>
      <w:r w:rsidR="00D810CA" w:rsidRPr="00023B55">
        <w:tab/>
      </w:r>
      <w:hyperlink r:id="rId78" w:history="1">
        <w:r w:rsidR="00D810CA" w:rsidRPr="00023B55">
          <w:rPr>
            <w:rStyle w:val="Hyperlink"/>
            <w:rFonts w:eastAsia="Times New Roman" w:cs="Times New Roman"/>
            <w:szCs w:val="20"/>
          </w:rPr>
          <w:t>Rapport sur la contribution de l'UIT à la mise en œuvre des résultats du SMSI (2018)</w:t>
        </w:r>
      </w:hyperlink>
    </w:p>
    <w:p w14:paraId="4A73BBB0" w14:textId="661FC22F" w:rsidR="00D810CA" w:rsidRPr="00023B55" w:rsidRDefault="00D07E4D" w:rsidP="00F52608">
      <w:pPr>
        <w:pStyle w:val="enumlev1"/>
        <w:jc w:val="both"/>
      </w:pPr>
      <w:r w:rsidRPr="00023B55">
        <w:t>–</w:t>
      </w:r>
      <w:r w:rsidR="00D810CA" w:rsidRPr="00023B55">
        <w:tab/>
      </w:r>
      <w:hyperlink r:id="rId79" w:history="1">
        <w:r w:rsidR="00D810CA" w:rsidRPr="00023B55">
          <w:rPr>
            <w:rStyle w:val="Hyperlink"/>
            <w:rFonts w:eastAsia="Times New Roman" w:cs="Times New Roman"/>
            <w:szCs w:val="20"/>
          </w:rPr>
          <w:t>Rapport sur la contribution de l'UIT à la mise en œuvre des résultats du SMSI (2017)</w:t>
        </w:r>
      </w:hyperlink>
    </w:p>
    <w:p w14:paraId="54F435F7" w14:textId="730F88A6" w:rsidR="00D810CA" w:rsidRPr="00023B55" w:rsidRDefault="00D07E4D" w:rsidP="00F52608">
      <w:pPr>
        <w:pStyle w:val="enumlev1"/>
        <w:jc w:val="both"/>
      </w:pPr>
      <w:r w:rsidRPr="00023B55">
        <w:t>–</w:t>
      </w:r>
      <w:r w:rsidR="00D810CA" w:rsidRPr="00023B55">
        <w:tab/>
      </w:r>
      <w:hyperlink r:id="rId80" w:history="1">
        <w:r w:rsidR="00D810CA" w:rsidRPr="00023B55">
          <w:rPr>
            <w:rStyle w:val="Hyperlink"/>
            <w:rFonts w:eastAsia="Times New Roman" w:cs="Times New Roman"/>
            <w:szCs w:val="20"/>
          </w:rPr>
          <w:t>Rapport sur la contribution de l'UIT à la mise en œuvre des résultats du SMSI (2016)</w:t>
        </w:r>
      </w:hyperlink>
    </w:p>
    <w:p w14:paraId="37C71534" w14:textId="2D8BE9F0" w:rsidR="00D810CA" w:rsidRPr="00023B55" w:rsidRDefault="00D07E4D" w:rsidP="00F52608">
      <w:pPr>
        <w:pStyle w:val="enumlev1"/>
        <w:jc w:val="both"/>
      </w:pPr>
      <w:r w:rsidRPr="00023B55">
        <w:t>–</w:t>
      </w:r>
      <w:r w:rsidR="00D810CA" w:rsidRPr="00023B55">
        <w:tab/>
      </w:r>
      <w:hyperlink r:id="rId81" w:history="1">
        <w:r w:rsidR="00D810CA" w:rsidRPr="00023B55">
          <w:rPr>
            <w:rStyle w:val="Hyperlink"/>
            <w:rFonts w:eastAsia="Times New Roman" w:cs="Times New Roman"/>
            <w:szCs w:val="20"/>
          </w:rPr>
          <w:t>Rapport sur la contribution de l'UIT à la mise en œuvre des résultats du SMSI (2015)</w:t>
        </w:r>
      </w:hyperlink>
    </w:p>
    <w:p w14:paraId="6B8548E0" w14:textId="6C296131" w:rsidR="00D810CA" w:rsidRPr="00023B55" w:rsidRDefault="00D07E4D" w:rsidP="00F52608">
      <w:pPr>
        <w:pStyle w:val="enumlev1"/>
        <w:jc w:val="both"/>
      </w:pPr>
      <w:r w:rsidRPr="00023B55">
        <w:t>–</w:t>
      </w:r>
      <w:r w:rsidR="00D810CA" w:rsidRPr="00023B55">
        <w:tab/>
      </w:r>
      <w:hyperlink r:id="rId82" w:history="1">
        <w:r w:rsidR="00D810CA" w:rsidRPr="00023B55">
          <w:rPr>
            <w:rStyle w:val="Hyperlink"/>
            <w:rFonts w:eastAsia="Times New Roman" w:cs="Times New Roman"/>
            <w:szCs w:val="20"/>
          </w:rPr>
          <w:t>Rapport sur la contribution de l'UIT à la mise en œuvre des résultats du SMSI (2014)</w:t>
        </w:r>
      </w:hyperlink>
    </w:p>
    <w:p w14:paraId="7349A32C" w14:textId="61D29F7B" w:rsidR="00D810CA" w:rsidRPr="00023B55" w:rsidRDefault="00D07E4D" w:rsidP="00F52608">
      <w:pPr>
        <w:pStyle w:val="enumlev1"/>
        <w:jc w:val="both"/>
      </w:pPr>
      <w:r w:rsidRPr="00023B55">
        <w:t>–</w:t>
      </w:r>
      <w:r w:rsidR="00D810CA" w:rsidRPr="00023B55">
        <w:tab/>
      </w:r>
      <w:hyperlink r:id="rId83" w:history="1">
        <w:r w:rsidR="00D810CA" w:rsidRPr="00023B55">
          <w:rPr>
            <w:rStyle w:val="Hyperlink"/>
            <w:rFonts w:eastAsia="Times New Roman" w:cs="Times New Roman"/>
            <w:szCs w:val="20"/>
          </w:rPr>
          <w:t>Rapport sur la contribution de l'UIT à la mise en œuvre des résultats du SMSI (2013)</w:t>
        </w:r>
      </w:hyperlink>
    </w:p>
    <w:p w14:paraId="6B05BB1B" w14:textId="08C7B1AE" w:rsidR="00D810CA" w:rsidRPr="00023B55" w:rsidRDefault="00D07E4D" w:rsidP="00F52608">
      <w:pPr>
        <w:pStyle w:val="enumlev1"/>
        <w:jc w:val="both"/>
      </w:pPr>
      <w:r w:rsidRPr="00023B55">
        <w:t>–</w:t>
      </w:r>
      <w:r w:rsidR="00D810CA" w:rsidRPr="00023B55">
        <w:tab/>
      </w:r>
      <w:hyperlink r:id="rId84" w:history="1">
        <w:r w:rsidR="00D810CA" w:rsidRPr="00023B55">
          <w:rPr>
            <w:rStyle w:val="Hyperlink"/>
            <w:rFonts w:eastAsia="Times New Roman" w:cs="Times New Roman"/>
            <w:szCs w:val="20"/>
          </w:rPr>
          <w:t>Rapport sur la contribution de l'UIT à la mise en œuvre des résultats du SMSI (2012)</w:t>
        </w:r>
      </w:hyperlink>
    </w:p>
    <w:p w14:paraId="55E7D8D8" w14:textId="71ED9837" w:rsidR="00D810CA" w:rsidRPr="00023B55" w:rsidRDefault="00D07E4D" w:rsidP="00F52608">
      <w:pPr>
        <w:pStyle w:val="enumlev1"/>
        <w:jc w:val="both"/>
      </w:pPr>
      <w:r w:rsidRPr="00023B55">
        <w:t>–</w:t>
      </w:r>
      <w:r w:rsidR="00D810CA" w:rsidRPr="00023B55">
        <w:tab/>
      </w:r>
      <w:hyperlink r:id="rId85" w:history="1">
        <w:r w:rsidR="00D810CA" w:rsidRPr="00023B55">
          <w:rPr>
            <w:rStyle w:val="Hyperlink"/>
            <w:rFonts w:eastAsia="Times New Roman" w:cs="Times New Roman"/>
            <w:szCs w:val="20"/>
          </w:rPr>
          <w:t>Rapport sur la contribution de l'UIT à la mise en œuvre des résultats du SMSI (2011)</w:t>
        </w:r>
      </w:hyperlink>
    </w:p>
    <w:p w14:paraId="3A76AECF" w14:textId="77777777" w:rsidR="00D810CA" w:rsidRPr="00023B55" w:rsidRDefault="00D810CA" w:rsidP="00F52608">
      <w:pPr>
        <w:pStyle w:val="Headingb"/>
        <w:jc w:val="both"/>
      </w:pPr>
      <w:r w:rsidRPr="00023B55">
        <w:t>Mise en œuvre de la coordination intersectorielle au sein de l'UIT</w:t>
      </w:r>
    </w:p>
    <w:p w14:paraId="761D1AF4" w14:textId="5B28D8D3" w:rsidR="00D810CA" w:rsidRPr="00023B55" w:rsidRDefault="00D810CA" w:rsidP="00F52608">
      <w:pPr>
        <w:jc w:val="both"/>
      </w:pPr>
      <w:r w:rsidRPr="00023B55">
        <w:t xml:space="preserve">Au sein de l'UIT, l'efficacité de la coordination des stratégies et activités de l'Union se rapportant au SMSI a été assurée par le </w:t>
      </w:r>
      <w:r w:rsidRPr="00023B55">
        <w:rPr>
          <w:b/>
          <w:bCs/>
        </w:rPr>
        <w:t>Groupe spécial sur le SMSI et les ODD</w:t>
      </w:r>
      <w:r w:rsidRPr="00023B55">
        <w:t>, qui est présidé par le Vice-Secrétaire général, pour assurer la coordination cohérente des Secteurs de l'UIT s'agissant du rôle que jouent ces derniers dans la mise en œuvre des résultats du</w:t>
      </w:r>
      <w:r w:rsidR="00D07E4D" w:rsidRPr="00023B55">
        <w:t> </w:t>
      </w:r>
      <w:r w:rsidRPr="00023B55">
        <w:t>SMSI. Le Groupe spécial joue un rôle central dans le renforcement de la mise en œuvre des résultats du SMSI, la coordination de la collaboration interinstitutionnelle et l'orientation des contributions de l'UIT au processus du SMSI.</w:t>
      </w:r>
    </w:p>
    <w:p w14:paraId="6F2339D1" w14:textId="4B7B8099" w:rsidR="0049037C" w:rsidRPr="00023B55" w:rsidRDefault="00D810CA" w:rsidP="00F52608">
      <w:pPr>
        <w:jc w:val="both"/>
      </w:pPr>
      <w:r w:rsidRPr="00023B55">
        <w:t xml:space="preserve">Les Secteurs de l'UIT, à savoir le </w:t>
      </w:r>
      <w:r w:rsidRPr="00023B55">
        <w:rPr>
          <w:b/>
          <w:bCs/>
        </w:rPr>
        <w:t>Secteur du développement des télécommunications (UIT</w:t>
      </w:r>
      <w:r w:rsidR="00D07E4D" w:rsidRPr="00023B55">
        <w:rPr>
          <w:b/>
          <w:bCs/>
        </w:rPr>
        <w:noBreakHyphen/>
      </w:r>
      <w:r w:rsidRPr="00023B55">
        <w:rPr>
          <w:b/>
          <w:bCs/>
        </w:rPr>
        <w:t>D)</w:t>
      </w:r>
      <w:r w:rsidRPr="00023B55">
        <w:t xml:space="preserve">, le </w:t>
      </w:r>
      <w:r w:rsidRPr="00023B55">
        <w:rPr>
          <w:b/>
          <w:bCs/>
        </w:rPr>
        <w:t>Secteur de la normalisation (UIT-T)</w:t>
      </w:r>
      <w:r w:rsidRPr="00023B55">
        <w:t xml:space="preserve">, le </w:t>
      </w:r>
      <w:r w:rsidRPr="00023B55">
        <w:rPr>
          <w:b/>
          <w:bCs/>
        </w:rPr>
        <w:t>Secteur des radiocommunications (UIT-R)</w:t>
      </w:r>
      <w:r w:rsidRPr="00023B55">
        <w:t xml:space="preserve"> et le </w:t>
      </w:r>
      <w:r w:rsidRPr="00023B55">
        <w:rPr>
          <w:b/>
          <w:bCs/>
        </w:rPr>
        <w:t>Secrétariat général (SG)</w:t>
      </w:r>
      <w:r w:rsidRPr="00023B55">
        <w:t xml:space="preserve">, mettent en œuvre les résultats du SMSI en exécutant des mandats sectoriels et en adoptant des résolutions relatives au SMSI. Il s'agit notamment de résolutions respectives, à savoir la </w:t>
      </w:r>
      <w:hyperlink r:id="rId86" w:history="1">
        <w:r w:rsidRPr="00023B55">
          <w:rPr>
            <w:rStyle w:val="Hyperlink"/>
            <w:rFonts w:eastAsia="Times New Roman" w:cs="Times New Roman"/>
            <w:szCs w:val="20"/>
          </w:rPr>
          <w:t>Résolution 30</w:t>
        </w:r>
      </w:hyperlink>
      <w:r w:rsidRPr="00023B55">
        <w:t xml:space="preserve"> (Rév. Kigali, 2022) de la CMDT, la </w:t>
      </w:r>
      <w:hyperlink r:id="rId87" w:history="1">
        <w:r w:rsidRPr="00023B55">
          <w:rPr>
            <w:rStyle w:val="Hyperlink"/>
            <w:rFonts w:eastAsia="Times New Roman" w:cs="Times New Roman"/>
            <w:szCs w:val="20"/>
          </w:rPr>
          <w:t>Résolution</w:t>
        </w:r>
        <w:r w:rsidR="00D07E4D" w:rsidRPr="00023B55">
          <w:rPr>
            <w:rStyle w:val="Hyperlink"/>
            <w:rFonts w:eastAsia="Times New Roman" w:cs="Times New Roman"/>
            <w:szCs w:val="20"/>
          </w:rPr>
          <w:t> </w:t>
        </w:r>
        <w:r w:rsidRPr="00023B55">
          <w:rPr>
            <w:rStyle w:val="Hyperlink"/>
            <w:rFonts w:eastAsia="Times New Roman" w:cs="Times New Roman"/>
            <w:szCs w:val="20"/>
          </w:rPr>
          <w:t>75</w:t>
        </w:r>
      </w:hyperlink>
      <w:r w:rsidRPr="00023B55">
        <w:t xml:space="preserve"> (Rév. Genève, 2022) de l'AMNT et la </w:t>
      </w:r>
      <w:hyperlink r:id="rId88" w:history="1">
        <w:r w:rsidRPr="00023B55">
          <w:rPr>
            <w:rStyle w:val="Hyperlink"/>
            <w:rFonts w:eastAsia="Times New Roman" w:cs="Times New Roman"/>
            <w:szCs w:val="20"/>
          </w:rPr>
          <w:t>Résolution 61-2</w:t>
        </w:r>
      </w:hyperlink>
      <w:r w:rsidRPr="00023B55">
        <w:t xml:space="preserve"> (modifiée en 2019) de la Conférence mondiale des radiocommunications (CMR). Chaque Secteur apporte une contribution unique: l'UIT-D s'emploie à renforcer les capacités et à promouvoir l'accès aux</w:t>
      </w:r>
      <w:r w:rsidR="00D07E4D" w:rsidRPr="00023B55">
        <w:t> </w:t>
      </w:r>
      <w:r w:rsidRPr="00023B55">
        <w:t xml:space="preserve">TIC dans les régions mal desservies, en harmonisant ses travaux avec les </w:t>
      </w:r>
      <w:r w:rsidR="00A21EC4" w:rsidRPr="00023B55">
        <w:t>g</w:t>
      </w:r>
      <w:r w:rsidRPr="00023B55">
        <w:t xml:space="preserve">randes orientations C2 (Infrastructure de l'information et de la communication), C4 (Renforcement des capacités) et C6 (Créer un environnement propice), en particulier; l'UIT-T élabore des normes mondiales qui sous-tendent l'infrastructure et les services TIC, en s'appuyant notamment sur la </w:t>
      </w:r>
      <w:r w:rsidR="003150D9" w:rsidRPr="00023B55">
        <w:t>g</w:t>
      </w:r>
      <w:r w:rsidRPr="00023B55">
        <w:t xml:space="preserve">rande orientation C5 (Établir la confiance et la sécurité dans l'utilisation des TIC); et l'UIT-R gère, sur le plan international, le spectre des fréquences radioélectriques et les orbites de satellites, ressources essentielles pour la connectivité, conformément à la </w:t>
      </w:r>
      <w:r w:rsidR="00A21EC4" w:rsidRPr="00023B55">
        <w:t>g</w:t>
      </w:r>
      <w:r w:rsidRPr="00023B55">
        <w:t>rande orientation C2.</w:t>
      </w:r>
    </w:p>
    <w:p w14:paraId="77632129" w14:textId="6825044F" w:rsidR="00D810CA" w:rsidRPr="00023B55" w:rsidRDefault="00D810CA" w:rsidP="00F52608">
      <w:pPr>
        <w:jc w:val="both"/>
      </w:pPr>
      <w:r w:rsidRPr="00023B55">
        <w:t xml:space="preserve">Ces efforts sont également appuyés par les travaux des </w:t>
      </w:r>
      <w:r w:rsidRPr="00023B55">
        <w:rPr>
          <w:b/>
          <w:bCs/>
        </w:rPr>
        <w:t>commissions d'études de l'UIT</w:t>
      </w:r>
      <w:r w:rsidRPr="00023B55">
        <w:t xml:space="preserve">, qui élaborent des recommandations techniques, des outils et des bonnes pratiques visant la mise en œuvre des principes du SMSI dans tous les Secteurs. La gamme complète des activités de mise en œuvre est reproduite chaque année dans la </w:t>
      </w:r>
      <w:hyperlink r:id="rId89" w:history="1">
        <w:r w:rsidRPr="00023B55">
          <w:rPr>
            <w:rStyle w:val="Hyperlink"/>
            <w:rFonts w:eastAsia="Times New Roman" w:cs="Times New Roman"/>
            <w:szCs w:val="20"/>
          </w:rPr>
          <w:t>série de rapports de l'UIT sur la contribution de l'Union à la mise en œuvre des résultats du SMSI</w:t>
        </w:r>
      </w:hyperlink>
      <w:r w:rsidRPr="00023B55">
        <w:t>, qui fournit des comptes rendus détaillés des initiatives qui sont menées à bien par les trois Secteurs, ainsi que par le Secrétariat général, afin d'assurer la transparence et l'alignement vis-à-vis de la vision et des objectifs du SMSI.</w:t>
      </w:r>
    </w:p>
    <w:p w14:paraId="30FC14B0" w14:textId="77777777" w:rsidR="00D810CA" w:rsidRPr="00023B55" w:rsidRDefault="00D810CA" w:rsidP="00F52608">
      <w:pPr>
        <w:pStyle w:val="Headingb"/>
        <w:jc w:val="both"/>
      </w:pPr>
      <w:r w:rsidRPr="00023B55">
        <w:t>Promouvoir les grandes orientations du SMSI</w:t>
      </w:r>
    </w:p>
    <w:p w14:paraId="51B261E7" w14:textId="77777777" w:rsidR="00D810CA" w:rsidRPr="00023B55" w:rsidRDefault="00D810CA" w:rsidP="00F52608">
      <w:pPr>
        <w:jc w:val="both"/>
      </w:pPr>
      <w:r w:rsidRPr="00023B55">
        <w:t xml:space="preserve">Les grandes orientations du SMSI constituent un cadre complet destiné à mettre les technologies au service du développement durable. L'UIT contribue à la promotion de ces </w:t>
      </w:r>
      <w:r w:rsidRPr="00023B55">
        <w:lastRenderedPageBreak/>
        <w:t>grandes orientations en favorisant directement la coopération en matière de connectivité, de maîtrise des outils numériques, de cybersécurité et de création d'un environnement propice à la croissance technologique, et en co-coordonnant ou en agissant en tant que partenaire clé dans le cadre d'autres initiatives des Nations Unies en faveur de technologies centrées sur l'humain au service du développement.</w:t>
      </w:r>
    </w:p>
    <w:p w14:paraId="4362BD13" w14:textId="0D8508FA" w:rsidR="00D810CA" w:rsidRPr="00023B55" w:rsidRDefault="00D810CA" w:rsidP="00F52608">
      <w:pPr>
        <w:pStyle w:val="Headingb"/>
        <w:jc w:val="both"/>
      </w:pPr>
      <w:r w:rsidRPr="00023B55">
        <w:t>C1 – Le rôle des gouvernements et de toutes les parties prenantes dans la promotion des</w:t>
      </w:r>
      <w:r w:rsidR="0068745B" w:rsidRPr="00023B55">
        <w:t> </w:t>
      </w:r>
      <w:r w:rsidRPr="00023B55">
        <w:t>TIC pour le développement</w:t>
      </w:r>
    </w:p>
    <w:p w14:paraId="3DFC59CB" w14:textId="77777777" w:rsidR="00D810CA" w:rsidRPr="00023B55" w:rsidRDefault="00D810CA" w:rsidP="00F52608">
      <w:pPr>
        <w:jc w:val="both"/>
      </w:pPr>
      <w:r w:rsidRPr="00023B55">
        <w:t>L'UIT, en tant que principal co-coordonnateur, et le Département des affaires économiques et sociales (DESA) du Secrétariat de l'ONU, en tant que coordonnateur principal, collaborent avec les pouvoirs publics, les entités du secteur privé, les organisations de la société civile et les organismes internationaux en vue de définir des politiques et des cadres propices à l'inclusion numérique et à l'innovation.</w:t>
      </w:r>
    </w:p>
    <w:p w14:paraId="150D9D10" w14:textId="77777777" w:rsidR="00D810CA" w:rsidRPr="00023B55" w:rsidRDefault="00D810CA" w:rsidP="00F52608">
      <w:pPr>
        <w:pStyle w:val="Headingb"/>
        <w:jc w:val="both"/>
      </w:pPr>
      <w:r w:rsidRPr="00023B55">
        <w:t>C2 – Infrastructure de l'information et de la communication</w:t>
      </w:r>
    </w:p>
    <w:p w14:paraId="55799853" w14:textId="77777777" w:rsidR="0049037C" w:rsidRPr="00023B55" w:rsidRDefault="00D810CA" w:rsidP="00F52608">
      <w:pPr>
        <w:jc w:val="both"/>
      </w:pPr>
      <w:r w:rsidRPr="00023B55">
        <w:t>L'UIT, en tant que coordonnateur principal de cette grande orientation, fournit un appui technique, élabore des normes internationales et fait connaître les meilleures pratiques en matière de déploiement d'infrastructures.</w:t>
      </w:r>
    </w:p>
    <w:p w14:paraId="63A1510A" w14:textId="356DEF14" w:rsidR="00D810CA" w:rsidRPr="00023B55" w:rsidRDefault="00D810CA" w:rsidP="00F52608">
      <w:pPr>
        <w:pStyle w:val="Headingb"/>
        <w:jc w:val="both"/>
      </w:pPr>
      <w:r w:rsidRPr="00023B55">
        <w:t>C3 – L'accès à l'information et au savoir</w:t>
      </w:r>
    </w:p>
    <w:p w14:paraId="3EAEC739" w14:textId="77777777" w:rsidR="00D810CA" w:rsidRPr="00023B55" w:rsidRDefault="00D810CA" w:rsidP="00F52608">
      <w:pPr>
        <w:jc w:val="both"/>
      </w:pPr>
      <w:r w:rsidRPr="00023B55">
        <w:t>L'UIT, en tant que co-coordonnateur principal, et l'UNESCO, en tant que coordonnateur principal, mettent en œuvre des initiatives visant à promouvoir la maîtrise des outils numériques et à élargir l'accès aux technologies aux communautés mal desservies et marginalisées.</w:t>
      </w:r>
    </w:p>
    <w:p w14:paraId="521DA056" w14:textId="77777777" w:rsidR="00D810CA" w:rsidRPr="00023B55" w:rsidRDefault="00D810CA" w:rsidP="00F52608">
      <w:pPr>
        <w:pStyle w:val="Headingb"/>
        <w:jc w:val="both"/>
      </w:pPr>
      <w:r w:rsidRPr="00023B55">
        <w:t>C4 – Renforcement des capacités</w:t>
      </w:r>
    </w:p>
    <w:p w14:paraId="559CD9C9" w14:textId="77777777" w:rsidR="00D810CA" w:rsidRPr="00023B55" w:rsidRDefault="00D810CA" w:rsidP="00F52608">
      <w:pPr>
        <w:jc w:val="both"/>
      </w:pPr>
      <w:r w:rsidRPr="00023B55">
        <w:t>L'UIT, en tant que coordonnateur principal de cette grande orientation, propose un large éventail de cours, d'ateliers et de programmes de formation dans le cadre de l'Académie de l'UIT afin d'améliorer les compétences et les connaissances numériques.</w:t>
      </w:r>
    </w:p>
    <w:p w14:paraId="7D5BC5FD" w14:textId="77777777" w:rsidR="00D810CA" w:rsidRPr="00023B55" w:rsidRDefault="00D810CA" w:rsidP="00F52608">
      <w:pPr>
        <w:pStyle w:val="Headingb"/>
        <w:jc w:val="both"/>
      </w:pPr>
      <w:r w:rsidRPr="00023B55">
        <w:t>C5 – Établir la confiance et la sécurité dans l'utilisation des TIC</w:t>
      </w:r>
    </w:p>
    <w:p w14:paraId="44C7702C" w14:textId="77777777" w:rsidR="00D810CA" w:rsidRPr="00023B55" w:rsidRDefault="00D810CA" w:rsidP="00F52608">
      <w:pPr>
        <w:jc w:val="both"/>
      </w:pPr>
      <w:r w:rsidRPr="00023B55">
        <w:t>L'UIT, en tant que coordonnateur principal de cette grande orientation, tient à jour le GCA, un cadre global en faveur de la coopération internationale en matière de cybersécurité.</w:t>
      </w:r>
    </w:p>
    <w:p w14:paraId="32272C2A" w14:textId="77777777" w:rsidR="00D810CA" w:rsidRPr="00023B55" w:rsidRDefault="00D810CA" w:rsidP="00F52608">
      <w:pPr>
        <w:pStyle w:val="Headingb"/>
        <w:jc w:val="both"/>
      </w:pPr>
      <w:r w:rsidRPr="00023B55">
        <w:t>C6 – Créer un environnement propice</w:t>
      </w:r>
    </w:p>
    <w:p w14:paraId="23D61B7B" w14:textId="77777777" w:rsidR="00D810CA" w:rsidRPr="00023B55" w:rsidRDefault="00D810CA" w:rsidP="00F52608">
      <w:pPr>
        <w:jc w:val="both"/>
      </w:pPr>
      <w:r w:rsidRPr="00023B55">
        <w:t>L'UIT, en tant que coordonnateur principal de cette grande orientation, fournit des orientations sur les cadres réglementaires, favorise la coopération internationale et appuie l'élaboration de politiques qui encouragent les investissements dans les infrastructures technologiques.</w:t>
      </w:r>
    </w:p>
    <w:p w14:paraId="67E8F774" w14:textId="77777777" w:rsidR="00D810CA" w:rsidRPr="00023B55" w:rsidRDefault="00D810CA" w:rsidP="00F52608">
      <w:pPr>
        <w:pStyle w:val="Headingb"/>
        <w:jc w:val="both"/>
      </w:pPr>
      <w:r w:rsidRPr="00023B55">
        <w:t>C7 – Applications TIC</w:t>
      </w:r>
    </w:p>
    <w:p w14:paraId="6F69F8B3" w14:textId="77777777" w:rsidR="00D810CA" w:rsidRPr="00023B55" w:rsidRDefault="00D810CA" w:rsidP="00F52608">
      <w:pPr>
        <w:jc w:val="both"/>
      </w:pPr>
      <w:r w:rsidRPr="00023B55">
        <w:t xml:space="preserve">L'UIT, en tant que co-coordonnateur principal, encourage le développement et la mise en œuvre d'applications technologiques dans divers secteurs, notamment l'administration en ligne (en collaboration avec le DESA qui agit en tant que coordonnateur principal), la cybersanté (en collaboration avec l'Organisation mondiale de la Santé (OMS) qui agit en tant que coordonnateur principal), l'apprentissage en ligne (en collaboration avec l'UNESCO qui agit en tant que coordonnateur principal), le commerce électronique (en collaboration avec la CNUCED qui agit en tant que coordonnateur principal), la cyberagriculture (en collaboration </w:t>
      </w:r>
      <w:r w:rsidRPr="00023B55">
        <w:lastRenderedPageBreak/>
        <w:t>avec la FAO qui agit en tant que coordonnateur principal), la cyberécologie (en collaboration avec le PNUE qui agit en tant que coordonnateur principal), le cybertravail (en collaboration avec l'Organisation internationale du Travail (OIT) qui agit en tant que coordonnateur principal) et la cyberscience (en collaboration avec l'UNESCO qui agit en tant que coordonnateur principal).</w:t>
      </w:r>
    </w:p>
    <w:p w14:paraId="4F76E9E1" w14:textId="77777777" w:rsidR="00D810CA" w:rsidRPr="00023B55" w:rsidRDefault="00D810CA" w:rsidP="00F52608">
      <w:pPr>
        <w:pStyle w:val="Headingb"/>
        <w:jc w:val="both"/>
      </w:pPr>
      <w:r w:rsidRPr="00023B55">
        <w:t>C8 – Diversité et identité culturelles, diversité linguistique et contenus locaux</w:t>
      </w:r>
    </w:p>
    <w:p w14:paraId="1FF74A83" w14:textId="77777777" w:rsidR="00D810CA" w:rsidRPr="00023B55" w:rsidRDefault="00D810CA" w:rsidP="00F52608">
      <w:pPr>
        <w:jc w:val="both"/>
      </w:pPr>
      <w:r w:rsidRPr="00023B55">
        <w:t>L'UIT, en tant que co-coordonnateur principal, appuie la création de contenus numériques multilingues, collabore avec l'UNESCO, en tant que coordonnateur principal, pour préserver le patrimoine culturel grâce à la généralisation du numérique et fournit une assistance technique pour le développement de contenus locaux.</w:t>
      </w:r>
    </w:p>
    <w:p w14:paraId="6CF23B09" w14:textId="77777777" w:rsidR="00D810CA" w:rsidRPr="00023B55" w:rsidRDefault="00D810CA" w:rsidP="00F52608">
      <w:pPr>
        <w:pStyle w:val="Headingb"/>
        <w:jc w:val="both"/>
      </w:pPr>
      <w:r w:rsidRPr="00023B55">
        <w:t>C9 – Médias</w:t>
      </w:r>
    </w:p>
    <w:p w14:paraId="23CFB1FF" w14:textId="77777777" w:rsidR="00D810CA" w:rsidRPr="00023B55" w:rsidRDefault="00D810CA" w:rsidP="00F52608">
      <w:pPr>
        <w:jc w:val="both"/>
      </w:pPr>
      <w:r w:rsidRPr="00023B55">
        <w:t>L'UIT, en tant que co-coordonnateur principal, et l'UNESCO, en tant que coordonnateur principal, fournissent une assistance technique concernant la radiodiffusion numérique communautaire, soutiennent le développement des médias dans les pays en développement et proposent des programmes de formation à l'intention des professionnels des médias.</w:t>
      </w:r>
    </w:p>
    <w:p w14:paraId="71EC4280" w14:textId="77777777" w:rsidR="00D810CA" w:rsidRPr="00023B55" w:rsidRDefault="00D810CA" w:rsidP="00F52608">
      <w:pPr>
        <w:pStyle w:val="Headingb"/>
        <w:jc w:val="both"/>
      </w:pPr>
      <w:r w:rsidRPr="00023B55">
        <w:t>C10 – Dimensions éthiques de la société de l'information</w:t>
      </w:r>
    </w:p>
    <w:p w14:paraId="0FC0118E" w14:textId="678671A0" w:rsidR="00D810CA" w:rsidRPr="00023B55" w:rsidRDefault="00D810CA" w:rsidP="00F52608">
      <w:pPr>
        <w:jc w:val="both"/>
      </w:pPr>
      <w:r w:rsidRPr="00023B55">
        <w:t>L'UIT, en collaboration avec l'UNESCO qui agit en tant que coordonnateur principal, élabore des lignes directrices et des normes éthiques relatives à l'utilisation des technologies, y</w:t>
      </w:r>
      <w:r w:rsidR="00DD0509" w:rsidRPr="00023B55">
        <w:t> </w:t>
      </w:r>
      <w:r w:rsidRPr="00023B55">
        <w:t>compris la confidentialité des données, la cybersécurité et l'utilisation éthique de l'IA.</w:t>
      </w:r>
    </w:p>
    <w:p w14:paraId="566E1B2C" w14:textId="77777777" w:rsidR="00D810CA" w:rsidRPr="00023B55" w:rsidRDefault="00D810CA" w:rsidP="00F52608">
      <w:pPr>
        <w:pStyle w:val="Headingb"/>
        <w:jc w:val="both"/>
      </w:pPr>
      <w:r w:rsidRPr="00023B55">
        <w:t>C11 – Coopération internationale et régionale</w:t>
      </w:r>
    </w:p>
    <w:p w14:paraId="591555BA" w14:textId="77777777" w:rsidR="00D810CA" w:rsidRPr="00023B55" w:rsidRDefault="00D810CA" w:rsidP="00F52608">
      <w:pPr>
        <w:jc w:val="both"/>
      </w:pPr>
      <w:r w:rsidRPr="00023B55">
        <w:t>L'UIT, en tant que co-coordonnateur principal, et le DESA, en tant que coordonnateur principal, collaborent avec un large éventail d'organisations internationales et régionales pour promouvoir les résultats du SMSI et les technologies au service du développement.</w:t>
      </w:r>
    </w:p>
    <w:p w14:paraId="2286AC3F" w14:textId="77777777" w:rsidR="00D810CA" w:rsidRPr="00023B55" w:rsidRDefault="00D810CA" w:rsidP="00F52608">
      <w:pPr>
        <w:jc w:val="both"/>
      </w:pPr>
      <w:r w:rsidRPr="00023B55">
        <w:t>Ces contributions soulignent l'engagement pris par l'UIT de mettre les technologies numériques au service du bien social dans le monde entier.</w:t>
      </w:r>
    </w:p>
    <w:p w14:paraId="238AA10A" w14:textId="1A990074" w:rsidR="00D810CA" w:rsidRPr="00023B55" w:rsidRDefault="00D810CA" w:rsidP="00F52608">
      <w:pPr>
        <w:pStyle w:val="Headingb"/>
        <w:jc w:val="both"/>
      </w:pPr>
      <w:r w:rsidRPr="00023B55">
        <w:t>Feuilles de route sur les grandes orientations C2, C4, C5 et C6 du SMSI</w:t>
      </w:r>
    </w:p>
    <w:p w14:paraId="1850C04C" w14:textId="7FF2302B" w:rsidR="00D810CA" w:rsidRPr="00023B55" w:rsidRDefault="00D810CA" w:rsidP="00F52608">
      <w:pPr>
        <w:jc w:val="both"/>
      </w:pPr>
      <w:r w:rsidRPr="00023B55">
        <w:t xml:space="preserve">Les </w:t>
      </w:r>
      <w:hyperlink r:id="rId90" w:anchor=":~:text=ITU%20WSIS%20Action%20Line%20Roadmaps%20for%20C2%2C%20C4%2C,guide%20progress%20towards%20achieving%20the%20WSIS%20Implementation%20goals." w:history="1">
        <w:r w:rsidRPr="00023B55">
          <w:rPr>
            <w:rStyle w:val="Hyperlink"/>
            <w:rFonts w:eastAsia="Times New Roman" w:cs="Times New Roman"/>
            <w:szCs w:val="20"/>
          </w:rPr>
          <w:t>feuilles de route des grandes orientations du SMSI</w:t>
        </w:r>
      </w:hyperlink>
      <w:r w:rsidRPr="00023B55">
        <w:t xml:space="preserve"> décrivent les étapes nécessaires à la réalisation des objectifs de chaque grande orientation et donnent des indications aux parties prenantes sur l'alignement de leurs efforts avec les objectifs généraux du SMSI. Ces feuilles de route sont régulièrement mises à jour pour tenir compte des nouvelles évolutions et des nouvelles priorités dans les vastes domaines que sont l</w:t>
      </w:r>
      <w:r w:rsidR="00457235" w:rsidRPr="00023B55">
        <w:t>'</w:t>
      </w:r>
      <w:r w:rsidRPr="00023B55">
        <w:rPr>
          <w:b/>
          <w:bCs/>
        </w:rPr>
        <w:t>infrastructure de l'information et de la communication</w:t>
      </w:r>
      <w:r w:rsidRPr="00023B55">
        <w:t xml:space="preserve"> (C2), le </w:t>
      </w:r>
      <w:r w:rsidRPr="00023B55">
        <w:rPr>
          <w:b/>
          <w:bCs/>
        </w:rPr>
        <w:t>renforcement des capacités</w:t>
      </w:r>
      <w:r w:rsidRPr="00023B55">
        <w:t xml:space="preserve"> (C4), l'</w:t>
      </w:r>
      <w:r w:rsidRPr="00023B55">
        <w:rPr>
          <w:b/>
          <w:bCs/>
        </w:rPr>
        <w:t>établissement de la confiance et de la sécurité dans l'utilisation des TIC</w:t>
      </w:r>
      <w:r w:rsidRPr="00023B55">
        <w:t xml:space="preserve"> (C5) et la </w:t>
      </w:r>
      <w:r w:rsidRPr="00023B55">
        <w:rPr>
          <w:b/>
          <w:bCs/>
        </w:rPr>
        <w:t>création d'un environnement propice</w:t>
      </w:r>
      <w:r w:rsidRPr="00023B55">
        <w:t xml:space="preserve"> (C6).</w:t>
      </w:r>
    </w:p>
    <w:p w14:paraId="6CEDD7E8" w14:textId="6E480AC9" w:rsidR="00D810CA" w:rsidRPr="00023B55" w:rsidRDefault="0068745B" w:rsidP="00F52608">
      <w:pPr>
        <w:pStyle w:val="enumlev1"/>
        <w:jc w:val="both"/>
      </w:pPr>
      <w:r w:rsidRPr="00023B55">
        <w:t>–</w:t>
      </w:r>
      <w:r w:rsidR="00D810CA" w:rsidRPr="00023B55">
        <w:tab/>
      </w:r>
      <w:hyperlink r:id="rId91" w:history="1">
        <w:r w:rsidR="00D810CA" w:rsidRPr="00023B55">
          <w:rPr>
            <w:rStyle w:val="Hyperlink"/>
            <w:rFonts w:eastAsia="Times New Roman" w:cs="Times New Roman"/>
            <w:szCs w:val="20"/>
          </w:rPr>
          <w:t>Mise à jour des feuilles de route sur les grandes orientations du SMSI (2023)</w:t>
        </w:r>
      </w:hyperlink>
    </w:p>
    <w:p w14:paraId="7B80D73D" w14:textId="5441897D" w:rsidR="00D810CA" w:rsidRPr="00023B55" w:rsidRDefault="0068745B" w:rsidP="00F52608">
      <w:pPr>
        <w:pStyle w:val="enumlev1"/>
        <w:jc w:val="both"/>
      </w:pPr>
      <w:r w:rsidRPr="00023B55">
        <w:t>–</w:t>
      </w:r>
      <w:r w:rsidR="00D810CA" w:rsidRPr="00023B55">
        <w:tab/>
      </w:r>
      <w:hyperlink r:id="rId92" w:history="1">
        <w:r w:rsidR="00D810CA" w:rsidRPr="00023B55">
          <w:rPr>
            <w:rStyle w:val="Hyperlink"/>
            <w:rFonts w:eastAsia="Times New Roman" w:cs="Times New Roman"/>
            <w:szCs w:val="20"/>
          </w:rPr>
          <w:t>Mise à jour des feuilles de route des grandes orientations du SMSI (2019)</w:t>
        </w:r>
      </w:hyperlink>
    </w:p>
    <w:p w14:paraId="18CE3806" w14:textId="5DA725B7" w:rsidR="00D810CA" w:rsidRPr="00023B55" w:rsidRDefault="0068745B" w:rsidP="00F52608">
      <w:pPr>
        <w:pStyle w:val="enumlev1"/>
        <w:jc w:val="both"/>
      </w:pPr>
      <w:r w:rsidRPr="00023B55">
        <w:t>–</w:t>
      </w:r>
      <w:r w:rsidR="00D810CA" w:rsidRPr="00023B55">
        <w:tab/>
      </w:r>
      <w:hyperlink r:id="rId93" w:history="1">
        <w:r w:rsidR="00D810CA" w:rsidRPr="00023B55">
          <w:rPr>
            <w:rStyle w:val="Hyperlink"/>
            <w:rFonts w:eastAsia="Times New Roman" w:cs="Times New Roman"/>
            <w:szCs w:val="20"/>
          </w:rPr>
          <w:t>Mise à jour des feuilles de route sur les grandes orientations du SMSI (2017)</w:t>
        </w:r>
      </w:hyperlink>
    </w:p>
    <w:p w14:paraId="3A47F135" w14:textId="38335C71" w:rsidR="00D810CA" w:rsidRPr="00023B55" w:rsidRDefault="0068745B" w:rsidP="00F52608">
      <w:pPr>
        <w:pStyle w:val="enumlev1"/>
        <w:jc w:val="both"/>
      </w:pPr>
      <w:r w:rsidRPr="00023B55">
        <w:t>–</w:t>
      </w:r>
      <w:r w:rsidR="00D810CA" w:rsidRPr="00023B55">
        <w:tab/>
      </w:r>
      <w:hyperlink r:id="rId94" w:history="1">
        <w:r w:rsidR="00D810CA" w:rsidRPr="00023B55">
          <w:rPr>
            <w:rStyle w:val="Hyperlink"/>
            <w:rFonts w:eastAsia="Times New Roman" w:cs="Times New Roman"/>
            <w:szCs w:val="20"/>
          </w:rPr>
          <w:t>Mise à jour des feuilles de route sur les grandes orientations du SMSI (2016)</w:t>
        </w:r>
      </w:hyperlink>
    </w:p>
    <w:p w14:paraId="74FD4C7A" w14:textId="77777777" w:rsidR="00D810CA" w:rsidRPr="00023B55" w:rsidRDefault="00D810CA" w:rsidP="00F52608">
      <w:pPr>
        <w:pStyle w:val="Headingb"/>
        <w:jc w:val="both"/>
      </w:pPr>
      <w:r w:rsidRPr="00023B55">
        <w:t>Enjeux liés à la mise en œuvre des grandes orientations du SMSI</w:t>
      </w:r>
    </w:p>
    <w:p w14:paraId="346BD670" w14:textId="77777777" w:rsidR="00D810CA" w:rsidRPr="00023B55" w:rsidRDefault="00D810CA" w:rsidP="00F52608">
      <w:pPr>
        <w:jc w:val="both"/>
      </w:pPr>
      <w:r w:rsidRPr="00023B55">
        <w:t xml:space="preserve">La persistance de la fracture numérique, qui se manifeste par des inégalités d'accès aux infrastructures, à la connectivité, aux outils numériques et aux compétences, en particulier </w:t>
      </w:r>
      <w:r w:rsidRPr="00023B55">
        <w:lastRenderedPageBreak/>
        <w:t>auprès des populations rurales, des femmes et des communautés marginalisées, constitue un problème récurrent pour l'ensemble des 11 grandes orientations du SMSI. De nombreux pays sont confrontés à des lacunes en matière d'infrastructure et de capacités, ce qui limite leur aptitude à mettre en œuvre et à étendre les initiatives en matière de TIC. L'absence de politiques et de cadres réglementaires harmonisés complique encore les efforts déployés, en particulier dans des domaines tels que l'administration en ligne, le commerce électronique et la coopération internationale. De plus, les contraintes en matière de ressources, tant sur le plan financier qu'humain, entravent la durabilité et l'évolutivité des activités de transformation numérique, en particulier dans les pays en développement.</w:t>
      </w:r>
    </w:p>
    <w:p w14:paraId="280E52BE" w14:textId="77777777" w:rsidR="00D810CA" w:rsidRPr="00023B55" w:rsidRDefault="00D810CA" w:rsidP="00F52608">
      <w:pPr>
        <w:jc w:val="both"/>
      </w:pPr>
      <w:r w:rsidRPr="00023B55">
        <w:t>Le rythme des progrès technologiques, qui dépasse la capacité des institutions à s'adapter, à réglementer et à renforcer leurs capacités, constitue un autre défi majeur. Les technologies émergentes telles que l'IA, l'IoT et les mégadonnées soulèvent des problèmes d'éthique, de confidentialité et de sécurité, en particulier dans des secteurs tels que la cybersanté, le cybertravail et les médias. De plus, les enjeux culturels, linguistiques et liés au contenu, tels que les possibilités de découverte de contenus locaux et la prise en charge de plusieurs langues, soulignent la nécessité de définir des approches inclusives et adaptées. Ces enjeux démontrent l'importance de disposer de stratégies collaboratives, reposant sur des ressources suffisantes et tournées vers l'avenir pour faire en sorte que les TIC contribuent de manière significative au développement durable.</w:t>
      </w:r>
    </w:p>
    <w:p w14:paraId="48890483" w14:textId="278108A5" w:rsidR="00D810CA" w:rsidRPr="00023B55" w:rsidRDefault="00D810CA" w:rsidP="00F52608">
      <w:pPr>
        <w:pStyle w:val="Headingb"/>
        <w:jc w:val="both"/>
      </w:pPr>
      <w:r w:rsidRPr="00023B55">
        <w:t>Forum du SMSI</w:t>
      </w:r>
    </w:p>
    <w:p w14:paraId="7CF469EF" w14:textId="77777777" w:rsidR="0049037C" w:rsidRPr="00023B55" w:rsidRDefault="00D810CA" w:rsidP="00F52608">
      <w:pPr>
        <w:jc w:val="both"/>
      </w:pPr>
      <w:r w:rsidRPr="00023B55">
        <w:t>Le Forum annuel du SMSI, que l'UIT accueille depuis 2009 et organise conjointement avec l'UNESCO, le PNUD et la CNUCED, en collaboration avec plus de 40 entités des Nations Unies, sert de cadre multi-parties prenantes de dialogue, de collaboration et de partage de connaissances qui produit des recommandations de politique générale concrètes et encourage les initiatives collaboratives. En rassemblant les multiples parties prenantes du processus du SMSI, le Forum en est devenu une pierre angulaire.</w:t>
      </w:r>
    </w:p>
    <w:p w14:paraId="5E49F0ED" w14:textId="34D57BA0" w:rsidR="00D810CA" w:rsidRPr="00023B55" w:rsidRDefault="00D810CA" w:rsidP="00F52608">
      <w:pPr>
        <w:jc w:val="both"/>
      </w:pPr>
      <w:r w:rsidRPr="00023B55">
        <w:t>Le Forum, qui se distingue par son approche inclusive et participative, favorise l'échange d'idées, de données d'expérience et de solutions, en veillant à ce que divers points de vue soient pris en compte dans la formulation des politiques et des stratégies numériques.</w:t>
      </w:r>
    </w:p>
    <w:p w14:paraId="296A173C" w14:textId="0DD9C806" w:rsidR="00670869" w:rsidRPr="00023B55" w:rsidRDefault="00D810CA" w:rsidP="00F52608">
      <w:pPr>
        <w:jc w:val="both"/>
      </w:pPr>
      <w:r w:rsidRPr="00023B55">
        <w:t>Au programme de chaque édition figurent des sessions politiques de haut niveau, des ateliers thématiques et des discussions interactives traitant des questions urgentes dans le secteur mondial des technologies. Les thèmes annuels tiennent compte des tendances et défis émergents, permettant aux parties prenantes de rester informées et de s'adapter aux tendances technologiques et politiques.</w:t>
      </w:r>
    </w:p>
    <w:p w14:paraId="161CD691" w14:textId="6B602A33" w:rsidR="0069223C" w:rsidRPr="00023B55" w:rsidRDefault="0069223C">
      <w:pPr>
        <w:tabs>
          <w:tab w:val="clear" w:pos="567"/>
          <w:tab w:val="clear" w:pos="1134"/>
          <w:tab w:val="clear" w:pos="1701"/>
          <w:tab w:val="clear" w:pos="2268"/>
          <w:tab w:val="clear" w:pos="2835"/>
        </w:tabs>
        <w:overflowPunct/>
        <w:autoSpaceDE/>
        <w:autoSpaceDN/>
        <w:adjustRightInd/>
        <w:spacing w:before="0"/>
        <w:textAlignment w:val="auto"/>
      </w:pPr>
      <w:r w:rsidRPr="00023B55">
        <w:br w:type="page"/>
      </w:r>
    </w:p>
    <w:p w14:paraId="76DB3763" w14:textId="6716CD63" w:rsidR="004948C0" w:rsidRPr="00023B55" w:rsidRDefault="004948C0" w:rsidP="00F52608">
      <w:pPr>
        <w:pStyle w:val="Headingb"/>
      </w:pPr>
      <w:r w:rsidRPr="00023B55">
        <w:lastRenderedPageBreak/>
        <w:t>Temps forts du Forum du SMSI (2009-2024)</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2339"/>
        <w:gridCol w:w="1844"/>
        <w:gridCol w:w="2378"/>
        <w:gridCol w:w="1867"/>
      </w:tblGrid>
      <w:tr w:rsidR="00DD47E4" w:rsidRPr="00023B55" w14:paraId="5EB0DCE5" w14:textId="77777777" w:rsidTr="001F3EAE">
        <w:trPr>
          <w:tblHeader/>
          <w:tblCellSpacing w:w="15" w:type="dxa"/>
        </w:trPr>
        <w:tc>
          <w:tcPr>
            <w:tcW w:w="324" w:type="pct"/>
            <w:vAlign w:val="center"/>
            <w:hideMark/>
          </w:tcPr>
          <w:p w14:paraId="67F2EAFD" w14:textId="77777777" w:rsidR="00AC2E05" w:rsidRPr="00023B55" w:rsidRDefault="00AC2E05" w:rsidP="00683425">
            <w:pPr>
              <w:pStyle w:val="Tablehead"/>
              <w:rPr>
                <w:sz w:val="20"/>
                <w:szCs w:val="18"/>
              </w:rPr>
            </w:pPr>
            <w:r w:rsidRPr="00023B55">
              <w:rPr>
                <w:sz w:val="20"/>
                <w:szCs w:val="18"/>
              </w:rPr>
              <w:t>Année</w:t>
            </w:r>
          </w:p>
        </w:tc>
        <w:tc>
          <w:tcPr>
            <w:tcW w:w="1274" w:type="pct"/>
            <w:vAlign w:val="center"/>
            <w:hideMark/>
          </w:tcPr>
          <w:p w14:paraId="6D2DD1CF" w14:textId="77777777" w:rsidR="00AC2E05" w:rsidRPr="00023B55" w:rsidRDefault="00AC2E05" w:rsidP="00683425">
            <w:pPr>
              <w:pStyle w:val="Tablehead"/>
              <w:rPr>
                <w:sz w:val="20"/>
                <w:szCs w:val="18"/>
              </w:rPr>
            </w:pPr>
            <w:r w:rsidRPr="00023B55">
              <w:rPr>
                <w:sz w:val="20"/>
                <w:szCs w:val="18"/>
              </w:rPr>
              <w:t>Participants</w:t>
            </w:r>
          </w:p>
        </w:tc>
        <w:tc>
          <w:tcPr>
            <w:tcW w:w="1001" w:type="pct"/>
            <w:vAlign w:val="center"/>
            <w:hideMark/>
          </w:tcPr>
          <w:p w14:paraId="11D6F39B" w14:textId="77777777" w:rsidR="00AC2E05" w:rsidRPr="00023B55" w:rsidRDefault="00AC2E05" w:rsidP="00683425">
            <w:pPr>
              <w:pStyle w:val="Tablehead"/>
              <w:rPr>
                <w:sz w:val="20"/>
                <w:szCs w:val="18"/>
              </w:rPr>
            </w:pPr>
            <w:r w:rsidRPr="00023B55">
              <w:rPr>
                <w:sz w:val="20"/>
                <w:szCs w:val="18"/>
              </w:rPr>
              <w:t>Principaux sujets et pistes de réflexion</w:t>
            </w:r>
          </w:p>
        </w:tc>
        <w:tc>
          <w:tcPr>
            <w:tcW w:w="1296" w:type="pct"/>
            <w:vAlign w:val="center"/>
            <w:hideMark/>
          </w:tcPr>
          <w:p w14:paraId="7E4C2918" w14:textId="77777777" w:rsidR="00AC2E05" w:rsidRPr="00023B55" w:rsidRDefault="00AC2E05" w:rsidP="00683425">
            <w:pPr>
              <w:pStyle w:val="Tablehead"/>
              <w:rPr>
                <w:sz w:val="20"/>
                <w:szCs w:val="18"/>
              </w:rPr>
            </w:pPr>
            <w:r w:rsidRPr="00023B55">
              <w:rPr>
                <w:sz w:val="20"/>
                <w:szCs w:val="18"/>
              </w:rPr>
              <w:t>Principaux résultats</w:t>
            </w:r>
          </w:p>
        </w:tc>
        <w:tc>
          <w:tcPr>
            <w:tcW w:w="1005" w:type="pct"/>
            <w:vAlign w:val="center"/>
            <w:hideMark/>
          </w:tcPr>
          <w:p w14:paraId="4AD168DE" w14:textId="77777777" w:rsidR="00AC2E05" w:rsidRPr="00023B55" w:rsidRDefault="00AC2E05" w:rsidP="00683425">
            <w:pPr>
              <w:pStyle w:val="Tablehead"/>
              <w:rPr>
                <w:sz w:val="20"/>
                <w:szCs w:val="18"/>
              </w:rPr>
            </w:pPr>
            <w:r w:rsidRPr="00023B55">
              <w:rPr>
                <w:sz w:val="20"/>
                <w:szCs w:val="18"/>
              </w:rPr>
              <w:t>Évolution technologique et grandes orientations du SMSI</w:t>
            </w:r>
          </w:p>
        </w:tc>
      </w:tr>
      <w:tr w:rsidR="0089710D" w:rsidRPr="00023B55" w14:paraId="4AF5A9F5" w14:textId="77777777" w:rsidTr="001F3EAE">
        <w:trPr>
          <w:tblCellSpacing w:w="15" w:type="dxa"/>
        </w:trPr>
        <w:tc>
          <w:tcPr>
            <w:tcW w:w="324" w:type="pct"/>
            <w:vAlign w:val="center"/>
            <w:hideMark/>
          </w:tcPr>
          <w:p w14:paraId="42172BA3" w14:textId="763163FF" w:rsidR="00AC2E05" w:rsidRPr="00023B55" w:rsidRDefault="00AC2E05" w:rsidP="00683425">
            <w:pPr>
              <w:pStyle w:val="Tabletext"/>
              <w:rPr>
                <w:b/>
                <w:sz w:val="20"/>
                <w:szCs w:val="18"/>
              </w:rPr>
            </w:pPr>
            <w:hyperlink r:id="rId95" w:history="1">
              <w:r w:rsidRPr="00023B55">
                <w:rPr>
                  <w:rStyle w:val="Hyperlink"/>
                  <w:b/>
                  <w:sz w:val="20"/>
                  <w:szCs w:val="18"/>
                </w:rPr>
                <w:t>2024</w:t>
              </w:r>
            </w:hyperlink>
          </w:p>
        </w:tc>
        <w:tc>
          <w:tcPr>
            <w:tcW w:w="1274" w:type="pct"/>
            <w:vAlign w:val="center"/>
            <w:hideMark/>
          </w:tcPr>
          <w:p w14:paraId="0DF1DC04" w14:textId="6103FC2A" w:rsidR="00AC2E05" w:rsidRPr="00023B55" w:rsidRDefault="00AC2E05" w:rsidP="00683425">
            <w:pPr>
              <w:pStyle w:val="Tabletext"/>
              <w:rPr>
                <w:sz w:val="20"/>
                <w:szCs w:val="18"/>
              </w:rPr>
            </w:pPr>
            <w:r w:rsidRPr="00023B55">
              <w:rPr>
                <w:sz w:val="20"/>
                <w:szCs w:val="18"/>
              </w:rPr>
              <w:t>Plus de 4 000 participants sur place et en ligne, dont plus de 80</w:t>
            </w:r>
            <w:r w:rsidR="00585D89" w:rsidRPr="00023B55">
              <w:rPr>
                <w:sz w:val="20"/>
                <w:szCs w:val="18"/>
              </w:rPr>
              <w:t> </w:t>
            </w:r>
            <w:r w:rsidRPr="00023B55">
              <w:rPr>
                <w:sz w:val="20"/>
                <w:szCs w:val="18"/>
              </w:rPr>
              <w:t>ministres, vice</w:t>
            </w:r>
            <w:r w:rsidR="00585D89" w:rsidRPr="00023B55">
              <w:rPr>
                <w:sz w:val="20"/>
                <w:szCs w:val="18"/>
              </w:rPr>
              <w:noBreakHyphen/>
            </w:r>
            <w:r w:rsidRPr="00023B55">
              <w:rPr>
                <w:sz w:val="20"/>
                <w:szCs w:val="18"/>
              </w:rPr>
              <w:t>ministres et chefs d'autorités de réglementation.</w:t>
            </w:r>
          </w:p>
        </w:tc>
        <w:tc>
          <w:tcPr>
            <w:tcW w:w="1001" w:type="pct"/>
            <w:vAlign w:val="center"/>
            <w:hideMark/>
          </w:tcPr>
          <w:p w14:paraId="12924A17" w14:textId="77777777" w:rsidR="00AC2E05" w:rsidRPr="00023B55" w:rsidRDefault="00AC2E05" w:rsidP="00683425">
            <w:pPr>
              <w:pStyle w:val="Tabletext"/>
              <w:rPr>
                <w:sz w:val="20"/>
                <w:szCs w:val="18"/>
              </w:rPr>
            </w:pPr>
            <w:r w:rsidRPr="00023B55">
              <w:rPr>
                <w:sz w:val="20"/>
                <w:szCs w:val="18"/>
              </w:rPr>
              <w:t>Examen du SMSI+20; Forum du SMSI+20 et alignement sur les activités de coopération numérique mondiale; connectivité universelle et transformation numérique durable; infrastructure publique numérique</w:t>
            </w:r>
          </w:p>
        </w:tc>
        <w:tc>
          <w:tcPr>
            <w:tcW w:w="1296" w:type="pct"/>
            <w:vAlign w:val="center"/>
            <w:hideMark/>
          </w:tcPr>
          <w:p w14:paraId="11311685" w14:textId="22A3B7EF" w:rsidR="00AC2E05" w:rsidRPr="00023B55" w:rsidRDefault="00AC2E05" w:rsidP="00683425">
            <w:pPr>
              <w:pStyle w:val="Tabletext"/>
              <w:rPr>
                <w:sz w:val="20"/>
                <w:szCs w:val="18"/>
              </w:rPr>
            </w:pPr>
            <w:r w:rsidRPr="00023B55">
              <w:rPr>
                <w:sz w:val="20"/>
                <w:szCs w:val="18"/>
              </w:rPr>
              <w:t>Président: S.</w:t>
            </w:r>
            <w:r w:rsidR="001F3EAE" w:rsidRPr="00023B55">
              <w:rPr>
                <w:sz w:val="20"/>
                <w:szCs w:val="18"/>
              </w:rPr>
              <w:t> </w:t>
            </w:r>
            <w:r w:rsidRPr="00023B55">
              <w:rPr>
                <w:sz w:val="20"/>
                <w:szCs w:val="18"/>
              </w:rPr>
              <w:t>E.</w:t>
            </w:r>
            <w:r w:rsidR="001F3EAE" w:rsidRPr="00023B55">
              <w:rPr>
                <w:sz w:val="20"/>
                <w:szCs w:val="18"/>
              </w:rPr>
              <w:t> </w:t>
            </w:r>
            <w:r w:rsidRPr="00023B55">
              <w:rPr>
                <w:sz w:val="20"/>
                <w:szCs w:val="18"/>
              </w:rPr>
              <w:t>M.</w:t>
            </w:r>
            <w:r w:rsidR="001F3EAE" w:rsidRPr="00023B55">
              <w:rPr>
                <w:sz w:val="20"/>
                <w:szCs w:val="18"/>
              </w:rPr>
              <w:t> </w:t>
            </w:r>
            <w:r w:rsidRPr="00023B55">
              <w:rPr>
                <w:sz w:val="20"/>
                <w:szCs w:val="18"/>
              </w:rPr>
              <w:t>Albert</w:t>
            </w:r>
            <w:r w:rsidR="001F3EAE" w:rsidRPr="00023B55">
              <w:rPr>
                <w:sz w:val="20"/>
                <w:szCs w:val="18"/>
              </w:rPr>
              <w:t> </w:t>
            </w:r>
            <w:r w:rsidRPr="00023B55">
              <w:rPr>
                <w:sz w:val="20"/>
                <w:szCs w:val="18"/>
              </w:rPr>
              <w:t>Rösti, Conseiller fédéral du Département fédéral de l</w:t>
            </w:r>
            <w:r w:rsidR="00457235" w:rsidRPr="00023B55">
              <w:rPr>
                <w:sz w:val="20"/>
                <w:szCs w:val="18"/>
              </w:rPr>
              <w:t>'</w:t>
            </w:r>
            <w:r w:rsidRPr="00023B55">
              <w:rPr>
                <w:sz w:val="20"/>
                <w:szCs w:val="18"/>
              </w:rPr>
              <w:t>environnement, des transports, de l</w:t>
            </w:r>
            <w:r w:rsidR="00457235" w:rsidRPr="00023B55">
              <w:rPr>
                <w:sz w:val="20"/>
                <w:szCs w:val="18"/>
              </w:rPr>
              <w:t>'</w:t>
            </w:r>
            <w:r w:rsidRPr="00023B55">
              <w:rPr>
                <w:sz w:val="20"/>
                <w:szCs w:val="18"/>
              </w:rPr>
              <w:t>énergie et de la communication (DETEC) de la Suisse</w:t>
            </w:r>
          </w:p>
          <w:p w14:paraId="2339AEB4" w14:textId="6FBEFC70" w:rsidR="00AC2E05" w:rsidRPr="00023B55" w:rsidRDefault="00AC2E05" w:rsidP="00683425">
            <w:pPr>
              <w:pStyle w:val="Tabletext"/>
              <w:rPr>
                <w:sz w:val="20"/>
                <w:szCs w:val="18"/>
              </w:rPr>
            </w:pPr>
            <w:hyperlink r:id="rId96" w:tgtFrame="_blank" w:history="1">
              <w:r w:rsidRPr="00023B55">
                <w:rPr>
                  <w:rStyle w:val="Hyperlink"/>
                  <w:sz w:val="20"/>
                  <w:szCs w:val="18"/>
                </w:rPr>
                <w:t>Prix de l'innovation sur la question du vieillissement en bonne santé du Forum de 2024 du SMSI</w:t>
              </w:r>
            </w:hyperlink>
          </w:p>
          <w:p w14:paraId="76F006AE" w14:textId="0E5CB79D" w:rsidR="00AC2E05" w:rsidRPr="00023B55" w:rsidRDefault="00585D89" w:rsidP="00585D89">
            <w:pPr>
              <w:pStyle w:val="Tabletext"/>
              <w:ind w:left="227" w:hanging="227"/>
              <w:rPr>
                <w:sz w:val="20"/>
                <w:szCs w:val="18"/>
              </w:rPr>
            </w:pPr>
            <w:r w:rsidRPr="00023B55">
              <w:rPr>
                <w:sz w:val="20"/>
                <w:szCs w:val="18"/>
              </w:rPr>
              <w:t>–</w:t>
            </w:r>
            <w:r w:rsidRPr="00023B55">
              <w:rPr>
                <w:sz w:val="20"/>
                <w:szCs w:val="18"/>
              </w:rPr>
              <w:tab/>
            </w:r>
            <w:hyperlink r:id="rId97" w:tgtFrame="_blank" w:history="1">
              <w:r w:rsidRPr="00023B55">
                <w:rPr>
                  <w:rStyle w:val="Hyperlink"/>
                  <w:sz w:val="20"/>
                  <w:szCs w:val="18"/>
                </w:rPr>
                <w:t>Prix du Forum de 2024 du SMSI récompensant la conception du meilleur service numérique</w:t>
              </w:r>
            </w:hyperlink>
          </w:p>
          <w:p w14:paraId="713D3280" w14:textId="19F8F54B" w:rsidR="00AC2E05" w:rsidRPr="00023B55" w:rsidRDefault="00585D89" w:rsidP="00585D89">
            <w:pPr>
              <w:pStyle w:val="Tabletext"/>
              <w:ind w:left="227" w:hanging="227"/>
              <w:rPr>
                <w:sz w:val="20"/>
                <w:szCs w:val="18"/>
              </w:rPr>
            </w:pPr>
            <w:r w:rsidRPr="00023B55">
              <w:rPr>
                <w:sz w:val="20"/>
                <w:szCs w:val="18"/>
              </w:rPr>
              <w:t>–</w:t>
            </w:r>
            <w:r w:rsidRPr="00023B55">
              <w:rPr>
                <w:sz w:val="20"/>
                <w:szCs w:val="18"/>
              </w:rPr>
              <w:tab/>
            </w:r>
            <w:r w:rsidR="00AC2E05" w:rsidRPr="00023B55">
              <w:rPr>
                <w:sz w:val="20"/>
                <w:szCs w:val="18"/>
              </w:rPr>
              <w:t>Women in GovTech Challenge (Défi "Les femmes dans le secteur des technologies du service public")</w:t>
            </w:r>
          </w:p>
          <w:p w14:paraId="53C74AEA" w14:textId="76C54A77" w:rsidR="00AC2E05" w:rsidRPr="00023B55" w:rsidRDefault="00585D89" w:rsidP="00585D89">
            <w:pPr>
              <w:pStyle w:val="Tabletext"/>
              <w:ind w:left="227" w:hanging="227"/>
              <w:rPr>
                <w:sz w:val="20"/>
                <w:szCs w:val="18"/>
              </w:rPr>
            </w:pPr>
            <w:r w:rsidRPr="00023B55">
              <w:rPr>
                <w:sz w:val="20"/>
                <w:szCs w:val="18"/>
              </w:rPr>
              <w:t>–</w:t>
            </w:r>
            <w:r w:rsidRPr="00023B55">
              <w:rPr>
                <w:sz w:val="20"/>
                <w:szCs w:val="18"/>
              </w:rPr>
              <w:tab/>
            </w:r>
            <w:hyperlink r:id="rId98" w:history="1">
              <w:r w:rsidR="00AC2E05" w:rsidRPr="00023B55">
                <w:rPr>
                  <w:rStyle w:val="Hyperlink"/>
                  <w:rFonts w:eastAsia="Times New Roman" w:cs="Times New Roman"/>
                  <w:sz w:val="20"/>
                  <w:szCs w:val="18"/>
                </w:rPr>
                <w:t>Table ronde universitaire du Forum du SMSI</w:t>
              </w:r>
            </w:hyperlink>
          </w:p>
          <w:p w14:paraId="1F91DAF0" w14:textId="7E4F86CE" w:rsidR="00AC2E05" w:rsidRPr="00023B55" w:rsidRDefault="00585D89" w:rsidP="00585D89">
            <w:pPr>
              <w:pStyle w:val="Tabletext"/>
              <w:ind w:left="227" w:hanging="227"/>
              <w:rPr>
                <w:sz w:val="20"/>
                <w:szCs w:val="18"/>
              </w:rPr>
            </w:pPr>
            <w:r w:rsidRPr="00023B55">
              <w:rPr>
                <w:sz w:val="20"/>
                <w:szCs w:val="18"/>
              </w:rPr>
              <w:t>–</w:t>
            </w:r>
            <w:r w:rsidRPr="00023B55">
              <w:rPr>
                <w:sz w:val="20"/>
                <w:szCs w:val="18"/>
              </w:rPr>
              <w:tab/>
            </w:r>
            <w:r w:rsidR="00AC2E05" w:rsidRPr="00023B55">
              <w:rPr>
                <w:sz w:val="20"/>
                <w:szCs w:val="18"/>
              </w:rPr>
              <w:t>Séances axées sur le bien-être</w:t>
            </w:r>
          </w:p>
          <w:p w14:paraId="3988DA31" w14:textId="4F04FD21" w:rsidR="00AC2E05" w:rsidRPr="00023B55" w:rsidRDefault="00585D89" w:rsidP="0069223C">
            <w:pPr>
              <w:pStyle w:val="Tabletext"/>
              <w:keepLines/>
              <w:ind w:left="227" w:hanging="227"/>
              <w:rPr>
                <w:sz w:val="20"/>
                <w:szCs w:val="18"/>
              </w:rPr>
            </w:pPr>
            <w:r w:rsidRPr="00023B55">
              <w:rPr>
                <w:sz w:val="20"/>
                <w:szCs w:val="18"/>
              </w:rPr>
              <w:t>–</w:t>
            </w:r>
            <w:r w:rsidRPr="00023B55">
              <w:rPr>
                <w:sz w:val="20"/>
                <w:szCs w:val="18"/>
              </w:rPr>
              <w:tab/>
            </w:r>
            <w:r w:rsidR="00AC2E05" w:rsidRPr="00023B55">
              <w:rPr>
                <w:sz w:val="20"/>
                <w:szCs w:val="18"/>
              </w:rPr>
              <w:t xml:space="preserve">Accueil du </w:t>
            </w:r>
            <w:hyperlink r:id="rId99" w:history="1">
              <w:r w:rsidR="00AC2E05" w:rsidRPr="00023B55">
                <w:rPr>
                  <w:rStyle w:val="Hyperlink"/>
                  <w:rFonts w:eastAsia="Times New Roman" w:cs="Times New Roman"/>
                  <w:sz w:val="20"/>
                  <w:szCs w:val="18"/>
                </w:rPr>
                <w:t>Réseau de femmes ayant rang de ministre et de dirigeante dans le domaine des TIC</w:t>
              </w:r>
            </w:hyperlink>
          </w:p>
        </w:tc>
        <w:tc>
          <w:tcPr>
            <w:tcW w:w="1005" w:type="pct"/>
            <w:vAlign w:val="center"/>
            <w:hideMark/>
          </w:tcPr>
          <w:p w14:paraId="52275BB2" w14:textId="77777777" w:rsidR="00AC2E05" w:rsidRPr="00023B55" w:rsidRDefault="00AC2E05" w:rsidP="00683425">
            <w:pPr>
              <w:pStyle w:val="Tabletext"/>
              <w:rPr>
                <w:sz w:val="20"/>
                <w:szCs w:val="18"/>
              </w:rPr>
            </w:pPr>
            <w:r w:rsidRPr="00023B55">
              <w:rPr>
                <w:sz w:val="20"/>
                <w:szCs w:val="18"/>
              </w:rPr>
              <w:t>Infrastructure publique numérique, confiance numérique et gouvernance de l'IA; réalité virtuelle et métavers; technologies d'informatique quantique; IA générative</w:t>
            </w:r>
          </w:p>
        </w:tc>
      </w:tr>
      <w:tr w:rsidR="00DD47E4" w:rsidRPr="00023B55" w14:paraId="3E6FA7FF" w14:textId="77777777" w:rsidTr="001F3EAE">
        <w:trPr>
          <w:tblCellSpacing w:w="15" w:type="dxa"/>
        </w:trPr>
        <w:tc>
          <w:tcPr>
            <w:tcW w:w="324" w:type="pct"/>
            <w:vAlign w:val="center"/>
            <w:hideMark/>
          </w:tcPr>
          <w:p w14:paraId="4D86043B" w14:textId="29CB08D2" w:rsidR="00AC2E05" w:rsidRPr="00023B55" w:rsidRDefault="00AC2E05" w:rsidP="00683425">
            <w:pPr>
              <w:pStyle w:val="Tabletext"/>
              <w:rPr>
                <w:b/>
                <w:sz w:val="20"/>
                <w:szCs w:val="18"/>
              </w:rPr>
            </w:pPr>
            <w:hyperlink r:id="rId100" w:history="1">
              <w:r w:rsidRPr="00023B55">
                <w:rPr>
                  <w:rStyle w:val="Hyperlink"/>
                  <w:b/>
                  <w:sz w:val="20"/>
                  <w:szCs w:val="18"/>
                </w:rPr>
                <w:t>2023</w:t>
              </w:r>
            </w:hyperlink>
          </w:p>
        </w:tc>
        <w:tc>
          <w:tcPr>
            <w:tcW w:w="1274" w:type="pct"/>
            <w:vAlign w:val="center"/>
            <w:hideMark/>
          </w:tcPr>
          <w:p w14:paraId="295D1850" w14:textId="1129E305" w:rsidR="00AC2E05" w:rsidRPr="00023B55" w:rsidRDefault="00AC2E05" w:rsidP="00683425">
            <w:pPr>
              <w:pStyle w:val="Tabletext"/>
              <w:rPr>
                <w:sz w:val="20"/>
                <w:szCs w:val="18"/>
              </w:rPr>
            </w:pPr>
            <w:r w:rsidRPr="00023B55">
              <w:rPr>
                <w:sz w:val="20"/>
                <w:szCs w:val="18"/>
              </w:rPr>
              <w:t>Plus de</w:t>
            </w:r>
            <w:r w:rsidR="001F3EAE" w:rsidRPr="00023B55">
              <w:rPr>
                <w:sz w:val="20"/>
                <w:szCs w:val="18"/>
              </w:rPr>
              <w:t xml:space="preserve"> </w:t>
            </w:r>
            <w:r w:rsidRPr="00023B55">
              <w:rPr>
                <w:sz w:val="20"/>
                <w:szCs w:val="18"/>
              </w:rPr>
              <w:t>2</w:t>
            </w:r>
            <w:r w:rsidR="001F3EAE" w:rsidRPr="00023B55">
              <w:rPr>
                <w:sz w:val="20"/>
                <w:szCs w:val="18"/>
              </w:rPr>
              <w:t> </w:t>
            </w:r>
            <w:r w:rsidRPr="00023B55">
              <w:rPr>
                <w:sz w:val="20"/>
                <w:szCs w:val="18"/>
              </w:rPr>
              <w:t>700</w:t>
            </w:r>
            <w:r w:rsidR="001F3EAE" w:rsidRPr="00023B55">
              <w:rPr>
                <w:sz w:val="20"/>
                <w:szCs w:val="18"/>
              </w:rPr>
              <w:t xml:space="preserve"> </w:t>
            </w:r>
            <w:r w:rsidRPr="00023B55">
              <w:rPr>
                <w:sz w:val="20"/>
                <w:szCs w:val="18"/>
              </w:rPr>
              <w:t>participants sur place</w:t>
            </w:r>
          </w:p>
        </w:tc>
        <w:tc>
          <w:tcPr>
            <w:tcW w:w="1001" w:type="pct"/>
            <w:vAlign w:val="center"/>
            <w:hideMark/>
          </w:tcPr>
          <w:p w14:paraId="737A7679" w14:textId="77777777" w:rsidR="00AC2E05" w:rsidRPr="00023B55" w:rsidRDefault="00AC2E05" w:rsidP="00683425">
            <w:pPr>
              <w:pStyle w:val="Tabletext"/>
              <w:rPr>
                <w:sz w:val="20"/>
                <w:szCs w:val="18"/>
              </w:rPr>
            </w:pPr>
            <w:r w:rsidRPr="00023B55">
              <w:rPr>
                <w:sz w:val="20"/>
                <w:szCs w:val="18"/>
              </w:rPr>
              <w:t>Gouvernance numérique, coopération, innovation</w:t>
            </w:r>
          </w:p>
        </w:tc>
        <w:tc>
          <w:tcPr>
            <w:tcW w:w="1296" w:type="pct"/>
            <w:vAlign w:val="center"/>
            <w:hideMark/>
          </w:tcPr>
          <w:p w14:paraId="3C1FEFC0" w14:textId="07162F47" w:rsidR="00AC2E05" w:rsidRPr="00023B55" w:rsidRDefault="00AC2E05" w:rsidP="00683425">
            <w:pPr>
              <w:pStyle w:val="Tabletext"/>
              <w:rPr>
                <w:sz w:val="20"/>
                <w:szCs w:val="18"/>
              </w:rPr>
            </w:pPr>
            <w:r w:rsidRPr="00023B55">
              <w:rPr>
                <w:sz w:val="20"/>
                <w:szCs w:val="18"/>
              </w:rPr>
              <w:t>Présidente: S. E. Mme</w:t>
            </w:r>
            <w:r w:rsidR="0069223C" w:rsidRPr="00023B55">
              <w:rPr>
                <w:sz w:val="20"/>
                <w:szCs w:val="18"/>
              </w:rPr>
              <w:t> </w:t>
            </w:r>
            <w:r w:rsidRPr="00023B55">
              <w:rPr>
                <w:sz w:val="20"/>
                <w:szCs w:val="18"/>
              </w:rPr>
              <w:t>Emilija Stojmenova Duh, Ministre de la transformation numérique de la République de Slovénie</w:t>
            </w:r>
          </w:p>
          <w:p w14:paraId="303D72E4" w14:textId="77777777" w:rsidR="00AC2E05" w:rsidRPr="00023B55" w:rsidRDefault="00AC2E05" w:rsidP="00E5250D">
            <w:pPr>
              <w:pStyle w:val="Tabletext"/>
              <w:spacing w:before="80"/>
              <w:rPr>
                <w:sz w:val="20"/>
                <w:szCs w:val="18"/>
              </w:rPr>
            </w:pPr>
            <w:r w:rsidRPr="00023B55">
              <w:rPr>
                <w:sz w:val="20"/>
                <w:szCs w:val="18"/>
              </w:rPr>
              <w:t>Plus de 250 séances, nouveaux modèles de coopération, dynamique du SMSI+20</w:t>
            </w:r>
          </w:p>
        </w:tc>
        <w:tc>
          <w:tcPr>
            <w:tcW w:w="1005" w:type="pct"/>
            <w:vAlign w:val="center"/>
            <w:hideMark/>
          </w:tcPr>
          <w:p w14:paraId="406D5C03" w14:textId="77777777" w:rsidR="00AC2E05" w:rsidRPr="00023B55" w:rsidRDefault="00AC2E05" w:rsidP="00683425">
            <w:pPr>
              <w:pStyle w:val="Tabletext"/>
              <w:rPr>
                <w:sz w:val="20"/>
                <w:szCs w:val="18"/>
              </w:rPr>
            </w:pPr>
            <w:r w:rsidRPr="00023B55">
              <w:rPr>
                <w:sz w:val="20"/>
                <w:szCs w:val="18"/>
              </w:rPr>
              <w:t>Partenariats numériques, politique en matière d'IA, confiance numérique, cadres de gouvernance</w:t>
            </w:r>
          </w:p>
        </w:tc>
      </w:tr>
      <w:tr w:rsidR="00DD47E4" w:rsidRPr="00023B55" w14:paraId="304ED1D2" w14:textId="77777777" w:rsidTr="001F3EAE">
        <w:trPr>
          <w:tblCellSpacing w:w="15" w:type="dxa"/>
        </w:trPr>
        <w:tc>
          <w:tcPr>
            <w:tcW w:w="324" w:type="pct"/>
            <w:vAlign w:val="center"/>
            <w:hideMark/>
          </w:tcPr>
          <w:p w14:paraId="5C8CB15C" w14:textId="2417CE78" w:rsidR="00AC2E05" w:rsidRPr="00023B55" w:rsidRDefault="00AC2E05" w:rsidP="0069223C">
            <w:pPr>
              <w:pStyle w:val="Tabletext"/>
              <w:keepNext/>
              <w:keepLines/>
              <w:rPr>
                <w:b/>
                <w:sz w:val="20"/>
                <w:szCs w:val="18"/>
              </w:rPr>
            </w:pPr>
            <w:hyperlink r:id="rId101" w:history="1">
              <w:r w:rsidRPr="00023B55">
                <w:rPr>
                  <w:rStyle w:val="Hyperlink"/>
                  <w:b/>
                  <w:sz w:val="20"/>
                  <w:szCs w:val="18"/>
                </w:rPr>
                <w:t>2022</w:t>
              </w:r>
            </w:hyperlink>
          </w:p>
        </w:tc>
        <w:tc>
          <w:tcPr>
            <w:tcW w:w="1274" w:type="pct"/>
            <w:vAlign w:val="center"/>
            <w:hideMark/>
          </w:tcPr>
          <w:p w14:paraId="1C7CFA74" w14:textId="3FF77E2C" w:rsidR="00AC2E05" w:rsidRPr="00023B55" w:rsidRDefault="00AC2E05" w:rsidP="0069223C">
            <w:pPr>
              <w:pStyle w:val="Tabletext"/>
              <w:keepNext/>
              <w:keepLines/>
              <w:rPr>
                <w:sz w:val="20"/>
                <w:szCs w:val="18"/>
              </w:rPr>
            </w:pPr>
            <w:r w:rsidRPr="00023B55">
              <w:rPr>
                <w:sz w:val="20"/>
                <w:szCs w:val="18"/>
              </w:rPr>
              <w:t>Plus de 1 000 participants sur place</w:t>
            </w:r>
            <w:r w:rsidR="00E5250D" w:rsidRPr="00023B55">
              <w:rPr>
                <w:sz w:val="20"/>
                <w:szCs w:val="18"/>
              </w:rPr>
              <w:t>.</w:t>
            </w:r>
          </w:p>
          <w:p w14:paraId="01A0FA6D" w14:textId="2A9C48AD" w:rsidR="00AC2E05" w:rsidRPr="00023B55" w:rsidRDefault="00E5250D" w:rsidP="0069223C">
            <w:pPr>
              <w:pStyle w:val="Tabletext"/>
              <w:keepNext/>
              <w:keepLines/>
              <w:rPr>
                <w:sz w:val="20"/>
                <w:szCs w:val="18"/>
              </w:rPr>
            </w:pPr>
            <w:r w:rsidRPr="00023B55">
              <w:rPr>
                <w:sz w:val="20"/>
                <w:szCs w:val="18"/>
              </w:rPr>
              <w:t>P</w:t>
            </w:r>
            <w:r w:rsidR="00AC2E05" w:rsidRPr="00023B55">
              <w:rPr>
                <w:sz w:val="20"/>
                <w:szCs w:val="18"/>
              </w:rPr>
              <w:t>lus de 30 000 participants à distance</w:t>
            </w:r>
          </w:p>
        </w:tc>
        <w:tc>
          <w:tcPr>
            <w:tcW w:w="1001" w:type="pct"/>
            <w:vAlign w:val="center"/>
            <w:hideMark/>
          </w:tcPr>
          <w:p w14:paraId="17B3E99D" w14:textId="77777777" w:rsidR="00AC2E05" w:rsidRPr="00023B55" w:rsidRDefault="00AC2E05" w:rsidP="0069223C">
            <w:pPr>
              <w:pStyle w:val="Tabletext"/>
              <w:keepNext/>
              <w:keepLines/>
              <w:rPr>
                <w:sz w:val="20"/>
                <w:szCs w:val="18"/>
              </w:rPr>
            </w:pPr>
            <w:r w:rsidRPr="00023B55">
              <w:rPr>
                <w:sz w:val="20"/>
                <w:szCs w:val="18"/>
              </w:rPr>
              <w:t>Métavers, langues autochtones, accessibilité</w:t>
            </w:r>
          </w:p>
        </w:tc>
        <w:tc>
          <w:tcPr>
            <w:tcW w:w="1296" w:type="pct"/>
            <w:vAlign w:val="center"/>
            <w:hideMark/>
          </w:tcPr>
          <w:p w14:paraId="6C15E07C" w14:textId="7A276A1A" w:rsidR="00AC2E05" w:rsidRPr="00023B55" w:rsidRDefault="00AC2E05" w:rsidP="0069223C">
            <w:pPr>
              <w:pStyle w:val="Tabletext"/>
              <w:keepNext/>
              <w:keepLines/>
              <w:rPr>
                <w:sz w:val="20"/>
                <w:szCs w:val="18"/>
              </w:rPr>
            </w:pPr>
            <w:r w:rsidRPr="00023B55">
              <w:rPr>
                <w:sz w:val="20"/>
                <w:szCs w:val="18"/>
              </w:rPr>
              <w:t>Président: S.</w:t>
            </w:r>
            <w:r w:rsidR="001F3EAE" w:rsidRPr="00023B55">
              <w:rPr>
                <w:sz w:val="20"/>
                <w:szCs w:val="18"/>
              </w:rPr>
              <w:t> </w:t>
            </w:r>
            <w:r w:rsidRPr="00023B55">
              <w:rPr>
                <w:sz w:val="20"/>
                <w:szCs w:val="18"/>
              </w:rPr>
              <w:t>E.</w:t>
            </w:r>
            <w:r w:rsidR="001F3EAE" w:rsidRPr="00023B55">
              <w:rPr>
                <w:sz w:val="20"/>
                <w:szCs w:val="18"/>
              </w:rPr>
              <w:t> </w:t>
            </w:r>
            <w:r w:rsidRPr="00023B55">
              <w:rPr>
                <w:sz w:val="20"/>
                <w:szCs w:val="18"/>
              </w:rPr>
              <w:t>M.</w:t>
            </w:r>
            <w:r w:rsidR="001F3EAE" w:rsidRPr="00023B55">
              <w:rPr>
                <w:sz w:val="20"/>
                <w:szCs w:val="18"/>
              </w:rPr>
              <w:t> </w:t>
            </w:r>
            <w:r w:rsidRPr="00023B55">
              <w:rPr>
                <w:sz w:val="20"/>
                <w:szCs w:val="18"/>
              </w:rPr>
              <w:t>Isa</w:t>
            </w:r>
            <w:r w:rsidR="001F3EAE" w:rsidRPr="00023B55">
              <w:rPr>
                <w:sz w:val="20"/>
                <w:szCs w:val="18"/>
              </w:rPr>
              <w:t> </w:t>
            </w:r>
            <w:r w:rsidRPr="00023B55">
              <w:rPr>
                <w:sz w:val="20"/>
                <w:szCs w:val="18"/>
              </w:rPr>
              <w:t>Ali</w:t>
            </w:r>
            <w:r w:rsidR="001F3EAE" w:rsidRPr="00023B55">
              <w:rPr>
                <w:sz w:val="20"/>
                <w:szCs w:val="18"/>
              </w:rPr>
              <w:t> </w:t>
            </w:r>
            <w:r w:rsidRPr="00023B55">
              <w:rPr>
                <w:sz w:val="20"/>
                <w:szCs w:val="18"/>
              </w:rPr>
              <w:t>Ibrahim (Pantami), Ministre fédéral des communications et de l'économie numérique du Nigéria</w:t>
            </w:r>
          </w:p>
          <w:p w14:paraId="1E51E016" w14:textId="77777777" w:rsidR="00AC2E05" w:rsidRPr="00023B55" w:rsidRDefault="00AC2E05" w:rsidP="0069223C">
            <w:pPr>
              <w:pStyle w:val="Tabletext"/>
              <w:keepNext/>
              <w:keepLines/>
              <w:spacing w:before="80"/>
              <w:rPr>
                <w:sz w:val="20"/>
                <w:szCs w:val="18"/>
              </w:rPr>
            </w:pPr>
            <w:r w:rsidRPr="00023B55">
              <w:rPr>
                <w:sz w:val="20"/>
                <w:szCs w:val="18"/>
              </w:rPr>
              <w:t>Plus de 250 séances, accent mis sur l'inclusion et l'innovation</w:t>
            </w:r>
          </w:p>
        </w:tc>
        <w:tc>
          <w:tcPr>
            <w:tcW w:w="1005" w:type="pct"/>
            <w:vAlign w:val="center"/>
            <w:hideMark/>
          </w:tcPr>
          <w:p w14:paraId="460E5E92" w14:textId="77777777" w:rsidR="00AC2E05" w:rsidRPr="00023B55" w:rsidRDefault="00AC2E05" w:rsidP="0069223C">
            <w:pPr>
              <w:pStyle w:val="Tabletext"/>
              <w:keepNext/>
              <w:keepLines/>
              <w:rPr>
                <w:sz w:val="20"/>
                <w:szCs w:val="18"/>
              </w:rPr>
            </w:pPr>
            <w:r w:rsidRPr="00023B55">
              <w:rPr>
                <w:sz w:val="20"/>
                <w:szCs w:val="18"/>
              </w:rPr>
              <w:t>IA, IoT, chaîne de blocs, réseaux 5G, métavers</w:t>
            </w:r>
          </w:p>
        </w:tc>
      </w:tr>
      <w:tr w:rsidR="0089710D" w:rsidRPr="00023B55" w14:paraId="31FF4952" w14:textId="77777777" w:rsidTr="001F3EAE">
        <w:trPr>
          <w:tblCellSpacing w:w="15" w:type="dxa"/>
        </w:trPr>
        <w:tc>
          <w:tcPr>
            <w:tcW w:w="324" w:type="pct"/>
            <w:vAlign w:val="center"/>
            <w:hideMark/>
          </w:tcPr>
          <w:p w14:paraId="5AD42367" w14:textId="31B12DED" w:rsidR="00AC2E05" w:rsidRPr="00023B55" w:rsidRDefault="00AC2E05" w:rsidP="00683425">
            <w:pPr>
              <w:pStyle w:val="Tabletext"/>
              <w:rPr>
                <w:b/>
                <w:sz w:val="20"/>
                <w:szCs w:val="18"/>
              </w:rPr>
            </w:pPr>
            <w:hyperlink r:id="rId102" w:history="1">
              <w:r w:rsidRPr="00023B55">
                <w:rPr>
                  <w:rStyle w:val="Hyperlink"/>
                  <w:b/>
                  <w:sz w:val="20"/>
                  <w:szCs w:val="18"/>
                </w:rPr>
                <w:t>2021</w:t>
              </w:r>
            </w:hyperlink>
          </w:p>
        </w:tc>
        <w:tc>
          <w:tcPr>
            <w:tcW w:w="1274" w:type="pct"/>
            <w:vAlign w:val="center"/>
            <w:hideMark/>
          </w:tcPr>
          <w:p w14:paraId="175F1683" w14:textId="25ED99DF" w:rsidR="00AC2E05" w:rsidRPr="00023B55" w:rsidRDefault="00AC2E05" w:rsidP="00683425">
            <w:pPr>
              <w:pStyle w:val="Tabletext"/>
              <w:rPr>
                <w:sz w:val="20"/>
                <w:szCs w:val="18"/>
              </w:rPr>
            </w:pPr>
            <w:r w:rsidRPr="00023B55">
              <w:rPr>
                <w:sz w:val="20"/>
                <w:szCs w:val="18"/>
              </w:rPr>
              <w:t>Plus de 50 000 participants (à</w:t>
            </w:r>
            <w:r w:rsidR="001F3EAE" w:rsidRPr="00023B55">
              <w:rPr>
                <w:sz w:val="20"/>
                <w:szCs w:val="18"/>
              </w:rPr>
              <w:t xml:space="preserve"> </w:t>
            </w:r>
            <w:r w:rsidRPr="00023B55">
              <w:rPr>
                <w:sz w:val="20"/>
                <w:szCs w:val="18"/>
              </w:rPr>
              <w:t>distance)</w:t>
            </w:r>
          </w:p>
        </w:tc>
        <w:tc>
          <w:tcPr>
            <w:tcW w:w="1001" w:type="pct"/>
            <w:vAlign w:val="center"/>
            <w:hideMark/>
          </w:tcPr>
          <w:p w14:paraId="35EF6F3D" w14:textId="77777777" w:rsidR="00AC2E05" w:rsidRPr="00023B55" w:rsidRDefault="00AC2E05" w:rsidP="00683425">
            <w:pPr>
              <w:pStyle w:val="Tabletext"/>
              <w:rPr>
                <w:sz w:val="20"/>
                <w:szCs w:val="18"/>
              </w:rPr>
            </w:pPr>
            <w:r w:rsidRPr="00023B55">
              <w:rPr>
                <w:sz w:val="20"/>
                <w:szCs w:val="18"/>
              </w:rPr>
              <w:t>Reprise, économie numérique, résilience; initiative "Mieux vieillir grâce aux TIC"; promotion de l'autonomisation des femmes grâce aux TIC; les TIC et la jeunesse; les TIC et l'accessibilité pour les personnes handicapées et les personnes ayant des besoins particuliers; cybersécurité; les TIC au service du bien-être et du bonheur</w:t>
            </w:r>
          </w:p>
        </w:tc>
        <w:tc>
          <w:tcPr>
            <w:tcW w:w="1296" w:type="pct"/>
            <w:vAlign w:val="center"/>
            <w:hideMark/>
          </w:tcPr>
          <w:p w14:paraId="3D8B5439" w14:textId="36A4B426" w:rsidR="00AC2E05" w:rsidRPr="00023B55" w:rsidRDefault="00AC2E05" w:rsidP="00683425">
            <w:pPr>
              <w:pStyle w:val="Tabletext"/>
              <w:rPr>
                <w:sz w:val="20"/>
                <w:szCs w:val="18"/>
              </w:rPr>
            </w:pPr>
            <w:r w:rsidRPr="00023B55">
              <w:rPr>
                <w:sz w:val="20"/>
                <w:szCs w:val="18"/>
              </w:rPr>
              <w:t>Président: S.</w:t>
            </w:r>
            <w:r w:rsidR="001F3EAE" w:rsidRPr="00023B55">
              <w:rPr>
                <w:sz w:val="20"/>
                <w:szCs w:val="18"/>
              </w:rPr>
              <w:t> </w:t>
            </w:r>
            <w:r w:rsidRPr="00023B55">
              <w:rPr>
                <w:sz w:val="20"/>
                <w:szCs w:val="18"/>
              </w:rPr>
              <w:t>E.</w:t>
            </w:r>
            <w:r w:rsidR="001F3EAE" w:rsidRPr="00023B55">
              <w:rPr>
                <w:sz w:val="20"/>
                <w:szCs w:val="18"/>
              </w:rPr>
              <w:t> </w:t>
            </w:r>
            <w:r w:rsidRPr="00023B55">
              <w:rPr>
                <w:sz w:val="20"/>
                <w:szCs w:val="18"/>
              </w:rPr>
              <w:t>M.</w:t>
            </w:r>
            <w:r w:rsidR="001F3EAE" w:rsidRPr="00023B55">
              <w:rPr>
                <w:sz w:val="20"/>
                <w:szCs w:val="18"/>
              </w:rPr>
              <w:t> </w:t>
            </w:r>
            <w:r w:rsidRPr="00023B55">
              <w:rPr>
                <w:sz w:val="20"/>
                <w:szCs w:val="18"/>
              </w:rPr>
              <w:t>Maxim</w:t>
            </w:r>
            <w:r w:rsidR="001F3EAE" w:rsidRPr="00023B55">
              <w:rPr>
                <w:sz w:val="20"/>
                <w:szCs w:val="18"/>
              </w:rPr>
              <w:t> </w:t>
            </w:r>
            <w:r w:rsidRPr="00023B55">
              <w:rPr>
                <w:sz w:val="20"/>
                <w:szCs w:val="18"/>
              </w:rPr>
              <w:t>Parshin, Vice</w:t>
            </w:r>
            <w:r w:rsidR="00E5250D" w:rsidRPr="00023B55">
              <w:rPr>
                <w:sz w:val="20"/>
                <w:szCs w:val="18"/>
              </w:rPr>
              <w:noBreakHyphen/>
            </w:r>
            <w:r w:rsidRPr="00023B55">
              <w:rPr>
                <w:sz w:val="20"/>
                <w:szCs w:val="18"/>
              </w:rPr>
              <w:t>Ministre du développement numérique, des communications et des médias de la Fédération de Russie</w:t>
            </w:r>
            <w:r w:rsidR="00E5250D" w:rsidRPr="00023B55">
              <w:rPr>
                <w:sz w:val="20"/>
                <w:szCs w:val="18"/>
              </w:rPr>
              <w:t>.</w:t>
            </w:r>
          </w:p>
          <w:p w14:paraId="252AD91D" w14:textId="7DC9CA27" w:rsidR="00AC2E05" w:rsidRPr="00023B55" w:rsidRDefault="00AC2E05" w:rsidP="00E5250D">
            <w:pPr>
              <w:pStyle w:val="Tabletext"/>
              <w:spacing w:before="80"/>
              <w:rPr>
                <w:sz w:val="20"/>
                <w:szCs w:val="18"/>
              </w:rPr>
            </w:pPr>
            <w:r w:rsidRPr="00023B55">
              <w:rPr>
                <w:sz w:val="20"/>
                <w:szCs w:val="18"/>
              </w:rPr>
              <w:t>Hackathon de l'édition de</w:t>
            </w:r>
            <w:r w:rsidR="001F3EAE" w:rsidRPr="00023B55">
              <w:rPr>
                <w:sz w:val="20"/>
                <w:szCs w:val="18"/>
              </w:rPr>
              <w:t> </w:t>
            </w:r>
            <w:r w:rsidRPr="00023B55">
              <w:rPr>
                <w:sz w:val="20"/>
                <w:szCs w:val="18"/>
              </w:rPr>
              <w:t>2021 du Forum du</w:t>
            </w:r>
            <w:r w:rsidR="00E5250D" w:rsidRPr="00023B55">
              <w:rPr>
                <w:sz w:val="20"/>
                <w:szCs w:val="18"/>
              </w:rPr>
              <w:t> </w:t>
            </w:r>
            <w:r w:rsidRPr="00023B55">
              <w:rPr>
                <w:sz w:val="20"/>
                <w:szCs w:val="18"/>
              </w:rPr>
              <w:t>SMSI</w:t>
            </w:r>
            <w:r w:rsidR="001F3EAE" w:rsidRPr="00023B55">
              <w:rPr>
                <w:sz w:val="20"/>
                <w:szCs w:val="18"/>
              </w:rPr>
              <w:t> </w:t>
            </w:r>
            <w:r w:rsidRPr="00023B55">
              <w:rPr>
                <w:sz w:val="20"/>
                <w:szCs w:val="18"/>
              </w:rPr>
              <w:t>– "Mieux vieillir grâce aux TIC": UIT, Global Coalition on Aging (GCOA) et autres parties prenantes telles que l'OMS, le DESA, etc.; Prix de l'innovation sur la question du vieillissement en bonne santé du Forum du</w:t>
            </w:r>
            <w:r w:rsidR="00E5250D" w:rsidRPr="00023B55">
              <w:rPr>
                <w:sz w:val="20"/>
                <w:szCs w:val="18"/>
              </w:rPr>
              <w:t> </w:t>
            </w:r>
            <w:r w:rsidRPr="00023B55">
              <w:rPr>
                <w:sz w:val="20"/>
                <w:szCs w:val="18"/>
              </w:rPr>
              <w:t>SMSI; Rapport spécial sur les mesures prises face au coronavirus (COVID-19) – Répertoire des cas d'utilisation des TIC; lancement de la série de réflexions virtuelles dans le cadre du SMSI (SMSI Talkx)</w:t>
            </w:r>
          </w:p>
        </w:tc>
        <w:tc>
          <w:tcPr>
            <w:tcW w:w="1005" w:type="pct"/>
            <w:vAlign w:val="center"/>
            <w:hideMark/>
          </w:tcPr>
          <w:p w14:paraId="77D7EF2B" w14:textId="66848022" w:rsidR="00AC2E05" w:rsidRPr="00023B55" w:rsidRDefault="00AC2E05" w:rsidP="00683425">
            <w:pPr>
              <w:pStyle w:val="Tabletext"/>
              <w:rPr>
                <w:sz w:val="20"/>
                <w:szCs w:val="18"/>
              </w:rPr>
            </w:pPr>
            <w:r w:rsidRPr="00023B55">
              <w:rPr>
                <w:sz w:val="20"/>
                <w:szCs w:val="18"/>
              </w:rPr>
              <w:t>IA, mégadonnées et analyse de données; réseaux 5G; appareils connectés dans tous les secteurs pour une meilleure surveillance et automatisation (p.</w:t>
            </w:r>
            <w:r w:rsidR="00E5250D" w:rsidRPr="00023B55">
              <w:rPr>
                <w:sz w:val="20"/>
                <w:szCs w:val="18"/>
              </w:rPr>
              <w:t> </w:t>
            </w:r>
            <w:r w:rsidRPr="00023B55">
              <w:rPr>
                <w:sz w:val="20"/>
                <w:szCs w:val="18"/>
              </w:rPr>
              <w:t>ex., dans l'agriculture, les soins aux personnes âgées et les interventions en cas de catastrophe); mise en place de solutions TIC évolutives et souples; éducation immersive, simulations de formation et thérapie liée à la santé; technologies d'assistance</w:t>
            </w:r>
          </w:p>
        </w:tc>
      </w:tr>
      <w:tr w:rsidR="00DD47E4" w:rsidRPr="00023B55" w14:paraId="0D8CE0F6" w14:textId="77777777" w:rsidTr="001F3EAE">
        <w:trPr>
          <w:tblCellSpacing w:w="15" w:type="dxa"/>
        </w:trPr>
        <w:tc>
          <w:tcPr>
            <w:tcW w:w="324" w:type="pct"/>
            <w:vAlign w:val="center"/>
            <w:hideMark/>
          </w:tcPr>
          <w:p w14:paraId="29AC9CA4" w14:textId="09639897" w:rsidR="00AC2E05" w:rsidRPr="00023B55" w:rsidRDefault="00AC2E05" w:rsidP="00683425">
            <w:pPr>
              <w:pStyle w:val="Tabletext"/>
              <w:rPr>
                <w:b/>
                <w:sz w:val="20"/>
                <w:szCs w:val="18"/>
              </w:rPr>
            </w:pPr>
            <w:hyperlink r:id="rId103" w:history="1">
              <w:r w:rsidRPr="00023B55">
                <w:rPr>
                  <w:rStyle w:val="Hyperlink"/>
                  <w:b/>
                  <w:sz w:val="20"/>
                  <w:szCs w:val="18"/>
                </w:rPr>
                <w:t>2020</w:t>
              </w:r>
            </w:hyperlink>
          </w:p>
        </w:tc>
        <w:tc>
          <w:tcPr>
            <w:tcW w:w="1274" w:type="pct"/>
            <w:vAlign w:val="center"/>
            <w:hideMark/>
          </w:tcPr>
          <w:p w14:paraId="5E020EDA" w14:textId="2FD488DA" w:rsidR="00AC2E05" w:rsidRPr="00023B55" w:rsidRDefault="00AC2E05" w:rsidP="00683425">
            <w:pPr>
              <w:pStyle w:val="Tabletext"/>
              <w:rPr>
                <w:sz w:val="20"/>
                <w:szCs w:val="18"/>
              </w:rPr>
            </w:pPr>
            <w:r w:rsidRPr="00023B55">
              <w:rPr>
                <w:sz w:val="20"/>
                <w:szCs w:val="18"/>
              </w:rPr>
              <w:t>Plus de 15 000 participants (à</w:t>
            </w:r>
            <w:r w:rsidR="001F3EAE" w:rsidRPr="00023B55">
              <w:rPr>
                <w:sz w:val="20"/>
                <w:szCs w:val="18"/>
              </w:rPr>
              <w:t xml:space="preserve"> </w:t>
            </w:r>
            <w:r w:rsidRPr="00023B55">
              <w:rPr>
                <w:sz w:val="20"/>
                <w:szCs w:val="18"/>
              </w:rPr>
              <w:t>distance)</w:t>
            </w:r>
          </w:p>
        </w:tc>
        <w:tc>
          <w:tcPr>
            <w:tcW w:w="1001" w:type="pct"/>
            <w:vAlign w:val="center"/>
            <w:hideMark/>
          </w:tcPr>
          <w:p w14:paraId="1000A1C8" w14:textId="77777777" w:rsidR="00AC2E05" w:rsidRPr="00023B55" w:rsidRDefault="00AC2E05" w:rsidP="00683425">
            <w:pPr>
              <w:pStyle w:val="Tabletext"/>
              <w:rPr>
                <w:sz w:val="20"/>
                <w:szCs w:val="18"/>
              </w:rPr>
            </w:pPr>
            <w:r w:rsidRPr="00023B55">
              <w:rPr>
                <w:sz w:val="20"/>
                <w:szCs w:val="18"/>
              </w:rPr>
              <w:t>Mesures prises face au COVID-19, personnes âgées et vieillissement, inclusion numérique</w:t>
            </w:r>
          </w:p>
        </w:tc>
        <w:tc>
          <w:tcPr>
            <w:tcW w:w="1296" w:type="pct"/>
            <w:vAlign w:val="center"/>
            <w:hideMark/>
          </w:tcPr>
          <w:p w14:paraId="034B2E4E" w14:textId="0B4878BC" w:rsidR="00AC2E05" w:rsidRPr="00023B55" w:rsidRDefault="00AC2E05" w:rsidP="00683425">
            <w:pPr>
              <w:pStyle w:val="Tabletext"/>
              <w:rPr>
                <w:sz w:val="20"/>
                <w:szCs w:val="18"/>
              </w:rPr>
            </w:pPr>
            <w:r w:rsidRPr="00023B55">
              <w:rPr>
                <w:b/>
                <w:bCs/>
                <w:sz w:val="20"/>
                <w:szCs w:val="18"/>
              </w:rPr>
              <w:t>Président: S.</w:t>
            </w:r>
            <w:r w:rsidR="001F3EAE" w:rsidRPr="00023B55">
              <w:rPr>
                <w:b/>
                <w:bCs/>
                <w:sz w:val="20"/>
                <w:szCs w:val="18"/>
              </w:rPr>
              <w:t> </w:t>
            </w:r>
            <w:r w:rsidRPr="00023B55">
              <w:rPr>
                <w:b/>
                <w:bCs/>
                <w:sz w:val="20"/>
                <w:szCs w:val="18"/>
              </w:rPr>
              <w:t>E.</w:t>
            </w:r>
            <w:r w:rsidR="001F3EAE" w:rsidRPr="00023B55">
              <w:rPr>
                <w:b/>
                <w:bCs/>
                <w:sz w:val="20"/>
                <w:szCs w:val="18"/>
              </w:rPr>
              <w:t> </w:t>
            </w:r>
            <w:r w:rsidRPr="00023B55">
              <w:rPr>
                <w:b/>
                <w:bCs/>
                <w:sz w:val="20"/>
                <w:szCs w:val="18"/>
              </w:rPr>
              <w:t>M.</w:t>
            </w:r>
            <w:r w:rsidR="001F3EAE" w:rsidRPr="00023B55">
              <w:rPr>
                <w:b/>
                <w:bCs/>
                <w:sz w:val="20"/>
                <w:szCs w:val="18"/>
              </w:rPr>
              <w:t> </w:t>
            </w:r>
            <w:r w:rsidRPr="00023B55">
              <w:rPr>
                <w:b/>
                <w:bCs/>
                <w:sz w:val="20"/>
                <w:szCs w:val="18"/>
              </w:rPr>
              <w:t>Gustavo</w:t>
            </w:r>
            <w:r w:rsidR="001F3EAE" w:rsidRPr="00023B55">
              <w:rPr>
                <w:b/>
                <w:bCs/>
                <w:sz w:val="20"/>
                <w:szCs w:val="18"/>
              </w:rPr>
              <w:t> </w:t>
            </w:r>
            <w:r w:rsidRPr="00023B55">
              <w:rPr>
                <w:b/>
                <w:bCs/>
                <w:sz w:val="20"/>
                <w:szCs w:val="18"/>
              </w:rPr>
              <w:t>Montalvo</w:t>
            </w:r>
            <w:r w:rsidRPr="00023B55">
              <w:rPr>
                <w:sz w:val="20"/>
                <w:szCs w:val="18"/>
              </w:rPr>
              <w:t xml:space="preserve">, Ministre de la Présidence de la </w:t>
            </w:r>
            <w:r w:rsidRPr="00023B55">
              <w:rPr>
                <w:b/>
                <w:bCs/>
                <w:sz w:val="20"/>
                <w:szCs w:val="18"/>
              </w:rPr>
              <w:t>République</w:t>
            </w:r>
            <w:r w:rsidR="00E5250D" w:rsidRPr="00023B55">
              <w:rPr>
                <w:b/>
                <w:bCs/>
                <w:sz w:val="20"/>
                <w:szCs w:val="18"/>
              </w:rPr>
              <w:t> </w:t>
            </w:r>
            <w:r w:rsidRPr="00023B55">
              <w:rPr>
                <w:b/>
                <w:bCs/>
                <w:sz w:val="20"/>
                <w:szCs w:val="18"/>
              </w:rPr>
              <w:t>dominicaine</w:t>
            </w:r>
          </w:p>
          <w:p w14:paraId="763C2619" w14:textId="6DFD9FB6" w:rsidR="00AC2E05" w:rsidRPr="00023B55" w:rsidRDefault="00AC2E05" w:rsidP="00E5250D">
            <w:pPr>
              <w:pStyle w:val="Tabletext"/>
              <w:spacing w:before="80"/>
              <w:rPr>
                <w:sz w:val="20"/>
                <w:szCs w:val="18"/>
              </w:rPr>
            </w:pPr>
            <w:r w:rsidRPr="00023B55">
              <w:rPr>
                <w:sz w:val="20"/>
                <w:szCs w:val="18"/>
              </w:rPr>
              <w:t>Forum entièrement virtuel; lancement du tout premier volet thématique sur "Les</w:t>
            </w:r>
            <w:r w:rsidR="001F3EAE" w:rsidRPr="00023B55">
              <w:rPr>
                <w:sz w:val="20"/>
                <w:szCs w:val="18"/>
              </w:rPr>
              <w:t> </w:t>
            </w:r>
            <w:r w:rsidRPr="00023B55">
              <w:rPr>
                <w:sz w:val="20"/>
                <w:szCs w:val="18"/>
              </w:rPr>
              <w:t>TIC et les personnes âgées"</w:t>
            </w:r>
            <w:r w:rsidR="00E5250D" w:rsidRPr="00023B55">
              <w:rPr>
                <w:sz w:val="20"/>
                <w:szCs w:val="18"/>
              </w:rPr>
              <w:t>.</w:t>
            </w:r>
          </w:p>
          <w:p w14:paraId="7C8E7D06" w14:textId="5C5C4964" w:rsidR="00AC2E05" w:rsidRPr="00023B55" w:rsidRDefault="00E5250D" w:rsidP="0069223C">
            <w:pPr>
              <w:pStyle w:val="Tabletext"/>
              <w:keepLines/>
              <w:ind w:left="227" w:hanging="227"/>
              <w:rPr>
                <w:sz w:val="20"/>
                <w:szCs w:val="18"/>
              </w:rPr>
            </w:pPr>
            <w:r w:rsidRPr="00023B55">
              <w:rPr>
                <w:sz w:val="20"/>
                <w:szCs w:val="18"/>
              </w:rPr>
              <w:lastRenderedPageBreak/>
              <w:t>–</w:t>
            </w:r>
            <w:r w:rsidRPr="00023B55">
              <w:rPr>
                <w:sz w:val="20"/>
                <w:szCs w:val="18"/>
              </w:rPr>
              <w:tab/>
            </w:r>
            <w:r w:rsidR="00AC2E05" w:rsidRPr="00023B55">
              <w:rPr>
                <w:sz w:val="20"/>
                <w:szCs w:val="18"/>
              </w:rPr>
              <w:t>Lancement, par le</w:t>
            </w:r>
            <w:r w:rsidRPr="00023B55">
              <w:rPr>
                <w:sz w:val="20"/>
                <w:szCs w:val="18"/>
              </w:rPr>
              <w:t> </w:t>
            </w:r>
            <w:r w:rsidR="00AC2E05" w:rsidRPr="00023B55">
              <w:rPr>
                <w:sz w:val="20"/>
                <w:szCs w:val="18"/>
              </w:rPr>
              <w:t>DESA, de l'édition</w:t>
            </w:r>
            <w:r w:rsidRPr="00023B55">
              <w:rPr>
                <w:sz w:val="20"/>
                <w:szCs w:val="18"/>
              </w:rPr>
              <w:t> </w:t>
            </w:r>
            <w:r w:rsidR="00AC2E05" w:rsidRPr="00023B55">
              <w:rPr>
                <w:sz w:val="20"/>
                <w:szCs w:val="18"/>
              </w:rPr>
              <w:t>2020 de l'étude des Nations Unies sur le cybergouvernement</w:t>
            </w:r>
          </w:p>
          <w:p w14:paraId="015F4E56" w14:textId="03A08F59" w:rsidR="00AC2E05" w:rsidRPr="00023B55" w:rsidRDefault="00E5250D" w:rsidP="00E5250D">
            <w:pPr>
              <w:pStyle w:val="Tabletext"/>
              <w:ind w:left="227" w:hanging="227"/>
              <w:rPr>
                <w:sz w:val="20"/>
                <w:szCs w:val="18"/>
              </w:rPr>
            </w:pPr>
            <w:r w:rsidRPr="00023B55">
              <w:rPr>
                <w:sz w:val="20"/>
                <w:szCs w:val="18"/>
              </w:rPr>
              <w:t>–</w:t>
            </w:r>
            <w:r w:rsidRPr="00023B55">
              <w:rPr>
                <w:sz w:val="20"/>
                <w:szCs w:val="18"/>
              </w:rPr>
              <w:tab/>
            </w:r>
            <w:r w:rsidR="00AC2E05" w:rsidRPr="00023B55">
              <w:rPr>
                <w:sz w:val="20"/>
                <w:szCs w:val="18"/>
              </w:rPr>
              <w:t xml:space="preserve">Renforcement de la collaboration avec les </w:t>
            </w:r>
            <w:r w:rsidR="008B1373" w:rsidRPr="00023B55">
              <w:rPr>
                <w:sz w:val="20"/>
                <w:szCs w:val="18"/>
              </w:rPr>
              <w:t>c</w:t>
            </w:r>
            <w:r w:rsidR="00AC2E05" w:rsidRPr="00023B55">
              <w:rPr>
                <w:sz w:val="20"/>
                <w:szCs w:val="18"/>
              </w:rPr>
              <w:t>ommissions d'études de l'UIT dans le cadre du processus du SMSI</w:t>
            </w:r>
          </w:p>
          <w:p w14:paraId="404CF629" w14:textId="385ECF6F" w:rsidR="00AC2E05" w:rsidRPr="00023B55" w:rsidRDefault="00E5250D" w:rsidP="00E5250D">
            <w:pPr>
              <w:pStyle w:val="Tabletext"/>
              <w:ind w:left="227" w:hanging="227"/>
              <w:rPr>
                <w:sz w:val="20"/>
                <w:szCs w:val="18"/>
              </w:rPr>
            </w:pPr>
            <w:r w:rsidRPr="00023B55">
              <w:rPr>
                <w:sz w:val="20"/>
                <w:szCs w:val="18"/>
              </w:rPr>
              <w:t>–</w:t>
            </w:r>
            <w:r w:rsidRPr="00023B55">
              <w:rPr>
                <w:sz w:val="20"/>
                <w:szCs w:val="18"/>
              </w:rPr>
              <w:tab/>
            </w:r>
            <w:r w:rsidR="00AC2E05" w:rsidRPr="00023B55">
              <w:rPr>
                <w:sz w:val="20"/>
                <w:szCs w:val="18"/>
              </w:rPr>
              <w:t>Les participants à la table ronde ministérielle se sont engagés à réduire la fracture numérique et à connecter ceux qui ne le sont pas encore</w:t>
            </w:r>
          </w:p>
          <w:p w14:paraId="638C5038" w14:textId="2848B708" w:rsidR="00AC2E05" w:rsidRPr="00023B55" w:rsidRDefault="00E5250D" w:rsidP="00E5250D">
            <w:pPr>
              <w:pStyle w:val="Tabletext"/>
              <w:ind w:left="227" w:hanging="227"/>
              <w:rPr>
                <w:sz w:val="20"/>
                <w:szCs w:val="18"/>
              </w:rPr>
            </w:pPr>
            <w:r w:rsidRPr="00023B55">
              <w:rPr>
                <w:sz w:val="20"/>
                <w:szCs w:val="18"/>
              </w:rPr>
              <w:t>–</w:t>
            </w:r>
            <w:r w:rsidRPr="00023B55">
              <w:rPr>
                <w:sz w:val="20"/>
                <w:szCs w:val="18"/>
              </w:rPr>
              <w:tab/>
            </w:r>
            <w:r w:rsidR="00AC2E05" w:rsidRPr="00023B55">
              <w:rPr>
                <w:sz w:val="20"/>
                <w:szCs w:val="18"/>
              </w:rPr>
              <w:t>Collaboration entre l'UIT et l'Université de Genève concernant l'organisation du hackathon virtuel dans le cadre du Summer Challenge d'Open Seventeen</w:t>
            </w:r>
          </w:p>
        </w:tc>
        <w:tc>
          <w:tcPr>
            <w:tcW w:w="1005" w:type="pct"/>
            <w:vAlign w:val="center"/>
            <w:hideMark/>
          </w:tcPr>
          <w:p w14:paraId="18EE6B08" w14:textId="77777777" w:rsidR="00AC2E05" w:rsidRPr="00023B55" w:rsidRDefault="00AC2E05" w:rsidP="00683425">
            <w:pPr>
              <w:pStyle w:val="Tabletext"/>
              <w:rPr>
                <w:sz w:val="20"/>
                <w:szCs w:val="18"/>
              </w:rPr>
            </w:pPr>
            <w:r w:rsidRPr="00023B55">
              <w:rPr>
                <w:sz w:val="20"/>
                <w:szCs w:val="18"/>
              </w:rPr>
              <w:lastRenderedPageBreak/>
              <w:t>Travail/apprentissage à distance, cybersanté, résilience numérique</w:t>
            </w:r>
          </w:p>
        </w:tc>
      </w:tr>
      <w:tr w:rsidR="0089710D" w:rsidRPr="00023B55" w14:paraId="05202FA5" w14:textId="77777777" w:rsidTr="001F3EAE">
        <w:trPr>
          <w:tblCellSpacing w:w="15" w:type="dxa"/>
        </w:trPr>
        <w:tc>
          <w:tcPr>
            <w:tcW w:w="324" w:type="pct"/>
            <w:vAlign w:val="center"/>
            <w:hideMark/>
          </w:tcPr>
          <w:p w14:paraId="709EE2AE" w14:textId="373C6976" w:rsidR="00AC2E05" w:rsidRPr="00023B55" w:rsidRDefault="00AC2E05" w:rsidP="00683425">
            <w:pPr>
              <w:pStyle w:val="Tabletext"/>
              <w:rPr>
                <w:b/>
                <w:sz w:val="20"/>
                <w:szCs w:val="18"/>
              </w:rPr>
            </w:pPr>
            <w:hyperlink r:id="rId104" w:history="1">
              <w:r w:rsidRPr="00023B55">
                <w:rPr>
                  <w:rStyle w:val="Hyperlink"/>
                  <w:b/>
                  <w:sz w:val="20"/>
                  <w:szCs w:val="18"/>
                </w:rPr>
                <w:t>2019</w:t>
              </w:r>
            </w:hyperlink>
          </w:p>
        </w:tc>
        <w:tc>
          <w:tcPr>
            <w:tcW w:w="1274" w:type="pct"/>
            <w:vAlign w:val="center"/>
            <w:hideMark/>
          </w:tcPr>
          <w:p w14:paraId="1A6B1896" w14:textId="77777777" w:rsidR="00AC2E05" w:rsidRPr="00023B55" w:rsidRDefault="00AC2E05" w:rsidP="00683425">
            <w:pPr>
              <w:pStyle w:val="Tabletext"/>
              <w:rPr>
                <w:sz w:val="20"/>
                <w:szCs w:val="18"/>
              </w:rPr>
            </w:pPr>
            <w:r w:rsidRPr="00023B55">
              <w:rPr>
                <w:sz w:val="20"/>
                <w:szCs w:val="18"/>
              </w:rPr>
              <w:t>Plus de 3 000 participants (sur place et à distance)</w:t>
            </w:r>
          </w:p>
        </w:tc>
        <w:tc>
          <w:tcPr>
            <w:tcW w:w="1001" w:type="pct"/>
            <w:vAlign w:val="center"/>
            <w:hideMark/>
          </w:tcPr>
          <w:p w14:paraId="199AF136" w14:textId="77777777" w:rsidR="00AC2E05" w:rsidRPr="00023B55" w:rsidRDefault="00AC2E05" w:rsidP="00683425">
            <w:pPr>
              <w:pStyle w:val="Tabletext"/>
              <w:rPr>
                <w:sz w:val="20"/>
                <w:szCs w:val="18"/>
              </w:rPr>
            </w:pPr>
            <w:r w:rsidRPr="00023B55">
              <w:rPr>
                <w:sz w:val="20"/>
                <w:szCs w:val="18"/>
              </w:rPr>
              <w:t>IA, chaîne de blocs, 5G, innovation</w:t>
            </w:r>
          </w:p>
        </w:tc>
        <w:tc>
          <w:tcPr>
            <w:tcW w:w="1296" w:type="pct"/>
            <w:vAlign w:val="center"/>
            <w:hideMark/>
          </w:tcPr>
          <w:p w14:paraId="6824595D" w14:textId="7A82BF3A" w:rsidR="00AC2E05" w:rsidRPr="00023B55" w:rsidRDefault="00AC2E05" w:rsidP="00683425">
            <w:pPr>
              <w:pStyle w:val="Tabletext"/>
              <w:rPr>
                <w:sz w:val="20"/>
                <w:szCs w:val="18"/>
              </w:rPr>
            </w:pPr>
            <w:r w:rsidRPr="00023B55">
              <w:rPr>
                <w:sz w:val="20"/>
                <w:szCs w:val="18"/>
              </w:rPr>
              <w:t>Président: S.</w:t>
            </w:r>
            <w:r w:rsidR="001F3EAE" w:rsidRPr="00023B55">
              <w:rPr>
                <w:sz w:val="20"/>
                <w:szCs w:val="18"/>
              </w:rPr>
              <w:t> </w:t>
            </w:r>
            <w:r w:rsidRPr="00023B55">
              <w:rPr>
                <w:sz w:val="20"/>
                <w:szCs w:val="18"/>
              </w:rPr>
              <w:t>E.</w:t>
            </w:r>
            <w:r w:rsidR="001F3EAE" w:rsidRPr="00023B55">
              <w:rPr>
                <w:sz w:val="20"/>
                <w:szCs w:val="18"/>
              </w:rPr>
              <w:t> </w:t>
            </w:r>
            <w:r w:rsidRPr="00023B55">
              <w:rPr>
                <w:sz w:val="20"/>
                <w:szCs w:val="18"/>
              </w:rPr>
              <w:t>M.</w:t>
            </w:r>
            <w:r w:rsidR="001F3EAE" w:rsidRPr="00023B55">
              <w:rPr>
                <w:sz w:val="20"/>
                <w:szCs w:val="18"/>
              </w:rPr>
              <w:t> </w:t>
            </w:r>
            <w:r w:rsidRPr="00023B55">
              <w:rPr>
                <w:sz w:val="20"/>
                <w:szCs w:val="18"/>
              </w:rPr>
              <w:t>Mustafa</w:t>
            </w:r>
            <w:r w:rsidR="001F3EAE" w:rsidRPr="00023B55">
              <w:rPr>
                <w:sz w:val="20"/>
                <w:szCs w:val="18"/>
              </w:rPr>
              <w:t> </w:t>
            </w:r>
            <w:r w:rsidRPr="00023B55">
              <w:rPr>
                <w:sz w:val="20"/>
                <w:szCs w:val="18"/>
              </w:rPr>
              <w:t>Jabbar, Ministre des postes, des télécommunications et des technologies de l'information du Bangladesh</w:t>
            </w:r>
            <w:r w:rsidR="00E5250D" w:rsidRPr="00023B55">
              <w:rPr>
                <w:sz w:val="20"/>
                <w:szCs w:val="18"/>
              </w:rPr>
              <w:t>.</w:t>
            </w:r>
          </w:p>
          <w:p w14:paraId="55854031" w14:textId="77777777" w:rsidR="00AC2E05" w:rsidRPr="00023B55" w:rsidRDefault="00AC2E05" w:rsidP="00E5250D">
            <w:pPr>
              <w:pStyle w:val="Tabletext"/>
              <w:spacing w:before="80"/>
              <w:rPr>
                <w:sz w:val="20"/>
                <w:szCs w:val="18"/>
              </w:rPr>
            </w:pPr>
            <w:r w:rsidRPr="00023B55">
              <w:rPr>
                <w:sz w:val="20"/>
                <w:szCs w:val="18"/>
              </w:rPr>
              <w:t>10ème anniversaire du Forum du SMSI</w:t>
            </w:r>
          </w:p>
          <w:p w14:paraId="73FC77DB" w14:textId="77777777" w:rsidR="00AC2E05" w:rsidRPr="00023B55" w:rsidRDefault="00AC2E05" w:rsidP="00E5250D">
            <w:pPr>
              <w:pStyle w:val="Tabletext"/>
              <w:spacing w:before="80"/>
              <w:rPr>
                <w:sz w:val="20"/>
                <w:szCs w:val="18"/>
              </w:rPr>
            </w:pPr>
            <w:r w:rsidRPr="00023B55">
              <w:rPr>
                <w:sz w:val="20"/>
                <w:szCs w:val="18"/>
              </w:rPr>
              <w:t>Organisation, par l'UIT, l'UNESCO et l'Université de Genève, du hackathon sur le thème "À la recherche de solutions pour l'apprentissage tout au long de la vie et la fourniture de moyens de subsistance"</w:t>
            </w:r>
          </w:p>
        </w:tc>
        <w:tc>
          <w:tcPr>
            <w:tcW w:w="1005" w:type="pct"/>
            <w:vAlign w:val="center"/>
            <w:hideMark/>
          </w:tcPr>
          <w:p w14:paraId="378F0784" w14:textId="77777777" w:rsidR="00AC2E05" w:rsidRPr="00023B55" w:rsidRDefault="00AC2E05" w:rsidP="00683425">
            <w:pPr>
              <w:pStyle w:val="Tabletext"/>
              <w:rPr>
                <w:sz w:val="20"/>
                <w:szCs w:val="18"/>
              </w:rPr>
            </w:pPr>
            <w:r w:rsidRPr="00023B55">
              <w:rPr>
                <w:sz w:val="20"/>
                <w:szCs w:val="18"/>
              </w:rPr>
              <w:t>Intégration des technologies émergentes; écosystèmes de l'innovation</w:t>
            </w:r>
          </w:p>
        </w:tc>
      </w:tr>
      <w:tr w:rsidR="00DD47E4" w:rsidRPr="00023B55" w14:paraId="68C5FFE6" w14:textId="77777777" w:rsidTr="001F3EAE">
        <w:trPr>
          <w:tblCellSpacing w:w="15" w:type="dxa"/>
        </w:trPr>
        <w:tc>
          <w:tcPr>
            <w:tcW w:w="324" w:type="pct"/>
            <w:vAlign w:val="center"/>
            <w:hideMark/>
          </w:tcPr>
          <w:p w14:paraId="3ED07481" w14:textId="6BA53338" w:rsidR="00AC2E05" w:rsidRPr="00023B55" w:rsidRDefault="00AC2E05" w:rsidP="00683425">
            <w:pPr>
              <w:pStyle w:val="Tabletext"/>
              <w:rPr>
                <w:b/>
                <w:sz w:val="20"/>
                <w:szCs w:val="18"/>
              </w:rPr>
            </w:pPr>
            <w:hyperlink r:id="rId105" w:history="1">
              <w:r w:rsidRPr="00023B55">
                <w:rPr>
                  <w:rStyle w:val="Hyperlink"/>
                  <w:b/>
                  <w:sz w:val="20"/>
                  <w:szCs w:val="18"/>
                </w:rPr>
                <w:t>2018</w:t>
              </w:r>
            </w:hyperlink>
          </w:p>
        </w:tc>
        <w:tc>
          <w:tcPr>
            <w:tcW w:w="1274" w:type="pct"/>
            <w:vAlign w:val="center"/>
            <w:hideMark/>
          </w:tcPr>
          <w:p w14:paraId="5E124F1B" w14:textId="7703334C" w:rsidR="00AC2E05" w:rsidRPr="00023B55" w:rsidRDefault="00AC2E05" w:rsidP="00683425">
            <w:pPr>
              <w:pStyle w:val="Tabletext"/>
              <w:rPr>
                <w:sz w:val="20"/>
                <w:szCs w:val="18"/>
              </w:rPr>
            </w:pPr>
            <w:r w:rsidRPr="00023B55">
              <w:rPr>
                <w:sz w:val="20"/>
                <w:szCs w:val="18"/>
              </w:rPr>
              <w:t>Plus de</w:t>
            </w:r>
            <w:r w:rsidR="00B94741" w:rsidRPr="00023B55">
              <w:rPr>
                <w:sz w:val="20"/>
                <w:szCs w:val="18"/>
              </w:rPr>
              <w:t> </w:t>
            </w:r>
            <w:r w:rsidRPr="00023B55">
              <w:rPr>
                <w:sz w:val="20"/>
                <w:szCs w:val="18"/>
              </w:rPr>
              <w:t>2</w:t>
            </w:r>
            <w:r w:rsidR="00B94741" w:rsidRPr="00023B55">
              <w:rPr>
                <w:sz w:val="20"/>
                <w:szCs w:val="18"/>
              </w:rPr>
              <w:t> </w:t>
            </w:r>
            <w:r w:rsidRPr="00023B55">
              <w:rPr>
                <w:sz w:val="20"/>
                <w:szCs w:val="18"/>
              </w:rPr>
              <w:t>500</w:t>
            </w:r>
            <w:r w:rsidR="00B94741" w:rsidRPr="00023B55">
              <w:rPr>
                <w:sz w:val="20"/>
                <w:szCs w:val="18"/>
              </w:rPr>
              <w:t> </w:t>
            </w:r>
            <w:r w:rsidRPr="00023B55">
              <w:rPr>
                <w:sz w:val="20"/>
                <w:szCs w:val="18"/>
              </w:rPr>
              <w:t>participants sur place et plus de</w:t>
            </w:r>
            <w:r w:rsidR="00B94741" w:rsidRPr="00023B55">
              <w:rPr>
                <w:sz w:val="20"/>
                <w:szCs w:val="18"/>
              </w:rPr>
              <w:t> </w:t>
            </w:r>
            <w:r w:rsidRPr="00023B55">
              <w:rPr>
                <w:sz w:val="20"/>
                <w:szCs w:val="18"/>
              </w:rPr>
              <w:t>1</w:t>
            </w:r>
            <w:r w:rsidR="00B94741" w:rsidRPr="00023B55">
              <w:rPr>
                <w:sz w:val="20"/>
                <w:szCs w:val="18"/>
              </w:rPr>
              <w:t> </w:t>
            </w:r>
            <w:r w:rsidRPr="00023B55">
              <w:rPr>
                <w:sz w:val="20"/>
                <w:szCs w:val="18"/>
              </w:rPr>
              <w:t>000 à distance</w:t>
            </w:r>
          </w:p>
          <w:p w14:paraId="7F719B44" w14:textId="4547C4BB" w:rsidR="00AC2E05" w:rsidRPr="00023B55" w:rsidRDefault="00AC2E05" w:rsidP="00683425">
            <w:pPr>
              <w:pStyle w:val="Tabletext"/>
              <w:rPr>
                <w:sz w:val="20"/>
                <w:szCs w:val="18"/>
              </w:rPr>
            </w:pPr>
            <w:r w:rsidRPr="00023B55">
              <w:rPr>
                <w:sz w:val="20"/>
                <w:szCs w:val="18"/>
              </w:rPr>
              <w:t>Plus de</w:t>
            </w:r>
            <w:r w:rsidR="00B94741" w:rsidRPr="00023B55">
              <w:rPr>
                <w:sz w:val="20"/>
                <w:szCs w:val="18"/>
              </w:rPr>
              <w:t> </w:t>
            </w:r>
            <w:r w:rsidRPr="00023B55">
              <w:rPr>
                <w:sz w:val="20"/>
                <w:szCs w:val="18"/>
              </w:rPr>
              <w:t>500</w:t>
            </w:r>
            <w:r w:rsidR="00B94741" w:rsidRPr="00023B55">
              <w:rPr>
                <w:sz w:val="20"/>
                <w:szCs w:val="18"/>
              </w:rPr>
              <w:t> </w:t>
            </w:r>
            <w:r w:rsidRPr="00023B55">
              <w:rPr>
                <w:sz w:val="20"/>
                <w:szCs w:val="18"/>
              </w:rPr>
              <w:t>représentants de haut niveau</w:t>
            </w:r>
          </w:p>
          <w:p w14:paraId="445E8573" w14:textId="77777777" w:rsidR="00AC2E05" w:rsidRPr="00023B55" w:rsidRDefault="00AC2E05" w:rsidP="00683425">
            <w:pPr>
              <w:pStyle w:val="Tabletext"/>
              <w:rPr>
                <w:sz w:val="20"/>
                <w:szCs w:val="18"/>
              </w:rPr>
            </w:pPr>
            <w:r w:rsidRPr="00023B55">
              <w:rPr>
                <w:sz w:val="20"/>
                <w:szCs w:val="18"/>
              </w:rPr>
              <w:t>Plus de 85 ministres et vice-ministres</w:t>
            </w:r>
          </w:p>
        </w:tc>
        <w:tc>
          <w:tcPr>
            <w:tcW w:w="1001" w:type="pct"/>
            <w:vAlign w:val="center"/>
            <w:hideMark/>
          </w:tcPr>
          <w:p w14:paraId="79326F74" w14:textId="7E9C7569" w:rsidR="00AC2E05" w:rsidRPr="00023B55" w:rsidRDefault="00AC2E05" w:rsidP="00683425">
            <w:pPr>
              <w:pStyle w:val="Tabletext"/>
              <w:rPr>
                <w:sz w:val="20"/>
                <w:szCs w:val="18"/>
              </w:rPr>
            </w:pPr>
            <w:r w:rsidRPr="00023B55">
              <w:rPr>
                <w:sz w:val="20"/>
                <w:szCs w:val="18"/>
              </w:rPr>
              <w:t>Inclusion, accessibilité, égalité hommes</w:t>
            </w:r>
            <w:r w:rsidR="008B1373" w:rsidRPr="00023B55">
              <w:rPr>
                <w:sz w:val="20"/>
                <w:szCs w:val="18"/>
              </w:rPr>
              <w:noBreakHyphen/>
            </w:r>
            <w:r w:rsidRPr="00023B55">
              <w:rPr>
                <w:sz w:val="20"/>
                <w:szCs w:val="18"/>
              </w:rPr>
              <w:t>femmes, jeunesse</w:t>
            </w:r>
          </w:p>
        </w:tc>
        <w:tc>
          <w:tcPr>
            <w:tcW w:w="1296" w:type="pct"/>
            <w:vAlign w:val="center"/>
            <w:hideMark/>
          </w:tcPr>
          <w:p w14:paraId="1EEABDD0" w14:textId="63CF88D4" w:rsidR="00AC2E05" w:rsidRPr="00023B55" w:rsidRDefault="00AC2E05" w:rsidP="00683425">
            <w:pPr>
              <w:pStyle w:val="Tabletext"/>
              <w:rPr>
                <w:sz w:val="20"/>
                <w:szCs w:val="18"/>
              </w:rPr>
            </w:pPr>
            <w:r w:rsidRPr="00023B55">
              <w:rPr>
                <w:b/>
                <w:bCs/>
                <w:sz w:val="20"/>
                <w:szCs w:val="18"/>
              </w:rPr>
              <w:t>Président: S. E. M. Majed</w:t>
            </w:r>
            <w:r w:rsidR="001F3EAE" w:rsidRPr="00023B55">
              <w:rPr>
                <w:b/>
                <w:bCs/>
                <w:sz w:val="20"/>
                <w:szCs w:val="18"/>
              </w:rPr>
              <w:t> </w:t>
            </w:r>
            <w:r w:rsidRPr="00023B55">
              <w:rPr>
                <w:b/>
                <w:bCs/>
                <w:sz w:val="20"/>
                <w:szCs w:val="18"/>
              </w:rPr>
              <w:t>Sultan Al Mesmar</w:t>
            </w:r>
            <w:r w:rsidRPr="00023B55">
              <w:rPr>
                <w:sz w:val="20"/>
                <w:szCs w:val="18"/>
              </w:rPr>
              <w:t xml:space="preserve">, Directeur général adjoint du Secteur des télécommunications de l'Autorité de régulation des télécommunications des </w:t>
            </w:r>
            <w:r w:rsidRPr="00023B55">
              <w:rPr>
                <w:b/>
                <w:bCs/>
                <w:sz w:val="20"/>
                <w:szCs w:val="18"/>
              </w:rPr>
              <w:t>Émirats arabes unis</w:t>
            </w:r>
            <w:r w:rsidR="00895DFD" w:rsidRPr="00023B55">
              <w:rPr>
                <w:b/>
                <w:bCs/>
                <w:sz w:val="20"/>
                <w:szCs w:val="18"/>
              </w:rPr>
              <w:t>.</w:t>
            </w:r>
          </w:p>
          <w:p w14:paraId="1FEA9454" w14:textId="77777777" w:rsidR="0049037C" w:rsidRPr="00023B55" w:rsidRDefault="00AC2E05" w:rsidP="00895DFD">
            <w:pPr>
              <w:pStyle w:val="Tabletext"/>
              <w:spacing w:before="80"/>
              <w:rPr>
                <w:sz w:val="20"/>
                <w:szCs w:val="18"/>
              </w:rPr>
            </w:pPr>
            <w:r w:rsidRPr="00023B55">
              <w:rPr>
                <w:sz w:val="20"/>
                <w:szCs w:val="18"/>
              </w:rPr>
              <w:lastRenderedPageBreak/>
              <w:t>L'application mobile sur l'ordre du jour du Forum</w:t>
            </w:r>
            <w:r w:rsidR="00B94741" w:rsidRPr="00023B55">
              <w:rPr>
                <w:sz w:val="20"/>
                <w:szCs w:val="18"/>
              </w:rPr>
              <w:t> </w:t>
            </w:r>
            <w:r w:rsidRPr="00023B55">
              <w:rPr>
                <w:sz w:val="20"/>
                <w:szCs w:val="18"/>
              </w:rPr>
              <w:t>2018 du SMSI développée par l'University of West Indies et l'UIT a été lancée.</w:t>
            </w:r>
          </w:p>
          <w:p w14:paraId="15BBA49E" w14:textId="4790FA99" w:rsidR="00AC2E05" w:rsidRPr="00023B55" w:rsidRDefault="00AC2E05" w:rsidP="00895DFD">
            <w:pPr>
              <w:pStyle w:val="Tabletext"/>
              <w:spacing w:before="80"/>
              <w:rPr>
                <w:sz w:val="20"/>
                <w:szCs w:val="18"/>
              </w:rPr>
            </w:pPr>
            <w:r w:rsidRPr="00023B55">
              <w:rPr>
                <w:sz w:val="20"/>
                <w:szCs w:val="18"/>
              </w:rPr>
              <w:t>Les participants à la table ronde ministérielle ont souligné l'importance du cadre des grandes orientations du SMSI, qui est un cadre essentiel pour les travaux de l'Organisation des Nations Unies en ce qui concerne les sociétés de l'information et du savoir et ils ont rappelé que de nombreux programmes nationaux en faveur du numérique avaient été établis en s'inspirant de ce cadre.</w:t>
            </w:r>
          </w:p>
          <w:p w14:paraId="5AA6ED3B" w14:textId="77777777" w:rsidR="00AC2E05" w:rsidRPr="00023B55" w:rsidRDefault="00AC2E05" w:rsidP="0098696C">
            <w:pPr>
              <w:pStyle w:val="Tabletext"/>
              <w:spacing w:before="80"/>
              <w:rPr>
                <w:sz w:val="20"/>
                <w:szCs w:val="18"/>
              </w:rPr>
            </w:pPr>
            <w:r w:rsidRPr="00023B55">
              <w:rPr>
                <w:sz w:val="20"/>
                <w:szCs w:val="18"/>
              </w:rPr>
              <w:t>L'UIT et l'Organisation des Nations Unies pour l'alimentation et l'agriculture (FAO) ont organisé le hackaton axé sur la lutte contre la faim.</w:t>
            </w:r>
          </w:p>
        </w:tc>
        <w:tc>
          <w:tcPr>
            <w:tcW w:w="1005" w:type="pct"/>
            <w:vAlign w:val="center"/>
            <w:hideMark/>
          </w:tcPr>
          <w:p w14:paraId="50E7D43D" w14:textId="77777777" w:rsidR="00AC2E05" w:rsidRPr="00023B55" w:rsidRDefault="00AC2E05" w:rsidP="00683425">
            <w:pPr>
              <w:pStyle w:val="Tabletext"/>
              <w:rPr>
                <w:sz w:val="20"/>
                <w:szCs w:val="18"/>
              </w:rPr>
            </w:pPr>
            <w:r w:rsidRPr="00023B55">
              <w:rPr>
                <w:sz w:val="20"/>
                <w:szCs w:val="18"/>
              </w:rPr>
              <w:lastRenderedPageBreak/>
              <w:t>Équité numérique, TIC accessibles, autonomisation des jeunes</w:t>
            </w:r>
          </w:p>
        </w:tc>
      </w:tr>
      <w:tr w:rsidR="0089710D" w:rsidRPr="00023B55" w14:paraId="5186F1A1" w14:textId="77777777" w:rsidTr="001F3EAE">
        <w:trPr>
          <w:tblCellSpacing w:w="15" w:type="dxa"/>
        </w:trPr>
        <w:tc>
          <w:tcPr>
            <w:tcW w:w="324" w:type="pct"/>
            <w:vAlign w:val="center"/>
            <w:hideMark/>
          </w:tcPr>
          <w:p w14:paraId="0EF70F4C" w14:textId="598CB8F4" w:rsidR="00AC2E05" w:rsidRPr="00023B55" w:rsidRDefault="00AC2E05" w:rsidP="00683425">
            <w:pPr>
              <w:pStyle w:val="Tabletext"/>
              <w:rPr>
                <w:b/>
                <w:sz w:val="20"/>
                <w:szCs w:val="18"/>
              </w:rPr>
            </w:pPr>
            <w:hyperlink r:id="rId106" w:history="1">
              <w:r w:rsidRPr="00023B55">
                <w:rPr>
                  <w:rStyle w:val="Hyperlink"/>
                  <w:b/>
                  <w:sz w:val="20"/>
                  <w:szCs w:val="18"/>
                </w:rPr>
                <w:t>2017</w:t>
              </w:r>
            </w:hyperlink>
          </w:p>
        </w:tc>
        <w:tc>
          <w:tcPr>
            <w:tcW w:w="1274" w:type="pct"/>
            <w:vAlign w:val="center"/>
            <w:hideMark/>
          </w:tcPr>
          <w:p w14:paraId="371289F0" w14:textId="6D4A45C3" w:rsidR="00AC2E05" w:rsidRPr="00023B55" w:rsidRDefault="00AC2E05" w:rsidP="00683425">
            <w:pPr>
              <w:pStyle w:val="Tabletext"/>
              <w:rPr>
                <w:sz w:val="20"/>
                <w:szCs w:val="18"/>
              </w:rPr>
            </w:pPr>
            <w:r w:rsidRPr="00023B55">
              <w:rPr>
                <w:sz w:val="20"/>
                <w:szCs w:val="18"/>
              </w:rPr>
              <w:t>Plus de</w:t>
            </w:r>
            <w:r w:rsidR="005B285A" w:rsidRPr="00023B55">
              <w:rPr>
                <w:sz w:val="20"/>
                <w:szCs w:val="18"/>
              </w:rPr>
              <w:t> </w:t>
            </w:r>
            <w:r w:rsidRPr="00023B55">
              <w:rPr>
                <w:sz w:val="20"/>
                <w:szCs w:val="18"/>
              </w:rPr>
              <w:t>2</w:t>
            </w:r>
            <w:r w:rsidR="005B285A" w:rsidRPr="00023B55">
              <w:rPr>
                <w:sz w:val="20"/>
                <w:szCs w:val="18"/>
              </w:rPr>
              <w:t> </w:t>
            </w:r>
            <w:r w:rsidRPr="00023B55">
              <w:rPr>
                <w:sz w:val="20"/>
                <w:szCs w:val="18"/>
              </w:rPr>
              <w:t>500</w:t>
            </w:r>
            <w:r w:rsidR="005B285A" w:rsidRPr="00023B55">
              <w:rPr>
                <w:sz w:val="20"/>
                <w:szCs w:val="18"/>
              </w:rPr>
              <w:t> </w:t>
            </w:r>
            <w:r w:rsidRPr="00023B55">
              <w:rPr>
                <w:sz w:val="20"/>
                <w:szCs w:val="18"/>
              </w:rPr>
              <w:t>participants sur place et plus de</w:t>
            </w:r>
            <w:r w:rsidR="005B285A" w:rsidRPr="00023B55">
              <w:rPr>
                <w:sz w:val="20"/>
                <w:szCs w:val="18"/>
              </w:rPr>
              <w:t> </w:t>
            </w:r>
            <w:r w:rsidRPr="00023B55">
              <w:rPr>
                <w:sz w:val="20"/>
                <w:szCs w:val="18"/>
              </w:rPr>
              <w:t>1</w:t>
            </w:r>
            <w:r w:rsidR="005B285A" w:rsidRPr="00023B55">
              <w:rPr>
                <w:sz w:val="20"/>
                <w:szCs w:val="18"/>
              </w:rPr>
              <w:t> </w:t>
            </w:r>
            <w:r w:rsidRPr="00023B55">
              <w:rPr>
                <w:sz w:val="20"/>
                <w:szCs w:val="18"/>
              </w:rPr>
              <w:t>000 à distance</w:t>
            </w:r>
          </w:p>
          <w:p w14:paraId="612B9E1B" w14:textId="77777777" w:rsidR="0049037C" w:rsidRPr="00023B55" w:rsidRDefault="00AC2E05" w:rsidP="00683425">
            <w:pPr>
              <w:pStyle w:val="Tabletext"/>
              <w:rPr>
                <w:sz w:val="20"/>
                <w:szCs w:val="18"/>
              </w:rPr>
            </w:pPr>
            <w:r w:rsidRPr="00023B55">
              <w:rPr>
                <w:sz w:val="20"/>
                <w:szCs w:val="18"/>
              </w:rPr>
              <w:t>Plus de</w:t>
            </w:r>
            <w:r w:rsidR="005B285A" w:rsidRPr="00023B55">
              <w:rPr>
                <w:sz w:val="20"/>
                <w:szCs w:val="18"/>
              </w:rPr>
              <w:t> </w:t>
            </w:r>
            <w:r w:rsidRPr="00023B55">
              <w:rPr>
                <w:sz w:val="20"/>
                <w:szCs w:val="18"/>
              </w:rPr>
              <w:t>500</w:t>
            </w:r>
            <w:r w:rsidR="005B285A" w:rsidRPr="00023B55">
              <w:rPr>
                <w:sz w:val="20"/>
                <w:szCs w:val="18"/>
              </w:rPr>
              <w:t> </w:t>
            </w:r>
            <w:r w:rsidRPr="00023B55">
              <w:rPr>
                <w:sz w:val="20"/>
                <w:szCs w:val="18"/>
              </w:rPr>
              <w:t>représentants de haut niveau</w:t>
            </w:r>
          </w:p>
          <w:p w14:paraId="5B32625D" w14:textId="05491EB4" w:rsidR="00AC2E05" w:rsidRPr="00023B55" w:rsidRDefault="00AC2E05" w:rsidP="00683425">
            <w:pPr>
              <w:pStyle w:val="Tabletext"/>
              <w:rPr>
                <w:sz w:val="20"/>
                <w:szCs w:val="18"/>
              </w:rPr>
            </w:pPr>
            <w:r w:rsidRPr="00023B55">
              <w:rPr>
                <w:sz w:val="20"/>
                <w:szCs w:val="18"/>
              </w:rPr>
              <w:t>Plus de 85 ministres et vice-ministres</w:t>
            </w:r>
          </w:p>
        </w:tc>
        <w:tc>
          <w:tcPr>
            <w:tcW w:w="1001" w:type="pct"/>
            <w:vAlign w:val="center"/>
            <w:hideMark/>
          </w:tcPr>
          <w:p w14:paraId="36F47DA0" w14:textId="77777777" w:rsidR="00AC2E05" w:rsidRPr="00023B55" w:rsidRDefault="00AC2E05" w:rsidP="00683425">
            <w:pPr>
              <w:pStyle w:val="Tabletext"/>
              <w:rPr>
                <w:sz w:val="20"/>
                <w:szCs w:val="18"/>
              </w:rPr>
            </w:pPr>
            <w:r w:rsidRPr="00023B55">
              <w:rPr>
                <w:sz w:val="20"/>
                <w:szCs w:val="18"/>
              </w:rPr>
              <w:t>Fracture numérique et connectivité; cybersécurité et protection des données; économie et innovation numériques; administration en ligne et gouvernance numérique; renforcement des capacités et maîtrise des outils numériques</w:t>
            </w:r>
          </w:p>
        </w:tc>
        <w:tc>
          <w:tcPr>
            <w:tcW w:w="1296" w:type="pct"/>
            <w:vAlign w:val="center"/>
            <w:hideMark/>
          </w:tcPr>
          <w:p w14:paraId="5C8435EB" w14:textId="2A80CB15" w:rsidR="00AC2E05" w:rsidRPr="00023B55" w:rsidRDefault="00AC2E05" w:rsidP="00683425">
            <w:pPr>
              <w:pStyle w:val="Tabletext"/>
              <w:rPr>
                <w:sz w:val="20"/>
                <w:szCs w:val="18"/>
              </w:rPr>
            </w:pPr>
            <w:r w:rsidRPr="00023B55">
              <w:rPr>
                <w:sz w:val="20"/>
                <w:szCs w:val="18"/>
              </w:rPr>
              <w:t>Président: S. E. M. Jean</w:t>
            </w:r>
            <w:r w:rsidR="001F3EAE" w:rsidRPr="00023B55">
              <w:rPr>
                <w:sz w:val="20"/>
                <w:szCs w:val="18"/>
              </w:rPr>
              <w:t> </w:t>
            </w:r>
            <w:r w:rsidRPr="00023B55">
              <w:rPr>
                <w:sz w:val="20"/>
                <w:szCs w:val="18"/>
              </w:rPr>
              <w:t>Philbert Nsengimana, Ministre de la jeunesse et des TIC du Rwanda</w:t>
            </w:r>
          </w:p>
          <w:p w14:paraId="57156D8F" w14:textId="77777777" w:rsidR="00AC2E05" w:rsidRPr="00023B55" w:rsidRDefault="00AC2E05" w:rsidP="001C2210">
            <w:pPr>
              <w:pStyle w:val="Tabletext"/>
              <w:spacing w:before="80"/>
              <w:rPr>
                <w:sz w:val="20"/>
                <w:szCs w:val="18"/>
              </w:rPr>
            </w:pPr>
            <w:r w:rsidRPr="00023B55">
              <w:rPr>
                <w:sz w:val="20"/>
                <w:szCs w:val="18"/>
              </w:rPr>
              <w:t>L'UIT, l'OMS et l'Institut des ingénieurs en électricité et en électronique (IEEE) ont organisé le premier hackathon du Forum du SMSI sur la question de la cybersanté, intitulé "Hack for Health".</w:t>
            </w:r>
          </w:p>
          <w:p w14:paraId="535CCEC7" w14:textId="35BEE1B2" w:rsidR="0049037C" w:rsidRPr="00023B55" w:rsidRDefault="00AC2E05" w:rsidP="001C2210">
            <w:pPr>
              <w:pStyle w:val="Tabletext"/>
              <w:spacing w:before="80"/>
              <w:rPr>
                <w:sz w:val="20"/>
                <w:szCs w:val="18"/>
              </w:rPr>
            </w:pPr>
            <w:r w:rsidRPr="00023B55">
              <w:rPr>
                <w:sz w:val="20"/>
                <w:szCs w:val="18"/>
              </w:rPr>
              <w:t>L'OIT et l'UIT ont lancé la Campagne sur les compétences numériques pour un emploi décent afin de former 5 millions de jeunes aux technologies numériques dans le monde entier à l'horizon</w:t>
            </w:r>
            <w:r w:rsidR="001F3EAE" w:rsidRPr="00023B55">
              <w:rPr>
                <w:sz w:val="20"/>
                <w:szCs w:val="18"/>
              </w:rPr>
              <w:t xml:space="preserve"> </w:t>
            </w:r>
            <w:r w:rsidRPr="00023B55">
              <w:rPr>
                <w:sz w:val="20"/>
                <w:szCs w:val="18"/>
              </w:rPr>
              <w:t>2030.</w:t>
            </w:r>
          </w:p>
          <w:p w14:paraId="79FCB949" w14:textId="3C413B32" w:rsidR="0049037C" w:rsidRPr="00023B55" w:rsidRDefault="00AC2E05" w:rsidP="001C2210">
            <w:pPr>
              <w:pStyle w:val="Tabletext"/>
              <w:spacing w:before="80"/>
              <w:rPr>
                <w:sz w:val="20"/>
                <w:szCs w:val="18"/>
              </w:rPr>
            </w:pPr>
            <w:r w:rsidRPr="00023B55">
              <w:rPr>
                <w:sz w:val="20"/>
                <w:szCs w:val="18"/>
              </w:rPr>
              <w:lastRenderedPageBreak/>
              <w:t>Le Partenariat sur la mesure des TIC au service du développement a établi un Groupe d'action sur les</w:t>
            </w:r>
            <w:r w:rsidR="008B1373" w:rsidRPr="00023B55">
              <w:rPr>
                <w:sz w:val="20"/>
                <w:szCs w:val="18"/>
              </w:rPr>
              <w:t> </w:t>
            </w:r>
            <w:r w:rsidRPr="00023B55">
              <w:rPr>
                <w:sz w:val="20"/>
                <w:szCs w:val="18"/>
              </w:rPr>
              <w:t>TIC au service des ODD.</w:t>
            </w:r>
          </w:p>
          <w:p w14:paraId="302260D1" w14:textId="2A75885A" w:rsidR="00AC2E05" w:rsidRPr="00023B55" w:rsidRDefault="00AC2E05" w:rsidP="001C2210">
            <w:pPr>
              <w:pStyle w:val="Tabletext"/>
              <w:spacing w:before="80"/>
              <w:rPr>
                <w:sz w:val="20"/>
                <w:szCs w:val="18"/>
              </w:rPr>
            </w:pPr>
            <w:r w:rsidRPr="00023B55">
              <w:rPr>
                <w:sz w:val="20"/>
                <w:szCs w:val="18"/>
              </w:rPr>
              <w:t>Lancement du partenariat mondial sur les statistiques relatives aux déchets d'équipements électriques et électroniques (DEEE).</w:t>
            </w:r>
          </w:p>
        </w:tc>
        <w:tc>
          <w:tcPr>
            <w:tcW w:w="1005" w:type="pct"/>
            <w:vAlign w:val="center"/>
            <w:hideMark/>
          </w:tcPr>
          <w:p w14:paraId="31E8F836" w14:textId="77777777" w:rsidR="00AC2E05" w:rsidRPr="00023B55" w:rsidRDefault="00AC2E05" w:rsidP="00683425">
            <w:pPr>
              <w:pStyle w:val="Tabletext"/>
              <w:rPr>
                <w:sz w:val="20"/>
                <w:szCs w:val="18"/>
              </w:rPr>
            </w:pPr>
            <w:r w:rsidRPr="00023B55">
              <w:rPr>
                <w:sz w:val="20"/>
                <w:szCs w:val="18"/>
              </w:rPr>
              <w:lastRenderedPageBreak/>
              <w:t>IA et apprentissage automatique; informatique quantique; IoT; commerce électronique</w:t>
            </w:r>
          </w:p>
        </w:tc>
      </w:tr>
      <w:tr w:rsidR="00DD47E4" w:rsidRPr="00023B55" w14:paraId="2C6A6BB3" w14:textId="77777777" w:rsidTr="001F3EAE">
        <w:trPr>
          <w:tblCellSpacing w:w="15" w:type="dxa"/>
        </w:trPr>
        <w:tc>
          <w:tcPr>
            <w:tcW w:w="324" w:type="pct"/>
            <w:vAlign w:val="center"/>
            <w:hideMark/>
          </w:tcPr>
          <w:p w14:paraId="40F0884D" w14:textId="76B5FAF1" w:rsidR="00AC2E05" w:rsidRPr="00023B55" w:rsidRDefault="00AC2E05" w:rsidP="00683425">
            <w:pPr>
              <w:pStyle w:val="Tabletext"/>
              <w:rPr>
                <w:b/>
                <w:sz w:val="20"/>
                <w:szCs w:val="18"/>
              </w:rPr>
            </w:pPr>
            <w:hyperlink r:id="rId107" w:history="1">
              <w:r w:rsidRPr="00023B55">
                <w:rPr>
                  <w:rStyle w:val="Hyperlink"/>
                  <w:b/>
                  <w:sz w:val="20"/>
                  <w:szCs w:val="18"/>
                </w:rPr>
                <w:t>2016</w:t>
              </w:r>
            </w:hyperlink>
          </w:p>
        </w:tc>
        <w:tc>
          <w:tcPr>
            <w:tcW w:w="1274" w:type="pct"/>
            <w:vAlign w:val="center"/>
            <w:hideMark/>
          </w:tcPr>
          <w:p w14:paraId="66A9D181" w14:textId="77777777" w:rsidR="00AC2E05" w:rsidRPr="00023B55" w:rsidRDefault="00AC2E05" w:rsidP="00683425">
            <w:pPr>
              <w:pStyle w:val="Tabletext"/>
              <w:rPr>
                <w:sz w:val="20"/>
                <w:szCs w:val="18"/>
              </w:rPr>
            </w:pPr>
            <w:r w:rsidRPr="00023B55">
              <w:rPr>
                <w:sz w:val="20"/>
                <w:szCs w:val="18"/>
              </w:rPr>
              <w:t>Plus de 1 800 participants</w:t>
            </w:r>
          </w:p>
          <w:p w14:paraId="63E75718" w14:textId="77777777" w:rsidR="0049037C" w:rsidRPr="00023B55" w:rsidRDefault="00AC2E05" w:rsidP="00683425">
            <w:pPr>
              <w:pStyle w:val="Tabletext"/>
              <w:rPr>
                <w:sz w:val="20"/>
                <w:szCs w:val="18"/>
              </w:rPr>
            </w:pPr>
            <w:r w:rsidRPr="00023B55">
              <w:rPr>
                <w:sz w:val="20"/>
                <w:szCs w:val="18"/>
              </w:rPr>
              <w:t>Plus de 500 représentants de haut niveau</w:t>
            </w:r>
          </w:p>
          <w:p w14:paraId="29B592E1" w14:textId="6F5D287E" w:rsidR="00AC2E05" w:rsidRPr="00023B55" w:rsidRDefault="00AC2E05" w:rsidP="00683425">
            <w:pPr>
              <w:pStyle w:val="Tabletext"/>
              <w:rPr>
                <w:sz w:val="20"/>
                <w:szCs w:val="18"/>
              </w:rPr>
            </w:pPr>
            <w:r w:rsidRPr="00023B55">
              <w:rPr>
                <w:sz w:val="20"/>
                <w:szCs w:val="18"/>
              </w:rPr>
              <w:t>Plus de 85 ministres et vice-ministres</w:t>
            </w:r>
          </w:p>
        </w:tc>
        <w:tc>
          <w:tcPr>
            <w:tcW w:w="1001" w:type="pct"/>
            <w:vAlign w:val="center"/>
            <w:hideMark/>
          </w:tcPr>
          <w:p w14:paraId="35D08613" w14:textId="77777777" w:rsidR="00AC2E05" w:rsidRPr="00023B55" w:rsidRDefault="00AC2E05" w:rsidP="00683425">
            <w:pPr>
              <w:pStyle w:val="Tabletext"/>
              <w:rPr>
                <w:sz w:val="20"/>
                <w:szCs w:val="18"/>
              </w:rPr>
            </w:pPr>
            <w:r w:rsidRPr="00023B55">
              <w:rPr>
                <w:sz w:val="20"/>
                <w:szCs w:val="18"/>
              </w:rPr>
              <w:t>Économie numérique, innovation, hackathon</w:t>
            </w:r>
          </w:p>
        </w:tc>
        <w:tc>
          <w:tcPr>
            <w:tcW w:w="1296" w:type="pct"/>
            <w:vAlign w:val="center"/>
            <w:hideMark/>
          </w:tcPr>
          <w:p w14:paraId="1BB4538E" w14:textId="78B0B8CD" w:rsidR="00AC2E05" w:rsidRPr="00023B55" w:rsidRDefault="00AC2E05" w:rsidP="00683425">
            <w:pPr>
              <w:pStyle w:val="Tabletext"/>
              <w:rPr>
                <w:sz w:val="20"/>
                <w:szCs w:val="18"/>
              </w:rPr>
            </w:pPr>
            <w:r w:rsidRPr="00023B55">
              <w:rPr>
                <w:sz w:val="20"/>
                <w:szCs w:val="18"/>
              </w:rPr>
              <w:t>Président: l'Ambassadeur M. Daniel A. Sepulveda, Vice-Secrétaire adjoint du Bureau des affaires économiques et commerciales des États</w:t>
            </w:r>
            <w:r w:rsidR="00B41EB3" w:rsidRPr="00023B55">
              <w:rPr>
                <w:sz w:val="20"/>
                <w:szCs w:val="18"/>
              </w:rPr>
              <w:noBreakHyphen/>
            </w:r>
            <w:r w:rsidRPr="00023B55">
              <w:rPr>
                <w:sz w:val="20"/>
                <w:szCs w:val="18"/>
              </w:rPr>
              <w:t>Unis d'Amérique</w:t>
            </w:r>
          </w:p>
          <w:p w14:paraId="6FF64174" w14:textId="77777777" w:rsidR="00AC2E05" w:rsidRPr="00023B55" w:rsidRDefault="00AC2E05" w:rsidP="00C839FE">
            <w:pPr>
              <w:pStyle w:val="Tabletext"/>
              <w:spacing w:before="80"/>
              <w:rPr>
                <w:sz w:val="20"/>
                <w:szCs w:val="18"/>
              </w:rPr>
            </w:pPr>
            <w:r w:rsidRPr="00023B55">
              <w:rPr>
                <w:sz w:val="20"/>
                <w:szCs w:val="18"/>
              </w:rPr>
              <w:t>Manifestation TEDx Genève; lancement du premier hackathon concernant une politique sur les données de cybersanté (UIT et IEEE)</w:t>
            </w:r>
          </w:p>
        </w:tc>
        <w:tc>
          <w:tcPr>
            <w:tcW w:w="1005" w:type="pct"/>
            <w:vAlign w:val="center"/>
            <w:hideMark/>
          </w:tcPr>
          <w:p w14:paraId="5539FB4C" w14:textId="77777777" w:rsidR="00AC2E05" w:rsidRPr="00023B55" w:rsidRDefault="00AC2E05" w:rsidP="00683425">
            <w:pPr>
              <w:pStyle w:val="Tabletext"/>
              <w:rPr>
                <w:sz w:val="20"/>
                <w:szCs w:val="18"/>
              </w:rPr>
            </w:pPr>
            <w:r w:rsidRPr="00023B55">
              <w:rPr>
                <w:sz w:val="20"/>
                <w:szCs w:val="18"/>
              </w:rPr>
              <w:t>Technologie 5G, IoT, IA, chaîne de blocs, mégadonnées et analyse de données, cybersécurité et confidentialité des données, informatique en nuage, réalité virtuelle et augmentée</w:t>
            </w:r>
          </w:p>
        </w:tc>
      </w:tr>
      <w:tr w:rsidR="0089710D" w:rsidRPr="00023B55" w14:paraId="7A4C4F80" w14:textId="77777777" w:rsidTr="001F3EAE">
        <w:trPr>
          <w:tblCellSpacing w:w="15" w:type="dxa"/>
        </w:trPr>
        <w:tc>
          <w:tcPr>
            <w:tcW w:w="324" w:type="pct"/>
            <w:vAlign w:val="center"/>
            <w:hideMark/>
          </w:tcPr>
          <w:p w14:paraId="09B28ABF" w14:textId="77777777" w:rsidR="00AC2E05" w:rsidRPr="00023B55" w:rsidRDefault="00AC2E05" w:rsidP="00683425">
            <w:pPr>
              <w:pStyle w:val="Tabletext"/>
              <w:rPr>
                <w:b/>
                <w:sz w:val="20"/>
                <w:szCs w:val="18"/>
              </w:rPr>
            </w:pPr>
            <w:hyperlink r:id="rId108" w:history="1">
              <w:r w:rsidRPr="00023B55">
                <w:rPr>
                  <w:rStyle w:val="Hyperlink"/>
                  <w:b/>
                  <w:sz w:val="20"/>
                  <w:szCs w:val="18"/>
                </w:rPr>
                <w:t>2015</w:t>
              </w:r>
            </w:hyperlink>
          </w:p>
        </w:tc>
        <w:tc>
          <w:tcPr>
            <w:tcW w:w="1274" w:type="pct"/>
            <w:vAlign w:val="center"/>
            <w:hideMark/>
          </w:tcPr>
          <w:p w14:paraId="21817743" w14:textId="77777777" w:rsidR="00AC2E05" w:rsidRPr="00023B55" w:rsidRDefault="00AC2E05" w:rsidP="00683425">
            <w:pPr>
              <w:pStyle w:val="Tabletext"/>
              <w:rPr>
                <w:sz w:val="20"/>
                <w:szCs w:val="18"/>
              </w:rPr>
            </w:pPr>
            <w:r w:rsidRPr="00023B55">
              <w:rPr>
                <w:sz w:val="20"/>
                <w:szCs w:val="18"/>
              </w:rPr>
              <w:t>Plus de 1 800 participants</w:t>
            </w:r>
          </w:p>
          <w:p w14:paraId="7EC90FD1" w14:textId="77777777" w:rsidR="00AC2E05" w:rsidRPr="00023B55" w:rsidRDefault="00AC2E05" w:rsidP="00683425">
            <w:pPr>
              <w:pStyle w:val="Tabletext"/>
              <w:rPr>
                <w:sz w:val="20"/>
                <w:szCs w:val="18"/>
              </w:rPr>
            </w:pPr>
            <w:r w:rsidRPr="00023B55">
              <w:rPr>
                <w:sz w:val="20"/>
                <w:szCs w:val="18"/>
              </w:rPr>
              <w:t xml:space="preserve">Plus de 60 ministres et vice-ministres </w:t>
            </w:r>
          </w:p>
        </w:tc>
        <w:tc>
          <w:tcPr>
            <w:tcW w:w="1001" w:type="pct"/>
            <w:vAlign w:val="center"/>
            <w:hideMark/>
          </w:tcPr>
          <w:p w14:paraId="0270B3E6" w14:textId="77777777" w:rsidR="00AC2E05" w:rsidRPr="00023B55" w:rsidRDefault="00AC2E05" w:rsidP="00683425">
            <w:pPr>
              <w:pStyle w:val="Tabletext"/>
              <w:rPr>
                <w:sz w:val="20"/>
                <w:szCs w:val="18"/>
              </w:rPr>
            </w:pPr>
            <w:r w:rsidRPr="00023B55">
              <w:rPr>
                <w:sz w:val="20"/>
                <w:szCs w:val="18"/>
              </w:rPr>
              <w:t>Mise en correspondance des grandes orientations du SMSI et d'ODD spécifiques afin de démontrer des progrès mesurables; cybersécurité et protection des données, IA, IoT et mégadonnées, et leurs incidences sur le développement; renforcement des capacités, collaboration multi-parties prenantes</w:t>
            </w:r>
          </w:p>
        </w:tc>
        <w:tc>
          <w:tcPr>
            <w:tcW w:w="1296" w:type="pct"/>
            <w:vAlign w:val="center"/>
            <w:hideMark/>
          </w:tcPr>
          <w:p w14:paraId="38B2327B" w14:textId="51C93B26" w:rsidR="00AC2E05" w:rsidRPr="00023B55" w:rsidRDefault="00AC2E05" w:rsidP="00683425">
            <w:pPr>
              <w:pStyle w:val="Tabletext"/>
              <w:rPr>
                <w:sz w:val="20"/>
                <w:szCs w:val="18"/>
              </w:rPr>
            </w:pPr>
            <w:r w:rsidRPr="00023B55">
              <w:rPr>
                <w:sz w:val="20"/>
                <w:szCs w:val="18"/>
              </w:rPr>
              <w:t>Lancement du tableau de correspondance entre les grandes orientations du</w:t>
            </w:r>
            <w:r w:rsidR="001F3EAE" w:rsidRPr="00023B55">
              <w:rPr>
                <w:sz w:val="20"/>
                <w:szCs w:val="18"/>
              </w:rPr>
              <w:t> </w:t>
            </w:r>
            <w:r w:rsidRPr="00023B55">
              <w:rPr>
                <w:sz w:val="20"/>
                <w:szCs w:val="18"/>
              </w:rPr>
              <w:t>SMSI et les ODD</w:t>
            </w:r>
          </w:p>
        </w:tc>
        <w:tc>
          <w:tcPr>
            <w:tcW w:w="1005" w:type="pct"/>
            <w:vAlign w:val="center"/>
            <w:hideMark/>
          </w:tcPr>
          <w:p w14:paraId="27476DCE" w14:textId="6C276E0C" w:rsidR="00AC2E05" w:rsidRPr="00023B55" w:rsidRDefault="00AC2E05" w:rsidP="00683425">
            <w:pPr>
              <w:pStyle w:val="Tabletext"/>
              <w:rPr>
                <w:sz w:val="20"/>
                <w:szCs w:val="18"/>
              </w:rPr>
            </w:pPr>
            <w:r w:rsidRPr="00023B55">
              <w:rPr>
                <w:sz w:val="20"/>
                <w:szCs w:val="18"/>
              </w:rPr>
              <w:t>Incidences des technologies telles que l'IA, l'IoT, l'informatique en nuage et les mégadonnées; déploiement du large bande; administration en ligne et services en ligne; compétences numériques; accès universel à l'information et au savoir grâce aux outils et plates</w:t>
            </w:r>
            <w:r w:rsidR="008B1373" w:rsidRPr="00023B55">
              <w:rPr>
                <w:sz w:val="20"/>
                <w:szCs w:val="18"/>
              </w:rPr>
              <w:noBreakHyphen/>
            </w:r>
            <w:r w:rsidRPr="00023B55">
              <w:rPr>
                <w:sz w:val="20"/>
                <w:szCs w:val="18"/>
              </w:rPr>
              <w:t>formes TIC</w:t>
            </w:r>
          </w:p>
        </w:tc>
      </w:tr>
      <w:tr w:rsidR="0089710D" w:rsidRPr="00023B55" w14:paraId="4DA7D23E" w14:textId="77777777" w:rsidTr="001F3EAE">
        <w:trPr>
          <w:tblCellSpacing w:w="15" w:type="dxa"/>
        </w:trPr>
        <w:tc>
          <w:tcPr>
            <w:tcW w:w="324" w:type="pct"/>
            <w:vAlign w:val="center"/>
            <w:hideMark/>
          </w:tcPr>
          <w:p w14:paraId="5C92CF45" w14:textId="77777777" w:rsidR="00AC2E05" w:rsidRPr="00023B55" w:rsidRDefault="00AC2E05" w:rsidP="00683425">
            <w:pPr>
              <w:pStyle w:val="Tabletext"/>
              <w:rPr>
                <w:b/>
                <w:sz w:val="20"/>
                <w:szCs w:val="18"/>
              </w:rPr>
            </w:pPr>
            <w:hyperlink r:id="rId109" w:history="1">
              <w:r w:rsidRPr="00023B55">
                <w:rPr>
                  <w:rStyle w:val="Hyperlink"/>
                  <w:b/>
                  <w:sz w:val="20"/>
                  <w:szCs w:val="18"/>
                </w:rPr>
                <w:t>2014</w:t>
              </w:r>
            </w:hyperlink>
          </w:p>
        </w:tc>
        <w:tc>
          <w:tcPr>
            <w:tcW w:w="1274" w:type="pct"/>
            <w:vAlign w:val="center"/>
            <w:hideMark/>
          </w:tcPr>
          <w:p w14:paraId="072667F5" w14:textId="77777777" w:rsidR="00AC2E05" w:rsidRPr="00023B55" w:rsidRDefault="00AC2E05" w:rsidP="00683425">
            <w:pPr>
              <w:pStyle w:val="Tabletext"/>
              <w:rPr>
                <w:sz w:val="20"/>
                <w:szCs w:val="18"/>
              </w:rPr>
            </w:pPr>
            <w:r w:rsidRPr="00023B55">
              <w:rPr>
                <w:sz w:val="20"/>
                <w:szCs w:val="18"/>
              </w:rPr>
              <w:t>Plus de 2 000 participants</w:t>
            </w:r>
          </w:p>
          <w:p w14:paraId="676EC5F8" w14:textId="3229AB68" w:rsidR="00AC2E05" w:rsidRPr="00023B55" w:rsidRDefault="00AC2E05" w:rsidP="00683425">
            <w:pPr>
              <w:pStyle w:val="Tabletext"/>
              <w:rPr>
                <w:sz w:val="20"/>
                <w:szCs w:val="18"/>
              </w:rPr>
            </w:pPr>
            <w:r w:rsidRPr="00023B55">
              <w:rPr>
                <w:sz w:val="20"/>
                <w:szCs w:val="18"/>
              </w:rPr>
              <w:t>Plus de</w:t>
            </w:r>
            <w:r w:rsidR="006F47CB" w:rsidRPr="00023B55">
              <w:rPr>
                <w:sz w:val="20"/>
                <w:szCs w:val="18"/>
              </w:rPr>
              <w:t> </w:t>
            </w:r>
            <w:r w:rsidRPr="00023B55">
              <w:rPr>
                <w:sz w:val="20"/>
                <w:szCs w:val="18"/>
              </w:rPr>
              <w:t>100</w:t>
            </w:r>
            <w:r w:rsidR="006F47CB" w:rsidRPr="00023B55">
              <w:rPr>
                <w:sz w:val="20"/>
                <w:szCs w:val="18"/>
              </w:rPr>
              <w:t> </w:t>
            </w:r>
            <w:r w:rsidRPr="00023B55">
              <w:rPr>
                <w:sz w:val="20"/>
                <w:szCs w:val="18"/>
              </w:rPr>
              <w:t>représentants de haut niveau, y</w:t>
            </w:r>
            <w:r w:rsidR="006F47CB" w:rsidRPr="00023B55">
              <w:rPr>
                <w:sz w:val="20"/>
                <w:szCs w:val="18"/>
              </w:rPr>
              <w:t> </w:t>
            </w:r>
            <w:r w:rsidRPr="00023B55">
              <w:rPr>
                <w:sz w:val="20"/>
                <w:szCs w:val="18"/>
              </w:rPr>
              <w:t>compris des ministres et des vice</w:t>
            </w:r>
            <w:r w:rsidR="006F47CB" w:rsidRPr="00023B55">
              <w:rPr>
                <w:sz w:val="20"/>
                <w:szCs w:val="18"/>
              </w:rPr>
              <w:noBreakHyphen/>
            </w:r>
            <w:r w:rsidRPr="00023B55">
              <w:rPr>
                <w:sz w:val="20"/>
                <w:szCs w:val="18"/>
              </w:rPr>
              <w:t>ministres</w:t>
            </w:r>
          </w:p>
        </w:tc>
        <w:tc>
          <w:tcPr>
            <w:tcW w:w="1001" w:type="pct"/>
            <w:vAlign w:val="center"/>
            <w:hideMark/>
          </w:tcPr>
          <w:p w14:paraId="1FAD9C21" w14:textId="77777777" w:rsidR="00AC2E05" w:rsidRPr="00023B55" w:rsidRDefault="00AC2E05" w:rsidP="00683425">
            <w:pPr>
              <w:pStyle w:val="Tabletext"/>
              <w:rPr>
                <w:sz w:val="20"/>
                <w:szCs w:val="18"/>
              </w:rPr>
            </w:pPr>
            <w:r w:rsidRPr="00023B55">
              <w:rPr>
                <w:sz w:val="20"/>
                <w:szCs w:val="18"/>
              </w:rPr>
              <w:t>Manifestation de haut niveau SMSI+10, examen des grandes orientations</w:t>
            </w:r>
          </w:p>
        </w:tc>
        <w:tc>
          <w:tcPr>
            <w:tcW w:w="1296" w:type="pct"/>
            <w:vAlign w:val="center"/>
            <w:hideMark/>
          </w:tcPr>
          <w:p w14:paraId="624B5A14" w14:textId="004CD351" w:rsidR="00AC2E05" w:rsidRPr="00023B55" w:rsidRDefault="00AC2E05" w:rsidP="00683425">
            <w:pPr>
              <w:pStyle w:val="Tabletext"/>
              <w:rPr>
                <w:sz w:val="20"/>
                <w:szCs w:val="18"/>
              </w:rPr>
            </w:pPr>
            <w:r w:rsidRPr="00023B55">
              <w:rPr>
                <w:sz w:val="20"/>
                <w:szCs w:val="18"/>
              </w:rPr>
              <w:t>Président(e):</w:t>
            </w:r>
          </w:p>
          <w:p w14:paraId="7FCBA507" w14:textId="02150F7C" w:rsidR="00AC2E05" w:rsidRPr="00023B55" w:rsidRDefault="00AC2E05" w:rsidP="00683425">
            <w:pPr>
              <w:pStyle w:val="Tabletext"/>
              <w:rPr>
                <w:sz w:val="20"/>
                <w:szCs w:val="18"/>
              </w:rPr>
            </w:pPr>
            <w:r w:rsidRPr="00023B55">
              <w:rPr>
                <w:sz w:val="20"/>
                <w:szCs w:val="18"/>
              </w:rPr>
              <w:t>Approbation des documents finals du</w:t>
            </w:r>
            <w:r w:rsidR="006F47CB" w:rsidRPr="00023B55">
              <w:rPr>
                <w:sz w:val="20"/>
                <w:szCs w:val="18"/>
              </w:rPr>
              <w:t> </w:t>
            </w:r>
            <w:r w:rsidRPr="00023B55">
              <w:rPr>
                <w:sz w:val="20"/>
                <w:szCs w:val="18"/>
              </w:rPr>
              <w:t>SMSI+10</w:t>
            </w:r>
          </w:p>
        </w:tc>
        <w:tc>
          <w:tcPr>
            <w:tcW w:w="1005" w:type="pct"/>
            <w:vAlign w:val="center"/>
            <w:hideMark/>
          </w:tcPr>
          <w:p w14:paraId="4286EFBC" w14:textId="77777777" w:rsidR="00AC2E05" w:rsidRPr="00023B55" w:rsidRDefault="00AC2E05" w:rsidP="00683425">
            <w:pPr>
              <w:pStyle w:val="Tabletext"/>
              <w:rPr>
                <w:sz w:val="20"/>
                <w:szCs w:val="18"/>
              </w:rPr>
            </w:pPr>
            <w:r w:rsidRPr="00023B55">
              <w:rPr>
                <w:sz w:val="20"/>
                <w:szCs w:val="18"/>
              </w:rPr>
              <w:t>Intégration mobile/en nuage; programme de développement pour l'après-2015</w:t>
            </w:r>
          </w:p>
        </w:tc>
      </w:tr>
      <w:tr w:rsidR="00DD47E4" w:rsidRPr="00023B55" w14:paraId="3794A56D" w14:textId="77777777" w:rsidTr="001F3EAE">
        <w:trPr>
          <w:tblCellSpacing w:w="15" w:type="dxa"/>
        </w:trPr>
        <w:tc>
          <w:tcPr>
            <w:tcW w:w="324" w:type="pct"/>
            <w:vAlign w:val="center"/>
            <w:hideMark/>
          </w:tcPr>
          <w:p w14:paraId="3A397149" w14:textId="77777777" w:rsidR="00AC2E05" w:rsidRPr="00023B55" w:rsidRDefault="00AC2E05" w:rsidP="0069223C">
            <w:pPr>
              <w:pStyle w:val="Tabletext"/>
              <w:keepLines/>
              <w:rPr>
                <w:b/>
                <w:sz w:val="20"/>
                <w:szCs w:val="18"/>
              </w:rPr>
            </w:pPr>
            <w:hyperlink r:id="rId110" w:history="1">
              <w:r w:rsidRPr="00023B55">
                <w:rPr>
                  <w:rStyle w:val="Hyperlink"/>
                  <w:b/>
                  <w:sz w:val="20"/>
                  <w:szCs w:val="18"/>
                </w:rPr>
                <w:t>2013</w:t>
              </w:r>
            </w:hyperlink>
          </w:p>
        </w:tc>
        <w:tc>
          <w:tcPr>
            <w:tcW w:w="1274" w:type="pct"/>
            <w:vAlign w:val="center"/>
            <w:hideMark/>
          </w:tcPr>
          <w:p w14:paraId="48BBD26A" w14:textId="77777777" w:rsidR="00AC2E05" w:rsidRPr="00023B55" w:rsidRDefault="00AC2E05" w:rsidP="0069223C">
            <w:pPr>
              <w:pStyle w:val="Tabletext"/>
              <w:keepLines/>
              <w:rPr>
                <w:sz w:val="20"/>
                <w:szCs w:val="18"/>
              </w:rPr>
            </w:pPr>
            <w:r w:rsidRPr="00023B55">
              <w:rPr>
                <w:sz w:val="20"/>
                <w:szCs w:val="18"/>
              </w:rPr>
              <w:t>Plus de 1 800 participants</w:t>
            </w:r>
          </w:p>
          <w:p w14:paraId="6883FEA1" w14:textId="368C32F6" w:rsidR="00AC2E05" w:rsidRPr="00023B55" w:rsidRDefault="00AC2E05" w:rsidP="0069223C">
            <w:pPr>
              <w:pStyle w:val="Tabletext"/>
              <w:keepLines/>
              <w:rPr>
                <w:sz w:val="20"/>
                <w:szCs w:val="18"/>
              </w:rPr>
            </w:pPr>
            <w:r w:rsidRPr="00023B55">
              <w:rPr>
                <w:sz w:val="20"/>
                <w:szCs w:val="18"/>
              </w:rPr>
              <w:t>60 ministres et vice</w:t>
            </w:r>
            <w:r w:rsidR="008B1373" w:rsidRPr="00023B55">
              <w:rPr>
                <w:sz w:val="20"/>
                <w:szCs w:val="18"/>
              </w:rPr>
              <w:noBreakHyphen/>
            </w:r>
            <w:r w:rsidRPr="00023B55">
              <w:rPr>
                <w:sz w:val="20"/>
                <w:szCs w:val="18"/>
              </w:rPr>
              <w:t>ministres, plusieurs ambassadeurs, PDG et dirigeants de la société civile</w:t>
            </w:r>
          </w:p>
        </w:tc>
        <w:tc>
          <w:tcPr>
            <w:tcW w:w="1001" w:type="pct"/>
            <w:vAlign w:val="center"/>
            <w:hideMark/>
          </w:tcPr>
          <w:p w14:paraId="2ACC4353" w14:textId="4C7D95BE" w:rsidR="00AC2E05" w:rsidRPr="00023B55" w:rsidRDefault="00AC2E05" w:rsidP="0069223C">
            <w:pPr>
              <w:pStyle w:val="Tabletext"/>
              <w:keepLines/>
              <w:rPr>
                <w:sz w:val="20"/>
                <w:szCs w:val="18"/>
              </w:rPr>
            </w:pPr>
            <w:r w:rsidRPr="00023B55">
              <w:rPr>
                <w:sz w:val="20"/>
                <w:szCs w:val="18"/>
              </w:rPr>
              <w:t>Processus du</w:t>
            </w:r>
            <w:r w:rsidR="001F3EAE" w:rsidRPr="00023B55">
              <w:rPr>
                <w:sz w:val="20"/>
                <w:szCs w:val="18"/>
              </w:rPr>
              <w:t> </w:t>
            </w:r>
            <w:r w:rsidRPr="00023B55">
              <w:rPr>
                <w:sz w:val="20"/>
                <w:szCs w:val="18"/>
              </w:rPr>
              <w:t>SMSI+10, TIC et</w:t>
            </w:r>
            <w:r w:rsidR="001F3EAE" w:rsidRPr="00023B55">
              <w:rPr>
                <w:sz w:val="20"/>
                <w:szCs w:val="18"/>
              </w:rPr>
              <w:t> </w:t>
            </w:r>
            <w:r w:rsidRPr="00023B55">
              <w:rPr>
                <w:sz w:val="20"/>
                <w:szCs w:val="18"/>
              </w:rPr>
              <w:t>ODD, cybersécurité et confiance, innovation, connecter les populations mal desservies</w:t>
            </w:r>
          </w:p>
        </w:tc>
        <w:tc>
          <w:tcPr>
            <w:tcW w:w="1296" w:type="pct"/>
            <w:vAlign w:val="center"/>
            <w:hideMark/>
          </w:tcPr>
          <w:p w14:paraId="793FA303" w14:textId="46450A8C" w:rsidR="00AC2E05" w:rsidRPr="00023B55" w:rsidRDefault="00AC2E05" w:rsidP="0069223C">
            <w:pPr>
              <w:pStyle w:val="Tabletext"/>
              <w:keepLines/>
              <w:rPr>
                <w:sz w:val="20"/>
                <w:szCs w:val="18"/>
              </w:rPr>
            </w:pPr>
            <w:r w:rsidRPr="00023B55">
              <w:rPr>
                <w:sz w:val="20"/>
                <w:szCs w:val="18"/>
              </w:rPr>
              <w:t>Lancement de l'examen du</w:t>
            </w:r>
            <w:r w:rsidR="001F3EAE" w:rsidRPr="00023B55">
              <w:rPr>
                <w:sz w:val="20"/>
                <w:szCs w:val="18"/>
              </w:rPr>
              <w:t> </w:t>
            </w:r>
            <w:r w:rsidRPr="00023B55">
              <w:rPr>
                <w:sz w:val="20"/>
                <w:szCs w:val="18"/>
              </w:rPr>
              <w:t>SMSI+10; Déclaration du</w:t>
            </w:r>
            <w:r w:rsidR="001F3EAE" w:rsidRPr="00023B55">
              <w:rPr>
                <w:sz w:val="20"/>
                <w:szCs w:val="18"/>
              </w:rPr>
              <w:t> </w:t>
            </w:r>
            <w:r w:rsidRPr="00023B55">
              <w:rPr>
                <w:sz w:val="20"/>
                <w:szCs w:val="18"/>
              </w:rPr>
              <w:t>SMSI+10 sur la mise en œuvre des résultats du</w:t>
            </w:r>
            <w:r w:rsidR="001F3EAE" w:rsidRPr="00023B55">
              <w:rPr>
                <w:sz w:val="20"/>
                <w:szCs w:val="18"/>
              </w:rPr>
              <w:t> </w:t>
            </w:r>
            <w:r w:rsidRPr="00023B55">
              <w:rPr>
                <w:sz w:val="20"/>
                <w:szCs w:val="18"/>
              </w:rPr>
              <w:t>SMSI, renforcement des partenariats, accent mis sur le renforcement des capacités, "Élaboration de perspectives pour l'avenir du SMSI+10"</w:t>
            </w:r>
          </w:p>
        </w:tc>
        <w:tc>
          <w:tcPr>
            <w:tcW w:w="1005" w:type="pct"/>
            <w:vAlign w:val="center"/>
            <w:hideMark/>
          </w:tcPr>
          <w:p w14:paraId="195D9E75" w14:textId="77777777" w:rsidR="00AC2E05" w:rsidRPr="00023B55" w:rsidRDefault="00AC2E05" w:rsidP="0069223C">
            <w:pPr>
              <w:pStyle w:val="Tabletext"/>
              <w:keepLines/>
              <w:rPr>
                <w:sz w:val="20"/>
                <w:szCs w:val="18"/>
              </w:rPr>
            </w:pPr>
            <w:r w:rsidRPr="00023B55">
              <w:rPr>
                <w:sz w:val="20"/>
                <w:szCs w:val="18"/>
              </w:rPr>
              <w:t>Vision pour atteindre les ODD, données pour le développement, large bande mobile, informatique en nuage et mégadonnées sur le développement mondial</w:t>
            </w:r>
          </w:p>
        </w:tc>
      </w:tr>
      <w:tr w:rsidR="00DD47E4" w:rsidRPr="00023B55" w14:paraId="746EFE75" w14:textId="77777777" w:rsidTr="001F3EAE">
        <w:trPr>
          <w:tblCellSpacing w:w="15" w:type="dxa"/>
        </w:trPr>
        <w:tc>
          <w:tcPr>
            <w:tcW w:w="324" w:type="pct"/>
            <w:vAlign w:val="center"/>
            <w:hideMark/>
          </w:tcPr>
          <w:p w14:paraId="5C9B25E8" w14:textId="77777777" w:rsidR="00AC2E05" w:rsidRPr="00023B55" w:rsidRDefault="00AC2E05" w:rsidP="00683425">
            <w:pPr>
              <w:pStyle w:val="Tabletext"/>
              <w:rPr>
                <w:b/>
                <w:sz w:val="20"/>
                <w:szCs w:val="18"/>
              </w:rPr>
            </w:pPr>
            <w:hyperlink r:id="rId111" w:history="1">
              <w:r w:rsidRPr="00023B55">
                <w:rPr>
                  <w:rStyle w:val="Hyperlink"/>
                  <w:b/>
                  <w:sz w:val="20"/>
                  <w:szCs w:val="18"/>
                </w:rPr>
                <w:t>2012</w:t>
              </w:r>
            </w:hyperlink>
          </w:p>
        </w:tc>
        <w:tc>
          <w:tcPr>
            <w:tcW w:w="1274" w:type="pct"/>
            <w:vAlign w:val="center"/>
            <w:hideMark/>
          </w:tcPr>
          <w:p w14:paraId="470A10EB" w14:textId="7BDDADC1" w:rsidR="00AC2E05" w:rsidRPr="00023B55" w:rsidRDefault="00AC2E05" w:rsidP="00683425">
            <w:pPr>
              <w:pStyle w:val="Tabletext"/>
              <w:rPr>
                <w:sz w:val="20"/>
                <w:szCs w:val="18"/>
              </w:rPr>
            </w:pPr>
            <w:r w:rsidRPr="00023B55">
              <w:rPr>
                <w:sz w:val="20"/>
                <w:szCs w:val="18"/>
              </w:rPr>
              <w:t>1 300 participants sur place et plus de</w:t>
            </w:r>
            <w:r w:rsidR="00593DDC" w:rsidRPr="00023B55">
              <w:rPr>
                <w:sz w:val="20"/>
                <w:szCs w:val="18"/>
              </w:rPr>
              <w:t> </w:t>
            </w:r>
            <w:r w:rsidRPr="00023B55">
              <w:rPr>
                <w:sz w:val="20"/>
                <w:szCs w:val="18"/>
              </w:rPr>
              <w:t>2</w:t>
            </w:r>
            <w:r w:rsidR="00593DDC" w:rsidRPr="00023B55">
              <w:rPr>
                <w:sz w:val="20"/>
                <w:szCs w:val="18"/>
              </w:rPr>
              <w:t> </w:t>
            </w:r>
            <w:r w:rsidRPr="00023B55">
              <w:rPr>
                <w:sz w:val="20"/>
                <w:szCs w:val="18"/>
              </w:rPr>
              <w:t>000 à distance</w:t>
            </w:r>
          </w:p>
          <w:p w14:paraId="6837E6D4" w14:textId="677901EA" w:rsidR="00AC2E05" w:rsidRPr="00023B55" w:rsidRDefault="00AC2E05" w:rsidP="00683425">
            <w:pPr>
              <w:pStyle w:val="Tabletext"/>
              <w:rPr>
                <w:sz w:val="20"/>
                <w:szCs w:val="18"/>
              </w:rPr>
            </w:pPr>
            <w:r w:rsidRPr="00023B55">
              <w:rPr>
                <w:sz w:val="20"/>
                <w:szCs w:val="18"/>
              </w:rPr>
              <w:t>35 ministres et vice</w:t>
            </w:r>
            <w:r w:rsidR="008B1373" w:rsidRPr="00023B55">
              <w:rPr>
                <w:sz w:val="20"/>
                <w:szCs w:val="18"/>
              </w:rPr>
              <w:noBreakHyphen/>
            </w:r>
            <w:r w:rsidRPr="00023B55">
              <w:rPr>
                <w:sz w:val="20"/>
                <w:szCs w:val="18"/>
              </w:rPr>
              <w:t>ministres, plusieurs ambassadeurs, P</w:t>
            </w:r>
            <w:r w:rsidR="0069223C" w:rsidRPr="00023B55">
              <w:rPr>
                <w:sz w:val="20"/>
                <w:szCs w:val="18"/>
              </w:rPr>
              <w:t>.-</w:t>
            </w:r>
            <w:r w:rsidRPr="00023B55">
              <w:rPr>
                <w:sz w:val="20"/>
                <w:szCs w:val="18"/>
              </w:rPr>
              <w:t>D</w:t>
            </w:r>
            <w:r w:rsidR="0069223C" w:rsidRPr="00023B55">
              <w:rPr>
                <w:sz w:val="20"/>
                <w:szCs w:val="18"/>
              </w:rPr>
              <w:t>. </w:t>
            </w:r>
            <w:r w:rsidRPr="00023B55">
              <w:rPr>
                <w:sz w:val="20"/>
                <w:szCs w:val="18"/>
              </w:rPr>
              <w:t xml:space="preserve">G et dirigeants de la société civile </w:t>
            </w:r>
          </w:p>
        </w:tc>
        <w:tc>
          <w:tcPr>
            <w:tcW w:w="1001" w:type="pct"/>
            <w:vAlign w:val="center"/>
            <w:hideMark/>
          </w:tcPr>
          <w:p w14:paraId="439F3C97" w14:textId="77777777" w:rsidR="00AC2E05" w:rsidRPr="00023B55" w:rsidRDefault="00AC2E05" w:rsidP="00683425">
            <w:pPr>
              <w:pStyle w:val="Tabletext"/>
              <w:rPr>
                <w:sz w:val="20"/>
                <w:szCs w:val="18"/>
              </w:rPr>
            </w:pPr>
            <w:r w:rsidRPr="00023B55">
              <w:rPr>
                <w:sz w:val="20"/>
                <w:szCs w:val="18"/>
              </w:rPr>
              <w:t>Autonomisation des femmes à l'ère numérique; mise en correspondance avec les résultats de la Conférence Rio+20; mise à jour de l'inventaire des activités du SMSI, villes intelligentes</w:t>
            </w:r>
          </w:p>
        </w:tc>
        <w:tc>
          <w:tcPr>
            <w:tcW w:w="1296" w:type="pct"/>
            <w:vAlign w:val="center"/>
            <w:hideMark/>
          </w:tcPr>
          <w:p w14:paraId="4EE44412" w14:textId="1874AC33" w:rsidR="00AC2E05" w:rsidRPr="00023B55" w:rsidRDefault="00AC2E05" w:rsidP="00683425">
            <w:pPr>
              <w:pStyle w:val="Tabletext"/>
              <w:rPr>
                <w:sz w:val="20"/>
                <w:szCs w:val="18"/>
              </w:rPr>
            </w:pPr>
            <w:r w:rsidRPr="00023B55">
              <w:rPr>
                <w:sz w:val="20"/>
                <w:szCs w:val="18"/>
              </w:rPr>
              <w:t xml:space="preserve">Lancement de l'initiative visant à décerner des </w:t>
            </w:r>
            <w:r w:rsidRPr="00023B55">
              <w:rPr>
                <w:b/>
                <w:bCs/>
                <w:sz w:val="20"/>
                <w:szCs w:val="18"/>
              </w:rPr>
              <w:t>prix à des projets en rapport avec le SMSI</w:t>
            </w:r>
            <w:r w:rsidRPr="00023B55">
              <w:rPr>
                <w:sz w:val="20"/>
                <w:szCs w:val="18"/>
              </w:rPr>
              <w:t>, qui récompense 18</w:t>
            </w:r>
            <w:r w:rsidR="00593DDC" w:rsidRPr="00023B55">
              <w:rPr>
                <w:sz w:val="20"/>
                <w:szCs w:val="18"/>
              </w:rPr>
              <w:t> </w:t>
            </w:r>
            <w:r w:rsidRPr="00023B55">
              <w:rPr>
                <w:sz w:val="20"/>
                <w:szCs w:val="18"/>
              </w:rPr>
              <w:t>initiatives exceptionnelles qui appuient la mise en œuvre des grandes orientations du</w:t>
            </w:r>
            <w:r w:rsidR="001F3EAE" w:rsidRPr="00023B55">
              <w:rPr>
                <w:sz w:val="20"/>
                <w:szCs w:val="18"/>
              </w:rPr>
              <w:t> </w:t>
            </w:r>
            <w:r w:rsidRPr="00023B55">
              <w:rPr>
                <w:sz w:val="20"/>
                <w:szCs w:val="18"/>
              </w:rPr>
              <w:t>SMSI; table ronde ministérielle</w:t>
            </w:r>
          </w:p>
        </w:tc>
        <w:tc>
          <w:tcPr>
            <w:tcW w:w="1005" w:type="pct"/>
            <w:vAlign w:val="center"/>
            <w:hideMark/>
          </w:tcPr>
          <w:p w14:paraId="261450DD" w14:textId="77777777" w:rsidR="00AC2E05" w:rsidRPr="00023B55" w:rsidRDefault="00AC2E05" w:rsidP="00683425">
            <w:pPr>
              <w:pStyle w:val="Tabletext"/>
              <w:rPr>
                <w:sz w:val="20"/>
                <w:szCs w:val="18"/>
              </w:rPr>
            </w:pPr>
            <w:r w:rsidRPr="00023B55">
              <w:rPr>
                <w:sz w:val="20"/>
                <w:szCs w:val="18"/>
              </w:rPr>
              <w:t>Administration en ligne, égalité hommes-femmes dans le secteur technologique, question examinée</w:t>
            </w:r>
          </w:p>
        </w:tc>
      </w:tr>
      <w:tr w:rsidR="0089710D" w:rsidRPr="00023B55" w14:paraId="3E1ED4C9" w14:textId="77777777" w:rsidTr="001F3EAE">
        <w:trPr>
          <w:tblCellSpacing w:w="15" w:type="dxa"/>
        </w:trPr>
        <w:tc>
          <w:tcPr>
            <w:tcW w:w="324" w:type="pct"/>
            <w:vAlign w:val="center"/>
            <w:hideMark/>
          </w:tcPr>
          <w:p w14:paraId="6124B5FA" w14:textId="77777777" w:rsidR="00AC2E05" w:rsidRPr="00023B55" w:rsidRDefault="00AC2E05" w:rsidP="00683425">
            <w:pPr>
              <w:pStyle w:val="Tabletext"/>
              <w:rPr>
                <w:b/>
                <w:sz w:val="20"/>
                <w:szCs w:val="18"/>
              </w:rPr>
            </w:pPr>
            <w:hyperlink r:id="rId112" w:history="1">
              <w:r w:rsidRPr="00023B55">
                <w:rPr>
                  <w:rStyle w:val="Hyperlink"/>
                  <w:b/>
                  <w:sz w:val="20"/>
                  <w:szCs w:val="18"/>
                </w:rPr>
                <w:t>2011</w:t>
              </w:r>
            </w:hyperlink>
          </w:p>
        </w:tc>
        <w:tc>
          <w:tcPr>
            <w:tcW w:w="1274" w:type="pct"/>
            <w:vAlign w:val="center"/>
            <w:hideMark/>
          </w:tcPr>
          <w:p w14:paraId="5866322D" w14:textId="77777777" w:rsidR="00AC2E05" w:rsidRPr="00023B55" w:rsidRDefault="00AC2E05" w:rsidP="00683425">
            <w:pPr>
              <w:pStyle w:val="Tabletext"/>
              <w:rPr>
                <w:sz w:val="20"/>
                <w:szCs w:val="18"/>
              </w:rPr>
            </w:pPr>
            <w:r w:rsidRPr="00023B55">
              <w:rPr>
                <w:sz w:val="20"/>
                <w:szCs w:val="18"/>
              </w:rPr>
              <w:t>1 150 participants sur place et 1 000 à distance</w:t>
            </w:r>
          </w:p>
          <w:p w14:paraId="639FD9F0" w14:textId="77777777" w:rsidR="00AC2E05" w:rsidRPr="00023B55" w:rsidRDefault="00AC2E05" w:rsidP="00683425">
            <w:pPr>
              <w:pStyle w:val="Tabletext"/>
              <w:rPr>
                <w:sz w:val="20"/>
                <w:szCs w:val="18"/>
              </w:rPr>
            </w:pPr>
            <w:r w:rsidRPr="00023B55">
              <w:rPr>
                <w:sz w:val="20"/>
                <w:szCs w:val="18"/>
              </w:rPr>
              <w:t>Plus de 20 ministres et vice-ministres, plusieurs ambassadeurs, PDG et dirigeants de la société civile</w:t>
            </w:r>
          </w:p>
          <w:p w14:paraId="0678B41E" w14:textId="77777777" w:rsidR="00AC2E05" w:rsidRPr="00023B55" w:rsidRDefault="00AC2E05" w:rsidP="00683425">
            <w:pPr>
              <w:pStyle w:val="Tabletext"/>
              <w:rPr>
                <w:sz w:val="20"/>
                <w:szCs w:val="18"/>
              </w:rPr>
            </w:pPr>
            <w:r w:rsidRPr="00023B55">
              <w:rPr>
                <w:sz w:val="20"/>
                <w:szCs w:val="18"/>
              </w:rPr>
              <w:t>Plus de 80 députés</w:t>
            </w:r>
          </w:p>
        </w:tc>
        <w:tc>
          <w:tcPr>
            <w:tcW w:w="1001" w:type="pct"/>
            <w:vAlign w:val="center"/>
            <w:hideMark/>
          </w:tcPr>
          <w:p w14:paraId="5FA293E6" w14:textId="77777777" w:rsidR="00AC2E05" w:rsidRPr="00023B55" w:rsidRDefault="00AC2E05" w:rsidP="00683425">
            <w:pPr>
              <w:pStyle w:val="Tabletext"/>
              <w:rPr>
                <w:sz w:val="20"/>
                <w:szCs w:val="18"/>
              </w:rPr>
            </w:pPr>
            <w:r w:rsidRPr="00023B55">
              <w:rPr>
                <w:sz w:val="20"/>
                <w:szCs w:val="18"/>
              </w:rPr>
              <w:t>Connectivité universelle, informatique en nuage, convergence des services, TIC vertes, cybersécurité et protection de la vie privée</w:t>
            </w:r>
          </w:p>
        </w:tc>
        <w:tc>
          <w:tcPr>
            <w:tcW w:w="1296" w:type="pct"/>
            <w:vAlign w:val="center"/>
            <w:hideMark/>
          </w:tcPr>
          <w:p w14:paraId="7B10D6D0" w14:textId="77777777" w:rsidR="00AC2E05" w:rsidRPr="00023B55" w:rsidRDefault="00AC2E05" w:rsidP="00683425">
            <w:pPr>
              <w:pStyle w:val="Tabletext"/>
              <w:rPr>
                <w:sz w:val="20"/>
                <w:szCs w:val="18"/>
              </w:rPr>
            </w:pPr>
            <w:r w:rsidRPr="00023B55">
              <w:rPr>
                <w:sz w:val="20"/>
                <w:szCs w:val="18"/>
              </w:rPr>
              <w:t>Groupe de travail sur la jeunesse; Prix de la Journée mondiale des télécommunications et de la société de l'information; Forum parlementaire</w:t>
            </w:r>
          </w:p>
        </w:tc>
        <w:tc>
          <w:tcPr>
            <w:tcW w:w="1005" w:type="pct"/>
            <w:vAlign w:val="center"/>
            <w:hideMark/>
          </w:tcPr>
          <w:p w14:paraId="500DD7DB" w14:textId="77777777" w:rsidR="00AC2E05" w:rsidRPr="00023B55" w:rsidRDefault="00AC2E05" w:rsidP="00683425">
            <w:pPr>
              <w:pStyle w:val="Tabletext"/>
              <w:rPr>
                <w:sz w:val="20"/>
                <w:szCs w:val="18"/>
              </w:rPr>
            </w:pPr>
            <w:r w:rsidRPr="00023B55">
              <w:rPr>
                <w:sz w:val="20"/>
                <w:szCs w:val="18"/>
              </w:rPr>
              <w:t xml:space="preserve">Infrastructures essentielles; cadres de cybersécurité; cadres politiques, juridiques et réglementaires ouverts, efficaces et tournés vers l'avenir; partenariat pour promouvoir les TIC au service du développement </w:t>
            </w:r>
          </w:p>
        </w:tc>
      </w:tr>
      <w:tr w:rsidR="0089710D" w:rsidRPr="00023B55" w14:paraId="689565DC" w14:textId="77777777" w:rsidTr="001F3EAE">
        <w:trPr>
          <w:tblCellSpacing w:w="15" w:type="dxa"/>
        </w:trPr>
        <w:tc>
          <w:tcPr>
            <w:tcW w:w="324" w:type="pct"/>
            <w:vAlign w:val="center"/>
            <w:hideMark/>
          </w:tcPr>
          <w:p w14:paraId="3FD5EFE5" w14:textId="77777777" w:rsidR="00AC2E05" w:rsidRPr="00023B55" w:rsidRDefault="00AC2E05" w:rsidP="00683425">
            <w:pPr>
              <w:pStyle w:val="Tabletext"/>
              <w:rPr>
                <w:b/>
                <w:sz w:val="20"/>
                <w:szCs w:val="18"/>
              </w:rPr>
            </w:pPr>
            <w:hyperlink r:id="rId113" w:history="1">
              <w:r w:rsidRPr="00023B55">
                <w:rPr>
                  <w:rStyle w:val="Hyperlink"/>
                  <w:b/>
                  <w:sz w:val="20"/>
                  <w:szCs w:val="18"/>
                </w:rPr>
                <w:t>2010</w:t>
              </w:r>
            </w:hyperlink>
          </w:p>
        </w:tc>
        <w:tc>
          <w:tcPr>
            <w:tcW w:w="1274" w:type="pct"/>
            <w:vAlign w:val="center"/>
            <w:hideMark/>
          </w:tcPr>
          <w:p w14:paraId="0D610BF8" w14:textId="77777777" w:rsidR="00AC2E05" w:rsidRPr="00023B55" w:rsidRDefault="00AC2E05" w:rsidP="00683425">
            <w:pPr>
              <w:pStyle w:val="Tabletext"/>
              <w:rPr>
                <w:sz w:val="20"/>
                <w:szCs w:val="18"/>
              </w:rPr>
            </w:pPr>
            <w:r w:rsidRPr="00023B55">
              <w:rPr>
                <w:sz w:val="20"/>
                <w:szCs w:val="18"/>
              </w:rPr>
              <w:t>Plus de 1 500 participants</w:t>
            </w:r>
          </w:p>
        </w:tc>
        <w:tc>
          <w:tcPr>
            <w:tcW w:w="1001" w:type="pct"/>
            <w:vAlign w:val="center"/>
            <w:hideMark/>
          </w:tcPr>
          <w:p w14:paraId="5F14F286" w14:textId="77777777" w:rsidR="00AC2E05" w:rsidRPr="00023B55" w:rsidRDefault="00AC2E05" w:rsidP="00683425">
            <w:pPr>
              <w:pStyle w:val="Tabletext"/>
              <w:rPr>
                <w:sz w:val="20"/>
                <w:szCs w:val="18"/>
              </w:rPr>
            </w:pPr>
            <w:r w:rsidRPr="00023B55">
              <w:rPr>
                <w:sz w:val="20"/>
                <w:szCs w:val="18"/>
              </w:rPr>
              <w:t>Cybersécurité, infrastructure large bande, DEEE, TIC dans la gestion des catastrophes</w:t>
            </w:r>
          </w:p>
        </w:tc>
        <w:tc>
          <w:tcPr>
            <w:tcW w:w="1296" w:type="pct"/>
            <w:vAlign w:val="center"/>
            <w:hideMark/>
          </w:tcPr>
          <w:p w14:paraId="41A8D8D2" w14:textId="5F9BA9E1" w:rsidR="00AC2E05" w:rsidRPr="00023B55" w:rsidRDefault="00AC2E05" w:rsidP="00683425">
            <w:pPr>
              <w:pStyle w:val="Tabletext"/>
              <w:rPr>
                <w:sz w:val="20"/>
                <w:szCs w:val="18"/>
              </w:rPr>
            </w:pPr>
            <w:r w:rsidRPr="00023B55">
              <w:rPr>
                <w:sz w:val="20"/>
                <w:szCs w:val="18"/>
              </w:rPr>
              <w:t>Forum de la jeunesse; premier rapport de suivi du</w:t>
            </w:r>
            <w:r w:rsidR="00593DDC" w:rsidRPr="00023B55">
              <w:rPr>
                <w:sz w:val="20"/>
                <w:szCs w:val="18"/>
              </w:rPr>
              <w:t> </w:t>
            </w:r>
            <w:r w:rsidRPr="00023B55">
              <w:rPr>
                <w:sz w:val="20"/>
                <w:szCs w:val="18"/>
              </w:rPr>
              <w:t>SMSI</w:t>
            </w:r>
          </w:p>
        </w:tc>
        <w:tc>
          <w:tcPr>
            <w:tcW w:w="1005" w:type="pct"/>
            <w:vAlign w:val="center"/>
            <w:hideMark/>
          </w:tcPr>
          <w:p w14:paraId="0592B77A" w14:textId="77777777" w:rsidR="00AC2E05" w:rsidRPr="00023B55" w:rsidRDefault="00AC2E05" w:rsidP="00683425">
            <w:pPr>
              <w:pStyle w:val="Tabletext"/>
              <w:rPr>
                <w:sz w:val="20"/>
                <w:szCs w:val="18"/>
              </w:rPr>
            </w:pPr>
            <w:r w:rsidRPr="00023B55">
              <w:rPr>
                <w:sz w:val="20"/>
                <w:szCs w:val="18"/>
              </w:rPr>
              <w:t>premières politiques en matière de cybersécurité; intégration du large bande</w:t>
            </w:r>
          </w:p>
        </w:tc>
      </w:tr>
      <w:tr w:rsidR="0089710D" w:rsidRPr="00023B55" w14:paraId="729BBF42" w14:textId="77777777" w:rsidTr="001F3EAE">
        <w:trPr>
          <w:tblCellSpacing w:w="15" w:type="dxa"/>
        </w:trPr>
        <w:tc>
          <w:tcPr>
            <w:tcW w:w="324" w:type="pct"/>
            <w:vAlign w:val="center"/>
            <w:hideMark/>
          </w:tcPr>
          <w:p w14:paraId="46719F02" w14:textId="77777777" w:rsidR="00AC2E05" w:rsidRPr="00023B55" w:rsidRDefault="00AC2E05" w:rsidP="0069223C">
            <w:pPr>
              <w:pStyle w:val="Tabletext"/>
              <w:keepLines/>
              <w:rPr>
                <w:b/>
                <w:sz w:val="20"/>
                <w:szCs w:val="18"/>
              </w:rPr>
            </w:pPr>
            <w:hyperlink r:id="rId114" w:history="1">
              <w:r w:rsidRPr="00023B55">
                <w:rPr>
                  <w:rStyle w:val="Hyperlink"/>
                  <w:b/>
                  <w:sz w:val="20"/>
                  <w:szCs w:val="18"/>
                </w:rPr>
                <w:t>2009</w:t>
              </w:r>
            </w:hyperlink>
          </w:p>
        </w:tc>
        <w:tc>
          <w:tcPr>
            <w:tcW w:w="1274" w:type="pct"/>
            <w:vAlign w:val="center"/>
            <w:hideMark/>
          </w:tcPr>
          <w:p w14:paraId="0FEDF3C2" w14:textId="77777777" w:rsidR="00AC2E05" w:rsidRPr="00023B55" w:rsidRDefault="00AC2E05" w:rsidP="0069223C">
            <w:pPr>
              <w:pStyle w:val="Tabletext"/>
              <w:keepLines/>
              <w:rPr>
                <w:sz w:val="20"/>
                <w:szCs w:val="18"/>
              </w:rPr>
            </w:pPr>
            <w:r w:rsidRPr="00023B55">
              <w:rPr>
                <w:sz w:val="20"/>
                <w:szCs w:val="18"/>
              </w:rPr>
              <w:t>1 200 participants</w:t>
            </w:r>
          </w:p>
        </w:tc>
        <w:tc>
          <w:tcPr>
            <w:tcW w:w="1001" w:type="pct"/>
            <w:vAlign w:val="center"/>
            <w:hideMark/>
          </w:tcPr>
          <w:p w14:paraId="36AD1FC3" w14:textId="22CCE861" w:rsidR="00AC2E05" w:rsidRPr="00023B55" w:rsidRDefault="00AC2E05" w:rsidP="0069223C">
            <w:pPr>
              <w:pStyle w:val="Tabletext"/>
              <w:keepLines/>
              <w:rPr>
                <w:sz w:val="20"/>
                <w:szCs w:val="18"/>
              </w:rPr>
            </w:pPr>
            <w:r w:rsidRPr="00023B55">
              <w:rPr>
                <w:sz w:val="20"/>
                <w:szCs w:val="18"/>
              </w:rPr>
              <w:t>Lancement d'une série d'événements en rapport avec le</w:t>
            </w:r>
            <w:r w:rsidR="001F3EAE" w:rsidRPr="00023B55">
              <w:rPr>
                <w:sz w:val="20"/>
                <w:szCs w:val="18"/>
              </w:rPr>
              <w:t> </w:t>
            </w:r>
            <w:r w:rsidRPr="00023B55">
              <w:rPr>
                <w:sz w:val="20"/>
                <w:szCs w:val="18"/>
              </w:rPr>
              <w:t>SMSI à l'occasion du Forum du</w:t>
            </w:r>
            <w:r w:rsidR="00593DDC" w:rsidRPr="00023B55">
              <w:rPr>
                <w:sz w:val="20"/>
                <w:szCs w:val="18"/>
              </w:rPr>
              <w:t> </w:t>
            </w:r>
            <w:r w:rsidRPr="00023B55">
              <w:rPr>
                <w:sz w:val="20"/>
                <w:szCs w:val="18"/>
              </w:rPr>
              <w:t xml:space="preserve">SMSI </w:t>
            </w:r>
          </w:p>
        </w:tc>
        <w:tc>
          <w:tcPr>
            <w:tcW w:w="1296" w:type="pct"/>
            <w:vAlign w:val="center"/>
            <w:hideMark/>
          </w:tcPr>
          <w:p w14:paraId="2AA83DDA" w14:textId="34EAC671" w:rsidR="00AC2E05" w:rsidRPr="00023B55" w:rsidRDefault="00AC2E05" w:rsidP="0069223C">
            <w:pPr>
              <w:pStyle w:val="Tabletext"/>
              <w:keepLines/>
              <w:rPr>
                <w:sz w:val="20"/>
                <w:szCs w:val="18"/>
              </w:rPr>
            </w:pPr>
            <w:r w:rsidRPr="00023B55">
              <w:rPr>
                <w:sz w:val="20"/>
                <w:szCs w:val="18"/>
              </w:rPr>
              <w:t>Premier Forum du SMSI; plus de 35 séances, 6</w:t>
            </w:r>
            <w:r w:rsidR="001F3EAE" w:rsidRPr="00023B55">
              <w:rPr>
                <w:sz w:val="20"/>
                <w:szCs w:val="18"/>
              </w:rPr>
              <w:t> </w:t>
            </w:r>
            <w:r w:rsidRPr="00023B55">
              <w:rPr>
                <w:sz w:val="20"/>
                <w:szCs w:val="18"/>
              </w:rPr>
              <w:t>discussions de haut niveau</w:t>
            </w:r>
          </w:p>
        </w:tc>
        <w:tc>
          <w:tcPr>
            <w:tcW w:w="1005" w:type="pct"/>
            <w:vAlign w:val="center"/>
            <w:hideMark/>
          </w:tcPr>
          <w:p w14:paraId="1359AF03" w14:textId="09A7CCD4" w:rsidR="00AC2E05" w:rsidRPr="00023B55" w:rsidRDefault="00AC2E05" w:rsidP="0069223C">
            <w:pPr>
              <w:pStyle w:val="Tabletext"/>
              <w:keepLines/>
              <w:rPr>
                <w:sz w:val="20"/>
                <w:szCs w:val="18"/>
              </w:rPr>
            </w:pPr>
            <w:r w:rsidRPr="00023B55">
              <w:rPr>
                <w:sz w:val="20"/>
                <w:szCs w:val="18"/>
              </w:rPr>
              <w:t>Objectifs du SMSI à l'horizon 2015; accès aux TIC et fondements politiques, importance du SMSI en tant que plate</w:t>
            </w:r>
            <w:r w:rsidR="008B1373" w:rsidRPr="00023B55">
              <w:rPr>
                <w:sz w:val="20"/>
                <w:szCs w:val="18"/>
              </w:rPr>
              <w:noBreakHyphen/>
            </w:r>
            <w:r w:rsidRPr="00023B55">
              <w:rPr>
                <w:sz w:val="20"/>
                <w:szCs w:val="18"/>
              </w:rPr>
              <w:t>forme fédératrice pour toutes les parties prenantes engagées dans la promotion du développement numérique</w:t>
            </w:r>
          </w:p>
        </w:tc>
      </w:tr>
    </w:tbl>
    <w:p w14:paraId="2D7D6283" w14:textId="77777777" w:rsidR="0089710D" w:rsidRPr="00023B55" w:rsidRDefault="0089710D" w:rsidP="00F52608">
      <w:pPr>
        <w:jc w:val="both"/>
      </w:pPr>
      <w:r w:rsidRPr="00023B55">
        <w:t>Chaque année, le Forum du SMSI élabore des recommandations politiques concrètes, produit des études de cas et des bonnes pratiques de qualité, et renforce les partenariats et les initiatives visant à relever des défis spécifiques dans le secteur de la technologie. Parmi les priorités à venir figurent notamment les efforts en faveur de la connectivité sur le dernier kilomètre, de la maîtrise des outils numériques, de l'accès financièrement abordable et des possibilités concrètes offertes par le numérique à tout un chacun, en particulier dans les communautés mal desservies et marginalisées. Le forum annuel renforce également la coopération pour ce qui est des cadres de cybersécurité fiables, de l'infrastructure numérique et de la protection des données.</w:t>
      </w:r>
    </w:p>
    <w:p w14:paraId="3E38FC8E" w14:textId="77777777" w:rsidR="0089710D" w:rsidRPr="00023B55" w:rsidRDefault="0089710D" w:rsidP="00F52608">
      <w:pPr>
        <w:pStyle w:val="Headingb"/>
        <w:jc w:val="both"/>
      </w:pPr>
      <w:r w:rsidRPr="00023B55">
        <w:t>Base de données de l'inventaire des activités du SMSI</w:t>
      </w:r>
    </w:p>
    <w:p w14:paraId="2B3D9992" w14:textId="4E63AF79" w:rsidR="0089710D" w:rsidRPr="00023B55" w:rsidRDefault="0089710D" w:rsidP="00F52608">
      <w:pPr>
        <w:jc w:val="both"/>
      </w:pPr>
      <w:r w:rsidRPr="00023B55">
        <w:t xml:space="preserve">La </w:t>
      </w:r>
      <w:hyperlink r:id="rId115" w:history="1">
        <w:r w:rsidRPr="00023B55">
          <w:rPr>
            <w:rStyle w:val="Hyperlink"/>
            <w:rFonts w:eastAsia="Times New Roman" w:cs="Times New Roman"/>
            <w:szCs w:val="20"/>
          </w:rPr>
          <w:t>base de données de l'inventaire des activités du SMSI</w:t>
        </w:r>
      </w:hyperlink>
      <w:r w:rsidRPr="00023B55">
        <w:t xml:space="preserve"> est un élément essentiel du cadre du SMSI, qui vise à rendre compte et à partager des informations sur les initiatives et les projets liés à la technologie qui sont menés à travers le monde. Tenue à jour par l'UIT, la base de données est devenue un répertoire international de plus de 15 000 entrées donnant des informations précieuses sur les tendances de développement du numérique et les bonnes pratiques.</w:t>
      </w:r>
    </w:p>
    <w:p w14:paraId="7539428A" w14:textId="77777777" w:rsidR="0089710D" w:rsidRPr="00023B55" w:rsidRDefault="0089710D" w:rsidP="00F52608">
      <w:pPr>
        <w:jc w:val="both"/>
      </w:pPr>
      <w:r w:rsidRPr="00023B55">
        <w:t>Les principaux aspects du processus d'inventaire des activités du SMSI sont les suivants:</w:t>
      </w:r>
    </w:p>
    <w:p w14:paraId="30BA936E" w14:textId="4EBBB9AE" w:rsidR="0089710D" w:rsidRPr="00023B55" w:rsidRDefault="002734F2" w:rsidP="00F52608">
      <w:pPr>
        <w:pStyle w:val="enumlev1"/>
        <w:jc w:val="both"/>
      </w:pPr>
      <w:r w:rsidRPr="00023B55">
        <w:t>–</w:t>
      </w:r>
      <w:r w:rsidR="0089710D" w:rsidRPr="00023B55">
        <w:tab/>
      </w:r>
      <w:r w:rsidRPr="00023B55">
        <w:rPr>
          <w:b/>
          <w:bCs/>
        </w:rPr>
        <w:t>C</w:t>
      </w:r>
      <w:r w:rsidR="0089710D" w:rsidRPr="00023B55">
        <w:rPr>
          <w:b/>
          <w:bCs/>
        </w:rPr>
        <w:t>ouverture complète</w:t>
      </w:r>
      <w:r w:rsidRPr="00023B55">
        <w:t>:</w:t>
      </w:r>
      <w:r w:rsidR="0089710D" w:rsidRPr="00023B55">
        <w:t xml:space="preserve"> large éventail de projets, allant d'initiatives nationales à grande échelle à des initiatives communautaires, afin de fournir une bonne représentation des activités entreprises dans le domaine des technologies à l'échelle mondiale</w:t>
      </w:r>
      <w:r w:rsidR="00233CD2" w:rsidRPr="00023B55">
        <w:t>.</w:t>
      </w:r>
    </w:p>
    <w:p w14:paraId="00B6C100" w14:textId="7FE3235E" w:rsidR="0089710D" w:rsidRPr="00023B55" w:rsidRDefault="002734F2" w:rsidP="00F52608">
      <w:pPr>
        <w:pStyle w:val="enumlev1"/>
        <w:jc w:val="both"/>
      </w:pPr>
      <w:r w:rsidRPr="00023B55">
        <w:t>–</w:t>
      </w:r>
      <w:r w:rsidR="0089710D" w:rsidRPr="00023B55">
        <w:tab/>
      </w:r>
      <w:r w:rsidRPr="00023B55">
        <w:rPr>
          <w:b/>
          <w:bCs/>
        </w:rPr>
        <w:t>C</w:t>
      </w:r>
      <w:r w:rsidR="0089710D" w:rsidRPr="00023B55">
        <w:rPr>
          <w:b/>
          <w:bCs/>
        </w:rPr>
        <w:t>lassement par grandes orientations du SMSI, objectifs mondiaux, groupes cibles, types de parties prenantes et représentation régionale</w:t>
      </w:r>
      <w:r w:rsidRPr="00023B55">
        <w:t>:</w:t>
      </w:r>
      <w:r w:rsidR="0089710D" w:rsidRPr="00023B55">
        <w:t xml:space="preserve"> mise en évidence de l'alignement des projets sur des objectifs et des priorités spécifiques, couvrant différentes régions, groupes cibles et types de parties prenantes</w:t>
      </w:r>
      <w:r w:rsidR="00233CD2" w:rsidRPr="00023B55">
        <w:t>.</w:t>
      </w:r>
    </w:p>
    <w:p w14:paraId="7E16CEE6" w14:textId="55883607" w:rsidR="0089710D" w:rsidRPr="00023B55" w:rsidRDefault="002734F2" w:rsidP="00F52608">
      <w:pPr>
        <w:pStyle w:val="enumlev1"/>
        <w:jc w:val="both"/>
      </w:pPr>
      <w:r w:rsidRPr="00023B55">
        <w:t>–</w:t>
      </w:r>
      <w:r w:rsidR="0089710D" w:rsidRPr="00023B55">
        <w:tab/>
      </w:r>
      <w:r w:rsidRPr="00023B55">
        <w:rPr>
          <w:b/>
          <w:bCs/>
        </w:rPr>
        <w:t>A</w:t>
      </w:r>
      <w:r w:rsidR="0089710D" w:rsidRPr="00023B55">
        <w:rPr>
          <w:b/>
          <w:bCs/>
        </w:rPr>
        <w:t>ccessibilité et technologies émergentes</w:t>
      </w:r>
      <w:r w:rsidRPr="00023B55">
        <w:t>:</w:t>
      </w:r>
      <w:r w:rsidR="0089710D" w:rsidRPr="00023B55">
        <w:t xml:space="preserve"> données accessibles au public, encourageant la transposition d'initiatives ayant été menées à bien et aidant à promouvoir le partage des connaissances dans le monde</w:t>
      </w:r>
      <w:r w:rsidR="00233CD2" w:rsidRPr="00023B55">
        <w:t>.</w:t>
      </w:r>
    </w:p>
    <w:p w14:paraId="05FCF797" w14:textId="31686418" w:rsidR="0049037C" w:rsidRPr="00023B55" w:rsidRDefault="002734F2" w:rsidP="00F52608">
      <w:pPr>
        <w:pStyle w:val="enumlev1"/>
        <w:jc w:val="both"/>
      </w:pPr>
      <w:r w:rsidRPr="00023B55">
        <w:lastRenderedPageBreak/>
        <w:t>–</w:t>
      </w:r>
      <w:r w:rsidR="0089710D" w:rsidRPr="00023B55">
        <w:tab/>
      </w:r>
      <w:r w:rsidRPr="00023B55">
        <w:rPr>
          <w:b/>
          <w:bCs/>
        </w:rPr>
        <w:t>É</w:t>
      </w:r>
      <w:r w:rsidR="0089710D" w:rsidRPr="00023B55">
        <w:rPr>
          <w:b/>
          <w:bCs/>
        </w:rPr>
        <w:t>tablissement de rapports</w:t>
      </w:r>
      <w:r w:rsidRPr="00023B55">
        <w:t>:</w:t>
      </w:r>
      <w:r w:rsidR="0089710D" w:rsidRPr="00023B55">
        <w:t xml:space="preserve"> préparation et publication de rapports annuels aux niveaux mondial et régional, notamment de rapports spéciaux sur l'IA, le COVID-19, la cybersanté et la cyberagriculture</w:t>
      </w:r>
      <w:r w:rsidR="00233CD2" w:rsidRPr="00023B55">
        <w:t>.</w:t>
      </w:r>
    </w:p>
    <w:p w14:paraId="0EE7AA93" w14:textId="3D050E28" w:rsidR="0089710D" w:rsidRPr="00023B55" w:rsidRDefault="002734F2" w:rsidP="00F52608">
      <w:pPr>
        <w:pStyle w:val="enumlev1"/>
        <w:jc w:val="both"/>
      </w:pPr>
      <w:r w:rsidRPr="00023B55">
        <w:t>–</w:t>
      </w:r>
      <w:r w:rsidR="0089710D" w:rsidRPr="00023B55">
        <w:tab/>
      </w:r>
      <w:r w:rsidRPr="00023B55">
        <w:rPr>
          <w:b/>
          <w:bCs/>
        </w:rPr>
        <w:t>V</w:t>
      </w:r>
      <w:r w:rsidR="0089710D" w:rsidRPr="00023B55">
        <w:rPr>
          <w:b/>
          <w:bCs/>
        </w:rPr>
        <w:t>isualisation</w:t>
      </w:r>
      <w:r w:rsidRPr="00023B55">
        <w:t>:</w:t>
      </w:r>
      <w:r w:rsidR="0089710D" w:rsidRPr="00023B55">
        <w:t xml:space="preserve"> recueil, dans le cadre du concours de photographie du SMSI, de photos à fort impact prises sur le terrain, et présentation de ces dernières lors de manifestations organisées dans le cadre du SMSI et de plates-formes virtuelles, à l'intention de nombreuses organisations.</w:t>
      </w:r>
    </w:p>
    <w:p w14:paraId="0002E2A8" w14:textId="77777777" w:rsidR="007412AE" w:rsidRPr="00023B55" w:rsidRDefault="007412AE" w:rsidP="00F52608">
      <w:pPr>
        <w:pStyle w:val="Headingb"/>
        <w:jc w:val="both"/>
      </w:pPr>
      <w:r w:rsidRPr="00023B55">
        <w:t>Rapports sur l'inventaire des activités du SMSI</w:t>
      </w:r>
    </w:p>
    <w:p w14:paraId="09BDE6BB" w14:textId="77777777" w:rsidR="007412AE" w:rsidRPr="00023B55" w:rsidRDefault="007412AE" w:rsidP="00F52608">
      <w:pPr>
        <w:pStyle w:val="Headingb"/>
      </w:pPr>
      <w:r w:rsidRPr="00023B55">
        <w:t>Rapports à l'échelle mondiale</w:t>
      </w:r>
    </w:p>
    <w:tbl>
      <w:tblPr>
        <w:tblStyle w:val="TableGrid"/>
        <w:tblW w:w="5000" w:type="pct"/>
        <w:tblLook w:val="04A0" w:firstRow="1" w:lastRow="0" w:firstColumn="1" w:lastColumn="0" w:noHBand="0" w:noVBand="1"/>
      </w:tblPr>
      <w:tblGrid>
        <w:gridCol w:w="716"/>
        <w:gridCol w:w="8345"/>
      </w:tblGrid>
      <w:tr w:rsidR="007412AE" w:rsidRPr="00023B55" w14:paraId="6641A1FF" w14:textId="77777777" w:rsidTr="003B0987">
        <w:tc>
          <w:tcPr>
            <w:tcW w:w="395" w:type="pct"/>
          </w:tcPr>
          <w:p w14:paraId="5549410A" w14:textId="77777777" w:rsidR="007412AE" w:rsidRPr="00023B55" w:rsidRDefault="007412AE" w:rsidP="00F52608">
            <w:pPr>
              <w:pStyle w:val="Tabletext"/>
              <w:spacing w:before="40" w:after="40"/>
              <w:rPr>
                <w:b/>
                <w:bCs/>
              </w:rPr>
            </w:pPr>
            <w:r w:rsidRPr="00023B55">
              <w:rPr>
                <w:b/>
                <w:bCs/>
              </w:rPr>
              <w:t>2024</w:t>
            </w:r>
          </w:p>
        </w:tc>
        <w:tc>
          <w:tcPr>
            <w:tcW w:w="4605" w:type="pct"/>
          </w:tcPr>
          <w:p w14:paraId="765111A4" w14:textId="77777777" w:rsidR="007412AE" w:rsidRPr="00023B55" w:rsidRDefault="007412AE" w:rsidP="00F52608">
            <w:pPr>
              <w:pStyle w:val="Tabletext"/>
              <w:spacing w:before="40" w:after="40"/>
              <w:ind w:left="720" w:hanging="720"/>
            </w:pPr>
            <w:r w:rsidRPr="00023B55">
              <w:t>–</w:t>
            </w:r>
            <w:r w:rsidRPr="00023B55">
              <w:tab/>
            </w:r>
            <w:hyperlink r:id="rId116" w:history="1">
              <w:r w:rsidRPr="00023B55">
                <w:rPr>
                  <w:rStyle w:val="Hyperlink"/>
                </w:rPr>
                <w:t>Rapport 2024 sur l'inventaire des activités du SMSI</w:t>
              </w:r>
            </w:hyperlink>
          </w:p>
          <w:p w14:paraId="1F1EAEBA" w14:textId="77777777" w:rsidR="007412AE" w:rsidRPr="00023B55" w:rsidRDefault="007412AE" w:rsidP="00F52608">
            <w:pPr>
              <w:pStyle w:val="Tabletext"/>
              <w:spacing w:before="40" w:after="40"/>
              <w:ind w:left="720" w:hanging="720"/>
            </w:pPr>
            <w:r w:rsidRPr="00023B55">
              <w:t>–</w:t>
            </w:r>
            <w:r w:rsidRPr="00023B55">
              <w:tab/>
            </w:r>
            <w:hyperlink r:id="rId117" w:history="1">
              <w:r w:rsidRPr="00023B55">
                <w:rPr>
                  <w:rStyle w:val="Hyperlink"/>
                </w:rPr>
                <w:t>Exemples de réussite dans le cadre de l'inventaire 2024 des activités du SMSI</w:t>
              </w:r>
            </w:hyperlink>
          </w:p>
          <w:p w14:paraId="7721C9A4" w14:textId="77777777" w:rsidR="007412AE" w:rsidRPr="00023B55" w:rsidRDefault="007412AE" w:rsidP="00F52608">
            <w:pPr>
              <w:pStyle w:val="Tabletext"/>
              <w:spacing w:before="40" w:after="40"/>
              <w:ind w:left="720" w:hanging="720"/>
            </w:pPr>
            <w:r w:rsidRPr="00023B55">
              <w:t>–</w:t>
            </w:r>
            <w:r w:rsidRPr="00023B55">
              <w:tab/>
            </w:r>
            <w:hyperlink r:id="rId118" w:history="1">
              <w:r w:rsidRPr="00023B55">
                <w:rPr>
                  <w:rStyle w:val="Hyperlink"/>
                </w:rPr>
                <w:t>Rapport spécial sur les exemples de réussite dans le cadre de l'inventaire des activités du SMSI – Le parcours des TIC en Corée (Rép. de)</w:t>
              </w:r>
            </w:hyperlink>
          </w:p>
        </w:tc>
      </w:tr>
      <w:tr w:rsidR="007412AE" w:rsidRPr="00023B55" w14:paraId="73405C96" w14:textId="77777777" w:rsidTr="003B0987">
        <w:tc>
          <w:tcPr>
            <w:tcW w:w="395" w:type="pct"/>
          </w:tcPr>
          <w:p w14:paraId="7EF09291" w14:textId="77777777" w:rsidR="007412AE" w:rsidRPr="00023B55" w:rsidRDefault="007412AE" w:rsidP="00F52608">
            <w:pPr>
              <w:pStyle w:val="Tabletext"/>
              <w:spacing w:before="40" w:after="40"/>
              <w:rPr>
                <w:b/>
                <w:bCs/>
              </w:rPr>
            </w:pPr>
            <w:r w:rsidRPr="00023B55">
              <w:rPr>
                <w:b/>
                <w:bCs/>
              </w:rPr>
              <w:t>2023</w:t>
            </w:r>
          </w:p>
        </w:tc>
        <w:tc>
          <w:tcPr>
            <w:tcW w:w="4605" w:type="pct"/>
          </w:tcPr>
          <w:p w14:paraId="6E33CA32" w14:textId="77777777" w:rsidR="007412AE" w:rsidRPr="00023B55" w:rsidRDefault="007412AE" w:rsidP="00F52608">
            <w:pPr>
              <w:pStyle w:val="Tabletext"/>
              <w:spacing w:before="40" w:after="40"/>
              <w:ind w:left="720" w:hanging="720"/>
            </w:pPr>
            <w:r w:rsidRPr="00023B55">
              <w:t>–</w:t>
            </w:r>
            <w:r w:rsidRPr="00023B55">
              <w:tab/>
            </w:r>
            <w:hyperlink r:id="rId119" w:history="1">
              <w:r w:rsidRPr="00023B55">
                <w:rPr>
                  <w:rStyle w:val="Hyperlink"/>
                </w:rPr>
                <w:t>Projet de Rapport 2023 sur l'inventaire des activités du SMSI</w:t>
              </w:r>
            </w:hyperlink>
          </w:p>
          <w:p w14:paraId="53E0D461" w14:textId="77777777" w:rsidR="007412AE" w:rsidRPr="00023B55" w:rsidRDefault="007412AE" w:rsidP="00F52608">
            <w:pPr>
              <w:pStyle w:val="Tabletext"/>
              <w:spacing w:before="40" w:after="40"/>
              <w:ind w:left="720" w:hanging="720"/>
            </w:pPr>
            <w:r w:rsidRPr="00023B55">
              <w:t>–</w:t>
            </w:r>
            <w:r w:rsidRPr="00023B55">
              <w:tab/>
            </w:r>
            <w:hyperlink r:id="rId120" w:history="1">
              <w:r w:rsidRPr="00023B55">
                <w:rPr>
                  <w:rStyle w:val="Hyperlink"/>
                </w:rPr>
                <w:t>Projet d'exemples de réussite dans le cadre de l'inventaire 2023 des activités du SMSI</w:t>
              </w:r>
            </w:hyperlink>
          </w:p>
        </w:tc>
      </w:tr>
      <w:tr w:rsidR="007412AE" w:rsidRPr="00023B55" w14:paraId="2A788E26" w14:textId="77777777" w:rsidTr="003B0987">
        <w:tc>
          <w:tcPr>
            <w:tcW w:w="395" w:type="pct"/>
          </w:tcPr>
          <w:p w14:paraId="072CCE0C" w14:textId="77777777" w:rsidR="007412AE" w:rsidRPr="00023B55" w:rsidRDefault="007412AE" w:rsidP="00F52608">
            <w:pPr>
              <w:pStyle w:val="Tabletext"/>
              <w:spacing w:before="40" w:after="40"/>
              <w:rPr>
                <w:b/>
                <w:bCs/>
              </w:rPr>
            </w:pPr>
            <w:r w:rsidRPr="00023B55">
              <w:rPr>
                <w:b/>
                <w:bCs/>
              </w:rPr>
              <w:t>2022</w:t>
            </w:r>
          </w:p>
        </w:tc>
        <w:tc>
          <w:tcPr>
            <w:tcW w:w="4605" w:type="pct"/>
          </w:tcPr>
          <w:p w14:paraId="5CE95708" w14:textId="77777777" w:rsidR="007412AE" w:rsidRPr="00023B55" w:rsidRDefault="007412AE" w:rsidP="00F52608">
            <w:pPr>
              <w:pStyle w:val="Tabletext"/>
              <w:spacing w:before="40" w:after="40"/>
              <w:ind w:left="720" w:hanging="720"/>
            </w:pPr>
            <w:r w:rsidRPr="00023B55">
              <w:t>–</w:t>
            </w:r>
            <w:r w:rsidRPr="00023B55">
              <w:tab/>
            </w:r>
            <w:hyperlink r:id="rId121" w:history="1">
              <w:r w:rsidRPr="00023B55">
                <w:rPr>
                  <w:rStyle w:val="Hyperlink"/>
                </w:rPr>
                <w:t>Rapport 2022 sur l'inventaire des activités du SMSI</w:t>
              </w:r>
            </w:hyperlink>
          </w:p>
          <w:p w14:paraId="7EBCC257" w14:textId="77777777" w:rsidR="007412AE" w:rsidRPr="00023B55" w:rsidRDefault="007412AE" w:rsidP="00F52608">
            <w:pPr>
              <w:pStyle w:val="Tabletext"/>
              <w:spacing w:before="40" w:after="40"/>
              <w:ind w:left="720" w:hanging="720"/>
            </w:pPr>
            <w:r w:rsidRPr="00023B55">
              <w:t>–</w:t>
            </w:r>
            <w:r w:rsidRPr="00023B55">
              <w:tab/>
            </w:r>
            <w:hyperlink r:id="rId122" w:history="1">
              <w:r w:rsidRPr="00023B55">
                <w:rPr>
                  <w:rStyle w:val="Hyperlink"/>
                </w:rPr>
                <w:t>Exemples de réussite dans le cadre de l'inventaire 2022 des activités du SMSI</w:t>
              </w:r>
            </w:hyperlink>
          </w:p>
        </w:tc>
      </w:tr>
      <w:tr w:rsidR="007412AE" w:rsidRPr="00023B55" w14:paraId="29209CE5" w14:textId="77777777" w:rsidTr="003B0987">
        <w:tc>
          <w:tcPr>
            <w:tcW w:w="395" w:type="pct"/>
          </w:tcPr>
          <w:p w14:paraId="6DF21C19" w14:textId="77777777" w:rsidR="007412AE" w:rsidRPr="00023B55" w:rsidRDefault="007412AE" w:rsidP="00F52608">
            <w:pPr>
              <w:pStyle w:val="Tabletext"/>
              <w:spacing w:before="40" w:after="40"/>
              <w:rPr>
                <w:b/>
                <w:bCs/>
              </w:rPr>
            </w:pPr>
            <w:r w:rsidRPr="00023B55">
              <w:rPr>
                <w:b/>
                <w:bCs/>
              </w:rPr>
              <w:t>2021</w:t>
            </w:r>
          </w:p>
        </w:tc>
        <w:tc>
          <w:tcPr>
            <w:tcW w:w="4605" w:type="pct"/>
          </w:tcPr>
          <w:p w14:paraId="7C2CD22E" w14:textId="77777777" w:rsidR="007412AE" w:rsidRPr="00023B55" w:rsidRDefault="007412AE" w:rsidP="00F52608">
            <w:pPr>
              <w:pStyle w:val="Tabletext"/>
              <w:spacing w:before="40" w:after="40"/>
              <w:ind w:left="720" w:hanging="720"/>
            </w:pPr>
            <w:r w:rsidRPr="00023B55">
              <w:t>–</w:t>
            </w:r>
            <w:r w:rsidRPr="00023B55">
              <w:tab/>
            </w:r>
            <w:hyperlink r:id="rId123" w:history="1">
              <w:r w:rsidRPr="00023B55">
                <w:rPr>
                  <w:rStyle w:val="Hyperlink"/>
                </w:rPr>
                <w:t>Rapport 2021 sur l'inventaire des activités du SMSI</w:t>
              </w:r>
            </w:hyperlink>
          </w:p>
          <w:p w14:paraId="5E882C84" w14:textId="77777777" w:rsidR="007412AE" w:rsidRPr="00023B55" w:rsidRDefault="007412AE" w:rsidP="00F52608">
            <w:pPr>
              <w:pStyle w:val="Tabletext"/>
              <w:spacing w:before="40" w:after="40"/>
              <w:ind w:left="720" w:hanging="720"/>
            </w:pPr>
            <w:r w:rsidRPr="00023B55">
              <w:t>–</w:t>
            </w:r>
            <w:r w:rsidRPr="00023B55">
              <w:tab/>
            </w:r>
            <w:hyperlink r:id="rId124" w:history="1">
              <w:r w:rsidRPr="00023B55">
                <w:rPr>
                  <w:rStyle w:val="Hyperlink"/>
                </w:rPr>
                <w:t>Exemples de réussite dans le cadre de l'inventaire 2021 des activités du SMSI</w:t>
              </w:r>
            </w:hyperlink>
          </w:p>
        </w:tc>
      </w:tr>
      <w:tr w:rsidR="007412AE" w:rsidRPr="00023B55" w14:paraId="2AC7B601" w14:textId="77777777" w:rsidTr="003B0987">
        <w:tc>
          <w:tcPr>
            <w:tcW w:w="395" w:type="pct"/>
          </w:tcPr>
          <w:p w14:paraId="632FC7F8" w14:textId="77777777" w:rsidR="007412AE" w:rsidRPr="00023B55" w:rsidRDefault="007412AE" w:rsidP="00F52608">
            <w:pPr>
              <w:pStyle w:val="Tabletext"/>
              <w:spacing w:before="40" w:after="40"/>
              <w:rPr>
                <w:b/>
                <w:bCs/>
              </w:rPr>
            </w:pPr>
            <w:r w:rsidRPr="00023B55">
              <w:rPr>
                <w:b/>
                <w:bCs/>
              </w:rPr>
              <w:t>2020</w:t>
            </w:r>
          </w:p>
        </w:tc>
        <w:tc>
          <w:tcPr>
            <w:tcW w:w="4605" w:type="pct"/>
          </w:tcPr>
          <w:p w14:paraId="3B175993" w14:textId="77777777" w:rsidR="007412AE" w:rsidRPr="00023B55" w:rsidRDefault="007412AE" w:rsidP="00F52608">
            <w:pPr>
              <w:pStyle w:val="Tabletext"/>
              <w:spacing w:before="40" w:after="40"/>
              <w:ind w:left="720" w:hanging="720"/>
            </w:pPr>
            <w:r w:rsidRPr="00023B55">
              <w:t>–</w:t>
            </w:r>
            <w:r w:rsidRPr="00023B55">
              <w:tab/>
            </w:r>
            <w:hyperlink r:id="rId125" w:history="1">
              <w:r w:rsidRPr="00023B55">
                <w:rPr>
                  <w:rStyle w:val="Hyperlink"/>
                </w:rPr>
                <w:t>Rapport 2020 sur l'inventaire des activités du SMSI</w:t>
              </w:r>
            </w:hyperlink>
          </w:p>
          <w:p w14:paraId="09D42623" w14:textId="77777777" w:rsidR="007412AE" w:rsidRPr="00023B55" w:rsidRDefault="007412AE" w:rsidP="00F52608">
            <w:pPr>
              <w:pStyle w:val="Tabletext"/>
              <w:spacing w:before="40" w:after="40"/>
              <w:ind w:left="720" w:hanging="720"/>
            </w:pPr>
            <w:r w:rsidRPr="00023B55">
              <w:t>–</w:t>
            </w:r>
            <w:r w:rsidRPr="00023B55">
              <w:tab/>
            </w:r>
            <w:hyperlink r:id="rId126" w:history="1">
              <w:r w:rsidRPr="00023B55">
                <w:rPr>
                  <w:rStyle w:val="Hyperlink"/>
                </w:rPr>
                <w:t>Exemples de réussite dans le cadre de l'inventaire 2020 des activités du SMSI</w:t>
              </w:r>
            </w:hyperlink>
          </w:p>
        </w:tc>
      </w:tr>
      <w:tr w:rsidR="007412AE" w:rsidRPr="00023B55" w14:paraId="1CE98385" w14:textId="77777777" w:rsidTr="003B0987">
        <w:tc>
          <w:tcPr>
            <w:tcW w:w="395" w:type="pct"/>
          </w:tcPr>
          <w:p w14:paraId="4A9DFB10" w14:textId="77777777" w:rsidR="007412AE" w:rsidRPr="00023B55" w:rsidRDefault="007412AE" w:rsidP="00F52608">
            <w:pPr>
              <w:pStyle w:val="Tabletext"/>
              <w:spacing w:before="40" w:after="40"/>
              <w:rPr>
                <w:b/>
                <w:bCs/>
              </w:rPr>
            </w:pPr>
            <w:r w:rsidRPr="00023B55">
              <w:rPr>
                <w:b/>
                <w:bCs/>
              </w:rPr>
              <w:t>2019</w:t>
            </w:r>
          </w:p>
        </w:tc>
        <w:tc>
          <w:tcPr>
            <w:tcW w:w="4605" w:type="pct"/>
          </w:tcPr>
          <w:p w14:paraId="29B55F38" w14:textId="77777777" w:rsidR="007412AE" w:rsidRPr="00023B55" w:rsidRDefault="007412AE" w:rsidP="00F52608">
            <w:pPr>
              <w:pStyle w:val="Tabletext"/>
              <w:spacing w:before="40" w:after="40"/>
              <w:ind w:left="720" w:hanging="720"/>
            </w:pPr>
            <w:r w:rsidRPr="00023B55">
              <w:t>–</w:t>
            </w:r>
            <w:r w:rsidRPr="00023B55">
              <w:tab/>
            </w:r>
            <w:hyperlink r:id="rId127" w:history="1">
              <w:r w:rsidRPr="00023B55">
                <w:rPr>
                  <w:rStyle w:val="Hyperlink"/>
                </w:rPr>
                <w:t>Rapport 2019 sur l'inventaire des activités du SMSI</w:t>
              </w:r>
            </w:hyperlink>
          </w:p>
          <w:p w14:paraId="2E12A8FB" w14:textId="77777777" w:rsidR="007412AE" w:rsidRPr="00023B55" w:rsidRDefault="007412AE" w:rsidP="00F52608">
            <w:pPr>
              <w:pStyle w:val="Tabletext"/>
              <w:spacing w:before="40" w:after="40"/>
              <w:ind w:left="720" w:hanging="720"/>
            </w:pPr>
            <w:r w:rsidRPr="00023B55">
              <w:t>–</w:t>
            </w:r>
            <w:r w:rsidRPr="00023B55">
              <w:tab/>
            </w:r>
            <w:hyperlink r:id="rId128" w:history="1">
              <w:r w:rsidRPr="00023B55">
                <w:rPr>
                  <w:rStyle w:val="Hyperlink"/>
                </w:rPr>
                <w:t>Exemples de réussite dans le cadre de l'inventaire 2019 des activités du SMSI</w:t>
              </w:r>
            </w:hyperlink>
          </w:p>
        </w:tc>
      </w:tr>
      <w:tr w:rsidR="007412AE" w:rsidRPr="00023B55" w14:paraId="2E82E6BD" w14:textId="77777777" w:rsidTr="003B0987">
        <w:tc>
          <w:tcPr>
            <w:tcW w:w="395" w:type="pct"/>
          </w:tcPr>
          <w:p w14:paraId="45675318" w14:textId="77777777" w:rsidR="007412AE" w:rsidRPr="00023B55" w:rsidRDefault="007412AE" w:rsidP="00F52608">
            <w:pPr>
              <w:pStyle w:val="Tabletext"/>
              <w:spacing w:before="40" w:after="40"/>
              <w:rPr>
                <w:b/>
                <w:bCs/>
              </w:rPr>
            </w:pPr>
            <w:r w:rsidRPr="00023B55">
              <w:rPr>
                <w:b/>
                <w:bCs/>
              </w:rPr>
              <w:t>2018</w:t>
            </w:r>
          </w:p>
        </w:tc>
        <w:tc>
          <w:tcPr>
            <w:tcW w:w="4605" w:type="pct"/>
          </w:tcPr>
          <w:p w14:paraId="27EB8807" w14:textId="77777777" w:rsidR="007412AE" w:rsidRPr="00023B55" w:rsidRDefault="007412AE" w:rsidP="00F52608">
            <w:pPr>
              <w:pStyle w:val="Tabletext"/>
              <w:spacing w:before="40" w:after="40"/>
              <w:ind w:left="720" w:hanging="720"/>
            </w:pPr>
            <w:r w:rsidRPr="00023B55">
              <w:t>–</w:t>
            </w:r>
            <w:r w:rsidRPr="00023B55">
              <w:tab/>
            </w:r>
            <w:hyperlink r:id="rId129" w:history="1">
              <w:r w:rsidRPr="00023B55">
                <w:rPr>
                  <w:rStyle w:val="Hyperlink"/>
                </w:rPr>
                <w:t>Rapport 2018 sur l'inventaire des activités du SMSI</w:t>
              </w:r>
            </w:hyperlink>
          </w:p>
          <w:p w14:paraId="11CE32E3" w14:textId="77777777" w:rsidR="007412AE" w:rsidRPr="00023B55" w:rsidRDefault="007412AE" w:rsidP="00F52608">
            <w:pPr>
              <w:pStyle w:val="Tabletext"/>
              <w:spacing w:before="40" w:after="40"/>
              <w:ind w:left="720" w:hanging="720"/>
            </w:pPr>
            <w:r w:rsidRPr="00023B55">
              <w:t>–</w:t>
            </w:r>
            <w:r w:rsidRPr="00023B55">
              <w:tab/>
            </w:r>
            <w:hyperlink r:id="rId130" w:history="1">
              <w:r w:rsidRPr="00023B55">
                <w:rPr>
                  <w:rStyle w:val="Hyperlink"/>
                </w:rPr>
                <w:t>Exemples de réussite dans le cadre de l'inventaire 2018 des activités du SMSI</w:t>
              </w:r>
            </w:hyperlink>
          </w:p>
        </w:tc>
      </w:tr>
      <w:tr w:rsidR="007412AE" w:rsidRPr="00023B55" w14:paraId="38EF72F0" w14:textId="77777777" w:rsidTr="003B0987">
        <w:tc>
          <w:tcPr>
            <w:tcW w:w="395" w:type="pct"/>
          </w:tcPr>
          <w:p w14:paraId="6EDAA3F1" w14:textId="77777777" w:rsidR="007412AE" w:rsidRPr="00023B55" w:rsidRDefault="007412AE" w:rsidP="00F52608">
            <w:pPr>
              <w:pStyle w:val="Tabletext"/>
              <w:spacing w:before="40" w:after="40"/>
              <w:rPr>
                <w:b/>
                <w:bCs/>
              </w:rPr>
            </w:pPr>
            <w:r w:rsidRPr="00023B55">
              <w:rPr>
                <w:b/>
                <w:bCs/>
              </w:rPr>
              <w:t>2017</w:t>
            </w:r>
          </w:p>
        </w:tc>
        <w:tc>
          <w:tcPr>
            <w:tcW w:w="4605" w:type="pct"/>
          </w:tcPr>
          <w:p w14:paraId="54D05919" w14:textId="77777777" w:rsidR="007412AE" w:rsidRPr="00023B55" w:rsidRDefault="007412AE" w:rsidP="00F52608">
            <w:pPr>
              <w:pStyle w:val="Tabletext"/>
              <w:spacing w:before="40" w:after="40"/>
              <w:ind w:left="720" w:hanging="720"/>
            </w:pPr>
            <w:r w:rsidRPr="00023B55">
              <w:t>–</w:t>
            </w:r>
            <w:r w:rsidRPr="00023B55">
              <w:tab/>
            </w:r>
            <w:hyperlink r:id="rId131" w:history="1">
              <w:r w:rsidRPr="00023B55">
                <w:rPr>
                  <w:rStyle w:val="Hyperlink"/>
                </w:rPr>
                <w:t>Rapport 2017 sur l'inventaire des activités du SMSI</w:t>
              </w:r>
            </w:hyperlink>
          </w:p>
          <w:p w14:paraId="57F6FA5C" w14:textId="77777777" w:rsidR="007412AE" w:rsidRPr="00023B55" w:rsidRDefault="007412AE" w:rsidP="00F52608">
            <w:pPr>
              <w:pStyle w:val="Tabletext"/>
              <w:spacing w:before="40" w:after="40"/>
              <w:ind w:left="720" w:hanging="720"/>
            </w:pPr>
            <w:r w:rsidRPr="00023B55">
              <w:t>–</w:t>
            </w:r>
            <w:r w:rsidRPr="00023B55">
              <w:tab/>
            </w:r>
            <w:hyperlink r:id="rId132" w:history="1">
              <w:r w:rsidRPr="00023B55">
                <w:rPr>
                  <w:rStyle w:val="Hyperlink"/>
                </w:rPr>
                <w:t>Exemples de réussite dans le cadre de l'inventaire 2017 des activités du SMSI</w:t>
              </w:r>
            </w:hyperlink>
          </w:p>
        </w:tc>
      </w:tr>
      <w:tr w:rsidR="007412AE" w:rsidRPr="00023B55" w14:paraId="3866EAF5" w14:textId="77777777" w:rsidTr="003B0987">
        <w:tc>
          <w:tcPr>
            <w:tcW w:w="395" w:type="pct"/>
          </w:tcPr>
          <w:p w14:paraId="55194105" w14:textId="77777777" w:rsidR="007412AE" w:rsidRPr="00023B55" w:rsidRDefault="007412AE" w:rsidP="00F52608">
            <w:pPr>
              <w:pStyle w:val="Tabletext"/>
              <w:spacing w:before="40" w:after="40"/>
              <w:rPr>
                <w:b/>
                <w:bCs/>
              </w:rPr>
            </w:pPr>
            <w:r w:rsidRPr="00023B55">
              <w:rPr>
                <w:b/>
                <w:bCs/>
              </w:rPr>
              <w:t>2016</w:t>
            </w:r>
          </w:p>
        </w:tc>
        <w:tc>
          <w:tcPr>
            <w:tcW w:w="4605" w:type="pct"/>
          </w:tcPr>
          <w:p w14:paraId="44E042DE" w14:textId="77777777" w:rsidR="007412AE" w:rsidRPr="00023B55" w:rsidRDefault="007412AE" w:rsidP="00F52608">
            <w:pPr>
              <w:pStyle w:val="Tabletext"/>
              <w:spacing w:before="40" w:after="40"/>
              <w:ind w:left="720" w:hanging="720"/>
            </w:pPr>
            <w:r w:rsidRPr="00023B55">
              <w:t>–</w:t>
            </w:r>
            <w:r w:rsidRPr="00023B55">
              <w:tab/>
            </w:r>
            <w:hyperlink r:id="rId133" w:history="1">
              <w:r w:rsidRPr="00023B55">
                <w:rPr>
                  <w:rStyle w:val="Hyperlink"/>
                </w:rPr>
                <w:t>Rapport 2016 sur l'inventaire des activités du SMSI</w:t>
              </w:r>
            </w:hyperlink>
          </w:p>
          <w:p w14:paraId="6A72279F" w14:textId="77777777" w:rsidR="007412AE" w:rsidRPr="00023B55" w:rsidRDefault="007412AE" w:rsidP="00F52608">
            <w:pPr>
              <w:pStyle w:val="Tabletext"/>
              <w:spacing w:before="40" w:after="40"/>
              <w:ind w:left="720" w:hanging="720"/>
            </w:pPr>
            <w:r w:rsidRPr="00023B55">
              <w:t>–</w:t>
            </w:r>
            <w:r w:rsidRPr="00023B55">
              <w:tab/>
            </w:r>
            <w:hyperlink r:id="rId134" w:history="1">
              <w:r w:rsidRPr="00023B55">
                <w:rPr>
                  <w:rStyle w:val="Hyperlink"/>
                </w:rPr>
                <w:t>Exemples de réussite dans le cadre de l'inventaire 2016 des activités du SMSI</w:t>
              </w:r>
            </w:hyperlink>
          </w:p>
        </w:tc>
      </w:tr>
      <w:tr w:rsidR="007412AE" w:rsidRPr="00023B55" w14:paraId="359F37D4" w14:textId="77777777" w:rsidTr="003B0987">
        <w:tc>
          <w:tcPr>
            <w:tcW w:w="395" w:type="pct"/>
          </w:tcPr>
          <w:p w14:paraId="5F509DEE" w14:textId="77777777" w:rsidR="007412AE" w:rsidRPr="00023B55" w:rsidRDefault="007412AE" w:rsidP="00F52608">
            <w:pPr>
              <w:pStyle w:val="Tabletext"/>
              <w:spacing w:before="40" w:after="40"/>
              <w:rPr>
                <w:b/>
                <w:bCs/>
              </w:rPr>
            </w:pPr>
            <w:r w:rsidRPr="00023B55">
              <w:rPr>
                <w:b/>
                <w:bCs/>
              </w:rPr>
              <w:t>2015</w:t>
            </w:r>
          </w:p>
        </w:tc>
        <w:tc>
          <w:tcPr>
            <w:tcW w:w="4605" w:type="pct"/>
          </w:tcPr>
          <w:p w14:paraId="32C7A700" w14:textId="77777777" w:rsidR="007412AE" w:rsidRPr="00023B55" w:rsidRDefault="007412AE" w:rsidP="00F52608">
            <w:pPr>
              <w:pStyle w:val="Tabletext"/>
              <w:spacing w:before="40" w:after="40"/>
              <w:ind w:left="720" w:hanging="720"/>
            </w:pPr>
            <w:r w:rsidRPr="00023B55">
              <w:t>–</w:t>
            </w:r>
            <w:r w:rsidRPr="00023B55">
              <w:tab/>
            </w:r>
            <w:hyperlink r:id="rId135" w:history="1">
              <w:r w:rsidRPr="00023B55">
                <w:rPr>
                  <w:rStyle w:val="Hyperlink"/>
                </w:rPr>
                <w:t>Rapport 2015 sur l'inventaire des activités du SMSI</w:t>
              </w:r>
            </w:hyperlink>
          </w:p>
          <w:p w14:paraId="305E8849" w14:textId="77777777" w:rsidR="007412AE" w:rsidRPr="00023B55" w:rsidRDefault="007412AE" w:rsidP="00F52608">
            <w:pPr>
              <w:pStyle w:val="Tabletext"/>
              <w:spacing w:before="40" w:after="40"/>
              <w:ind w:left="720" w:hanging="720"/>
            </w:pPr>
            <w:r w:rsidRPr="00023B55">
              <w:t>–</w:t>
            </w:r>
            <w:r w:rsidRPr="00023B55">
              <w:tab/>
            </w:r>
            <w:hyperlink r:id="rId136" w:history="1">
              <w:r w:rsidRPr="00023B55">
                <w:rPr>
                  <w:rStyle w:val="Hyperlink"/>
                </w:rPr>
                <w:t>Exemples de réussite dans le cadre de l'inventaire 2015 des activités du SMSI</w:t>
              </w:r>
            </w:hyperlink>
          </w:p>
        </w:tc>
      </w:tr>
      <w:tr w:rsidR="007412AE" w:rsidRPr="00023B55" w14:paraId="71ECD9BE" w14:textId="77777777" w:rsidTr="003B0987">
        <w:tc>
          <w:tcPr>
            <w:tcW w:w="395" w:type="pct"/>
          </w:tcPr>
          <w:p w14:paraId="382D9BA7" w14:textId="77777777" w:rsidR="007412AE" w:rsidRPr="00023B55" w:rsidRDefault="007412AE" w:rsidP="00F52608">
            <w:pPr>
              <w:pStyle w:val="Tabletext"/>
              <w:spacing w:before="40" w:after="40"/>
              <w:rPr>
                <w:b/>
                <w:bCs/>
              </w:rPr>
            </w:pPr>
            <w:r w:rsidRPr="00023B55">
              <w:rPr>
                <w:b/>
                <w:bCs/>
              </w:rPr>
              <w:t>2014</w:t>
            </w:r>
          </w:p>
        </w:tc>
        <w:tc>
          <w:tcPr>
            <w:tcW w:w="4605" w:type="pct"/>
          </w:tcPr>
          <w:p w14:paraId="48B93520" w14:textId="77777777" w:rsidR="007412AE" w:rsidRPr="00023B55" w:rsidRDefault="007412AE" w:rsidP="00F52608">
            <w:pPr>
              <w:pStyle w:val="Tabletext"/>
              <w:spacing w:before="40" w:after="40"/>
              <w:ind w:left="720" w:hanging="720"/>
            </w:pPr>
            <w:r w:rsidRPr="00023B55">
              <w:t>–</w:t>
            </w:r>
            <w:r w:rsidRPr="00023B55">
              <w:tab/>
            </w:r>
            <w:hyperlink r:id="rId137" w:history="1">
              <w:r w:rsidRPr="00023B55">
                <w:rPr>
                  <w:rStyle w:val="Hyperlink"/>
                </w:rPr>
                <w:t>Rapport 2014 sur l'inventaire des activités du SMSI</w:t>
              </w:r>
            </w:hyperlink>
          </w:p>
          <w:p w14:paraId="0437F634" w14:textId="77777777" w:rsidR="007412AE" w:rsidRPr="00023B55" w:rsidRDefault="007412AE" w:rsidP="00F52608">
            <w:pPr>
              <w:pStyle w:val="Tabletext"/>
              <w:spacing w:before="40" w:after="40"/>
              <w:ind w:left="720" w:hanging="720"/>
            </w:pPr>
            <w:r w:rsidRPr="00023B55">
              <w:t>–</w:t>
            </w:r>
            <w:r w:rsidRPr="00023B55">
              <w:tab/>
            </w:r>
            <w:hyperlink r:id="rId138" w:history="1">
              <w:r w:rsidRPr="00023B55">
                <w:rPr>
                  <w:rStyle w:val="Hyperlink"/>
                </w:rPr>
                <w:t>Exemples de réussite dans le cadre de l'inventaire 2014 des activités du SMSI</w:t>
              </w:r>
            </w:hyperlink>
          </w:p>
        </w:tc>
      </w:tr>
      <w:tr w:rsidR="007412AE" w:rsidRPr="00023B55" w14:paraId="0067016C" w14:textId="77777777" w:rsidTr="003B0987">
        <w:tc>
          <w:tcPr>
            <w:tcW w:w="395" w:type="pct"/>
          </w:tcPr>
          <w:p w14:paraId="266A3859" w14:textId="77777777" w:rsidR="007412AE" w:rsidRPr="00023B55" w:rsidRDefault="007412AE" w:rsidP="00F52608">
            <w:pPr>
              <w:pStyle w:val="Tabletext"/>
              <w:spacing w:before="40" w:after="40"/>
              <w:rPr>
                <w:b/>
                <w:bCs/>
              </w:rPr>
            </w:pPr>
            <w:r w:rsidRPr="00023B55">
              <w:rPr>
                <w:b/>
                <w:bCs/>
              </w:rPr>
              <w:t>2013</w:t>
            </w:r>
          </w:p>
        </w:tc>
        <w:tc>
          <w:tcPr>
            <w:tcW w:w="4605" w:type="pct"/>
          </w:tcPr>
          <w:p w14:paraId="54007E94" w14:textId="77777777" w:rsidR="007412AE" w:rsidRPr="00023B55" w:rsidRDefault="007412AE" w:rsidP="00F52608">
            <w:pPr>
              <w:pStyle w:val="Tabletext"/>
              <w:spacing w:before="40" w:after="40"/>
              <w:ind w:left="720" w:hanging="720"/>
            </w:pPr>
            <w:r w:rsidRPr="00023B55">
              <w:t>–</w:t>
            </w:r>
            <w:r w:rsidRPr="00023B55">
              <w:tab/>
            </w:r>
            <w:hyperlink r:id="rId139" w:history="1">
              <w:r w:rsidRPr="00023B55">
                <w:rPr>
                  <w:rStyle w:val="Hyperlink"/>
                </w:rPr>
                <w:t>Rapport 2013 sur l'inventaire des activités du SMSI</w:t>
              </w:r>
            </w:hyperlink>
          </w:p>
          <w:p w14:paraId="3204E236" w14:textId="77777777" w:rsidR="007412AE" w:rsidRPr="00023B55" w:rsidRDefault="007412AE" w:rsidP="00F52608">
            <w:pPr>
              <w:pStyle w:val="Tabletext"/>
              <w:spacing w:before="40" w:after="40"/>
              <w:ind w:left="720" w:hanging="720"/>
            </w:pPr>
            <w:r w:rsidRPr="00023B55">
              <w:t>–</w:t>
            </w:r>
            <w:r w:rsidRPr="00023B55">
              <w:tab/>
            </w:r>
            <w:hyperlink r:id="rId140" w:history="1">
              <w:r w:rsidRPr="00023B55">
                <w:rPr>
                  <w:rStyle w:val="Hyperlink"/>
                </w:rPr>
                <w:t>Exemples de réussite dans le cadre de l'inventaire 2013 des activités du SMSI</w:t>
              </w:r>
            </w:hyperlink>
          </w:p>
        </w:tc>
      </w:tr>
      <w:tr w:rsidR="007412AE" w:rsidRPr="00023B55" w14:paraId="15278BEF" w14:textId="77777777" w:rsidTr="003B0987">
        <w:tc>
          <w:tcPr>
            <w:tcW w:w="395" w:type="pct"/>
          </w:tcPr>
          <w:p w14:paraId="0AAE2A82" w14:textId="77777777" w:rsidR="007412AE" w:rsidRPr="00023B55" w:rsidRDefault="007412AE" w:rsidP="00F52608">
            <w:pPr>
              <w:pStyle w:val="Tabletext"/>
              <w:spacing w:before="40" w:after="40"/>
              <w:rPr>
                <w:b/>
                <w:bCs/>
              </w:rPr>
            </w:pPr>
            <w:r w:rsidRPr="00023B55">
              <w:rPr>
                <w:b/>
                <w:bCs/>
              </w:rPr>
              <w:t>2012</w:t>
            </w:r>
          </w:p>
        </w:tc>
        <w:tc>
          <w:tcPr>
            <w:tcW w:w="4605" w:type="pct"/>
          </w:tcPr>
          <w:p w14:paraId="56A17F63" w14:textId="77777777" w:rsidR="007412AE" w:rsidRPr="00023B55" w:rsidRDefault="007412AE" w:rsidP="00F52608">
            <w:pPr>
              <w:pStyle w:val="Tabletext"/>
              <w:spacing w:before="40" w:after="40"/>
              <w:ind w:left="720" w:hanging="720"/>
            </w:pPr>
            <w:r w:rsidRPr="00023B55">
              <w:t>–</w:t>
            </w:r>
            <w:r w:rsidRPr="00023B55">
              <w:tab/>
            </w:r>
            <w:hyperlink r:id="rId141" w:history="1">
              <w:r w:rsidRPr="00023B55">
                <w:rPr>
                  <w:rStyle w:val="Hyperlink"/>
                </w:rPr>
                <w:t>Rapport 2012 sur l'inventaire des activités du SMSI</w:t>
              </w:r>
            </w:hyperlink>
          </w:p>
          <w:p w14:paraId="0CA0F018" w14:textId="77777777" w:rsidR="007412AE" w:rsidRPr="00023B55" w:rsidRDefault="007412AE" w:rsidP="00F52608">
            <w:pPr>
              <w:pStyle w:val="Tabletext"/>
              <w:spacing w:before="40" w:after="40"/>
              <w:ind w:left="720" w:hanging="720"/>
            </w:pPr>
            <w:r w:rsidRPr="00023B55">
              <w:t>–</w:t>
            </w:r>
            <w:r w:rsidRPr="00023B55">
              <w:tab/>
            </w:r>
            <w:hyperlink r:id="rId142" w:history="1">
              <w:r w:rsidRPr="00023B55">
                <w:rPr>
                  <w:rStyle w:val="Hyperlink"/>
                </w:rPr>
                <w:t>Exemples de réussite dans le cadre de l'inventaire 2012 des activités du SMSI</w:t>
              </w:r>
            </w:hyperlink>
          </w:p>
        </w:tc>
      </w:tr>
      <w:tr w:rsidR="007412AE" w:rsidRPr="00023B55" w14:paraId="02C98329" w14:textId="77777777" w:rsidTr="003B0987">
        <w:tc>
          <w:tcPr>
            <w:tcW w:w="395" w:type="pct"/>
          </w:tcPr>
          <w:p w14:paraId="293000AE" w14:textId="77777777" w:rsidR="007412AE" w:rsidRPr="00023B55" w:rsidRDefault="007412AE" w:rsidP="00F52608">
            <w:pPr>
              <w:pStyle w:val="Tabletext"/>
              <w:spacing w:before="40" w:after="40"/>
              <w:rPr>
                <w:b/>
                <w:bCs/>
              </w:rPr>
            </w:pPr>
            <w:r w:rsidRPr="00023B55">
              <w:rPr>
                <w:b/>
                <w:bCs/>
              </w:rPr>
              <w:t>2010</w:t>
            </w:r>
          </w:p>
        </w:tc>
        <w:tc>
          <w:tcPr>
            <w:tcW w:w="4605" w:type="pct"/>
          </w:tcPr>
          <w:p w14:paraId="3196D72C" w14:textId="77777777" w:rsidR="007412AE" w:rsidRPr="00023B55" w:rsidRDefault="007412AE" w:rsidP="00F52608">
            <w:pPr>
              <w:pStyle w:val="Tabletext"/>
              <w:spacing w:before="40" w:after="40"/>
              <w:ind w:left="720" w:hanging="720"/>
            </w:pPr>
            <w:r w:rsidRPr="00023B55">
              <w:t>–</w:t>
            </w:r>
            <w:r w:rsidRPr="00023B55">
              <w:tab/>
            </w:r>
            <w:hyperlink r:id="rId143" w:history="1">
              <w:r w:rsidRPr="00023B55">
                <w:rPr>
                  <w:rStyle w:val="Hyperlink"/>
                </w:rPr>
                <w:t>Rapport 2010 sur l'inventaire des activités du SMSI</w:t>
              </w:r>
            </w:hyperlink>
          </w:p>
        </w:tc>
      </w:tr>
      <w:tr w:rsidR="007412AE" w:rsidRPr="00023B55" w14:paraId="2696808F" w14:textId="77777777" w:rsidTr="003B0987">
        <w:tc>
          <w:tcPr>
            <w:tcW w:w="395" w:type="pct"/>
          </w:tcPr>
          <w:p w14:paraId="07B97D03" w14:textId="77777777" w:rsidR="007412AE" w:rsidRPr="00023B55" w:rsidRDefault="007412AE" w:rsidP="00F52608">
            <w:pPr>
              <w:pStyle w:val="Tabletext"/>
              <w:spacing w:before="40" w:after="40"/>
              <w:rPr>
                <w:b/>
                <w:bCs/>
              </w:rPr>
            </w:pPr>
            <w:r w:rsidRPr="00023B55">
              <w:rPr>
                <w:b/>
                <w:bCs/>
              </w:rPr>
              <w:t>2008</w:t>
            </w:r>
          </w:p>
        </w:tc>
        <w:tc>
          <w:tcPr>
            <w:tcW w:w="4605" w:type="pct"/>
          </w:tcPr>
          <w:p w14:paraId="71FD89A5" w14:textId="77777777" w:rsidR="007412AE" w:rsidRPr="00023B55" w:rsidRDefault="007412AE" w:rsidP="00F52608">
            <w:pPr>
              <w:pStyle w:val="Tabletext"/>
              <w:spacing w:before="40" w:after="40"/>
              <w:ind w:left="720" w:hanging="720"/>
            </w:pPr>
            <w:r w:rsidRPr="00023B55">
              <w:t>–</w:t>
            </w:r>
            <w:r w:rsidRPr="00023B55">
              <w:tab/>
            </w:r>
            <w:hyperlink r:id="rId144" w:history="1">
              <w:r w:rsidRPr="00023B55">
                <w:rPr>
                  <w:rStyle w:val="Hyperlink"/>
                </w:rPr>
                <w:t>Rapport 2008 sur l'inventaire des activités du SMSI</w:t>
              </w:r>
            </w:hyperlink>
          </w:p>
        </w:tc>
      </w:tr>
      <w:tr w:rsidR="007412AE" w:rsidRPr="00023B55" w14:paraId="5364755F" w14:textId="77777777" w:rsidTr="003B0987">
        <w:tc>
          <w:tcPr>
            <w:tcW w:w="395" w:type="pct"/>
          </w:tcPr>
          <w:p w14:paraId="76CEC1CA" w14:textId="77777777" w:rsidR="007412AE" w:rsidRPr="00023B55" w:rsidRDefault="007412AE" w:rsidP="00F52608">
            <w:pPr>
              <w:pStyle w:val="Tabletext"/>
              <w:spacing w:before="40" w:after="40"/>
              <w:rPr>
                <w:b/>
                <w:bCs/>
              </w:rPr>
            </w:pPr>
            <w:r w:rsidRPr="00023B55">
              <w:rPr>
                <w:b/>
                <w:bCs/>
              </w:rPr>
              <w:t>2005</w:t>
            </w:r>
          </w:p>
        </w:tc>
        <w:tc>
          <w:tcPr>
            <w:tcW w:w="4605" w:type="pct"/>
          </w:tcPr>
          <w:p w14:paraId="74ED6C66" w14:textId="77777777" w:rsidR="007412AE" w:rsidRPr="00023B55" w:rsidRDefault="007412AE" w:rsidP="00F52608">
            <w:pPr>
              <w:pStyle w:val="Tabletext"/>
              <w:spacing w:before="40" w:after="40"/>
              <w:ind w:left="720" w:hanging="720"/>
            </w:pPr>
            <w:r w:rsidRPr="00023B55">
              <w:t>–</w:t>
            </w:r>
            <w:r w:rsidRPr="00023B55">
              <w:tab/>
            </w:r>
            <w:hyperlink r:id="rId145" w:history="1">
              <w:r w:rsidRPr="00023B55">
                <w:rPr>
                  <w:rStyle w:val="Hyperlink"/>
                </w:rPr>
                <w:t>Rapport 2005 sur l'inventaire des activités du SMSI</w:t>
              </w:r>
            </w:hyperlink>
          </w:p>
        </w:tc>
      </w:tr>
    </w:tbl>
    <w:p w14:paraId="4FF7A224" w14:textId="77777777" w:rsidR="007412AE" w:rsidRPr="00023B55" w:rsidRDefault="007412AE" w:rsidP="00F52608">
      <w:pPr>
        <w:pStyle w:val="Headingb"/>
        <w:jc w:val="both"/>
      </w:pPr>
      <w:r w:rsidRPr="00023B55">
        <w:lastRenderedPageBreak/>
        <w:t>Rapports à l'échelle régionale</w:t>
      </w:r>
    </w:p>
    <w:p w14:paraId="6A1416BE" w14:textId="77777777" w:rsidR="007412AE" w:rsidRPr="00023B55" w:rsidRDefault="007412AE" w:rsidP="00F52608">
      <w:pPr>
        <w:pStyle w:val="Headingb"/>
        <w:jc w:val="both"/>
      </w:pPr>
      <w:r w:rsidRPr="00023B55">
        <w:t>2021-2022</w:t>
      </w:r>
    </w:p>
    <w:p w14:paraId="1FB964CC" w14:textId="77777777" w:rsidR="007412AE" w:rsidRPr="00023B55" w:rsidRDefault="007412AE" w:rsidP="00F52608">
      <w:pPr>
        <w:pStyle w:val="enumlev1"/>
        <w:keepNext/>
        <w:keepLines/>
        <w:jc w:val="both"/>
      </w:pPr>
      <w:r w:rsidRPr="00023B55">
        <w:t>–</w:t>
      </w:r>
      <w:r w:rsidRPr="00023B55">
        <w:tab/>
      </w:r>
      <w:hyperlink r:id="rId146" w:history="1">
        <w:r w:rsidRPr="00023B55">
          <w:rPr>
            <w:rStyle w:val="Hyperlink"/>
            <w:rFonts w:eastAsia="Times New Roman" w:cs="Times New Roman"/>
            <w:szCs w:val="20"/>
          </w:rPr>
          <w:t>Rapport régional 2021-2022 sur l'inventaire des activités du SMSI en Afrique</w:t>
        </w:r>
      </w:hyperlink>
    </w:p>
    <w:p w14:paraId="265C9D8F" w14:textId="77777777" w:rsidR="007412AE" w:rsidRPr="00023B55" w:rsidRDefault="007412AE" w:rsidP="00F52608">
      <w:pPr>
        <w:pStyle w:val="enumlev1"/>
        <w:jc w:val="both"/>
      </w:pPr>
      <w:r w:rsidRPr="00023B55">
        <w:t>–</w:t>
      </w:r>
      <w:r w:rsidRPr="00023B55">
        <w:tab/>
      </w:r>
      <w:hyperlink r:id="rId147" w:history="1">
        <w:r w:rsidRPr="00023B55">
          <w:rPr>
            <w:rStyle w:val="Hyperlink"/>
            <w:rFonts w:eastAsia="Times New Roman" w:cs="Times New Roman"/>
            <w:szCs w:val="20"/>
          </w:rPr>
          <w:t>Rapport régional 2021-2022 sur l'inventaire des activités du SMSI dans les Amériques</w:t>
        </w:r>
      </w:hyperlink>
    </w:p>
    <w:p w14:paraId="4A153A4F" w14:textId="77777777" w:rsidR="007412AE" w:rsidRPr="00023B55" w:rsidRDefault="007412AE" w:rsidP="00F52608">
      <w:pPr>
        <w:pStyle w:val="enumlev1"/>
        <w:jc w:val="both"/>
      </w:pPr>
      <w:r w:rsidRPr="00023B55">
        <w:t>–</w:t>
      </w:r>
      <w:r w:rsidRPr="00023B55">
        <w:tab/>
      </w:r>
      <w:hyperlink r:id="rId148" w:history="1">
        <w:r w:rsidRPr="00023B55">
          <w:rPr>
            <w:rStyle w:val="Hyperlink"/>
            <w:rFonts w:eastAsia="Times New Roman" w:cs="Times New Roman"/>
            <w:szCs w:val="20"/>
          </w:rPr>
          <w:t>Rapport régional 2021-2022 sur l'inventaire des activités du SMSI dans les États arabes</w:t>
        </w:r>
      </w:hyperlink>
    </w:p>
    <w:p w14:paraId="2B6ACDDB" w14:textId="77777777" w:rsidR="007412AE" w:rsidRPr="00023B55" w:rsidRDefault="007412AE" w:rsidP="00F52608">
      <w:pPr>
        <w:pStyle w:val="enumlev1"/>
        <w:jc w:val="both"/>
      </w:pPr>
      <w:r w:rsidRPr="00023B55">
        <w:t>–</w:t>
      </w:r>
      <w:r w:rsidRPr="00023B55">
        <w:tab/>
      </w:r>
      <w:hyperlink r:id="rId149" w:history="1">
        <w:r w:rsidRPr="00023B55">
          <w:rPr>
            <w:rStyle w:val="Hyperlink"/>
            <w:rFonts w:eastAsia="Times New Roman" w:cs="Times New Roman"/>
            <w:szCs w:val="20"/>
          </w:rPr>
          <w:t>Rapport régional 2021-2022 sur l'inventaire des activités du SMSI en Asie-Pacifique</w:t>
        </w:r>
      </w:hyperlink>
    </w:p>
    <w:p w14:paraId="3B680647" w14:textId="77777777" w:rsidR="007412AE" w:rsidRPr="00023B55" w:rsidRDefault="007412AE" w:rsidP="00F52608">
      <w:pPr>
        <w:pStyle w:val="enumlev1"/>
        <w:jc w:val="both"/>
      </w:pPr>
      <w:r w:rsidRPr="00023B55">
        <w:t>–</w:t>
      </w:r>
      <w:r w:rsidRPr="00023B55">
        <w:tab/>
      </w:r>
      <w:hyperlink r:id="rId150" w:history="1">
        <w:r w:rsidRPr="00023B55">
          <w:rPr>
            <w:rStyle w:val="Hyperlink"/>
            <w:rFonts w:eastAsia="Times New Roman" w:cs="Times New Roman"/>
            <w:szCs w:val="20"/>
          </w:rPr>
          <w:t>Rapport régional 2021-2022 sur l'inventaire des activités du SMSI dans la Communauté des États indépendants</w:t>
        </w:r>
      </w:hyperlink>
    </w:p>
    <w:p w14:paraId="20C5A2B8" w14:textId="77777777" w:rsidR="007412AE" w:rsidRPr="00023B55" w:rsidRDefault="007412AE" w:rsidP="00F52608">
      <w:pPr>
        <w:pStyle w:val="enumlev1"/>
        <w:jc w:val="both"/>
      </w:pPr>
      <w:r w:rsidRPr="00023B55">
        <w:t>–</w:t>
      </w:r>
      <w:r w:rsidRPr="00023B55">
        <w:tab/>
      </w:r>
      <w:hyperlink r:id="rId151" w:history="1">
        <w:r w:rsidRPr="00023B55">
          <w:rPr>
            <w:rStyle w:val="Hyperlink"/>
            <w:rFonts w:eastAsia="Times New Roman" w:cs="Times New Roman"/>
            <w:szCs w:val="20"/>
          </w:rPr>
          <w:t>Rapport régional 2021-2022 sur l'inventaire des activités du SMSI en Europe</w:t>
        </w:r>
      </w:hyperlink>
    </w:p>
    <w:p w14:paraId="590026E9" w14:textId="77777777" w:rsidR="007412AE" w:rsidRPr="00023B55" w:rsidRDefault="007412AE" w:rsidP="00F52608">
      <w:pPr>
        <w:pStyle w:val="Headingb"/>
        <w:jc w:val="both"/>
      </w:pPr>
      <w:r w:rsidRPr="00023B55">
        <w:t>2014-2016</w:t>
      </w:r>
    </w:p>
    <w:p w14:paraId="75E1B014" w14:textId="77777777" w:rsidR="007412AE" w:rsidRPr="00023B55" w:rsidRDefault="007412AE" w:rsidP="00F52608">
      <w:pPr>
        <w:pStyle w:val="enumlev1"/>
        <w:jc w:val="both"/>
      </w:pPr>
      <w:r w:rsidRPr="00023B55">
        <w:t>–</w:t>
      </w:r>
      <w:r w:rsidRPr="00023B55">
        <w:tab/>
      </w:r>
      <w:hyperlink r:id="rId152" w:history="1">
        <w:r w:rsidRPr="00023B55">
          <w:rPr>
            <w:rStyle w:val="Hyperlink"/>
            <w:rFonts w:eastAsia="Times New Roman" w:cs="Times New Roman"/>
            <w:szCs w:val="20"/>
          </w:rPr>
          <w:t>Rapport régional 2014-2016 sur l'inventaire des activités du SMSI en Afrique</w:t>
        </w:r>
      </w:hyperlink>
    </w:p>
    <w:p w14:paraId="6E2CDDA2" w14:textId="77777777" w:rsidR="007412AE" w:rsidRPr="00023B55" w:rsidRDefault="007412AE" w:rsidP="00F52608">
      <w:pPr>
        <w:pStyle w:val="enumlev1"/>
        <w:jc w:val="both"/>
      </w:pPr>
      <w:r w:rsidRPr="00023B55">
        <w:t>–</w:t>
      </w:r>
      <w:r w:rsidRPr="00023B55">
        <w:tab/>
      </w:r>
      <w:hyperlink r:id="rId153" w:history="1">
        <w:r w:rsidRPr="00023B55">
          <w:rPr>
            <w:rStyle w:val="Hyperlink"/>
            <w:rFonts w:eastAsia="Times New Roman" w:cs="Times New Roman"/>
            <w:szCs w:val="20"/>
          </w:rPr>
          <w:t>Rapport régional 2014-2016 sur l'inventaire des activités du SMSI dans les Amériques</w:t>
        </w:r>
      </w:hyperlink>
    </w:p>
    <w:p w14:paraId="4A3F7F1F" w14:textId="77777777" w:rsidR="007412AE" w:rsidRPr="00023B55" w:rsidRDefault="007412AE" w:rsidP="00F52608">
      <w:pPr>
        <w:pStyle w:val="enumlev1"/>
        <w:jc w:val="both"/>
      </w:pPr>
      <w:r w:rsidRPr="00023B55">
        <w:t>–</w:t>
      </w:r>
      <w:r w:rsidRPr="00023B55">
        <w:tab/>
      </w:r>
      <w:hyperlink r:id="rId154" w:history="1">
        <w:r w:rsidRPr="00023B55">
          <w:rPr>
            <w:rStyle w:val="Hyperlink"/>
            <w:rFonts w:eastAsia="Times New Roman" w:cs="Times New Roman"/>
            <w:szCs w:val="20"/>
          </w:rPr>
          <w:t>Rapport régional 2014-2016 sur l'inventaire des activités du SMSI dans les États arabes</w:t>
        </w:r>
      </w:hyperlink>
    </w:p>
    <w:p w14:paraId="00FC9811" w14:textId="77777777" w:rsidR="007412AE" w:rsidRPr="00023B55" w:rsidRDefault="007412AE" w:rsidP="00F52608">
      <w:pPr>
        <w:pStyle w:val="enumlev1"/>
        <w:jc w:val="both"/>
      </w:pPr>
      <w:r w:rsidRPr="00023B55">
        <w:t>–</w:t>
      </w:r>
      <w:r w:rsidRPr="00023B55">
        <w:tab/>
      </w:r>
      <w:hyperlink r:id="rId155" w:history="1">
        <w:r w:rsidRPr="00023B55">
          <w:rPr>
            <w:rStyle w:val="Hyperlink"/>
            <w:rFonts w:eastAsia="Times New Roman" w:cs="Times New Roman"/>
            <w:szCs w:val="20"/>
          </w:rPr>
          <w:t>Rapport régional 2014-2016 sur l'inventaire des activités du SMSI en Asie-Pacifique</w:t>
        </w:r>
      </w:hyperlink>
    </w:p>
    <w:p w14:paraId="75626272" w14:textId="77777777" w:rsidR="007412AE" w:rsidRPr="00023B55" w:rsidRDefault="007412AE" w:rsidP="00F52608">
      <w:pPr>
        <w:pStyle w:val="enumlev1"/>
        <w:jc w:val="both"/>
      </w:pPr>
      <w:r w:rsidRPr="00023B55">
        <w:t>–</w:t>
      </w:r>
      <w:r w:rsidRPr="00023B55">
        <w:tab/>
      </w:r>
      <w:hyperlink r:id="rId156" w:history="1">
        <w:r w:rsidRPr="00023B55">
          <w:rPr>
            <w:rStyle w:val="Hyperlink"/>
            <w:rFonts w:eastAsia="Times New Roman" w:cs="Times New Roman"/>
            <w:szCs w:val="20"/>
          </w:rPr>
          <w:t>Rapport régional 2014-2016 sur l'inventaire des activités du SMSI dans la Communauté des États indépendants</w:t>
        </w:r>
      </w:hyperlink>
    </w:p>
    <w:p w14:paraId="5A6797F0" w14:textId="77777777" w:rsidR="007412AE" w:rsidRPr="00023B55" w:rsidRDefault="007412AE" w:rsidP="00F52608">
      <w:pPr>
        <w:pStyle w:val="enumlev1"/>
        <w:jc w:val="both"/>
      </w:pPr>
      <w:r w:rsidRPr="00023B55">
        <w:t>–</w:t>
      </w:r>
      <w:r w:rsidRPr="00023B55">
        <w:tab/>
      </w:r>
      <w:hyperlink r:id="rId157" w:history="1">
        <w:r w:rsidRPr="00023B55">
          <w:rPr>
            <w:rStyle w:val="Hyperlink"/>
            <w:rFonts w:eastAsia="Times New Roman" w:cs="Times New Roman"/>
            <w:szCs w:val="20"/>
          </w:rPr>
          <w:t>Rapport régional 2014-2016 sur l'inventaire des activités du SMSI en Europe</w:t>
        </w:r>
      </w:hyperlink>
    </w:p>
    <w:p w14:paraId="533CC68D" w14:textId="77777777" w:rsidR="007412AE" w:rsidRPr="00023B55" w:rsidRDefault="007412AE" w:rsidP="00F52608">
      <w:pPr>
        <w:pStyle w:val="Headingb"/>
        <w:jc w:val="both"/>
      </w:pPr>
      <w:r w:rsidRPr="00023B55">
        <w:t>Prix du SMSI</w:t>
      </w:r>
    </w:p>
    <w:p w14:paraId="5D99EC6F" w14:textId="77777777" w:rsidR="007412AE" w:rsidRPr="00023B55" w:rsidRDefault="007412AE" w:rsidP="00F52608">
      <w:pPr>
        <w:jc w:val="both"/>
      </w:pPr>
      <w:r w:rsidRPr="00023B55">
        <w:t xml:space="preserve">Le concours des </w:t>
      </w:r>
      <w:hyperlink r:id="rId158" w:history="1">
        <w:r w:rsidRPr="00023B55">
          <w:rPr>
            <w:rStyle w:val="Hyperlink"/>
            <w:rFonts w:eastAsia="Times New Roman" w:cs="Times New Roman"/>
            <w:szCs w:val="20"/>
          </w:rPr>
          <w:t>Prix du SMSI</w:t>
        </w:r>
      </w:hyperlink>
      <w:r w:rsidRPr="00023B55">
        <w:t>, lancé en 2012, fait partie intégrante du processus d'inventaire des activités du SMSI, qui salue les remarquables progrès réalisés dans la mise en œuvre de projets et d'initiatives exemplaires dans le domaine des technologies. Plus de 5 000 projets et initiatives ont été soumis jusqu'à présent et le concours a attiré des centaines de milliers de participants au vote en ligne et contribué à la mise en œuvre de projets touchant des millions de personnes.</w:t>
      </w:r>
    </w:p>
    <w:p w14:paraId="751036A9" w14:textId="77777777" w:rsidR="007412AE" w:rsidRPr="00023B55" w:rsidRDefault="007412AE" w:rsidP="00F52608">
      <w:pPr>
        <w:jc w:val="both"/>
      </w:pPr>
      <w:r w:rsidRPr="00023B55">
        <w:t>En reconnaissant et en célébrant les bonnes pratiques, le concours encourage les parties prenantes à tirer des leçons des projets mis en œuvre avec succès et à reproduire des modèles. La possibilité de présenter des solutions technologiques transformatrices fait du Prix du SMSI un élément essentiel de la promotion de la technologie au service du développement durable.</w:t>
      </w:r>
    </w:p>
    <w:p w14:paraId="0A0DF785" w14:textId="77777777" w:rsidR="007412AE" w:rsidRPr="00023B55" w:rsidRDefault="007412AE" w:rsidP="00F52608">
      <w:pPr>
        <w:pStyle w:val="Headingb"/>
        <w:jc w:val="both"/>
      </w:pPr>
      <w:r w:rsidRPr="00023B55">
        <w:t>Évolution du concours du Prix du SMSI</w:t>
      </w:r>
    </w:p>
    <w:p w14:paraId="54DD6230" w14:textId="77777777" w:rsidR="007412AE" w:rsidRPr="00023B55" w:rsidRDefault="007412AE" w:rsidP="00F52608">
      <w:pPr>
        <w:pStyle w:val="enumlev1"/>
        <w:jc w:val="both"/>
      </w:pPr>
      <w:r w:rsidRPr="00023B55">
        <w:t>–</w:t>
      </w:r>
      <w:r w:rsidRPr="00023B55">
        <w:tab/>
      </w:r>
      <w:hyperlink r:id="rId159" w:history="1">
        <w:r w:rsidRPr="00023B55">
          <w:rPr>
            <w:rStyle w:val="Hyperlink"/>
            <w:rFonts w:eastAsia="Times New Roman" w:cs="Times New Roman"/>
            <w:szCs w:val="20"/>
          </w:rPr>
          <w:t>Prix 2025 du SMSI</w:t>
        </w:r>
      </w:hyperlink>
      <w:r w:rsidRPr="00023B55">
        <w:t>: la phase de soumission s'est déroulée du 3 octobre 2024 au 14 mars 2025 au cours de laquelle 973 projets mettant en œuvre les grandes orientations du SMSI ont été soumis. Le concours continue d'attirer un large éventail de participants, notamment des pouvoirs publics, des entités du secteur privé, des organisations de la société civile et des établissements universitaires.</w:t>
      </w:r>
    </w:p>
    <w:p w14:paraId="4C0CA01B" w14:textId="77777777" w:rsidR="007412AE" w:rsidRPr="00023B55" w:rsidRDefault="007412AE" w:rsidP="00F52608">
      <w:pPr>
        <w:pStyle w:val="enumlev1"/>
        <w:keepLines/>
        <w:jc w:val="both"/>
      </w:pPr>
      <w:r w:rsidRPr="00023B55">
        <w:t>–</w:t>
      </w:r>
      <w:r w:rsidRPr="00023B55">
        <w:tab/>
      </w:r>
      <w:hyperlink r:id="rId160" w:history="1">
        <w:r w:rsidRPr="00023B55">
          <w:rPr>
            <w:rStyle w:val="Hyperlink"/>
            <w:rFonts w:eastAsia="Times New Roman" w:cs="Times New Roman"/>
            <w:szCs w:val="20"/>
          </w:rPr>
          <w:t>Prix 2024 du SMSI</w:t>
        </w:r>
      </w:hyperlink>
      <w:r w:rsidRPr="00023B55">
        <w:t>: avec plus de 1 000 soumissions, l'édition 2024 a témoigné de l'intérêt mondial soutenu visant à mettre les TIC au service du développement. La base de données de l'inventaire des activités du SMSI, créée en 2004, compte plus de 15 000 entrées, ce qui fait d'elle une référence clé pour les politiques fondées sur les données et l'innovation numérique transposable.</w:t>
      </w:r>
    </w:p>
    <w:p w14:paraId="1B670F64" w14:textId="77777777" w:rsidR="007412AE" w:rsidRPr="00023B55" w:rsidRDefault="007412AE" w:rsidP="00F52608">
      <w:pPr>
        <w:pStyle w:val="enumlev1"/>
        <w:jc w:val="both"/>
      </w:pPr>
      <w:r w:rsidRPr="00023B55">
        <w:lastRenderedPageBreak/>
        <w:t>–</w:t>
      </w:r>
      <w:r w:rsidRPr="00023B55">
        <w:tab/>
      </w:r>
      <w:hyperlink r:id="rId161" w:history="1">
        <w:r w:rsidRPr="00023B55">
          <w:rPr>
            <w:rStyle w:val="Hyperlink"/>
            <w:rFonts w:eastAsia="Times New Roman" w:cs="Times New Roman"/>
            <w:szCs w:val="20"/>
          </w:rPr>
          <w:t>Prix 2023 du SMSI</w:t>
        </w:r>
      </w:hyperlink>
      <w:r w:rsidRPr="00023B55">
        <w:t>: grâce aux 966 projets proposés dans 18 catégories, l'édition 2023 a permis de présenter un large éventail de projets TIC. Il a ainsi été possible de montrer combien les solutions numériques sont importantes pour relever les défis mondiaux et promouvoir le développement durable.</w:t>
      </w:r>
    </w:p>
    <w:p w14:paraId="5BC6322A" w14:textId="77777777" w:rsidR="007412AE" w:rsidRPr="00023B55" w:rsidRDefault="007412AE" w:rsidP="00F52608">
      <w:pPr>
        <w:pStyle w:val="enumlev1"/>
        <w:jc w:val="both"/>
      </w:pPr>
      <w:r w:rsidRPr="00023B55">
        <w:t>–</w:t>
      </w:r>
      <w:r w:rsidRPr="00023B55">
        <w:tab/>
      </w:r>
      <w:hyperlink r:id="rId162" w:history="1">
        <w:r w:rsidRPr="00023B55">
          <w:rPr>
            <w:rStyle w:val="Hyperlink"/>
            <w:rFonts w:eastAsia="Times New Roman" w:cs="Times New Roman"/>
            <w:szCs w:val="20"/>
          </w:rPr>
          <w:t>Prix 2022 du SMSI</w:t>
        </w:r>
      </w:hyperlink>
      <w:r w:rsidRPr="00023B55">
        <w:t>: les 1 082 soumissions au concours ont permis de mettre l'accent sur le rôle que jouent les technologies émergentes, notamment l'IA, pour promouvoir l'économie numérique.</w:t>
      </w:r>
    </w:p>
    <w:p w14:paraId="5D7F4FFF" w14:textId="77777777" w:rsidR="007412AE" w:rsidRPr="00023B55" w:rsidRDefault="007412AE" w:rsidP="00F52608">
      <w:pPr>
        <w:pStyle w:val="enumlev1"/>
        <w:jc w:val="both"/>
      </w:pPr>
      <w:r w:rsidRPr="00023B55">
        <w:t>–</w:t>
      </w:r>
      <w:r w:rsidRPr="00023B55">
        <w:tab/>
      </w:r>
      <w:hyperlink r:id="rId163" w:history="1">
        <w:r w:rsidRPr="00023B55">
          <w:rPr>
            <w:rStyle w:val="Hyperlink"/>
            <w:rFonts w:eastAsia="Times New Roman" w:cs="Times New Roman"/>
            <w:szCs w:val="20"/>
          </w:rPr>
          <w:t>Prix 2021 du SMSI</w:t>
        </w:r>
      </w:hyperlink>
      <w:r w:rsidRPr="00023B55">
        <w:t>: avec un record de 1 260 soumissions, l'édition 2021 a enregistré une très large participation mondiale. La base de données de l'inventaire des activités du SMSI, lancée en 2004, compte plus de 12 000 entrées, ce qui en fait une ressource précieuse pour élaborer des politiques fondées sur des données factuelles et des solutions TIC transposables.</w:t>
      </w:r>
    </w:p>
    <w:p w14:paraId="782CC233" w14:textId="77777777" w:rsidR="007412AE" w:rsidRPr="00023B55" w:rsidRDefault="007412AE" w:rsidP="00F52608">
      <w:pPr>
        <w:pStyle w:val="enumlev1"/>
        <w:jc w:val="both"/>
      </w:pPr>
      <w:r w:rsidRPr="00023B55">
        <w:t>–</w:t>
      </w:r>
      <w:r w:rsidRPr="00023B55">
        <w:tab/>
      </w:r>
      <w:hyperlink r:id="rId164" w:history="1">
        <w:r w:rsidRPr="00023B55">
          <w:rPr>
            <w:rStyle w:val="Hyperlink"/>
            <w:rFonts w:eastAsia="Times New Roman" w:cs="Times New Roman"/>
            <w:szCs w:val="20"/>
          </w:rPr>
          <w:t>Prix 2020 du SMSI</w:t>
        </w:r>
      </w:hyperlink>
      <w:r w:rsidRPr="00023B55">
        <w:t>: l'édition 2020 a suscité un intérêt certain, en témoigne les 1 140 soumissions reçues. Cette croissance a mis en évidence la portée et l'incidence croissantes du Prix du SMSI dans la promotion des TIC pour le développement.</w:t>
      </w:r>
    </w:p>
    <w:p w14:paraId="68231330" w14:textId="77777777" w:rsidR="007412AE" w:rsidRPr="00023B55" w:rsidRDefault="007412AE" w:rsidP="00F52608">
      <w:pPr>
        <w:pStyle w:val="enumlev1"/>
        <w:jc w:val="both"/>
      </w:pPr>
      <w:r w:rsidRPr="00023B55">
        <w:t>–</w:t>
      </w:r>
      <w:r w:rsidRPr="00023B55">
        <w:tab/>
      </w:r>
      <w:hyperlink r:id="rId165" w:history="1">
        <w:r w:rsidRPr="00023B55">
          <w:rPr>
            <w:rStyle w:val="Hyperlink"/>
            <w:rFonts w:eastAsia="Times New Roman" w:cs="Times New Roman"/>
            <w:szCs w:val="20"/>
          </w:rPr>
          <w:t>Prix 2019 du SMSI</w:t>
        </w:r>
      </w:hyperlink>
      <w:r w:rsidRPr="00023B55">
        <w:t>: avec 1 062 soumissions, la participation à l'édition 2019 a augmenté de 55% par rapport à 2018. Les prix ont continué de récompenser des projets TIC exceptionnels contribuant à la réalisation des ODD.</w:t>
      </w:r>
    </w:p>
    <w:p w14:paraId="24A41199" w14:textId="77777777" w:rsidR="007412AE" w:rsidRPr="00023B55" w:rsidRDefault="007412AE" w:rsidP="00F52608">
      <w:pPr>
        <w:pStyle w:val="enumlev1"/>
        <w:jc w:val="both"/>
      </w:pPr>
      <w:r w:rsidRPr="00023B55">
        <w:t>–</w:t>
      </w:r>
      <w:r w:rsidRPr="00023B55">
        <w:tab/>
      </w:r>
      <w:hyperlink r:id="rId166" w:history="1">
        <w:r w:rsidRPr="00023B55">
          <w:rPr>
            <w:rStyle w:val="Hyperlink"/>
            <w:rFonts w:eastAsia="Times New Roman" w:cs="Times New Roman"/>
            <w:szCs w:val="20"/>
          </w:rPr>
          <w:t>Prix 2018 du SMSI</w:t>
        </w:r>
      </w:hyperlink>
      <w:r w:rsidRPr="00023B55">
        <w:t>: avec 685 soumissions, parmi lesquelles 492 projets ont été retenus, l'édition 2018 a été marquée par une reconnaissance croissante des prix. Les engagements pris dans le cadre du concours en faveur de l'inclusion, encourageant la participation de diverses régions et groupes de parties prenantes, ont été réaffirmés. En ce qui concerne les régions, des projets ont été soumis pour l'Afrique (14,1%), la région Amériques (12,9%), la région des États arabes (22,4%), la région Asie-Pacifique (25,3%), la région de la Communauté des États indépendants (CEI) (11,8%) et l'Europe (12,1%), sans oublier des projets internationaux (1,4%).</w:t>
      </w:r>
    </w:p>
    <w:p w14:paraId="4543E968" w14:textId="77777777" w:rsidR="007412AE" w:rsidRPr="00023B55" w:rsidRDefault="007412AE" w:rsidP="00F52608">
      <w:pPr>
        <w:pStyle w:val="enumlev1"/>
        <w:jc w:val="both"/>
      </w:pPr>
      <w:r w:rsidRPr="00023B55">
        <w:t>–</w:t>
      </w:r>
      <w:r w:rsidRPr="00023B55">
        <w:tab/>
      </w:r>
      <w:hyperlink r:id="rId167" w:history="1">
        <w:r w:rsidRPr="00023B55">
          <w:rPr>
            <w:rStyle w:val="Hyperlink"/>
            <w:rFonts w:eastAsia="Times New Roman" w:cs="Times New Roman"/>
            <w:szCs w:val="20"/>
          </w:rPr>
          <w:t>Prix 2017 du SMSI</w:t>
        </w:r>
      </w:hyperlink>
      <w:r w:rsidRPr="00023B55">
        <w:t>: près de 500 projets ont été soumis, soit le nombre le plus élevé à cette date depuis le lancement de l'initiative, plus de 1,1 million de votes ayant été exprimés. Les 345 projets sélectionnés représentaient un large éventail de parties prenantes, notamment des pouvoirs publics (41,7%), des entreprises (22,4%), la société civile (16,1%), des organisations internationales (6,3%) et d'autres parties prenantes (13,5%).</w:t>
      </w:r>
    </w:p>
    <w:p w14:paraId="595E17EA" w14:textId="77777777" w:rsidR="007412AE" w:rsidRPr="00023B55" w:rsidRDefault="007412AE" w:rsidP="00F52608">
      <w:pPr>
        <w:pStyle w:val="enumlev1"/>
        <w:jc w:val="both"/>
      </w:pPr>
      <w:r w:rsidRPr="00023B55">
        <w:t>–</w:t>
      </w:r>
      <w:r w:rsidRPr="00023B55">
        <w:tab/>
      </w:r>
      <w:hyperlink r:id="rId168" w:history="1">
        <w:r w:rsidRPr="00023B55">
          <w:rPr>
            <w:rStyle w:val="Hyperlink"/>
            <w:rFonts w:eastAsia="Times New Roman" w:cs="Times New Roman"/>
            <w:szCs w:val="20"/>
          </w:rPr>
          <w:t>Prix 2016 du SMSI</w:t>
        </w:r>
      </w:hyperlink>
      <w:r w:rsidRPr="00023B55">
        <w:t>: dans le cadre du nouveau processus proposé, qui porte sur la participation communautaire par le biais du vote en ligne, 311 projets ont été retenus et plus de 245 000 parties prenantes ont participé au processus de vote en ligne, ce qui illustre l'importance croissante des TIC dans les stratégies nationales de développement.</w:t>
      </w:r>
    </w:p>
    <w:p w14:paraId="09C863BF" w14:textId="77777777" w:rsidR="007412AE" w:rsidRPr="00023B55" w:rsidRDefault="007412AE" w:rsidP="00F52608">
      <w:pPr>
        <w:pStyle w:val="enumlev1"/>
        <w:jc w:val="both"/>
      </w:pPr>
      <w:r w:rsidRPr="00023B55">
        <w:t>–</w:t>
      </w:r>
      <w:r w:rsidRPr="00023B55">
        <w:tab/>
      </w:r>
      <w:hyperlink r:id="rId169" w:history="1">
        <w:r w:rsidRPr="00023B55">
          <w:rPr>
            <w:rStyle w:val="Hyperlink"/>
            <w:rFonts w:eastAsia="Times New Roman" w:cs="Times New Roman"/>
            <w:szCs w:val="20"/>
          </w:rPr>
          <w:t>Prix 2015 du SMSI</w:t>
        </w:r>
      </w:hyperlink>
      <w:r w:rsidRPr="00023B55">
        <w:t>: les 300 soumissions reçues montrent que le concours a été deux fois plus important que l'année précédente, marquant ainsi une étape significative en termes de reconnaissance et de portée à l'échelle mondiale.</w:t>
      </w:r>
    </w:p>
    <w:p w14:paraId="67A753E7" w14:textId="77777777" w:rsidR="007412AE" w:rsidRPr="00023B55" w:rsidRDefault="007412AE" w:rsidP="00F52608">
      <w:pPr>
        <w:pStyle w:val="enumlev1"/>
        <w:jc w:val="both"/>
      </w:pPr>
      <w:r w:rsidRPr="00023B55">
        <w:t>–</w:t>
      </w:r>
      <w:r w:rsidRPr="00023B55">
        <w:tab/>
      </w:r>
      <w:hyperlink r:id="rId170" w:history="1">
        <w:r w:rsidRPr="00023B55">
          <w:rPr>
            <w:rStyle w:val="Hyperlink"/>
            <w:rFonts w:eastAsia="Times New Roman" w:cs="Times New Roman"/>
            <w:szCs w:val="20"/>
          </w:rPr>
          <w:t>Prix 2014 du SMSI</w:t>
        </w:r>
      </w:hyperlink>
      <w:r w:rsidRPr="00023B55">
        <w:t>: les 152 soumissions reçues dans le cadre du concours indiquent une croissance de ce dernier et le maintien de son rôle dans la promotion des solutions TIC au service du développement. Le concours a continué d'encourager la participation de diverses régions et de divers groupes de parties prenantes, avec une augmentation importante du nombre de soumissions provenant d'entités non gouvernementales.</w:t>
      </w:r>
    </w:p>
    <w:p w14:paraId="194AA3A1" w14:textId="77777777" w:rsidR="007412AE" w:rsidRPr="00023B55" w:rsidRDefault="007412AE" w:rsidP="00F52608">
      <w:pPr>
        <w:pStyle w:val="enumlev1"/>
        <w:jc w:val="both"/>
      </w:pPr>
      <w:r w:rsidRPr="00023B55">
        <w:lastRenderedPageBreak/>
        <w:t>–</w:t>
      </w:r>
      <w:r w:rsidRPr="00023B55">
        <w:tab/>
      </w:r>
      <w:hyperlink r:id="rId171" w:history="1">
        <w:r w:rsidRPr="00023B55">
          <w:rPr>
            <w:rStyle w:val="Hyperlink"/>
            <w:rFonts w:eastAsia="Times New Roman" w:cs="Times New Roman"/>
            <w:szCs w:val="20"/>
          </w:rPr>
          <w:t>Prix 2013 du SMSI</w:t>
        </w:r>
      </w:hyperlink>
      <w:r w:rsidRPr="00023B55">
        <w:t>: plus de 100 soumissions ont été reçues dans le cadre du concours, permettant de mettre en lumière des initiatives innovantes en matière de TIC, de promouvoir la nécessité de partager des bonnes pratiques en matière de TIC et de favoriser la définition de bonnes pratiques dans le monde entier. Ce prix a récompensé des projets ayant fait preuve d'excellence pour ce qui est de mettre les TIC au service du développement durable.</w:t>
      </w:r>
    </w:p>
    <w:p w14:paraId="5F7421BE" w14:textId="77777777" w:rsidR="007412AE" w:rsidRPr="00023B55" w:rsidRDefault="007412AE" w:rsidP="00F52608">
      <w:pPr>
        <w:pStyle w:val="enumlev1"/>
        <w:jc w:val="both"/>
      </w:pPr>
      <w:r w:rsidRPr="00023B55">
        <w:t>–</w:t>
      </w:r>
      <w:r w:rsidRPr="00023B55">
        <w:tab/>
      </w:r>
      <w:hyperlink r:id="rId172" w:history="1">
        <w:r w:rsidRPr="00023B55">
          <w:rPr>
            <w:rStyle w:val="Hyperlink"/>
            <w:rFonts w:eastAsia="Times New Roman" w:cs="Times New Roman"/>
            <w:szCs w:val="20"/>
          </w:rPr>
          <w:t>Prix 2012 du SMSI</w:t>
        </w:r>
      </w:hyperlink>
      <w:r w:rsidRPr="00023B55">
        <w:t>: dix-huit lauréats ont été annoncés et récompensés pour l'excellence des projets TIC qu'ils ont présentés, qui étaient alignés sur les objectifs du SMSI. L'édition inaugurale a jeté les bases de la reconnaissance annuelle des initiatives TIC efficaces à l'échelle mondiale.</w:t>
      </w:r>
    </w:p>
    <w:p w14:paraId="053F5017" w14:textId="77777777" w:rsidR="007412AE" w:rsidRPr="00023B55" w:rsidRDefault="007412AE" w:rsidP="00F52608">
      <w:pPr>
        <w:jc w:val="both"/>
      </w:pPr>
      <w:r w:rsidRPr="00023B55">
        <w:t>Le Prix spécial du SMSI récompense les solutions numériques exceptionnelles qui sont alignées sur les priorités mondiales qui se font jour. Le Prix de l'innovation sur la question du vieillissement en bonne santé du Forum du SMSI, créé en 2021 dans le cadre de la Décennie des Nations Unies pour le vieillissement en bonne santé, met en lumière des solutions TIC efficaces qui améliorent la vie et le bien-être des personnes âgées, en favorisant l'inclusion et l'accessibilité à l'ère numérique. Le Prix du SMSI récompensant la conception du meilleur service numérique, créé en 2023 en collaboration avec l'initiative GovStack, salue les services publics numériques innovants et centrés sur l'utilisateur qui font preuve d'excellence en matière de conception, de fourniture et d'évolutivité, contribuant ainsi à une gouvernance numérique plus inclusive et plus efficace dans le monde entier.</w:t>
      </w:r>
    </w:p>
    <w:p w14:paraId="68F04291" w14:textId="77777777" w:rsidR="007412AE" w:rsidRPr="00023B55" w:rsidRDefault="007412AE" w:rsidP="00F52608">
      <w:pPr>
        <w:pStyle w:val="Headingb"/>
        <w:jc w:val="both"/>
      </w:pPr>
      <w:r w:rsidRPr="00023B55">
        <w:t>Partenariat sur la mesure des TIC au service du développement</w:t>
      </w:r>
    </w:p>
    <w:p w14:paraId="6436A810" w14:textId="77777777" w:rsidR="007412AE" w:rsidRPr="00023B55" w:rsidRDefault="007412AE" w:rsidP="00F52608">
      <w:pPr>
        <w:jc w:val="both"/>
      </w:pPr>
      <w:r w:rsidRPr="00023B55">
        <w:t>En 2004, l'UIT et ses partenaires ont lancé une initiative internationale multi-parties prenantes intitulée "</w:t>
      </w:r>
      <w:hyperlink r:id="rId173" w:history="1">
        <w:r w:rsidRPr="00023B55">
          <w:rPr>
            <w:rStyle w:val="Hyperlink"/>
            <w:rFonts w:eastAsia="Times New Roman" w:cs="Times New Roman"/>
            <w:szCs w:val="20"/>
          </w:rPr>
          <w:t>Partenariat sur la mesure des TIC au service du développement</w:t>
        </w:r>
      </w:hyperlink>
      <w:r w:rsidRPr="00023B55">
        <w:t>", afin d'améliorer la disponibilité et la qualité des données et des indicateurs technologiques, en particulier dans les pays en développement, en réponse aux demandes formulées par l'intermédiaire du SMSI pour suivre les progrès accomplis dans la nouvelle société mondiale de l'information.</w:t>
      </w:r>
    </w:p>
    <w:p w14:paraId="1FDA6387" w14:textId="77777777" w:rsidR="007412AE" w:rsidRPr="00023B55" w:rsidRDefault="007412AE" w:rsidP="00F52608">
      <w:pPr>
        <w:jc w:val="both"/>
      </w:pPr>
      <w:r w:rsidRPr="00023B55">
        <w:t>Les principaux objectifs de la réunion annuelle du Partenariat sur la mesure des TIC au service du développement sont les suivants:</w:t>
      </w:r>
    </w:p>
    <w:p w14:paraId="1828F33C" w14:textId="77777777" w:rsidR="007412AE" w:rsidRPr="00023B55" w:rsidRDefault="007412AE" w:rsidP="00F52608">
      <w:pPr>
        <w:pStyle w:val="enumlev1"/>
        <w:jc w:val="both"/>
      </w:pPr>
      <w:r w:rsidRPr="00023B55">
        <w:t>–</w:t>
      </w:r>
      <w:r w:rsidRPr="00023B55">
        <w:tab/>
      </w:r>
      <w:r w:rsidRPr="00023B55">
        <w:rPr>
          <w:b/>
          <w:bCs/>
        </w:rPr>
        <w:t>Améliorer la qualité et la comparabilité des données</w:t>
      </w:r>
      <w:r w:rsidRPr="00023B55">
        <w:t>: élaborer des méthodes et des normes convenues au niveau international pour les statistiques technologiques et assurer la compatibilité des données de différents pays.</w:t>
      </w:r>
    </w:p>
    <w:p w14:paraId="7607F952" w14:textId="77777777" w:rsidR="007412AE" w:rsidRPr="00023B55" w:rsidRDefault="007412AE" w:rsidP="00F52608">
      <w:pPr>
        <w:pStyle w:val="enumlev1"/>
        <w:jc w:val="both"/>
      </w:pPr>
      <w:r w:rsidRPr="00023B55">
        <w:t>–</w:t>
      </w:r>
      <w:r w:rsidRPr="00023B55">
        <w:tab/>
      </w:r>
      <w:r w:rsidRPr="00023B55">
        <w:rPr>
          <w:b/>
          <w:bCs/>
        </w:rPr>
        <w:t>Renforcer les capacités</w:t>
      </w:r>
      <w:r w:rsidRPr="00023B55">
        <w:t>: organiser des ateliers de renforcement des capacités et des programmes de formation pour aider les pays à améliorer leurs pratiques en matière de collecte et de diffusion de données sur les technologies numériques.</w:t>
      </w:r>
    </w:p>
    <w:p w14:paraId="2AF4A54B" w14:textId="77777777" w:rsidR="007412AE" w:rsidRPr="00023B55" w:rsidRDefault="007412AE" w:rsidP="00F52608">
      <w:pPr>
        <w:pStyle w:val="enumlev1"/>
        <w:jc w:val="both"/>
      </w:pPr>
      <w:r w:rsidRPr="00023B55">
        <w:t>–</w:t>
      </w:r>
      <w:r w:rsidRPr="00023B55">
        <w:tab/>
      </w:r>
      <w:r w:rsidRPr="00023B55">
        <w:rPr>
          <w:b/>
          <w:bCs/>
        </w:rPr>
        <w:t>Promouvoir l'utilisation des données</w:t>
      </w:r>
      <w:r w:rsidRPr="00023B55">
        <w:t>: encourager l'utilisation de données technologiques pour permettre l'élaboration de politiques et la planification du développement sur la base d'informations précises et actualisées.</w:t>
      </w:r>
    </w:p>
    <w:p w14:paraId="0675F44F" w14:textId="77777777" w:rsidR="007412AE" w:rsidRPr="00023B55" w:rsidRDefault="007412AE" w:rsidP="00F52608">
      <w:pPr>
        <w:jc w:val="both"/>
      </w:pPr>
      <w:r w:rsidRPr="00023B55">
        <w:t>Le partenariat, qui comptait initialement 11 membres, s'est élargi pour englober 14 organisations régionales et internationales. Il est coordonné par un comité directeur, actuellement représenté par l'UIT, la CNUCED et le DESA, dont les membres sont élus tous les trois ans.</w:t>
      </w:r>
    </w:p>
    <w:p w14:paraId="762A27CE" w14:textId="77777777" w:rsidR="007412AE" w:rsidRPr="00023B55" w:rsidRDefault="007412AE" w:rsidP="00F52608">
      <w:pPr>
        <w:jc w:val="both"/>
      </w:pPr>
      <w:r w:rsidRPr="00023B55">
        <w:t xml:space="preserve">L'UIT, pour sa part, recueille des statistiques clés sur la connectivité, l'infrastructure et l'accès par les particuliers et les ménages au numérique à l'échelle mondiale. L'Union fournit également une assistance technique pour renforcer les moyens dont disposent les organismes </w:t>
      </w:r>
      <w:r w:rsidRPr="00023B55">
        <w:lastRenderedPageBreak/>
        <w:t>nationaux de statistique et propose une formation en ligne sur la mesure du développement numérique.</w:t>
      </w:r>
    </w:p>
    <w:p w14:paraId="4A45F103" w14:textId="77777777" w:rsidR="007412AE" w:rsidRPr="00023B55" w:rsidRDefault="007412AE" w:rsidP="00F52608">
      <w:pPr>
        <w:jc w:val="both"/>
      </w:pPr>
      <w:r w:rsidRPr="00023B55">
        <w:t>Le dernier rapport du partenariat a été présenté lors de la 55ème Réunion de la Commission de statistique des Nations Unies, qui s'est tenue à la fin du mois de février 2024. Il contient un aperçu des travaux réalisés depuis 2022 et des mises à jour sur la manière dont les indicateurs technologiques rendent compte de la réalisation des objectifs et cibles de développement définis à l'échelle mondiale.</w:t>
      </w:r>
    </w:p>
    <w:p w14:paraId="783BDE92" w14:textId="77777777" w:rsidR="007412AE" w:rsidRPr="00023B55" w:rsidRDefault="007412AE" w:rsidP="00F52608">
      <w:pPr>
        <w:pStyle w:val="Headingb"/>
        <w:jc w:val="both"/>
      </w:pPr>
      <w:r w:rsidRPr="00023B55">
        <w:t>Groupe des Nations Unies sur la société de l'information</w:t>
      </w:r>
    </w:p>
    <w:p w14:paraId="2BD6891E" w14:textId="77777777" w:rsidR="007412AE" w:rsidRPr="00023B55" w:rsidRDefault="007412AE" w:rsidP="00F52608">
      <w:pPr>
        <w:jc w:val="both"/>
      </w:pPr>
      <w:r w:rsidRPr="00023B55">
        <w:t>Le Groupe UNGIS joue un rôle essentiel dans la coordination des initiatives numériques de l'ensemble des institutions des Nations Unies et garantit ainsi une approche unifiée du développement numérique. Créé en 2006, le Groupe UNGIS encourage la collaboration et les partenariats entre les membres du Conseil des chefs de secrétariat des organismes des Nations Unies pour la coordination (CCS) en vue d'atteindre les objectifs du SMSI. L'UIT, en tant que secrétariat permanent du Groupe UNGIS, joue un rôle déterminant dans l'organisation d'activités thématiques communes, de réunions, de consultations ouvertes et de manifestations. Les retombées des activités du Groupe UNGIS sur le processus du SMSI témoignent de l'importance d'un effort coordonné pour relever les défis mondiaux liés aux TIC et promouvoir le développement durable.</w:t>
      </w:r>
    </w:p>
    <w:p w14:paraId="605703F6" w14:textId="77777777" w:rsidR="007412AE" w:rsidRPr="00023B55" w:rsidRDefault="007412AE" w:rsidP="00F52608">
      <w:pPr>
        <w:pStyle w:val="Headingb"/>
        <w:jc w:val="both"/>
      </w:pPr>
      <w:r w:rsidRPr="00023B55">
        <w:t>Mise en œuvre au niveau régional</w:t>
      </w:r>
    </w:p>
    <w:p w14:paraId="053FD9D3" w14:textId="77777777" w:rsidR="007412AE" w:rsidRPr="00023B55" w:rsidRDefault="007412AE" w:rsidP="00F52608">
      <w:pPr>
        <w:jc w:val="both"/>
      </w:pPr>
      <w:r w:rsidRPr="00023B55">
        <w:t>Au niveau régional, l'UIT collabore étroitement avec les commissions régionales des Nations Unies, notamment la Commission économique pour l'Afrique (CEA) (Afrique), la Commission économique et sociale pour l'Asie occidentale (CESAO) (États arabes), la Commission économique et sociale pour l'Asie et le Pacifique (CESAP) (Asie-Pacifique), la Commission économique pour l'Amérique latine et les Caraïbes (CEPALC) (Amérique latine et Caraïbes) et la Commission économique pour l'Europe (CEE) (Europe), pour appuyer la mise en œuvre régionale des résultats et des grandes orientations du SMSI. Cette collaboration est essentielle pour garantir que le processus du SMSI tient compte des priorités, de la situation et des enjeux à l'échelle régionale. Chaque année, les commissions régionales rendent compte de leurs actions lors de la réunion annuelle des commissions régionales pour le SMSI qui se tient lors du Forum du SMSI.</w:t>
      </w:r>
    </w:p>
    <w:p w14:paraId="7D9424E0" w14:textId="77777777" w:rsidR="007412AE" w:rsidRPr="00023B55" w:rsidRDefault="007412AE" w:rsidP="00F52608">
      <w:pPr>
        <w:jc w:val="both"/>
      </w:pPr>
      <w:r w:rsidRPr="00023B55">
        <w:t>Dans le cadre du suivi de la Résolution A/70/125 de l'Assemblée générale des Nations Unies, qui invite les commissions régionales à continuer de participer à la mise en œuvre des grandes orientations arrêtées lors du Sommet mondial sur la société de l'information et de contribuer à faire le point, notamment à l'échelle régionale, sur l'état d'avancement des travaux, les commissions régionales, en collaboration avec l'UIT, l'UNESCO et le PNUD, organisent des ateliers régionaux sur la mise en œuvre des résultats du SMSI. Les objectifs de ces ateliers sont les suivants:</w:t>
      </w:r>
    </w:p>
    <w:p w14:paraId="3757B28A" w14:textId="77777777" w:rsidR="007412AE" w:rsidRPr="00023B55" w:rsidRDefault="007412AE" w:rsidP="00F52608">
      <w:pPr>
        <w:pStyle w:val="enumlev1"/>
        <w:jc w:val="both"/>
      </w:pPr>
      <w:r w:rsidRPr="00023B55">
        <w:t>–</w:t>
      </w:r>
      <w:r w:rsidRPr="00023B55">
        <w:tab/>
        <w:t>Renforcer les capacités régionales en matière de processus de mise en œuvre des résultats du SMSI et de son harmonisation avec le Programme 2030.</w:t>
      </w:r>
    </w:p>
    <w:p w14:paraId="3A693A11" w14:textId="77777777" w:rsidR="007412AE" w:rsidRPr="00023B55" w:rsidRDefault="007412AE" w:rsidP="00F52608">
      <w:pPr>
        <w:pStyle w:val="enumlev1"/>
        <w:jc w:val="both"/>
      </w:pPr>
      <w:r w:rsidRPr="00023B55">
        <w:t>–</w:t>
      </w:r>
      <w:r w:rsidRPr="00023B55">
        <w:tab/>
        <w:t>Sensibiliser au rôle de catalyseur que jouent les TIC à l'appui du développement durable en vue de la programmation de futurs Plans cadres des Nations Unies pour l'aide au développement (PNUAD).</w:t>
      </w:r>
    </w:p>
    <w:p w14:paraId="71E56129" w14:textId="77777777" w:rsidR="007412AE" w:rsidRPr="00023B55" w:rsidRDefault="007412AE" w:rsidP="00F52608">
      <w:pPr>
        <w:pStyle w:val="enumlev1"/>
        <w:jc w:val="both"/>
      </w:pPr>
      <w:r w:rsidRPr="00023B55">
        <w:t>–</w:t>
      </w:r>
      <w:r w:rsidRPr="00023B55">
        <w:tab/>
        <w:t xml:space="preserve">Contribuer, en tant que soumission régionale officielle au processus de consultation ouverte du Forum du SMSI, en mettant en lumière les tendances, défis et perspectives </w:t>
      </w:r>
      <w:r w:rsidRPr="00023B55">
        <w:lastRenderedPageBreak/>
        <w:t>qui se font jour à l'échelle régionale dans le dialogue mondial sur la mise en œuvre des résultats du SMSI.</w:t>
      </w:r>
    </w:p>
    <w:p w14:paraId="07CD4A93" w14:textId="77777777" w:rsidR="007412AE" w:rsidRPr="00023B55" w:rsidRDefault="007412AE" w:rsidP="00F52608">
      <w:pPr>
        <w:pStyle w:val="enumlev1"/>
        <w:jc w:val="both"/>
      </w:pPr>
      <w:r w:rsidRPr="00023B55">
        <w:t>–</w:t>
      </w:r>
      <w:r w:rsidRPr="00023B55">
        <w:tab/>
        <w:t>Établir des rapports régionaux sur les projets réalisés dans le cadre de l'inventaire des activités du SMSI.</w:t>
      </w:r>
    </w:p>
    <w:p w14:paraId="69B2936F" w14:textId="77777777" w:rsidR="007412AE" w:rsidRPr="00023B55" w:rsidRDefault="007412AE" w:rsidP="00F52608">
      <w:pPr>
        <w:pStyle w:val="enumlev1"/>
        <w:jc w:val="both"/>
      </w:pPr>
      <w:r w:rsidRPr="00023B55">
        <w:t>–</w:t>
      </w:r>
      <w:r w:rsidRPr="00023B55">
        <w:tab/>
        <w:t>Recenser les projets susceptibles d'être soumis au concours du Prix du SMSI.</w:t>
      </w:r>
    </w:p>
    <w:p w14:paraId="02CF05B6" w14:textId="77777777" w:rsidR="007412AE" w:rsidRPr="00023B55" w:rsidRDefault="007412AE" w:rsidP="00F52608">
      <w:pPr>
        <w:pStyle w:val="enumlev1"/>
        <w:jc w:val="both"/>
      </w:pPr>
      <w:r w:rsidRPr="00023B55">
        <w:t>–</w:t>
      </w:r>
      <w:r w:rsidRPr="00023B55">
        <w:tab/>
        <w:t>Contribuer, à l'échelle régionale, au processus de coordination des grandes orientations du SMSI.</w:t>
      </w:r>
    </w:p>
    <w:p w14:paraId="5B1AB84F" w14:textId="77777777" w:rsidR="007412AE" w:rsidRPr="00023B55" w:rsidRDefault="007412AE" w:rsidP="00F52608">
      <w:pPr>
        <w:jc w:val="both"/>
      </w:pPr>
      <w:r w:rsidRPr="00023B55">
        <w:t>Les six bureaux régionaux de l'UIT dans le monde fournissent une assistance technique et un soutien au renforcement des capacités et contribuent à faire progresser la technologie dans l'intérêt de tous. Cette coopération présente les caractéristiques suivantes:</w:t>
      </w:r>
    </w:p>
    <w:p w14:paraId="2B1D9A73" w14:textId="77777777" w:rsidR="007412AE" w:rsidRPr="00023B55" w:rsidRDefault="007412AE" w:rsidP="00F52608">
      <w:pPr>
        <w:pStyle w:val="enumlev1"/>
        <w:jc w:val="both"/>
      </w:pPr>
      <w:r w:rsidRPr="00023B55">
        <w:t>–</w:t>
      </w:r>
      <w:r w:rsidRPr="00023B55">
        <w:tab/>
      </w:r>
      <w:r w:rsidRPr="00023B55">
        <w:rPr>
          <w:b/>
          <w:bCs/>
        </w:rPr>
        <w:t>Examens et forums régionaux du SMSI</w:t>
      </w:r>
      <w:r w:rsidRPr="00023B55">
        <w:t>: l'UIT appuie et co-organise les réunions régionales d'examen du SMSI et les forums sur le développement numérique accueillis par les commissions régionales des Nations Unies. Ces manifestations permettent d'évaluer les progrès accomplis, d'identifier les lacunes et de promouvoir la coordination régionale en matière de politique numérique en harmonisation avec les grandes orientations du SMSI.</w:t>
      </w:r>
    </w:p>
    <w:p w14:paraId="29BAFFE7" w14:textId="77777777" w:rsidR="007412AE" w:rsidRPr="00023B55" w:rsidRDefault="007412AE" w:rsidP="00F52608">
      <w:pPr>
        <w:pStyle w:val="enumlev1"/>
        <w:jc w:val="both"/>
      </w:pPr>
      <w:r w:rsidRPr="00023B55">
        <w:t>–</w:t>
      </w:r>
      <w:r w:rsidRPr="00023B55">
        <w:tab/>
      </w:r>
      <w:r w:rsidRPr="00023B55">
        <w:rPr>
          <w:b/>
          <w:bCs/>
        </w:rPr>
        <w:t>Collecte de données et inventaire des activités</w:t>
      </w:r>
      <w:r w:rsidRPr="00023B55">
        <w:t>: l'UIT collabore avec les commissions régionales pour intégrer les données régionales et les exemples de réussite dans la plate-forme dressant l'inventaire des activités du SMSI et les Prix du SMSI, contribuant ainsi à faire émerger les innovations et les meilleures pratiques locales qui contribuent au partage des connaissances au niveau mondial.</w:t>
      </w:r>
    </w:p>
    <w:p w14:paraId="05F7F765" w14:textId="77777777" w:rsidR="007412AE" w:rsidRPr="00023B55" w:rsidRDefault="007412AE" w:rsidP="00F52608">
      <w:pPr>
        <w:pStyle w:val="enumlev1"/>
        <w:jc w:val="both"/>
      </w:pPr>
      <w:r w:rsidRPr="00023B55">
        <w:t>–</w:t>
      </w:r>
      <w:r w:rsidRPr="00023B55">
        <w:tab/>
      </w:r>
      <w:r w:rsidRPr="00023B55">
        <w:rPr>
          <w:b/>
          <w:bCs/>
        </w:rPr>
        <w:t>Contribution au Forum mondial du SMSI</w:t>
      </w:r>
      <w:r w:rsidRPr="00023B55">
        <w:t>: les résultats et les contributions recueillies à l'échelle régionale dans le cadre des activités régionales liées au SMSI sont souvent présentés lors du Forum annuel du SMSI à Genève, garantissant ainsi que les voix régionales influencent le dialogue mondial sur le développement numérique.</w:t>
      </w:r>
    </w:p>
    <w:p w14:paraId="14DA9331" w14:textId="77777777" w:rsidR="007412AE" w:rsidRPr="00023B55" w:rsidRDefault="007412AE" w:rsidP="00F52608">
      <w:pPr>
        <w:pStyle w:val="enumlev1"/>
        <w:jc w:val="both"/>
      </w:pPr>
      <w:r w:rsidRPr="00023B55">
        <w:t>–</w:t>
      </w:r>
      <w:r w:rsidRPr="00023B55">
        <w:tab/>
      </w:r>
      <w:r w:rsidRPr="00023B55">
        <w:rPr>
          <w:b/>
          <w:bCs/>
        </w:rPr>
        <w:t>Renforcement des capacités et appui sur le plan des politiques</w:t>
      </w:r>
      <w:r w:rsidRPr="00023B55">
        <w:t>: l'UIT appuie les activités de renforcement des capacités et de coopération technique au niveau régional, conformément aux grandes orientations du SMSI, en particulier dans des domaines tels que le développement du large bande, la cybersécurité, l'administration en ligne et l'inclusion numérique.</w:t>
      </w:r>
    </w:p>
    <w:p w14:paraId="204D8CCE" w14:textId="77777777" w:rsidR="007412AE" w:rsidRPr="00023B55" w:rsidRDefault="007412AE" w:rsidP="00F52608">
      <w:pPr>
        <w:pStyle w:val="Headingb"/>
        <w:jc w:val="both"/>
      </w:pPr>
      <w:r w:rsidRPr="00023B55">
        <w:t>Interconnexions et synergies</w:t>
      </w:r>
    </w:p>
    <w:p w14:paraId="5A1F71AF" w14:textId="77777777" w:rsidR="007412AE" w:rsidRPr="00023B55" w:rsidRDefault="007412AE" w:rsidP="00F52608">
      <w:pPr>
        <w:keepNext/>
        <w:keepLines/>
        <w:jc w:val="both"/>
      </w:pPr>
      <w:r w:rsidRPr="00023B55">
        <w:t>Les activités de collaboration avec d'autres plates-formes multi-parties prenantes accentuent les retombées des initiatives du SMSI. L'engagement continu du SMSI renforce les interconnexions et les synergies entre toutes ces initiatives, reflétant l'esprit de collaboration qui continue de stimuler le développement numérique mondial. Par exemple:</w:t>
      </w:r>
    </w:p>
    <w:p w14:paraId="03591EEB" w14:textId="77777777" w:rsidR="007412AE" w:rsidRPr="00023B55" w:rsidRDefault="007412AE" w:rsidP="00F52608">
      <w:pPr>
        <w:pStyle w:val="enumlev1"/>
        <w:jc w:val="both"/>
      </w:pPr>
      <w:r w:rsidRPr="00023B55">
        <w:t>–</w:t>
      </w:r>
      <w:r w:rsidRPr="00023B55">
        <w:tab/>
        <w:t xml:space="preserve">Le </w:t>
      </w:r>
      <w:r w:rsidRPr="00023B55">
        <w:rPr>
          <w:b/>
          <w:bCs/>
        </w:rPr>
        <w:t>Forum sur la gouvernance de l'Internet</w:t>
      </w:r>
      <w:r w:rsidRPr="00023B55">
        <w:t xml:space="preserve"> est une plate-forme clé qui rassemble des parties prenantes de divers secteurs pour mener des discussions de politique publique sur la gouvernance de l'Internet. Il s'aligne étroitement sur le Forum du SMSI pour promouvoir un avenir numérique inclusif et durable par l'élaboration de politiques, la mobilisation des parties prenantes et le renforcement des capacités.</w:t>
      </w:r>
    </w:p>
    <w:p w14:paraId="0D03D6C5" w14:textId="77777777" w:rsidR="007412AE" w:rsidRPr="00023B55" w:rsidRDefault="007412AE" w:rsidP="00F52608">
      <w:pPr>
        <w:pStyle w:val="enumlev1"/>
        <w:jc w:val="both"/>
      </w:pPr>
      <w:r w:rsidRPr="00023B55">
        <w:t>–</w:t>
      </w:r>
      <w:r w:rsidRPr="00023B55">
        <w:tab/>
        <w:t>L'Initiative "</w:t>
      </w:r>
      <w:r w:rsidRPr="00023B55">
        <w:rPr>
          <w:b/>
          <w:bCs/>
        </w:rPr>
        <w:t>L'IA au service du bien social</w:t>
      </w:r>
      <w:r w:rsidRPr="00023B55">
        <w:t xml:space="preserve">", organisée par l'UIT avec des partenaires de l'ensemble du système des Nations Unies, associe l'innovation en matière d'IA au développement durable. Elle met en avant des solutions d'IA responsables, aide à </w:t>
      </w:r>
      <w:r w:rsidRPr="00023B55">
        <w:lastRenderedPageBreak/>
        <w:t>développer des compétences et à établir des normes, et fait progresser les discussions clés sur la gouvernance mondiale de l'IA.</w:t>
      </w:r>
    </w:p>
    <w:p w14:paraId="6752FC49" w14:textId="77777777" w:rsidR="007412AE" w:rsidRPr="00023B55" w:rsidRDefault="007412AE" w:rsidP="00F52608">
      <w:pPr>
        <w:pStyle w:val="enumlev1"/>
        <w:jc w:val="both"/>
      </w:pPr>
      <w:r w:rsidRPr="00023B55">
        <w:t>–</w:t>
      </w:r>
      <w:r w:rsidRPr="00023B55">
        <w:tab/>
        <w:t xml:space="preserve">La </w:t>
      </w:r>
      <w:r w:rsidRPr="00023B55">
        <w:rPr>
          <w:b/>
          <w:bCs/>
        </w:rPr>
        <w:t>Commission UIT-UNESCO sur le large bande au service du développement durable</w:t>
      </w:r>
      <w:r w:rsidRPr="00023B55">
        <w:t xml:space="preserve"> suit le déploiement du large bande et aide à recenser les lacunes en matière d'accès au large bande depuis 2010.</w:t>
      </w:r>
    </w:p>
    <w:p w14:paraId="75A5699D" w14:textId="77777777" w:rsidR="007412AE" w:rsidRPr="00023B55" w:rsidRDefault="007412AE" w:rsidP="00F52608">
      <w:pPr>
        <w:pStyle w:val="enumlev1"/>
        <w:jc w:val="both"/>
      </w:pPr>
      <w:r w:rsidRPr="00023B55">
        <w:t>–</w:t>
      </w:r>
      <w:r w:rsidRPr="00023B55">
        <w:tab/>
        <w:t>L'Initiative "</w:t>
      </w:r>
      <w:r w:rsidRPr="00023B55">
        <w:rPr>
          <w:b/>
          <w:bCs/>
        </w:rPr>
        <w:t>Tous unis pour des villes intelligentes et durables</w:t>
      </w:r>
      <w:r w:rsidRPr="00023B55">
        <w:t>" (U4SSC) aide les villes innovantes du monde entier à parvenir à une transformation numérique durable pour le bien des populations.</w:t>
      </w:r>
    </w:p>
    <w:p w14:paraId="65D197DB" w14:textId="77777777" w:rsidR="007412AE" w:rsidRPr="00023B55" w:rsidRDefault="007412AE" w:rsidP="00F52608">
      <w:pPr>
        <w:pStyle w:val="enumlev1"/>
        <w:jc w:val="both"/>
      </w:pPr>
      <w:r w:rsidRPr="00023B55">
        <w:t>–</w:t>
      </w:r>
      <w:r w:rsidRPr="00023B55">
        <w:tab/>
        <w:t xml:space="preserve">Des Initiatives telles que </w:t>
      </w:r>
      <w:r w:rsidRPr="00023B55">
        <w:rPr>
          <w:b/>
          <w:bCs/>
        </w:rPr>
        <w:t>Giga</w:t>
      </w:r>
      <w:r w:rsidRPr="00023B55">
        <w:t xml:space="preserve">, </w:t>
      </w:r>
      <w:r w:rsidRPr="00023B55">
        <w:rPr>
          <w:b/>
          <w:bCs/>
        </w:rPr>
        <w:t>Partner2Connect</w:t>
      </w:r>
      <w:r w:rsidRPr="00023B55">
        <w:t xml:space="preserve"> et </w:t>
      </w:r>
      <w:r w:rsidRPr="00023B55">
        <w:rPr>
          <w:b/>
          <w:bCs/>
        </w:rPr>
        <w:t>SDG Digital</w:t>
      </w:r>
      <w:r w:rsidRPr="00023B55">
        <w:t xml:space="preserve"> rassemblent également des parties prenantes pour connecter toutes les populations, partout dans le monde.</w:t>
      </w:r>
    </w:p>
    <w:p w14:paraId="34BB9516" w14:textId="77777777" w:rsidR="007412AE" w:rsidRPr="00023B55" w:rsidRDefault="007412AE" w:rsidP="00F52608">
      <w:pPr>
        <w:pStyle w:val="Headingb"/>
        <w:jc w:val="both"/>
      </w:pPr>
      <w:r w:rsidRPr="00023B55">
        <w:t>Contribution de l'UIT aux politiques générales relatives à l'Internet et à la gouvernance de l'Internet</w:t>
      </w:r>
    </w:p>
    <w:p w14:paraId="1B532F62" w14:textId="77777777" w:rsidR="007412AE" w:rsidRPr="00023B55" w:rsidRDefault="007412AE" w:rsidP="00F52608">
      <w:pPr>
        <w:jc w:val="both"/>
      </w:pPr>
      <w:r w:rsidRPr="00023B55">
        <w:t xml:space="preserve">Le </w:t>
      </w:r>
      <w:hyperlink r:id="rId174" w:history="1">
        <w:r w:rsidRPr="00023B55">
          <w:rPr>
            <w:rStyle w:val="Hyperlink"/>
            <w:rFonts w:eastAsia="Times New Roman" w:cs="Times New Roman"/>
            <w:szCs w:val="20"/>
          </w:rPr>
          <w:t>Groupe de travail du Conseil sur les questions de politiques publiques internationales relatives à l'Internet (GTC-Internet)</w:t>
        </w:r>
      </w:hyperlink>
      <w:r w:rsidRPr="00023B55">
        <w:t xml:space="preserve">, composé d'États Membres de l'UIT et menant des consultations ouvertes avec toutes les parties prenantes, a été créé en 2010, conformément aux Résolutions 102 et 140 de la Conférence de plénipotentiaires tenue en 2010. Ce groupe, qui faisait antérieurement partie intégrante du Groupe de travail du Conseil sur le Sommet mondial sur la société de l'information (GTC-SMSI), se réunit désormais régulièrement pour identifier, étudier et approfondir les thèmes liés aux questions de politiques publiques internationales relatives à l'Internet. Le groupe a tenu plus de 15 </w:t>
      </w:r>
      <w:hyperlink r:id="rId175" w:history="1">
        <w:r w:rsidRPr="00023B55">
          <w:rPr>
            <w:rStyle w:val="Hyperlink"/>
            <w:rFonts w:eastAsia="Times New Roman" w:cs="Times New Roman"/>
            <w:szCs w:val="20"/>
          </w:rPr>
          <w:t>consultations ouvertes multi-parties prenantes</w:t>
        </w:r>
      </w:hyperlink>
      <w:r w:rsidRPr="00023B55">
        <w:t xml:space="preserve"> sur diverses questions de politiques publiques internationales relatives à l'Internet, telles que le déploiement de la connectivité Internet, les services par contournement (OTT) et les télécommunications/TIC nouvelles et émergentes. Les rapports annuels du Président du groupe au Conseil sont accessibles </w:t>
      </w:r>
      <w:hyperlink r:id="rId176" w:history="1">
        <w:r w:rsidRPr="00023B55">
          <w:rPr>
            <w:rStyle w:val="Hyperlink"/>
            <w:rFonts w:eastAsia="Times New Roman" w:cs="Times New Roman"/>
            <w:szCs w:val="20"/>
          </w:rPr>
          <w:t>ici</w:t>
        </w:r>
      </w:hyperlink>
      <w:r w:rsidRPr="00023B55">
        <w:t>.</w:t>
      </w:r>
    </w:p>
    <w:p w14:paraId="614D7387" w14:textId="77777777" w:rsidR="007412AE" w:rsidRPr="00023B55" w:rsidRDefault="007412AE" w:rsidP="00F52608">
      <w:pPr>
        <w:jc w:val="both"/>
      </w:pPr>
      <w:r w:rsidRPr="00023B55">
        <w:t xml:space="preserve">L'UIT a contribué aux travaux sur les </w:t>
      </w:r>
      <w:hyperlink r:id="rId177" w:history="1">
        <w:r w:rsidRPr="00023B55">
          <w:rPr>
            <w:rStyle w:val="Hyperlink"/>
            <w:rFonts w:eastAsia="Times New Roman" w:cs="Times New Roman"/>
            <w:szCs w:val="20"/>
          </w:rPr>
          <w:t>politiques publiques relatives à l'Internet et la gouvernance de l'Internet</w:t>
        </w:r>
      </w:hyperlink>
      <w:r w:rsidRPr="00023B55">
        <w:t>, y compris le Forum sur la gouvernance d'Internet (FGI), en promouvant la coopération internationale, en établissant des normes et en encourageant le dialogue sur des questions telles que l'accessibilité, la cybersécurité et l'infrastructure, conformément au mandat du SMSI qui vise à réduire la fracture numérique et à favoriser l'inclusion numérique dans le monde.</w:t>
      </w:r>
    </w:p>
    <w:p w14:paraId="7355F355" w14:textId="199B8BA5" w:rsidR="007412AE" w:rsidRPr="00023B55" w:rsidRDefault="007412AE" w:rsidP="00F52608">
      <w:pPr>
        <w:pStyle w:val="Heading1"/>
        <w:jc w:val="both"/>
      </w:pPr>
      <w:bookmarkStart w:id="5" w:name="_Toc200377656"/>
      <w:r w:rsidRPr="00023B55">
        <w:t>c</w:t>
      </w:r>
      <w:r w:rsidR="002111C0" w:rsidRPr="00023B55">
        <w:t>)</w:t>
      </w:r>
      <w:r w:rsidRPr="00023B55">
        <w:tab/>
        <w:t>Après 2025</w:t>
      </w:r>
      <w:bookmarkEnd w:id="5"/>
    </w:p>
    <w:p w14:paraId="4364F64B" w14:textId="77777777" w:rsidR="007412AE" w:rsidRPr="00023B55" w:rsidRDefault="007412AE" w:rsidP="00F52608">
      <w:pPr>
        <w:jc w:val="both"/>
      </w:pPr>
      <w:r w:rsidRPr="00023B55">
        <w:t>Dans les années à venir, le mécanisme du SMSI peut contribuer à faire en sorte que tout le monde ait accès à des services Internet financièrement abordables et fiables, à promouvoir la maîtrise des outils numériques et les compétences numériques, en particulier dans les communautés mal desservies et marginalisées, à aider les pays à améliorer les mesures de cybersécurité pour établir un climat de confiance dans l'utilisation des technologies numériques, et à encourager l'adoption des technologies numériques pour assurer la durabilité environnementale et atteindre d'autres objectifs mondiaux.</w:t>
      </w:r>
    </w:p>
    <w:p w14:paraId="1349832D" w14:textId="77777777" w:rsidR="007412AE" w:rsidRPr="00023B55" w:rsidRDefault="007412AE" w:rsidP="00F52608">
      <w:pPr>
        <w:pStyle w:val="Headingb"/>
        <w:jc w:val="both"/>
      </w:pPr>
      <w:r w:rsidRPr="00023B55">
        <w:t>Un mécanisme actif et éprouvé</w:t>
      </w:r>
    </w:p>
    <w:p w14:paraId="063A065B" w14:textId="77777777" w:rsidR="007412AE" w:rsidRPr="00023B55" w:rsidRDefault="007412AE" w:rsidP="00F52608">
      <w:pPr>
        <w:jc w:val="both"/>
      </w:pPr>
      <w:r w:rsidRPr="00023B55">
        <w:t xml:space="preserve">La plate-forme du SMSI reste un excellent outil pour façonner le paysage numérique mondial, en particulier parallèlement à la nouvelle définition de priorités bien connues du SMSI dans le Pacte numérique mondial récemment adopté. Le processus souple et adaptatif du SMSI permet de continuer à recenser les possibilités et à relever les nouveaux défis numériques. Par l'intermédiaire d'une collaboration et d'une innovation constantes, le SMSI veillera à ce </w:t>
      </w:r>
      <w:r w:rsidRPr="00023B55">
        <w:lastRenderedPageBreak/>
        <w:t>que la technologie contribue de manière efficace au développement durable et à ce que personne ne soit laissé pour compte à l'ère numérique.</w:t>
      </w:r>
    </w:p>
    <w:p w14:paraId="7B127C97" w14:textId="77777777" w:rsidR="007412AE" w:rsidRPr="00023B55" w:rsidRDefault="007412AE" w:rsidP="00F52608">
      <w:pPr>
        <w:jc w:val="both"/>
      </w:pPr>
      <w:r w:rsidRPr="00023B55">
        <w:t xml:space="preserve">Le SMSI est un cadre </w:t>
      </w:r>
      <w:r w:rsidRPr="00023B55">
        <w:rPr>
          <w:b/>
          <w:bCs/>
        </w:rPr>
        <w:t>existant</w:t>
      </w:r>
      <w:r w:rsidRPr="00023B55">
        <w:t xml:space="preserve">, </w:t>
      </w:r>
      <w:r w:rsidRPr="00023B55">
        <w:rPr>
          <w:b/>
          <w:bCs/>
        </w:rPr>
        <w:t>efficace</w:t>
      </w:r>
      <w:r w:rsidRPr="00023B55">
        <w:t xml:space="preserve"> et </w:t>
      </w:r>
      <w:r w:rsidRPr="00023B55">
        <w:rPr>
          <w:b/>
          <w:bCs/>
        </w:rPr>
        <w:t>évolutif</w:t>
      </w:r>
      <w:r w:rsidRPr="00023B55">
        <w:t xml:space="preserve"> permettant de mettre la technologie au service du développement durable. Depuis sa création, le SMSI constitue un cadre permettant d'aborder les défis et les possibilités que présente l'ère numérique. Une collaboration inclusive entre les parties prenantes garantit la prise en compte de points de vue divers, et permet ainsi d'améliorer l'efficacité et la durabilité des initiatives liées aux technologies.</w:t>
      </w:r>
    </w:p>
    <w:p w14:paraId="0F429B27" w14:textId="77777777" w:rsidR="007412AE" w:rsidRPr="00023B55" w:rsidRDefault="007412AE" w:rsidP="00F52608">
      <w:pPr>
        <w:jc w:val="both"/>
      </w:pPr>
      <w:r w:rsidRPr="00023B55">
        <w:t>Le cadre du SMSI n'est pas statique; il évolue de manière à permettre de relever les défis qui se font jour et de tirer parti de nouvelles possibilités. Au fil des années, le SMSI s'est adapté à l'IA, à l'IoT et aux réseaux 5G. En actualisant constamment ses stratégies et ses plans d'action, le SMSI continue d'agir de façon pertinente et efficace en faveur de l'inclusion numérique, de la cybersécurité et du développement pour tous.</w:t>
      </w:r>
    </w:p>
    <w:p w14:paraId="0946E909" w14:textId="77777777" w:rsidR="007412AE" w:rsidRPr="00023B55" w:rsidRDefault="007412AE" w:rsidP="00F52608">
      <w:pPr>
        <w:jc w:val="both"/>
      </w:pPr>
      <w:r w:rsidRPr="00023B55">
        <w:t xml:space="preserve">Le </w:t>
      </w:r>
      <w:r w:rsidRPr="00023B55">
        <w:rPr>
          <w:b/>
          <w:bCs/>
        </w:rPr>
        <w:t>Pacte numérique mondial</w:t>
      </w:r>
      <w:r w:rsidRPr="00023B55">
        <w:t>, adopté en même temps que le Pacte pour l'avenir lors du Sommet de l'avenir des Nations Unies tenu en 2024, s'aligne étroitement sur les principes du SMSI. Le Pacte et le SMSI mettent tous les deux l'accent sur l'importance de la connectivité universelle, de l'inclusion numérique et de la collaboration multi-parties prenantes.</w:t>
      </w:r>
    </w:p>
    <w:p w14:paraId="0066A4C9" w14:textId="77777777" w:rsidR="007412AE" w:rsidRPr="00023B55" w:rsidRDefault="007412AE" w:rsidP="00F52608">
      <w:pPr>
        <w:jc w:val="both"/>
      </w:pPr>
      <w:r w:rsidRPr="00023B55">
        <w:t>À mesure que le SMSI progressera après 2025, il continuera de soutenir la mise en œuvre du Pacte numérique mondial, en garantissant que les efforts déployés en matière de transformation numérique soient coordonnés et alignés sur les priorités mondiales.</w:t>
      </w:r>
    </w:p>
    <w:p w14:paraId="7CCC746E" w14:textId="77777777" w:rsidR="007412AE" w:rsidRPr="00023B55" w:rsidRDefault="007412AE" w:rsidP="00F52608">
      <w:pPr>
        <w:jc w:val="both"/>
      </w:pPr>
      <w:r w:rsidRPr="00023B55">
        <w:t>L'</w:t>
      </w:r>
      <w:r w:rsidRPr="00023B55">
        <w:rPr>
          <w:b/>
          <w:bCs/>
        </w:rPr>
        <w:t>examen du SMSI+20</w:t>
      </w:r>
      <w:r w:rsidRPr="00023B55">
        <w:t xml:space="preserve"> qui aura lieu fin 2025 permettra de procéder à une évaluation complète des résultats obtenus jusqu'à présent. Cet examen s'accompagnera de contributions de toutes les parties prenantes, notamment des pouvoirs publics, des organisations internationales, des entités du secteur privé et de la société civile, afin d'identifier les réussites, les défis et les points à améliorer pour veiller à ce que le SMSI continue d'agir en faveur d'une transformation numérique concrète.</w:t>
      </w:r>
    </w:p>
    <w:p w14:paraId="4A9B8FC1" w14:textId="77777777" w:rsidR="007412AE" w:rsidRPr="00023B55" w:rsidRDefault="007412AE" w:rsidP="00F52608">
      <w:pPr>
        <w:keepNext/>
        <w:keepLines/>
        <w:jc w:val="both"/>
      </w:pPr>
      <w:r w:rsidRPr="00023B55">
        <w:t>Les domaines d'action de l'examen du SMSI+20 portent sur:</w:t>
      </w:r>
    </w:p>
    <w:p w14:paraId="4CE6C7A3" w14:textId="77777777" w:rsidR="007412AE" w:rsidRPr="00023B55" w:rsidRDefault="007412AE" w:rsidP="00F52608">
      <w:pPr>
        <w:pStyle w:val="enumlev1"/>
        <w:keepNext/>
        <w:keepLines/>
        <w:jc w:val="both"/>
      </w:pPr>
      <w:r w:rsidRPr="00023B55">
        <w:t>–</w:t>
      </w:r>
      <w:r w:rsidRPr="00023B55">
        <w:tab/>
        <w:t xml:space="preserve">une </w:t>
      </w:r>
      <w:r w:rsidRPr="00023B55">
        <w:rPr>
          <w:b/>
          <w:bCs/>
        </w:rPr>
        <w:t>connectivité universelle et efficace</w:t>
      </w:r>
      <w:r w:rsidRPr="00023B55">
        <w:t>: évaluer les progrès accomplis dans le déploiement de l'infrastructure de connectivité pour tous et la réduction de la fracture numérique à l'échelle mondiale;</w:t>
      </w:r>
    </w:p>
    <w:p w14:paraId="4C85A0F7" w14:textId="77777777" w:rsidR="007412AE" w:rsidRPr="00023B55" w:rsidRDefault="007412AE" w:rsidP="00F52608">
      <w:pPr>
        <w:pStyle w:val="enumlev1"/>
        <w:jc w:val="both"/>
      </w:pPr>
      <w:r w:rsidRPr="00023B55">
        <w:t>–</w:t>
      </w:r>
      <w:r w:rsidRPr="00023B55">
        <w:tab/>
        <w:t xml:space="preserve">le </w:t>
      </w:r>
      <w:r w:rsidRPr="00023B55">
        <w:rPr>
          <w:b/>
          <w:bCs/>
        </w:rPr>
        <w:t>renforcement des capacités et les compétences numériques</w:t>
      </w:r>
      <w:r w:rsidRPr="00023B55">
        <w:t>: évaluer les initiatives visant à promouvoir le renforcement des capacités et les compétences numériques, en assurant à tous un accès aux technologies numériques;</w:t>
      </w:r>
    </w:p>
    <w:p w14:paraId="3D7CFB06" w14:textId="77777777" w:rsidR="007412AE" w:rsidRPr="00023B55" w:rsidRDefault="007412AE" w:rsidP="00F52608">
      <w:pPr>
        <w:pStyle w:val="enumlev1"/>
        <w:jc w:val="both"/>
      </w:pPr>
      <w:r w:rsidRPr="00023B55">
        <w:t>–</w:t>
      </w:r>
      <w:r w:rsidRPr="00023B55">
        <w:tab/>
        <w:t xml:space="preserve">la </w:t>
      </w:r>
      <w:r w:rsidRPr="00023B55">
        <w:rPr>
          <w:b/>
          <w:bCs/>
        </w:rPr>
        <w:t>cybersécurité</w:t>
      </w:r>
      <w:r w:rsidRPr="00023B55">
        <w:t>: passer en revue les efforts consentis pour améliorer la cybersécurité et établir un climat de confiance dans l'utilisation des technologies numériques;</w:t>
      </w:r>
    </w:p>
    <w:p w14:paraId="7EB6E01B" w14:textId="77777777" w:rsidR="007412AE" w:rsidRPr="00023B55" w:rsidRDefault="007412AE" w:rsidP="00F52608">
      <w:pPr>
        <w:pStyle w:val="enumlev1"/>
        <w:jc w:val="both"/>
      </w:pPr>
      <w:r w:rsidRPr="00023B55">
        <w:t>–</w:t>
      </w:r>
      <w:r w:rsidRPr="00023B55">
        <w:tab/>
        <w:t xml:space="preserve">les </w:t>
      </w:r>
      <w:r w:rsidRPr="00023B55">
        <w:rPr>
          <w:b/>
          <w:bCs/>
        </w:rPr>
        <w:t>technologies émergentes</w:t>
      </w:r>
      <w:r w:rsidRPr="00023B55">
        <w:t>: relever les défis et saisir les possibilités en ce qui concerne les technologies émergentes pour assurer le développement numérique;</w:t>
      </w:r>
    </w:p>
    <w:p w14:paraId="48C05E39" w14:textId="77777777" w:rsidR="007412AE" w:rsidRPr="00023B55" w:rsidRDefault="007412AE" w:rsidP="00F52608">
      <w:pPr>
        <w:pStyle w:val="enumlev1"/>
        <w:jc w:val="both"/>
      </w:pPr>
      <w:r w:rsidRPr="00023B55">
        <w:t>–</w:t>
      </w:r>
      <w:r w:rsidRPr="00023B55">
        <w:tab/>
        <w:t xml:space="preserve">la </w:t>
      </w:r>
      <w:r w:rsidRPr="00023B55">
        <w:rPr>
          <w:b/>
          <w:bCs/>
        </w:rPr>
        <w:t>coopération numérique</w:t>
      </w:r>
      <w:r w:rsidRPr="00023B55">
        <w:t>: renforcer les partenariats et coordonner les efforts déployés au plan mondial;</w:t>
      </w:r>
    </w:p>
    <w:p w14:paraId="16EB98A3" w14:textId="77777777" w:rsidR="007412AE" w:rsidRPr="00023B55" w:rsidRDefault="007412AE" w:rsidP="00F52608">
      <w:pPr>
        <w:pStyle w:val="enumlev1"/>
        <w:jc w:val="both"/>
      </w:pPr>
      <w:r w:rsidRPr="00023B55">
        <w:t>–</w:t>
      </w:r>
      <w:r w:rsidRPr="00023B55">
        <w:tab/>
        <w:t xml:space="preserve">une </w:t>
      </w:r>
      <w:r w:rsidRPr="00023B55">
        <w:rPr>
          <w:b/>
          <w:bCs/>
        </w:rPr>
        <w:t>utilisation durable des technologies</w:t>
      </w:r>
      <w:r w:rsidRPr="00023B55">
        <w:t>: analyser les incidences des technologies sur les objectifs mondiaux.</w:t>
      </w:r>
    </w:p>
    <w:p w14:paraId="674B5637" w14:textId="77777777" w:rsidR="007412AE" w:rsidRPr="00023B55" w:rsidRDefault="007412AE" w:rsidP="00F52608">
      <w:pPr>
        <w:jc w:val="both"/>
      </w:pPr>
      <w:r w:rsidRPr="00023B55">
        <w:t>L'examen mettra également en évidence les bonnes pratiques et les projets réussis, en donnant des informations précieuses pour les initiatives futures. En tirant les enseignements des expériences passées, le SMSI peut affiner ses stratégies et continuer à stimuler efficacement le développement numérique.</w:t>
      </w:r>
    </w:p>
    <w:p w14:paraId="5037743D" w14:textId="77777777" w:rsidR="007412AE" w:rsidRPr="00023B55" w:rsidRDefault="007412AE" w:rsidP="00F52608">
      <w:pPr>
        <w:pStyle w:val="Headingb"/>
        <w:jc w:val="both"/>
      </w:pPr>
      <w:r w:rsidRPr="00023B55">
        <w:lastRenderedPageBreak/>
        <w:t>Orientations et recommandations pour l'avenir</w:t>
      </w:r>
    </w:p>
    <w:p w14:paraId="7A733674" w14:textId="77777777" w:rsidR="007412AE" w:rsidRPr="00023B55" w:rsidRDefault="007412AE" w:rsidP="00F52608">
      <w:pPr>
        <w:jc w:val="both"/>
      </w:pPr>
      <w:r w:rsidRPr="00023B55">
        <w:t>La collaboration, l'innovation et la planification stratégique demeurent essentielles pour concrétiser la vision du SMSI d'un avenir numérique connecté et inclusif.</w:t>
      </w:r>
    </w:p>
    <w:p w14:paraId="30FCE85E" w14:textId="77777777" w:rsidR="007412AE" w:rsidRPr="00023B55" w:rsidRDefault="007412AE" w:rsidP="00F52608">
      <w:pPr>
        <w:jc w:val="both"/>
      </w:pPr>
      <w:r w:rsidRPr="00023B55">
        <w:t>Compte tenu des instructions données par les membres de l'UIT et des consultations menées par le biais de plates-formes multi-parties prenantes telles que le Forum du SMSI et le FGI, les principales priorités pour les années à venir pourraient être les suivantes:</w:t>
      </w:r>
    </w:p>
    <w:p w14:paraId="716B2B19" w14:textId="77777777" w:rsidR="007412AE" w:rsidRPr="00023B55" w:rsidRDefault="007412AE" w:rsidP="00F52608">
      <w:pPr>
        <w:pStyle w:val="enumlev1"/>
        <w:jc w:val="both"/>
        <w:rPr>
          <w:b/>
          <w:bCs/>
        </w:rPr>
      </w:pPr>
      <w:r w:rsidRPr="00023B55">
        <w:rPr>
          <w:b/>
          <w:bCs/>
        </w:rPr>
        <w:t>1)</w:t>
      </w:r>
      <w:r w:rsidRPr="00023B55">
        <w:rPr>
          <w:b/>
          <w:bCs/>
        </w:rPr>
        <w:tab/>
        <w:t>Renforcer la mobilisation des multi-parties prenantes</w:t>
      </w:r>
    </w:p>
    <w:p w14:paraId="37614CD4" w14:textId="77777777" w:rsidR="007412AE" w:rsidRPr="00023B55" w:rsidRDefault="007412AE" w:rsidP="00F52608">
      <w:pPr>
        <w:pStyle w:val="enumlev2"/>
        <w:jc w:val="both"/>
      </w:pPr>
      <w:r w:rsidRPr="00023B55">
        <w:t>–</w:t>
      </w:r>
      <w:r w:rsidRPr="00023B55">
        <w:tab/>
        <w:t>Insister sur l'importance des approches inclusives et participatives pour s'assurer de prendre en considération des points de vue divers dans l'élaboration des politiques numériques.</w:t>
      </w:r>
    </w:p>
    <w:p w14:paraId="2ACD267A" w14:textId="77777777" w:rsidR="007412AE" w:rsidRPr="00023B55" w:rsidRDefault="007412AE" w:rsidP="00F52608">
      <w:pPr>
        <w:pStyle w:val="enumlev2"/>
        <w:jc w:val="both"/>
      </w:pPr>
      <w:r w:rsidRPr="00023B55">
        <w:t>–</w:t>
      </w:r>
      <w:r w:rsidRPr="00023B55">
        <w:tab/>
        <w:t>Encourager la collaboration entre les pouvoirs publics, les entités du secteur privé, la communauté technique, les établissements universitaires, les organisations de la société civile et les organisations internationales pour relever les défis technologiques mondiaux.</w:t>
      </w:r>
    </w:p>
    <w:p w14:paraId="1B49D869" w14:textId="77777777" w:rsidR="007412AE" w:rsidRPr="00023B55" w:rsidRDefault="007412AE" w:rsidP="00F52608">
      <w:pPr>
        <w:pStyle w:val="enumlev1"/>
        <w:jc w:val="both"/>
        <w:rPr>
          <w:b/>
          <w:bCs/>
        </w:rPr>
      </w:pPr>
      <w:r w:rsidRPr="00023B55">
        <w:rPr>
          <w:b/>
          <w:bCs/>
        </w:rPr>
        <w:t>2)</w:t>
      </w:r>
      <w:r w:rsidRPr="00023B55">
        <w:rPr>
          <w:b/>
          <w:bCs/>
        </w:rPr>
        <w:tab/>
        <w:t>Renforcer la connectivité et l'inclusion numérique</w:t>
      </w:r>
    </w:p>
    <w:p w14:paraId="7AFFEF8F" w14:textId="77777777" w:rsidR="007412AE" w:rsidRPr="00023B55" w:rsidRDefault="007412AE" w:rsidP="00F52608">
      <w:pPr>
        <w:pStyle w:val="enumlev2"/>
        <w:jc w:val="both"/>
      </w:pPr>
      <w:r w:rsidRPr="00023B55">
        <w:t>–</w:t>
      </w:r>
      <w:r w:rsidRPr="00023B55">
        <w:tab/>
        <w:t>Donner la priorité aux activités visant à réduire la fracture numérique en élargissant l'accès au large bande et en encourageant la maîtrise des outils numériques.</w:t>
      </w:r>
    </w:p>
    <w:p w14:paraId="479642BA" w14:textId="77777777" w:rsidR="007412AE" w:rsidRPr="00023B55" w:rsidRDefault="007412AE" w:rsidP="00F52608">
      <w:pPr>
        <w:pStyle w:val="enumlev2"/>
        <w:jc w:val="both"/>
      </w:pPr>
      <w:r w:rsidRPr="00023B55">
        <w:t>–</w:t>
      </w:r>
      <w:r w:rsidRPr="00023B55">
        <w:tab/>
        <w:t>Appuyer les initiatives qui offrent des possibilités numériques abordables et efficaces aux communautés mal desservies et marginalisées.</w:t>
      </w:r>
    </w:p>
    <w:p w14:paraId="6A8AA41F" w14:textId="77777777" w:rsidR="007412AE" w:rsidRPr="00023B55" w:rsidRDefault="007412AE" w:rsidP="00F52608">
      <w:pPr>
        <w:pStyle w:val="enumlev1"/>
        <w:keepNext/>
        <w:keepLines/>
        <w:jc w:val="both"/>
        <w:rPr>
          <w:b/>
          <w:bCs/>
        </w:rPr>
      </w:pPr>
      <w:r w:rsidRPr="00023B55">
        <w:rPr>
          <w:b/>
          <w:bCs/>
        </w:rPr>
        <w:t>3)</w:t>
      </w:r>
      <w:r w:rsidRPr="00023B55">
        <w:rPr>
          <w:b/>
          <w:bCs/>
        </w:rPr>
        <w:tab/>
        <w:t>Promouvoir l'innovation et les technologies émergentes</w:t>
      </w:r>
    </w:p>
    <w:p w14:paraId="63C72F32" w14:textId="77777777" w:rsidR="007412AE" w:rsidRPr="00023B55" w:rsidRDefault="007412AE" w:rsidP="00F52608">
      <w:pPr>
        <w:pStyle w:val="enumlev2"/>
        <w:keepNext/>
        <w:keepLines/>
        <w:jc w:val="both"/>
      </w:pPr>
      <w:r w:rsidRPr="00023B55">
        <w:t>–</w:t>
      </w:r>
      <w:r w:rsidRPr="00023B55">
        <w:tab/>
        <w:t>Encourager l'innovation dans des domaines tels que l'IA, la chaîne de blocs et l'IoT pour favoriser le développement durable.</w:t>
      </w:r>
    </w:p>
    <w:p w14:paraId="6B6A8D9E" w14:textId="77777777" w:rsidR="007412AE" w:rsidRPr="00023B55" w:rsidRDefault="007412AE" w:rsidP="00F52608">
      <w:pPr>
        <w:pStyle w:val="enumlev2"/>
        <w:jc w:val="both"/>
      </w:pPr>
      <w:r w:rsidRPr="00023B55">
        <w:t>–</w:t>
      </w:r>
      <w:r w:rsidRPr="00023B55">
        <w:tab/>
        <w:t>Élaborer des cadres et des normes pour assurer l'utilisation responsable et éthique des technologies émergentes.</w:t>
      </w:r>
    </w:p>
    <w:p w14:paraId="71C7DB49" w14:textId="77777777" w:rsidR="007412AE" w:rsidRPr="00023B55" w:rsidRDefault="007412AE" w:rsidP="00F52608">
      <w:pPr>
        <w:pStyle w:val="enumlev1"/>
        <w:keepNext/>
        <w:keepLines/>
        <w:jc w:val="both"/>
        <w:rPr>
          <w:b/>
          <w:bCs/>
        </w:rPr>
      </w:pPr>
      <w:r w:rsidRPr="00023B55">
        <w:rPr>
          <w:b/>
          <w:bCs/>
        </w:rPr>
        <w:t>4)</w:t>
      </w:r>
      <w:r w:rsidRPr="00023B55">
        <w:rPr>
          <w:b/>
          <w:bCs/>
        </w:rPr>
        <w:tab/>
        <w:t>Renforcer la cybersécurité et la protection des données</w:t>
      </w:r>
    </w:p>
    <w:p w14:paraId="1B346726" w14:textId="77777777" w:rsidR="007412AE" w:rsidRPr="00023B55" w:rsidRDefault="007412AE" w:rsidP="00F52608">
      <w:pPr>
        <w:pStyle w:val="enumlev2"/>
        <w:keepNext/>
        <w:keepLines/>
        <w:jc w:val="both"/>
      </w:pPr>
      <w:r w:rsidRPr="00023B55">
        <w:t>–</w:t>
      </w:r>
      <w:r w:rsidRPr="00023B55">
        <w:tab/>
        <w:t>Renforcer la coopération mondiale en vue de créer des cadres de cybersécurité robustes et de protéger l'infrastructure et les données numériques.</w:t>
      </w:r>
    </w:p>
    <w:p w14:paraId="4465D85F" w14:textId="77777777" w:rsidR="007412AE" w:rsidRPr="00023B55" w:rsidRDefault="007412AE" w:rsidP="00F52608">
      <w:pPr>
        <w:pStyle w:val="enumlev2"/>
        <w:jc w:val="both"/>
      </w:pPr>
      <w:r w:rsidRPr="00023B55">
        <w:t>–</w:t>
      </w:r>
      <w:r w:rsidRPr="00023B55">
        <w:tab/>
        <w:t>Promouvoir les bonnes pratiques et les initiatives de renforcement des capacités pour améliorer la résilience en matière de cybersécurité.</w:t>
      </w:r>
    </w:p>
    <w:p w14:paraId="122A9DDD" w14:textId="77777777" w:rsidR="007412AE" w:rsidRPr="00023B55" w:rsidRDefault="007412AE" w:rsidP="00F52608">
      <w:pPr>
        <w:pStyle w:val="enumlev1"/>
        <w:jc w:val="both"/>
        <w:rPr>
          <w:b/>
          <w:bCs/>
        </w:rPr>
      </w:pPr>
      <w:r w:rsidRPr="00023B55">
        <w:rPr>
          <w:b/>
          <w:bCs/>
        </w:rPr>
        <w:t>5)</w:t>
      </w:r>
      <w:r w:rsidRPr="00023B55">
        <w:rPr>
          <w:b/>
          <w:bCs/>
        </w:rPr>
        <w:tab/>
        <w:t>Soutenir le développement mondial durable</w:t>
      </w:r>
    </w:p>
    <w:p w14:paraId="07F6E99A" w14:textId="77777777" w:rsidR="007412AE" w:rsidRPr="00023B55" w:rsidRDefault="007412AE" w:rsidP="00F52608">
      <w:pPr>
        <w:pStyle w:val="enumlev2"/>
        <w:jc w:val="both"/>
      </w:pPr>
      <w:r w:rsidRPr="00023B55">
        <w:t>–</w:t>
      </w:r>
      <w:r w:rsidRPr="00023B55">
        <w:tab/>
        <w:t>Aligner les initiatives du SMSI sur les objectifs mondiaux pour faire en sorte que les technologies numériques contribuent efficacement au développement durable.</w:t>
      </w:r>
    </w:p>
    <w:p w14:paraId="266C62E8" w14:textId="77777777" w:rsidR="007412AE" w:rsidRPr="00023B55" w:rsidRDefault="007412AE" w:rsidP="00F52608">
      <w:pPr>
        <w:pStyle w:val="enumlev2"/>
        <w:jc w:val="both"/>
      </w:pPr>
      <w:r w:rsidRPr="00023B55">
        <w:t>–</w:t>
      </w:r>
      <w:r w:rsidRPr="00023B55">
        <w:tab/>
        <w:t>Encourager l'intégration des technologies numériques dans les stratégies et politiques nationales de développement.</w:t>
      </w:r>
    </w:p>
    <w:p w14:paraId="271B2D55" w14:textId="77777777" w:rsidR="007412AE" w:rsidRPr="00023B55" w:rsidRDefault="007412AE" w:rsidP="00F52608">
      <w:pPr>
        <w:jc w:val="both"/>
      </w:pPr>
      <w:r w:rsidRPr="00023B55">
        <w:t>Alors que la transformation numérique s'accélère, le processus du SMSI demeure un mécanisme essentiel et à l'épreuve du temps pour promouvoir un développement numérique inclusif. Le SMSI offre un cadre pratique et multi-parties prenantes qui fait le lien entre les politiques et la mise en œuvre dans toutes les régions et tous les secteurs. L'UIT s'efforce de continuer à jouer un rôle central pour que les ambitions affichées dans le domaine du numérique suscitent des retombées mondiales, grâce à une expertise technique, à des partenariats de confiance et à un mandat fédérateur solide.</w:t>
      </w:r>
    </w:p>
    <w:p w14:paraId="58A6E18E" w14:textId="77777777" w:rsidR="007412AE" w:rsidRPr="00023B55" w:rsidRDefault="007412AE" w:rsidP="00F52608">
      <w:pPr>
        <w:jc w:val="both"/>
      </w:pPr>
      <w:r w:rsidRPr="00023B55">
        <w:lastRenderedPageBreak/>
        <w:t>À l'avenir, le SMSI, sous la direction de l'UIT et de ses partenaires, est prêt à continuer de guider les efforts consentis dans le monde pour réduire la fracture numérique, promouvoir une connectivité efficace et faire en sorte que les technologies émergentes soient au service des populations, de la prospérité et de la planète.</w:t>
      </w:r>
    </w:p>
    <w:p w14:paraId="1527EFF6" w14:textId="77777777" w:rsidR="007412AE" w:rsidRPr="00023B55" w:rsidRDefault="007412AE" w:rsidP="007412AE">
      <w:pPr>
        <w:tabs>
          <w:tab w:val="clear" w:pos="567"/>
          <w:tab w:val="clear" w:pos="1134"/>
          <w:tab w:val="clear" w:pos="1701"/>
          <w:tab w:val="clear" w:pos="2268"/>
          <w:tab w:val="clear" w:pos="2835"/>
        </w:tabs>
        <w:overflowPunct/>
        <w:autoSpaceDE/>
        <w:autoSpaceDN/>
        <w:adjustRightInd/>
        <w:spacing w:before="0"/>
        <w:textAlignment w:val="auto"/>
      </w:pPr>
      <w:r w:rsidRPr="00023B55">
        <w:br w:type="page"/>
      </w:r>
    </w:p>
    <w:p w14:paraId="382D6F02" w14:textId="77777777" w:rsidR="007412AE" w:rsidRPr="00023B55" w:rsidRDefault="007412AE" w:rsidP="007412AE">
      <w:pPr>
        <w:pStyle w:val="Chaptitle"/>
        <w:jc w:val="left"/>
        <w:rPr>
          <w:color w:val="0F4761"/>
          <w:sz w:val="40"/>
          <w:szCs w:val="40"/>
        </w:rPr>
      </w:pPr>
      <w:bookmarkStart w:id="6" w:name="_Toc200377657"/>
      <w:r w:rsidRPr="00023B55">
        <w:rPr>
          <w:color w:val="0F4761"/>
          <w:sz w:val="40"/>
          <w:szCs w:val="40"/>
        </w:rPr>
        <w:lastRenderedPageBreak/>
        <w:t>Partie III – Rapport détaillé du Rapport sur le SMSI+20 intitulé "Bâtir un avenir numérique pour tous"</w:t>
      </w:r>
      <w:bookmarkEnd w:id="6"/>
    </w:p>
    <w:p w14:paraId="420873DF" w14:textId="77777777" w:rsidR="007412AE" w:rsidRPr="00023B55" w:rsidRDefault="007412AE" w:rsidP="007412AE">
      <w:pPr>
        <w:pStyle w:val="Parttitle"/>
        <w:jc w:val="left"/>
        <w:rPr>
          <w:color w:val="0F4761"/>
          <w:sz w:val="32"/>
          <w:szCs w:val="32"/>
        </w:rPr>
      </w:pPr>
      <w:bookmarkStart w:id="7" w:name="_Toc200377658"/>
      <w:r w:rsidRPr="00023B55">
        <w:rPr>
          <w:color w:val="0F4761"/>
          <w:sz w:val="32"/>
          <w:szCs w:val="32"/>
        </w:rPr>
        <w:t>Partie 1 – Comment tout a commencé</w:t>
      </w:r>
      <w:bookmarkEnd w:id="7"/>
    </w:p>
    <w:p w14:paraId="59520B2D" w14:textId="77777777" w:rsidR="007412AE" w:rsidRPr="00023B55" w:rsidRDefault="007412AE" w:rsidP="00F52608">
      <w:pPr>
        <w:jc w:val="both"/>
      </w:pPr>
      <w:r w:rsidRPr="00023B55">
        <w:t>Alors que les technologies numériques commençaient à transformer les sociétés et les économies à l'échelle mondiale, il est devenu évident qu'une coopération mondiale était nécessaire pour saisir les possibilités et relever les défis de ce paysage en évolution. Consciente de la fracture numérique croissante et de la nécessité d'apporter des réponses inclusives et coordonnées, la communauté internationale s'est réunie dans le cadre du SMSI. L'accès équitable de tous à l'Internet, ainsi que la gamme croissante d'applications associées, sont devenus des éléments primordiaux pour garantir que la "société de l'information" en plein essor ne laisse personne de côté. C'est pourquoi les pays du monde entier ont accueilli favorablement le concept du SMSI proposé par la Tunisie lors de la Conférence de plénipotentiaires de l'UIT en 1998, au cours de laquelle les États Membres de l'Union ont adopté une résolution leur demandant de commencer à organiser la nouvelle série de sommets</w:t>
      </w:r>
      <w:r w:rsidRPr="00023B55">
        <w:rPr>
          <w:rStyle w:val="FootnoteReference"/>
        </w:rPr>
        <w:footnoteReference w:id="4"/>
      </w:r>
      <w:r w:rsidRPr="00023B55">
        <w:t>.</w:t>
      </w:r>
    </w:p>
    <w:p w14:paraId="3B839D08" w14:textId="77777777" w:rsidR="007412AE" w:rsidRPr="00023B55" w:rsidRDefault="007412AE" w:rsidP="00F52608">
      <w:pPr>
        <w:jc w:val="both"/>
      </w:pPr>
      <w:r w:rsidRPr="00023B55">
        <w:t>L'Assemblée générale des Nations Unies a entériné le mécanisme du SMSI en 2001</w:t>
      </w:r>
      <w:r w:rsidRPr="00023B55">
        <w:rPr>
          <w:rStyle w:val="FootnoteReference"/>
        </w:rPr>
        <w:footnoteReference w:id="5"/>
      </w:r>
      <w:r w:rsidRPr="00023B55">
        <w:t>, ouvrant la voie au sommet historique en deux phases tenu à Genève en 2003</w:t>
      </w:r>
      <w:r w:rsidRPr="00023B55">
        <w:rPr>
          <w:rStyle w:val="FootnoteReference"/>
        </w:rPr>
        <w:footnoteReference w:id="6"/>
      </w:r>
      <w:r w:rsidRPr="00023B55">
        <w:t xml:space="preserve"> et à Tunis en 2005</w:t>
      </w:r>
      <w:r w:rsidRPr="00023B55">
        <w:rPr>
          <w:rStyle w:val="FootnoteReference"/>
        </w:rPr>
        <w:footnoteReference w:id="7"/>
      </w:r>
      <w:r w:rsidRPr="00023B55">
        <w:t>. Ces premières conférences ont principalement porté sur l'infrastructure, le renforcement des capacités et la cybersécurité.</w:t>
      </w:r>
    </w:p>
    <w:p w14:paraId="432C1406" w14:textId="77777777" w:rsidR="007412AE" w:rsidRPr="00023B55" w:rsidRDefault="007412AE" w:rsidP="00F52608">
      <w:pPr>
        <w:jc w:val="both"/>
      </w:pPr>
      <w:r w:rsidRPr="00023B55">
        <w:t>L'UIT a assuré le secrétariat des deux phases, contribuant ainsi à façonner la vision du SMSI qui oriente depuis lors les consultations multi-parties prenantes sur les questions liées aux technologies numériques à l'échelle mondiale.</w:t>
      </w:r>
    </w:p>
    <w:p w14:paraId="0D08F509" w14:textId="77777777" w:rsidR="007412AE" w:rsidRPr="00023B55" w:rsidRDefault="007412AE" w:rsidP="00F52608">
      <w:pPr>
        <w:pStyle w:val="Heading1"/>
        <w:jc w:val="both"/>
      </w:pPr>
      <w:bookmarkStart w:id="8" w:name="_Toc200377659"/>
      <w:r w:rsidRPr="00023B55">
        <w:t>Principales étapes du SMSI</w:t>
      </w:r>
      <w:bookmarkEnd w:id="8"/>
    </w:p>
    <w:p w14:paraId="2BAD1F5B" w14:textId="77777777" w:rsidR="007412AE" w:rsidRPr="00023B55" w:rsidRDefault="007412AE" w:rsidP="00F52608">
      <w:pPr>
        <w:jc w:val="both"/>
      </w:pPr>
      <w:r w:rsidRPr="00023B55">
        <w:rPr>
          <w:b/>
          <w:bCs/>
        </w:rPr>
        <w:t>Phase de Genève (2003)</w:t>
      </w:r>
      <w:r w:rsidRPr="00023B55">
        <w:t>: la phase de Genève était axée sur l'élaboration d'une vision commune pour la société de l'information et l'établissement d'un cadre d'action. Parmi les principaux résultats obtenus, on peut citer la Déclaration de principes de Genève, qui énonce les principes fondamentaux de l'édification d'une société de l'information inclusive, et le Plan d'action de Genève.</w:t>
      </w:r>
    </w:p>
    <w:p w14:paraId="1AFE8F26" w14:textId="6888D313" w:rsidR="007412AE" w:rsidRPr="00023B55" w:rsidRDefault="007412AE" w:rsidP="00F52608">
      <w:pPr>
        <w:jc w:val="both"/>
      </w:pPr>
      <w:r w:rsidRPr="00023B55">
        <w:rPr>
          <w:b/>
          <w:bCs/>
        </w:rPr>
        <w:t>Phase de Tunis (2005)</w:t>
      </w:r>
      <w:r w:rsidRPr="00023B55">
        <w:t xml:space="preserve">: tirant parti des résultats de la phase de Genève, la phase de Tunis visait à poursuivre l'élaboration et la mise en œuvre du plan d'action, en mettant l'accent sur la réduction de la fracture numérique et la promotion des TIC pour le développement. L'Engagement de Tunis a permis de réaffirmer les principes et les objectifs établis à Genève, tandis que l'Agenda de Tunis pour la société de l'information a permis de fixer un cadre global pour la mise en œuvre des résultats du SMSI, y compris des mécanismes de suivi et d'examen. </w:t>
      </w:r>
      <w:r w:rsidRPr="00023B55">
        <w:lastRenderedPageBreak/>
        <w:t>Le FGI a également été créé à cette occasion en tant que plate-forme multi</w:t>
      </w:r>
      <w:r w:rsidRPr="00023B55">
        <w:noBreakHyphen/>
        <w:t>parties prenantes pour assurer un dialogue sur les questions de gouvernance de l'Internet.</w:t>
      </w:r>
    </w:p>
    <w:p w14:paraId="32C657FB" w14:textId="77777777" w:rsidR="007412AE" w:rsidRPr="00023B55" w:rsidRDefault="007412AE" w:rsidP="00F52608">
      <w:pPr>
        <w:jc w:val="both"/>
      </w:pPr>
      <w:r w:rsidRPr="00023B55">
        <w:rPr>
          <w:b/>
          <w:bCs/>
        </w:rPr>
        <w:t>Examen du SMSI+10 (2015)</w:t>
      </w:r>
      <w:r w:rsidRPr="00023B55">
        <w:t>: dix ans après la tenue des phases initiales du sommet, cet examen complet a permis de mettre en avant les résultats obtenus pendant cette période tels que l'essor de la connectivité mondiale et le renforcement de la coopération internationale, mais a également permis de recenser les défis actuels tels que la persistance de la fracture numérique. L'examen du SMSI+10 a essentiellement produit la nouvelle Vision du SMSI pour l'après-2015, qui souligne la nécessité d'aligner les résultats du SMSI sur les ODD, définis au cours de la même année par les Nations Unies, et de veiller à ce que les TIC contribuent à la mise en œuvre du Programme de développement durable à l'horizon 2030.</w:t>
      </w:r>
    </w:p>
    <w:p w14:paraId="7E2A1458" w14:textId="77777777" w:rsidR="007412AE" w:rsidRPr="00023B55" w:rsidRDefault="007412AE" w:rsidP="00F52608">
      <w:pPr>
        <w:jc w:val="both"/>
      </w:pPr>
      <w:r w:rsidRPr="00023B55">
        <w:rPr>
          <w:b/>
          <w:bCs/>
        </w:rPr>
        <w:t>Examen du SMSI+20 (2025)</w:t>
      </w:r>
      <w:r w:rsidRPr="00023B55">
        <w:t>: l'examen global du SMSI+20, qui sera prochainement mené en 2025, permettra d'évaluer les progrès accomplis depuis la mise en place du Plan d'action de Genève et de recenser les nouveaux enjeux et les nouvelles perspectives compte tenu de l'évolution des sociétés de l'information. L'UIT, en collaboration avec d'autres institutions du système des Nations Unies, coordonne le processus préparatoire et coopère avec les États Membres et les principales parties prenantes pour veiller à ce que les conclusions et recommandations du processus d'examen alimentent les discussions sur la gouvernance numérique mondiale et restent bien alignées sur les principaux cadres de développement et les objectifs mondiaux.</w:t>
      </w:r>
    </w:p>
    <w:p w14:paraId="2F5B5DD8" w14:textId="77777777" w:rsidR="007412AE" w:rsidRPr="00023B55" w:rsidRDefault="007412AE" w:rsidP="00F52608">
      <w:pPr>
        <w:pStyle w:val="Heading1"/>
        <w:jc w:val="both"/>
      </w:pPr>
      <w:bookmarkStart w:id="9" w:name="_Toc200377660"/>
      <w:r w:rsidRPr="00023B55">
        <w:t>Une plate-forme multi-parties prenantes</w:t>
      </w:r>
      <w:bookmarkEnd w:id="9"/>
    </w:p>
    <w:p w14:paraId="5F2BF445" w14:textId="77777777" w:rsidR="007412AE" w:rsidRPr="00023B55" w:rsidRDefault="007412AE" w:rsidP="00F52608">
      <w:pPr>
        <w:jc w:val="both"/>
      </w:pPr>
      <w:r w:rsidRPr="00023B55">
        <w:t>Le SMSI a, dès le départ, donné la priorité à la collaboration multi-parties prenantes, attendu qu'un dialogue inclusif conduit à un développement numérique plus efficace et plus durable. Les principales parties prenantes sont les pouvoirs publics, le secteur privé, la société civile, les organisations internationales et du système des Nations Unies, les établissements universitaires et les organismes techniques. L'UIT a joué un rôle central dans la mobilisation de ces divers acteurs. Comptant sur la participation de 194 États Membres et de plus de 1 000 entités du secteur privé, des établissements universitaires et des organisations internationales, l'UIT dispose d'une capacité de rassemblement unique au sein du système des Nations Unies. Son réseau mondial composé de plus de 20 000 professionnels permet de tenir des discussions opportunes et animées par des spécialistes qui façonnent le paysage numérique.</w:t>
      </w:r>
    </w:p>
    <w:p w14:paraId="3446DBE0" w14:textId="77777777" w:rsidR="007412AE" w:rsidRPr="00023B55" w:rsidRDefault="007412AE" w:rsidP="00F52608">
      <w:pPr>
        <w:jc w:val="both"/>
      </w:pPr>
      <w:r w:rsidRPr="00023B55">
        <w:t>Le processus du SMSI est le fruit d'une collaboration qui repose sur la participation active d'une multitude de parties prenantes. Les pouvoirs publics élaborent des politiques numériques, le secteur privé stimule l'innovation et l'investissement, la société civile s'engage en faveur de l'inclusion, les organisations internationales facilitent la coopération, les établissements universitaires font progresser le savoir et les organisations techniques permettent le déploiement d'infrastructures. Ensemble, ces parties prenantes contribuent à la réalisation d'un objectif commun qui vise à mettre les TIC au service du développement durable et à veiller à ce que les avantages des technologies numériques soient accessibles aux particuliers et aux communautés.</w:t>
      </w:r>
    </w:p>
    <w:p w14:paraId="1D6DEDEE" w14:textId="77777777" w:rsidR="007412AE" w:rsidRPr="00023B55" w:rsidRDefault="007412AE" w:rsidP="00F52608">
      <w:pPr>
        <w:jc w:val="both"/>
      </w:pPr>
      <w:r w:rsidRPr="00023B55">
        <w:t xml:space="preserve">Le SMSI reste une plate-forme multi-parties prenantes unique qui rassemble divers acteurs pour contribuer à l'utilisation des TIC au service du développement durable. Chaque groupe de parties prenantes joue un rôle crucial dans le processus du SMSI, en partageant leurs connaissances spécialisées, leurs ressources et leurs vues dans le but de stimuler la </w:t>
      </w:r>
      <w:r w:rsidRPr="00023B55">
        <w:lastRenderedPageBreak/>
        <w:t>transformation numérique et de réduire la fracture numérique. La présente partie met en lumière les contributions des différentes parties prenantes au processus du SMSI.</w:t>
      </w:r>
    </w:p>
    <w:p w14:paraId="1D4D76DD" w14:textId="77777777" w:rsidR="007412AE" w:rsidRPr="00023B55" w:rsidRDefault="007412AE" w:rsidP="00F52608">
      <w:pPr>
        <w:pStyle w:val="Headingb"/>
      </w:pPr>
      <w:r w:rsidRPr="00023B55">
        <w:t>Pouvoirs publics – Élaborer des politiques numériques pour un développement inclusif</w:t>
      </w:r>
    </w:p>
    <w:p w14:paraId="3FD5C6FD" w14:textId="77777777" w:rsidR="007412AE" w:rsidRPr="00023B55" w:rsidRDefault="007412AE" w:rsidP="00F52608">
      <w:pPr>
        <w:jc w:val="both"/>
      </w:pPr>
      <w:r w:rsidRPr="00023B55">
        <w:t>Les pouvoirs publics jouent un rôle central dans l'élaboration de politiques numériques qui favorisent un développement inclusif. Dans le cadre du processus du SMSI, ils collaborent pour définir des politiques visant à réduire la fracture numérique et à garantir un accès équitable à la technologie. Les stratégies nationales en matière de numérique, souvent élaborées conformément aux orientations définies par l'UIT, jouent un rôle déterminant dans ces travaux.</w:t>
      </w:r>
    </w:p>
    <w:p w14:paraId="073FB56D" w14:textId="77777777" w:rsidR="007412AE" w:rsidRPr="00023B55" w:rsidRDefault="007412AE" w:rsidP="00F52608">
      <w:pPr>
        <w:jc w:val="both"/>
      </w:pPr>
      <w:r w:rsidRPr="00023B55">
        <w:t>Par exemple, le Plan directeur "Smart Rwanda" du Rwanda vise à transformer le pays en une économie fondée sur le savoir en tirant parti des TIC. Les pouvoirs publics jouent également un rôle clé dans la mise en œuvre de cadres réglementaires qui favorisent l'innovation, protègent les droits des consommateurs et encouragent une concurrence loyale dans le secteur des TIC.</w:t>
      </w:r>
    </w:p>
    <w:p w14:paraId="321FBE16" w14:textId="77777777" w:rsidR="007412AE" w:rsidRPr="00023B55" w:rsidRDefault="007412AE" w:rsidP="00F52608">
      <w:pPr>
        <w:pStyle w:val="Headingb"/>
        <w:jc w:val="both"/>
      </w:pPr>
      <w:r w:rsidRPr="00023B55">
        <w:t>Secteur privé – Encourager l'innovation et l'investissement</w:t>
      </w:r>
    </w:p>
    <w:p w14:paraId="06CC2145" w14:textId="77777777" w:rsidR="007412AE" w:rsidRPr="00023B55" w:rsidRDefault="007412AE" w:rsidP="00F52608">
      <w:pPr>
        <w:jc w:val="both"/>
      </w:pPr>
      <w:r w:rsidRPr="00023B55">
        <w:t>Le secteur privé est un moteur de l'innovation et de l'investissement dans l'économie numérique. Les entreprises s'associent à l'UIT et à d'autres parties prenantes pour développer de nouvelles technologies, déployer l'infrastructure numérique et créer des solutions numériques qui répondent aux défis mondiaux. Des initiatives telles que la Coalition pour le numérique Partner2Connect illustrent ces efforts concertés, suscitant des engagements de diverses parties prenantes pour améliorer la connectivité et l'inclusion numérique, en particulier dans les régions mal desservies. L'investissement du secteur privé dans la recherche-développement, ainsi que sa capacité à développer les solutions technologiques, sont essentiels pour progresser en vue d'atteindre les objectifs du SMSI.</w:t>
      </w:r>
    </w:p>
    <w:p w14:paraId="60250E49" w14:textId="77777777" w:rsidR="007412AE" w:rsidRPr="00023B55" w:rsidRDefault="007412AE" w:rsidP="00F52608">
      <w:pPr>
        <w:jc w:val="both"/>
      </w:pPr>
      <w:r w:rsidRPr="00023B55">
        <w:t>Un autre exemple de partenariat public-privé est la Commission "Le large bande au service du développement durable", une plate-forme de haut niveau qui examine les questions les plus pertinentes en ce qui concerne la connectivité large bande à l'échelle mondiale, et élabore des recommandations axées sur la recherche d'un consensus, afin d'atteindre les </w:t>
      </w:r>
      <w:hyperlink r:id="rId178" w:history="1">
        <w:r w:rsidRPr="00023B55">
          <w:rPr>
            <w:rStyle w:val="Hyperlink"/>
            <w:rFonts w:eastAsia="Times New Roman" w:cs="Times New Roman"/>
            <w:szCs w:val="20"/>
          </w:rPr>
          <w:t>sept grands objectifs</w:t>
        </w:r>
      </w:hyperlink>
      <w:r w:rsidRPr="00023B55">
        <w:t xml:space="preserve"> fixés par la commission et de définir des modèles d'investissement innovants pour rassembler les parties prenantes privées et publiques en vue d'offrir un accès et des contenus utiles à ceux qui en ont le plus besoin.</w:t>
      </w:r>
    </w:p>
    <w:p w14:paraId="08A1E588" w14:textId="77777777" w:rsidR="007412AE" w:rsidRPr="00023B55" w:rsidRDefault="007412AE" w:rsidP="00F52608">
      <w:pPr>
        <w:jc w:val="both"/>
      </w:pPr>
      <w:r w:rsidRPr="00023B55">
        <w:t>Plus récemment, l'UIT a également lancé l'Organe consultatif international pour la résilience des câbles sous-marins, en partenariat avec le Comité international de protection des câbles (ICPC), composé de 40 dirigeants et experts des secteurs public et privé, en vue de promouvoir le dialogue et la collaboration sur les moyens possibles d'améliorer la résilience de ces infrastructures essentielles qui sont le moteur des communications et de l'économie numérique à l'échelle de la planète.</w:t>
      </w:r>
    </w:p>
    <w:p w14:paraId="45EF522C" w14:textId="77777777" w:rsidR="007412AE" w:rsidRPr="00023B55" w:rsidRDefault="007412AE" w:rsidP="00F52608">
      <w:pPr>
        <w:pStyle w:val="Headingb"/>
        <w:jc w:val="both"/>
      </w:pPr>
      <w:r w:rsidRPr="00023B55">
        <w:t>Société civile – Promouvoir l'inclusion numérique et réduire la fracture numérique</w:t>
      </w:r>
    </w:p>
    <w:p w14:paraId="09302B91" w14:textId="77777777" w:rsidR="007412AE" w:rsidRPr="00023B55" w:rsidRDefault="007412AE" w:rsidP="00F52608">
      <w:pPr>
        <w:jc w:val="both"/>
      </w:pPr>
      <w:r w:rsidRPr="00023B55">
        <w:t xml:space="preserve">Les organisations de la société civile jouent un rôle essentiel dans la promotion de l'inclusion numérique et de la réduction de la fracture numérique. Leur participation au processus du SMSI permet de faire entendre les voix des communautés marginalisées et mal desservies. Des programmes tels que la Journée internationale des jeunes filles dans le secteur des TIC soulignent l'importance de l'égalité hommes-femmes dans le monde numérique, en encourageant les filles et les jeunes femmes à faire carrière dans le secteur des TIC. Les </w:t>
      </w:r>
      <w:r w:rsidRPr="00023B55">
        <w:lastRenderedPageBreak/>
        <w:t>organisations de la société civile travaillent également sur le terrain pour mettre en œuvre des programmes d'acquisition de compétences numériques, fournir un accès aux TIC et promouvoir les droits et libertés numériques.</w:t>
      </w:r>
    </w:p>
    <w:p w14:paraId="18041B64" w14:textId="77777777" w:rsidR="007412AE" w:rsidRPr="00023B55" w:rsidRDefault="007412AE" w:rsidP="00F52608">
      <w:pPr>
        <w:pStyle w:val="Headingb"/>
        <w:jc w:val="both"/>
      </w:pPr>
      <w:r w:rsidRPr="00023B55">
        <w:t>Organisations internationales – Faciliter la coopération numérique aux niveaux mondial et régional</w:t>
      </w:r>
    </w:p>
    <w:p w14:paraId="709B8A44" w14:textId="77777777" w:rsidR="007412AE" w:rsidRPr="00023B55" w:rsidRDefault="007412AE" w:rsidP="00F52608">
      <w:pPr>
        <w:jc w:val="both"/>
      </w:pPr>
      <w:r w:rsidRPr="00023B55">
        <w:t>Des organisations internationales, dont l'UNESCO, le PNUD, la CNUCED, le DESA et la Commission des Nations Unies de la science et de la technique au service du développement (CSTD), facilitent la coopération numérique aux niveaux mondial et régional. Les activités de collaboration avec l'UIT ont contribué à faire avancer le programme du SMSI.</w:t>
      </w:r>
    </w:p>
    <w:p w14:paraId="1A1442B9" w14:textId="77777777" w:rsidR="007412AE" w:rsidRPr="00023B55" w:rsidRDefault="007412AE" w:rsidP="00F52608">
      <w:pPr>
        <w:jc w:val="both"/>
      </w:pPr>
      <w:r w:rsidRPr="00023B55">
        <w:t>Par exemple, la Commission sur le large bande, menée par l'UIT et l'UNESCO, donne des informations précieuses sur le déploiement du large bande à l'échelle mondiale et son incidence sur le développement durable. La Commission sur le large bande s'appuie sur la mobilisation des parties prenantes et des connaissances collectives pour plaider en faveur de services de communication large bande efficaces, sûrs, sécurisés et durables en tant qu'élément fondamental pour faire progresser le Programme 2030.</w:t>
      </w:r>
    </w:p>
    <w:p w14:paraId="16507BF7" w14:textId="77777777" w:rsidR="007412AE" w:rsidRPr="00023B55" w:rsidRDefault="007412AE" w:rsidP="00F52608">
      <w:pPr>
        <w:jc w:val="both"/>
      </w:pPr>
      <w:r w:rsidRPr="00023B55">
        <w:t>Un autre exemple concerne le Groupe GTI-IA du Conseil des chefs de secrétariat des organismes des Nations Unies pour la coordination – Comité de haut niveau sur les programmes, coprésidé par l'UIT et l'UNESCO, qui dirige un vaste effort de coordination entre presque 50 entités des Nations Unies et a mis au point des initiatives d'envergure, telles que l'initiative sur les principes relatifs à une utilisation éthique de l'IA dans l'ensemble du système des Nations Unies.</w:t>
      </w:r>
    </w:p>
    <w:p w14:paraId="28B07485" w14:textId="77777777" w:rsidR="007412AE" w:rsidRPr="00023B55" w:rsidRDefault="007412AE" w:rsidP="00F52608">
      <w:pPr>
        <w:jc w:val="both"/>
      </w:pPr>
      <w:r w:rsidRPr="00023B55">
        <w:t>Les organisations internationales appuient également l'élaboration de normes internationales, assurent la promotion de bonnes pratiques et fournissent une assistance technique aux pays pour la mise en œuvre d'initiatives numériques. L'UIT, par l'intermédiaire de l'UIT-R, a pour objectif de faciliter la collaboration internationale afin d'assurer une utilisation équitable, rationnelle, efficace et économique du spectre des fréquences radioélectriques et des orbites des satellites.</w:t>
      </w:r>
    </w:p>
    <w:p w14:paraId="1472D83A" w14:textId="77777777" w:rsidR="007412AE" w:rsidRPr="00023B55" w:rsidRDefault="007412AE" w:rsidP="00F52608">
      <w:pPr>
        <w:pStyle w:val="Headingb"/>
        <w:jc w:val="both"/>
      </w:pPr>
      <w:r w:rsidRPr="00023B55">
        <w:t>Établissements universitaires – Améliorer les connaissances et faire progresser la recherche sur la transformation numérique</w:t>
      </w:r>
    </w:p>
    <w:p w14:paraId="14DDEE9B" w14:textId="77777777" w:rsidR="007412AE" w:rsidRPr="00023B55" w:rsidRDefault="007412AE" w:rsidP="00F52608">
      <w:pPr>
        <w:jc w:val="both"/>
      </w:pPr>
      <w:r w:rsidRPr="00023B55">
        <w:t>Les établissements universitaires contribuent au processus du SMSI en faisant progresser la recherche et en améliorant les connaissances sur la transformation numérique. Leurs vues aident à élaborer des politiques et des stratégies qui favorisent le développement numérique durable. Les initiatives de recherche appuyées par l'UIT fournissent des données et des analyses précieuses sur les tendances numériques émergentes. Ces établissements jouent également un rôle crucial dans l'acquisition de compétences numériques et la promotion de l'innovation par le biais de programmes d'éducation et de formation.</w:t>
      </w:r>
    </w:p>
    <w:p w14:paraId="2117795E" w14:textId="77777777" w:rsidR="007412AE" w:rsidRPr="00023B55" w:rsidRDefault="007412AE" w:rsidP="00F52608">
      <w:pPr>
        <w:pStyle w:val="Headingb"/>
        <w:jc w:val="both"/>
      </w:pPr>
      <w:r w:rsidRPr="00023B55">
        <w:t>Organisations techniques – Permettre le déploiement de l'infrastructure numérique</w:t>
      </w:r>
    </w:p>
    <w:p w14:paraId="1C97C273" w14:textId="77777777" w:rsidR="007412AE" w:rsidRPr="00023B55" w:rsidRDefault="007412AE" w:rsidP="00F52608">
      <w:pPr>
        <w:jc w:val="both"/>
      </w:pPr>
      <w:r w:rsidRPr="00023B55">
        <w:t>Les organisations techniques jouent un rôle essentiel dans le déploiement de l'infrastructure numérique. Leurs connaissances spécialisées aident à veiller à ce que les technologies développées soient fiables, sécurisées et accessibles à tous. Les travaux de normalisation de l'UIT, qui portent sur l'élaboration de normes techniques pour les TIC, sont essentiels à cet égard.</w:t>
      </w:r>
    </w:p>
    <w:p w14:paraId="050B6B35" w14:textId="77777777" w:rsidR="007412AE" w:rsidRPr="00023B55" w:rsidRDefault="007412AE" w:rsidP="00F52608">
      <w:pPr>
        <w:jc w:val="both"/>
      </w:pPr>
      <w:r w:rsidRPr="00023B55">
        <w:t xml:space="preserve">Les commissions d'études de l'UIT-T rassemblent des spécialistes du monde entier dans le but d'élaborer des normes qui garantissent l'interopérabilité et la sécurité des systèmes TIC. Les </w:t>
      </w:r>
      <w:r w:rsidRPr="00023B55">
        <w:lastRenderedPageBreak/>
        <w:t>organisations techniques fournissent également un appui technique et des services de renforcement des capacités aux pays, les aidant à développer et à maintenir une infrastructure TIC solide.</w:t>
      </w:r>
    </w:p>
    <w:p w14:paraId="221C70ED" w14:textId="77777777" w:rsidR="007412AE" w:rsidRPr="00023B55" w:rsidRDefault="007412AE" w:rsidP="00F52608">
      <w:pPr>
        <w:jc w:val="both"/>
      </w:pPr>
      <w:r w:rsidRPr="00023B55">
        <w:t xml:space="preserve">Les commissions d'études de l'UIT-R élaborent les bases techniques des décisions qui sont prises aux </w:t>
      </w:r>
      <w:hyperlink r:id="rId179" w:history="1">
        <w:r w:rsidRPr="00023B55">
          <w:rPr>
            <w:rStyle w:val="Hyperlink"/>
            <w:rFonts w:eastAsia="Times New Roman" w:cs="Times New Roman"/>
            <w:szCs w:val="20"/>
          </w:rPr>
          <w:t>Conférences mondiales des radiocommunications</w:t>
        </w:r>
      </w:hyperlink>
      <w:r w:rsidRPr="00023B55">
        <w:t xml:space="preserve"> ainsi que des normes internationales (Recommandations), des Rapports et des Manuels sur les questions de radiocommunication visant à déployer l'infrastructure numérique. Plus de 5 000 spécialistes, issus d'administrations, du secteur des télécommunications dans son ensemble et d'établissements universitaires du monde entier, participent actuellement aux travaux des commissions d'études sur des sujets tels que la gestion et l'utilisation efficaces des ressources spectre/orbites, les caractéristiques et la qualité de fonctionnement des systèmes de radiocommunication, le contrôle des émissions et les radiocommunications d'urgence pour la protection du public et les secours en cas de catastrophe.</w:t>
      </w:r>
    </w:p>
    <w:p w14:paraId="3824EF11" w14:textId="77777777" w:rsidR="007412AE" w:rsidRPr="00023B55" w:rsidRDefault="007412AE" w:rsidP="00F52608">
      <w:pPr>
        <w:pStyle w:val="Heading1"/>
        <w:jc w:val="both"/>
      </w:pPr>
      <w:bookmarkStart w:id="10" w:name="_Toc200377661"/>
      <w:r w:rsidRPr="00023B55">
        <w:t>Tirer parti de la technologie pour atteindre les objectifs de développement</w:t>
      </w:r>
      <w:bookmarkEnd w:id="10"/>
    </w:p>
    <w:p w14:paraId="7BF43723" w14:textId="77777777" w:rsidR="007412AE" w:rsidRPr="00023B55" w:rsidRDefault="007412AE" w:rsidP="00F52608">
      <w:pPr>
        <w:jc w:val="both"/>
      </w:pPr>
      <w:r w:rsidRPr="00023B55">
        <w:t>L'UIT met les solutions numériques au service de l'éducation, des soins de santé, de la croissance économique et de la durabilité. Parmi les principales initiatives entreprises, on peut citer le Sommet mondial sur l'IA au service du bien social, la plate-forme d'IA et d'intervention en cas de catastrophe et l'Initiative mondiale sur l'IA au service de la santé. L'Initiative Giga vise à connecter toutes les écoles à l'Internet d'ici à 2030. Le Tableau de correspondance SMSI-ODD met en correspondance les contributions des TIC et le développement mondial, en mettant en évidence les fortes incidences sur le secteur privé, l'innovation, les infrastructures et les partenariats pour la réalisation des objectifs.</w:t>
      </w:r>
    </w:p>
    <w:p w14:paraId="62F4435B" w14:textId="77777777" w:rsidR="007412AE" w:rsidRPr="00023B55" w:rsidRDefault="007412AE" w:rsidP="00F52608">
      <w:pPr>
        <w:pStyle w:val="Headingb"/>
        <w:jc w:val="both"/>
      </w:pPr>
      <w:r w:rsidRPr="00023B55">
        <w:t>La technologie au service de l'accélération du développement</w:t>
      </w:r>
    </w:p>
    <w:p w14:paraId="4FC8EDD2" w14:textId="77777777" w:rsidR="007412AE" w:rsidRPr="00023B55" w:rsidRDefault="007412AE" w:rsidP="00F52608">
      <w:pPr>
        <w:jc w:val="both"/>
      </w:pPr>
      <w:r w:rsidRPr="00023B55">
        <w:t xml:space="preserve">La technologie est un important vecteur de développement socio-économique. Selon une étude menée par l'UIT et le PNUD </w:t>
      </w:r>
      <w:hyperlink r:id="rId180" w:anchor=":~:text=They%20can%20play%20a%20pivotal,centred%2C%20collaborative%20and%20scalable%20approaches." w:history="1">
        <w:r w:rsidRPr="00023B55">
          <w:rPr>
            <w:rStyle w:val="Hyperlink"/>
            <w:rFonts w:eastAsia="Times New Roman" w:cs="Times New Roman"/>
            <w:szCs w:val="20"/>
          </w:rPr>
          <w:t>[1]</w:t>
        </w:r>
      </w:hyperlink>
      <w:r w:rsidRPr="00023B55">
        <w:t>, les technologies numériques peuvent contribuer à la réalisation de 70% des cibles des ODD.</w:t>
      </w:r>
    </w:p>
    <w:p w14:paraId="6A58837A" w14:textId="77777777" w:rsidR="007412AE" w:rsidRPr="00023B55" w:rsidRDefault="007412AE" w:rsidP="00F52608">
      <w:pPr>
        <w:jc w:val="both"/>
      </w:pPr>
      <w:r w:rsidRPr="00023B55">
        <w:t>L'UIT est à l'avant-garde de l'exploitation des solutions numériques pour avancer plus rapidement. En mobilisant le potentiel qu'offrent les technologies, les initiatives de l'UIT ont permis de réaliser des progrès significatifs dans les domaines de l'éducation, des soins de santé, de la croissance économique et de la durabilité environnementale.</w:t>
      </w:r>
    </w:p>
    <w:p w14:paraId="60B8D8A1" w14:textId="69442799" w:rsidR="007412AE" w:rsidRPr="00023B55" w:rsidRDefault="007412AE" w:rsidP="00F52608">
      <w:pPr>
        <w:jc w:val="both"/>
      </w:pPr>
      <w:r w:rsidRPr="00023B55">
        <w:t>L'une des initiatives notables prises par l'UIT porte sur l'</w:t>
      </w:r>
      <w:hyperlink r:id="rId181" w:history="1">
        <w:r w:rsidRPr="00023B55">
          <w:rPr>
            <w:rStyle w:val="Hyperlink"/>
            <w:rFonts w:eastAsia="Times New Roman" w:cs="Times New Roman"/>
            <w:szCs w:val="20"/>
          </w:rPr>
          <w:t>IA au service du bien social</w:t>
        </w:r>
      </w:hyperlink>
      <w:r w:rsidRPr="00023B55">
        <w:t>, qui rassemble des spécialistes de divers domaines pour mettre au point des solutions d'IA qui répondent aux défis mondiaux. L'UIT participe également de manière étroite à des activités visant à utiliser l'IA pour prévoir et gérer les catastrophes naturelles, sauver des vies et réduire les pertes économiques</w:t>
      </w:r>
      <w:r w:rsidR="00C77817" w:rsidRPr="00023B55">
        <w:t xml:space="preserve"> </w:t>
      </w:r>
      <w:hyperlink r:id="rId182" w:history="1">
        <w:r w:rsidRPr="00023B55">
          <w:rPr>
            <w:rStyle w:val="Hyperlink"/>
            <w:rFonts w:eastAsia="Times New Roman" w:cs="Times New Roman"/>
            <w:szCs w:val="20"/>
          </w:rPr>
          <w:t>[2]</w:t>
        </w:r>
      </w:hyperlink>
      <w:r w:rsidRPr="00023B55">
        <w:t xml:space="preserve"> et à améliorer la prestation et les résultats concernant les soins de santé, en particulier dans les régions mal desservies. Cette initiative a pour objet de recenser des applications de l'IA qui soient dignes de confiance, de renforcer les compétences; de consolider les normes et de favoriser la gouvernance de l'IA au service du développement durable.</w:t>
      </w:r>
    </w:p>
    <w:p w14:paraId="2E5B7540" w14:textId="77777777" w:rsidR="007412AE" w:rsidRPr="00023B55" w:rsidRDefault="007412AE" w:rsidP="00F52608">
      <w:pPr>
        <w:jc w:val="both"/>
      </w:pPr>
      <w:hyperlink r:id="rId183" w:history="1">
        <w:r w:rsidRPr="00023B55">
          <w:rPr>
            <w:rStyle w:val="Hyperlink"/>
            <w:rFonts w:eastAsia="Times New Roman" w:cs="Times New Roman"/>
            <w:szCs w:val="20"/>
          </w:rPr>
          <w:t>Giga</w:t>
        </w:r>
      </w:hyperlink>
      <w:r w:rsidRPr="00023B55">
        <w:t xml:space="preserve">, une initiative menée conjointement par l'UIT et l'UNICEF, vise à connecter chaque école à l'Internet d'ici à 2030. L'initiative a pour objet de fournir aux étudiants un accès aux ressources d'apprentissage numériques, à améliorer l'éducation et à promouvoir l'inclusion numérique. En contribuant au déploiement de l'infrastructure large bande et à la connexion </w:t>
      </w:r>
      <w:r w:rsidRPr="00023B55">
        <w:lastRenderedPageBreak/>
        <w:t>des zones isolées, Giga appuie la réalisation de l'ODD 4 (Éducation de qualité) et de l'ODD 9 (Industrie, innovation et infrastructure).</w:t>
      </w:r>
    </w:p>
    <w:p w14:paraId="05ADED26" w14:textId="77777777" w:rsidR="007412AE" w:rsidRPr="00023B55" w:rsidRDefault="007412AE" w:rsidP="00F52608">
      <w:pPr>
        <w:jc w:val="both"/>
      </w:pPr>
      <w:r w:rsidRPr="00023B55">
        <w:t>La Coalition pour le numérique Partner2Connect menée par l'UIT a également mobilisé des engagements des secteurs public et privé pour renforcer la connectivité et l'inclusion numérique, en particulier dans les régions mal desservies.</w:t>
      </w:r>
    </w:p>
    <w:p w14:paraId="7C6F768F" w14:textId="77777777" w:rsidR="007412AE" w:rsidRPr="00023B55" w:rsidRDefault="007412AE" w:rsidP="00F52608">
      <w:pPr>
        <w:jc w:val="both"/>
      </w:pPr>
      <w:r w:rsidRPr="00023B55">
        <w:t>Depuis sa création en 2010, la Commission "Le large bande au service du développement durable", dirigée par l'UIT et l'UNESCO, est la première à avoir élaboré des supports d'information au moyen d'un modèle éprouvé d'obtention de résultats concertés et obtenus par consensus grâce à la mobilisation des multi-parties prenantes, en mettant l'ODD 17 (Partenariats pour la réalisation des objectifs) en pratique. Au cours des 15 dernières années, la Commission sur le large bande a plaidé en faveur de l'accès universel au large bande en tant que moteur clé de développement durable, le rapport annuel de référence "L'état du large bande" offrant des informations précieuses sur le déploiement du large bande à l'échelle mondiale et ses incidences sur les ODD.</w:t>
      </w:r>
    </w:p>
    <w:p w14:paraId="5B244F26" w14:textId="77777777" w:rsidR="007412AE" w:rsidRPr="00023B55" w:rsidRDefault="007412AE" w:rsidP="00F52608">
      <w:pPr>
        <w:jc w:val="both"/>
      </w:pPr>
      <w:r w:rsidRPr="00023B55">
        <w:t>Les manifestations "Le numérique au service des ODD", organisées par l'UIT et le PNUD lors de l'Assemblée générale des Nations Unies qui s'est tenue à New York en 2023 et en 2024, montrent une fois de plus de quelle manière les technologies numériques peuvent jeter les bases d'un avenir plus durable, inclusif et responsable. Ces manifestations, qui ont réuni des dirigeants des pouvoirs publics, de la société civile, du secteur privé, d'organisations au service de la jeunesse et d'établissements universitaires, ont appelé à examiner les tendances, les risques et les possibilités découlant du déploiement rapide des technologies numériques et émergentes dans le monde. La deuxième édition de cette manifestation s'inscrivait dans le cadre des Journées d'action qui précèdent le Sommet de l'avenir des Nations Unies.</w:t>
      </w:r>
    </w:p>
    <w:p w14:paraId="1AFD40BF" w14:textId="77777777" w:rsidR="007412AE" w:rsidRPr="00023B55" w:rsidRDefault="007412AE" w:rsidP="00F52608">
      <w:pPr>
        <w:pStyle w:val="Headingb"/>
        <w:jc w:val="both"/>
      </w:pPr>
      <w:r w:rsidRPr="00023B55">
        <w:t>Mise en œuvre du Tableau de correspondance SMSI-ODD</w:t>
      </w:r>
    </w:p>
    <w:p w14:paraId="00A98DFF" w14:textId="77777777" w:rsidR="007412AE" w:rsidRPr="00023B55" w:rsidRDefault="007412AE" w:rsidP="00F52608">
      <w:pPr>
        <w:jc w:val="both"/>
      </w:pPr>
      <w:r w:rsidRPr="00023B55">
        <w:t xml:space="preserve">L'examen d'ensemble de la mise en œuvre des résultats du SMSI par l'Assemblée générale des Nations Unies a abouti à la </w:t>
      </w:r>
      <w:hyperlink r:id="rId184" w:history="1">
        <w:r w:rsidRPr="00023B55">
          <w:rPr>
            <w:rStyle w:val="Hyperlink"/>
            <w:rFonts w:eastAsia="Times New Roman" w:cs="Times New Roman"/>
            <w:szCs w:val="20"/>
          </w:rPr>
          <w:t>Résolution A/70/125</w:t>
        </w:r>
      </w:hyperlink>
      <w:r w:rsidRPr="00023B55">
        <w:t xml:space="preserve"> de l'Assemblée générale des Nations Unies, qui a été adoptée le 16 décembre 2015. Cette Résolution donne des indications quant à la mise en œuvre des résultats du SMSI jusqu'en 2025. Dans cette Résolution, il est demandé que les mesures visant à donner suite aux textes issus du processus du SMSI soient alignées sur le Programme de développement durable à l'horizon 2030 (§ 5), que toutes les parties prenantes intègrent les TIC à leurs stratégies de réalisation des Objectifs de développement durable et que les entités des Nations Unies chargées d'appliquer les grandes orientations du SMSI revoient leur plan de travail et de communication de l'information en vue de concourir à l'exécution du Programme à l'horizon 2030 (§ 12).</w:t>
      </w:r>
    </w:p>
    <w:p w14:paraId="34552946" w14:textId="6A245094" w:rsidR="009036DB" w:rsidRPr="00023B55" w:rsidRDefault="007412AE" w:rsidP="00F52608">
      <w:pPr>
        <w:jc w:val="both"/>
      </w:pPr>
      <w:r w:rsidRPr="00023B55">
        <w:t xml:space="preserve">À cette fin, lors du Forum 2015 du SMSI, le </w:t>
      </w:r>
      <w:hyperlink r:id="rId185" w:history="1">
        <w:r w:rsidRPr="00023B55">
          <w:rPr>
            <w:rStyle w:val="Hyperlink"/>
            <w:rFonts w:eastAsia="Times New Roman" w:cs="Times New Roman"/>
            <w:szCs w:val="20"/>
          </w:rPr>
          <w:t>Tableau de correspondance SMSI-ODD</w:t>
        </w:r>
      </w:hyperlink>
      <w:r w:rsidRPr="00023B55">
        <w:t>, élaboré par les coordonnateurs des grandes orientations des Nations Unies, a permis de clairement montrer le lien entre chaque grande orientation et les 17 ODD et de justifier chacun d'entre eux. Ce tableau fournit un cadre clair pour évaluer les incidences des TIC sur le développement durable et cerner les domaines dans lesquels de nouvelles mesures doivent être prises. En alignant les initiatives du SMSI sur les ODD, le tableau aide les parties prenantes à comprendre comment les technologies numériques peuvent contribuer à la réalisation des objectifs de développement mondiaux.</w:t>
      </w:r>
      <w:r w:rsidR="009036DB" w:rsidRPr="00023B55">
        <w:t xml:space="preserve"> </w:t>
      </w:r>
      <w:r w:rsidR="00592423" w:rsidRPr="00023B55">
        <w:t>Cette correspondance est d'ailleurs renforcée par le Programme Connect 2030 de l'UIT, qui fixe des objectifs spécifiques pour mettre les TIC au service du développement économique, social et environnemental, conformément aux ODD et au cadre du SMSI.</w:t>
      </w:r>
    </w:p>
    <w:p w14:paraId="70682280" w14:textId="77777777" w:rsidR="007412AE" w:rsidRPr="00023B55" w:rsidRDefault="007412AE" w:rsidP="00F52608">
      <w:pPr>
        <w:jc w:val="both"/>
      </w:pPr>
      <w:r w:rsidRPr="00023B55">
        <w:lastRenderedPageBreak/>
        <w:t>La dernière évaluation du Tableau de correspondance SMSI-ODD met en évidence des contributions importantes à la réalisation de l'ODD 9 (Industrie, innovation et infrastructure) et de l'ODD 17 (Partenariats pour la réalisation des objectifs). Par exemple, les initiatives prises concernant la grande orientation C2 (Infrastructure de l'information et de la communication) ont permis d'élargir l'accès au large bande, en particulier dans les régions mal desservies, appuyant ainsi la croissance économique et l'innovation. De même, la grande orientation C5 (Établir la confiance et la sécurité dans l'utilisation des TIC) vise à renforcer les mesures de cybersécurité, encourageant un environnement numérique sûr qui favorise la confiance et la coopération.</w:t>
      </w:r>
    </w:p>
    <w:p w14:paraId="6600703B" w14:textId="77777777" w:rsidR="007412AE" w:rsidRPr="00023B55" w:rsidRDefault="007412AE" w:rsidP="00F52608">
      <w:pPr>
        <w:pStyle w:val="Headingb"/>
        <w:jc w:val="both"/>
      </w:pPr>
      <w:r w:rsidRPr="00023B55">
        <w:t>Mise en avant des solutions numériques contribuant à la réalisation des ODD</w:t>
      </w:r>
    </w:p>
    <w:p w14:paraId="39DE7F65" w14:textId="77777777" w:rsidR="007412AE" w:rsidRPr="00023B55" w:rsidRDefault="007412AE" w:rsidP="00F52608">
      <w:pPr>
        <w:jc w:val="both"/>
      </w:pPr>
      <w:r w:rsidRPr="00023B55">
        <w:t>La plate-forme dressant l'inventaire des activités du SMSI rend compte de plus de 15 000 projets liés aux TIC depuis sa création. L'un des projets notables est l'initiative des centres de transformation numérique, qui vise à améliorer les compétences numériques dans les pays en développement. Bénéficiant de l'appui de l'UIT, cette initiative a permis de créer des centres de formation dans diverses régions, offrant une formation essentielle en matière de maîtrise des outils numériques et d'acquisition de compétences aux communautés mal desservies.</w:t>
      </w:r>
    </w:p>
    <w:p w14:paraId="27CA181D" w14:textId="77777777" w:rsidR="007412AE" w:rsidRPr="00023B55" w:rsidRDefault="007412AE" w:rsidP="00F52608">
      <w:pPr>
        <w:jc w:val="both"/>
      </w:pPr>
      <w:r w:rsidRPr="00023B55">
        <w:t>Le Prix du SMSI récompense les contributions exceptionnelles aux grandes orientations du SMSI et à la réalisation des ODD. En 2024, le projet de cybersanté pour tous a remporté le Prix du SMSI pour son approche innovante en matière de fourniture de services de soins de santé par le biais de plates-formes numériques. Ce projet a permis d'améliorer l'accès aux soins de santé dans les zones reculées en tirant parti de la télémédecine et des applications de santé mobile.</w:t>
      </w:r>
    </w:p>
    <w:p w14:paraId="0F0BE2E2" w14:textId="77777777" w:rsidR="007412AE" w:rsidRPr="00023B55" w:rsidRDefault="007412AE" w:rsidP="00F52608">
      <w:pPr>
        <w:jc w:val="both"/>
      </w:pPr>
      <w:r w:rsidRPr="00023B55">
        <w:t xml:space="preserve">D'autres projets et initiatives menés par l'UIT mettent également en avant des solutions technologiques visant à favoriser le développement durable. Depuis 2023, le prix </w:t>
      </w:r>
      <w:hyperlink r:id="rId186" w:anchor="/fr" w:history="1">
        <w:r w:rsidRPr="00023B55">
          <w:rPr>
            <w:rStyle w:val="Hyperlink"/>
            <w:rFonts w:eastAsia="Times New Roman" w:cs="Times New Roman"/>
            <w:szCs w:val="20"/>
          </w:rPr>
          <w:t>GameChangers de l'Initiative "Le numérique au service des ODD"</w:t>
        </w:r>
      </w:hyperlink>
      <w:r w:rsidRPr="00023B55">
        <w:t xml:space="preserve"> salue les solutions numériques innovantes qui contribuent au développement durable. La plate</w:t>
      </w:r>
      <w:r w:rsidRPr="00023B55">
        <w:noBreakHyphen/>
        <w:t>forme BDT4Impact présente également des projets ayant été mis en œuvre avec succès, partage des bonnes pratiques et met en évidence les incidences des technologies numériques sur le développement durable.</w:t>
      </w:r>
    </w:p>
    <w:p w14:paraId="560BC37A" w14:textId="77777777" w:rsidR="007412AE" w:rsidRPr="00023B55" w:rsidRDefault="007412AE" w:rsidP="00F52608">
      <w:pPr>
        <w:jc w:val="both"/>
      </w:pPr>
      <w:r w:rsidRPr="00023B55">
        <w:t>En tirant parti de la technologie et en encourageant la collaboration, l'UIT et ses partenaires contribuent à la réalisation des objectifs mondiaux. Ces initiatives démontrent le rôle essentiel que jouent les solutions numériques dans la réalisation des ODD et l'édification d'un avenir plus inclusif et durable pour tous.</w:t>
      </w:r>
    </w:p>
    <w:p w14:paraId="1C57152F" w14:textId="77777777" w:rsidR="007412AE" w:rsidRPr="00023B55" w:rsidRDefault="00862B49" w:rsidP="007412AE">
      <w:pPr>
        <w:keepNext/>
        <w:keepLines/>
        <w:spacing w:before="0"/>
      </w:pPr>
      <w:r>
        <w:rPr>
          <w:rFonts w:cs="Calibri"/>
        </w:rPr>
        <w:pict w14:anchorId="0E3925DF">
          <v:rect id="_x0000_i1025" style="width:0;height:1.5pt" o:hralign="center" o:hrstd="t" o:hr="t" fillcolor="#a0a0a0" stroked="f"/>
        </w:pict>
      </w:r>
    </w:p>
    <w:p w14:paraId="53D47B33" w14:textId="77777777" w:rsidR="007412AE" w:rsidRPr="00023B55" w:rsidRDefault="007412AE" w:rsidP="007412AE">
      <w:pPr>
        <w:pStyle w:val="FootnoteText"/>
        <w:tabs>
          <w:tab w:val="clear" w:pos="256"/>
        </w:tabs>
        <w:spacing w:before="80"/>
        <w:ind w:left="567" w:hanging="567"/>
      </w:pPr>
      <w:r w:rsidRPr="00023B55">
        <w:t>[1]</w:t>
      </w:r>
      <w:r w:rsidRPr="00023B55">
        <w:tab/>
      </w:r>
      <w:hyperlink r:id="rId187" w:history="1">
        <w:r w:rsidRPr="00023B55">
          <w:rPr>
            <w:rStyle w:val="Hyperlink"/>
            <w:rFonts w:eastAsia="Times New Roman" w:cs="Times New Roman"/>
            <w:szCs w:val="20"/>
          </w:rPr>
          <w:t>Rapport de l'UIT intitulé "Leveraging tech to achieve the Global Goals" (Accélérer le progrès: tirer parti des technologies pour atteindre les objectifs fixés à l'échelle mondiale)</w:t>
        </w:r>
      </w:hyperlink>
      <w:r w:rsidRPr="00023B55">
        <w:t>.</w:t>
      </w:r>
    </w:p>
    <w:p w14:paraId="1987262D" w14:textId="77777777" w:rsidR="007412AE" w:rsidRPr="00023B55" w:rsidRDefault="007412AE" w:rsidP="007412AE">
      <w:pPr>
        <w:pStyle w:val="FootnoteText"/>
        <w:tabs>
          <w:tab w:val="clear" w:pos="256"/>
        </w:tabs>
        <w:spacing w:before="80"/>
        <w:ind w:left="567" w:hanging="567"/>
      </w:pPr>
      <w:r w:rsidRPr="00023B55">
        <w:t>[2]</w:t>
      </w:r>
      <w:r w:rsidRPr="00023B55">
        <w:tab/>
      </w:r>
      <w:hyperlink r:id="rId188" w:history="1">
        <w:r w:rsidRPr="00023B55">
          <w:rPr>
            <w:rStyle w:val="Hyperlink"/>
            <w:rFonts w:eastAsia="Times New Roman" w:cs="Times New Roman"/>
            <w:szCs w:val="20"/>
          </w:rPr>
          <w:t>Rapport de l'UIT intitulé "Fast-Forward Progress: Leveraging tech to achieve the global goals" (Accélérer le progrès: tirer parti des technologies pour atteindre les objectifs fixés à l'échelle mondiale)</w:t>
        </w:r>
      </w:hyperlink>
      <w:r w:rsidRPr="00023B55">
        <w:t>.</w:t>
      </w:r>
    </w:p>
    <w:p w14:paraId="70D04D3C" w14:textId="77777777" w:rsidR="007412AE" w:rsidRPr="00023B55" w:rsidRDefault="007412AE" w:rsidP="007412AE">
      <w:pPr>
        <w:pStyle w:val="FootnoteText"/>
        <w:tabs>
          <w:tab w:val="clear" w:pos="256"/>
        </w:tabs>
        <w:spacing w:before="80"/>
        <w:ind w:left="567" w:hanging="567"/>
      </w:pPr>
      <w:r w:rsidRPr="00023B55">
        <w:t>[3]</w:t>
      </w:r>
      <w:r w:rsidRPr="00023B55">
        <w:tab/>
      </w:r>
      <w:hyperlink r:id="rId189" w:history="1">
        <w:r w:rsidRPr="00023B55">
          <w:rPr>
            <w:rStyle w:val="Hyperlink"/>
            <w:rFonts w:eastAsia="Times New Roman" w:cs="Times New Roman"/>
            <w:szCs w:val="20"/>
          </w:rPr>
          <w:t>Page de l'UIT intitulée "Connect 2030 – An agenda to connect all to a better world" (Connect 2030 – Un programme pour connecter tout un chacun à un monde meilleur)</w:t>
        </w:r>
      </w:hyperlink>
      <w:r w:rsidRPr="00023B55">
        <w:t>.</w:t>
      </w:r>
    </w:p>
    <w:p w14:paraId="011E7B0D" w14:textId="77777777" w:rsidR="007412AE" w:rsidRPr="00023B55" w:rsidRDefault="00862B49" w:rsidP="007412AE">
      <w:pPr>
        <w:spacing w:before="0"/>
      </w:pPr>
      <w:r>
        <w:rPr>
          <w:rFonts w:cs="Calibri"/>
        </w:rPr>
        <w:pict w14:anchorId="416E82AD">
          <v:rect id="_x0000_i1026" style="width:0;height:1.5pt" o:hralign="center" o:hrstd="t" o:hr="t" fillcolor="#a0a0a0" stroked="f"/>
        </w:pict>
      </w:r>
    </w:p>
    <w:p w14:paraId="096346E5" w14:textId="77777777" w:rsidR="007412AE" w:rsidRPr="00023B55" w:rsidRDefault="007412AE" w:rsidP="00F52608">
      <w:pPr>
        <w:pStyle w:val="Heading1"/>
      </w:pPr>
      <w:bookmarkStart w:id="11" w:name="_Toc200377662"/>
      <w:r w:rsidRPr="00023B55">
        <w:lastRenderedPageBreak/>
        <w:t>Plan d'action de Genève: situation actuelle</w:t>
      </w:r>
      <w:bookmarkEnd w:id="11"/>
    </w:p>
    <w:p w14:paraId="40A366E6" w14:textId="77777777" w:rsidR="007412AE" w:rsidRPr="00023B55" w:rsidRDefault="007412AE" w:rsidP="00F52608">
      <w:pPr>
        <w:jc w:val="both"/>
      </w:pPr>
      <w:r w:rsidRPr="00023B55">
        <w:t>Le Plan d'action de Genève, établi lors de la première phase du SMSI en 2003, visait à façonner une société de l'information inclusive en tirant parti des TIC pour réduire la fracture numérique et promouvoir le développement durable. En 20 ans, des progrès sensibles ont été accomplis s'agissant de la connectivité, de l'infrastructure numérique, du renforcement des capacités et de la cybersécurité.</w:t>
      </w:r>
    </w:p>
    <w:p w14:paraId="57AF569B" w14:textId="77777777" w:rsidR="007412AE" w:rsidRPr="00023B55" w:rsidRDefault="007412AE" w:rsidP="00F52608">
      <w:pPr>
        <w:jc w:val="both"/>
      </w:pPr>
      <w:r w:rsidRPr="00023B55">
        <w:t>Une meilleure inclusion numérique, une coopération internationale plus forte et la prévalence croissante des services en ligne témoignent des efforts collectifs déployés par les pouvoirs publics, les organisations internationales, le secteur privé et la société civile, aidés par une coordination continue dans le cadre du mécanisme du SMSI.</w:t>
      </w:r>
    </w:p>
    <w:p w14:paraId="7C9A6E8B" w14:textId="77777777" w:rsidR="007412AE" w:rsidRPr="00023B55" w:rsidRDefault="007412AE" w:rsidP="00F52608">
      <w:pPr>
        <w:jc w:val="both"/>
      </w:pPr>
      <w:r w:rsidRPr="00023B55">
        <w:t>Les principaux objectifs énoncés dans le Plan d'action de Genève en 2003 comprennent l'amélioration de la connectivité, de l'infrastructure, des compétences et des capacités numériques, de la cybersécurité, de l'inclusion numérique et de l'accessibilité, ainsi que des services en ligne et de la coopération numérique internationale.</w:t>
      </w:r>
    </w:p>
    <w:p w14:paraId="4B8FBC76" w14:textId="77777777" w:rsidR="007412AE" w:rsidRPr="00023B55" w:rsidRDefault="007412AE" w:rsidP="00F52608">
      <w:pPr>
        <w:pStyle w:val="Headingi"/>
        <w:jc w:val="both"/>
      </w:pPr>
      <w:r w:rsidRPr="00023B55">
        <w:t>Amélioration de la connectivité</w:t>
      </w:r>
    </w:p>
    <w:p w14:paraId="643DDF58" w14:textId="77777777" w:rsidR="007412AE" w:rsidRPr="00023B55" w:rsidRDefault="007412AE" w:rsidP="00F52608">
      <w:pPr>
        <w:jc w:val="both"/>
      </w:pPr>
      <w:r w:rsidRPr="00023B55">
        <w:t>La connectivité mondiale s'est considérablement améliorée depuis la première phase du SMSI et l'adoption du Plan d'action de Genève. L'utilisation de l'Internet est passée de 16% en 2005 à 68% à la fin de l'année 2024. Cet essor va de pair avec l'expansion de l'infrastructure large bande, la multiplication des technologies mobiles et les initiatives visant à rendre l'accès à Internet plus accessible et financièrement abordable. Le nombre d'abonnements à la téléphonie cellulaire mobile dans le monde dépasse les 9 milliards, ce qui indique une connectivité mobile pratiquement universelle. L'UIT continue de travailler activement à l'élaboration de normes techniques concernant les réseaux IP, les réseaux de prochaine génération et l'Internet du futur.</w:t>
      </w:r>
    </w:p>
    <w:p w14:paraId="34AE2310" w14:textId="77777777" w:rsidR="007412AE" w:rsidRPr="00023B55" w:rsidRDefault="007412AE" w:rsidP="00F52608">
      <w:pPr>
        <w:pStyle w:val="Headingi"/>
        <w:jc w:val="both"/>
      </w:pPr>
      <w:r w:rsidRPr="00023B55">
        <w:t>Développement des infrastructures</w:t>
      </w:r>
    </w:p>
    <w:p w14:paraId="1783EC77" w14:textId="77777777" w:rsidR="007412AE" w:rsidRPr="00023B55" w:rsidRDefault="007412AE" w:rsidP="00F52608">
      <w:pPr>
        <w:jc w:val="both"/>
      </w:pPr>
      <w:r w:rsidRPr="00023B55">
        <w:t>Parmi les avancées significatives, on peut citer l'expansion des réseaux large bande, la mise en place de points IXP et l'amélioration de la connectivité par satellite. Ces progrès ont permis d'améliorer la connectivité Internet, de réduire les coûts et d'étendre l'accès aux zones reculées et mal desservies.</w:t>
      </w:r>
    </w:p>
    <w:p w14:paraId="3B1347EE" w14:textId="77777777" w:rsidR="007412AE" w:rsidRPr="00023B55" w:rsidRDefault="007412AE" w:rsidP="00F52608">
      <w:pPr>
        <w:pStyle w:val="Headingi"/>
        <w:jc w:val="both"/>
      </w:pPr>
      <w:r w:rsidRPr="00023B55">
        <w:t>Renforcement des capacités et développement des compétences numériques</w:t>
      </w:r>
    </w:p>
    <w:p w14:paraId="6DBB3FDD" w14:textId="77777777" w:rsidR="007412AE" w:rsidRPr="00023B55" w:rsidRDefault="007412AE" w:rsidP="00F52608">
      <w:pPr>
        <w:jc w:val="both"/>
      </w:pPr>
      <w:r w:rsidRPr="00023B55">
        <w:t>Il est primordial de doter les individus et les institutions des capacités à utiliser efficacement les TIC. L'Académie de l'UIT a dispensé des formations à plus de 45 000 apprenants de tous les États Membres, portant sur des sujets tels que l'Internet large bande fixe et mobile de demain, l'IoT et la gouvernance de l'IoT, les mégadonnées et l'IA, ainsi que le dernier kilomètre de la connectivité Internet, la gestion du spectre des fréquences radioélectriques, la cybersécurité et l'infrastructure.</w:t>
      </w:r>
    </w:p>
    <w:p w14:paraId="438DE949" w14:textId="77777777" w:rsidR="007412AE" w:rsidRPr="00023B55" w:rsidRDefault="007412AE" w:rsidP="00F52608">
      <w:pPr>
        <w:jc w:val="both"/>
      </w:pPr>
      <w:r w:rsidRPr="00023B55">
        <w:t>Des initiatives telles que le Partenariat mondial EQUALS et Her CyberTracks ont permis à des milliers de femmes et de filles d'accéder à des formations en compétences numériques, favorisant ainsi l'égalité hommes-femmes dans le secteur des TIC. De plus, l'initiative sur les centres de transformation numérique a permis de dispenser des formations aux communautés mal desservies et éloignées. Au cours du premier semestre 2024, ces centres ont accueilli plus de 77 000 participants (dont 55% de femmes).</w:t>
      </w:r>
    </w:p>
    <w:p w14:paraId="363B73DB" w14:textId="77777777" w:rsidR="007412AE" w:rsidRPr="00023B55" w:rsidRDefault="007412AE" w:rsidP="00F52608">
      <w:pPr>
        <w:jc w:val="both"/>
      </w:pPr>
      <w:r w:rsidRPr="00023B55">
        <w:lastRenderedPageBreak/>
        <w:t>L'UIT coopère actuellement avec plusieurs pays dans le cadre du projet "</w:t>
      </w:r>
      <w:hyperlink r:id="rId190" w:history="1">
        <w:r w:rsidRPr="00023B55">
          <w:rPr>
            <w:rStyle w:val="Hyperlink"/>
            <w:rFonts w:eastAsia="Times New Roman" w:cs="Times New Roman"/>
            <w:szCs w:val="20"/>
          </w:rPr>
          <w:t>La cybersécurité au service du bien social</w:t>
        </w:r>
      </w:hyperlink>
      <w:r w:rsidRPr="00023B55">
        <w:t>", en vue d'assurer un accès gratuit à des outils, des formations et des services. La Coalition pour les compétences en matière d'IA, menée sous l'impulsion de l'initiative "L'IA au service du bien social pour produire des effets" de l'UIT, vise à devenir la principale plate-forme mondiale, ouverte, fiable et inclusive des Nations Unies pour l'enseignement de l'IA et le renforcement des capacités en la matière. Des projets relatifs à la connectivité hertzienne Internet large bande, visant à assurer un accès numérique gratuit ou à faible coût à des établissements scolaires et à des hôpitaux, ainsi qu'aux populations mal desservies de zones rurales et isolées de certains pays, ont été réalisés avec succès. Des formations/cours sont organisés sur toutes les formes de connectivité IoT, y compris la sécurité de l'information et la confidentialité, et une assistance technique est fournie sur le protocole IPv6.</w:t>
      </w:r>
    </w:p>
    <w:p w14:paraId="21D86656" w14:textId="77777777" w:rsidR="007412AE" w:rsidRPr="00023B55" w:rsidRDefault="007412AE" w:rsidP="00F52608">
      <w:pPr>
        <w:pStyle w:val="Headingi"/>
        <w:jc w:val="both"/>
      </w:pPr>
      <w:r w:rsidRPr="00023B55">
        <w:t>Promotion de la cybersécurité</w:t>
      </w:r>
    </w:p>
    <w:p w14:paraId="05DAB98D" w14:textId="77777777" w:rsidR="007412AE" w:rsidRPr="00023B55" w:rsidRDefault="007412AE" w:rsidP="00F52608">
      <w:pPr>
        <w:jc w:val="both"/>
      </w:pPr>
      <w:r w:rsidRPr="00023B55">
        <w:t>Assurer un environnement numérique sûr et sécurisé est un aspect essentiel du déploiement d'une connectivité efficace. Le GCA de l'UIT offre un cadre complet destiné à promouvoir la cybersécurité et à instaurer un climat de confiance dans l'utilisation des technologies numériques. En sa qualité de coordonnateur principal de la grande orientation C5, l'UIT a élaboré des normes internationales de cybersécurité, aidé les pays à mettre en place des équipes CIRT aux niveaux national et régional ainsi que des stratégies nationales de cybersécurité, organisé des cyberexercices, lancé l'</w:t>
      </w:r>
      <w:hyperlink r:id="rId191" w:history="1">
        <w:r w:rsidRPr="00023B55">
          <w:rPr>
            <w:rStyle w:val="Hyperlink"/>
            <w:rFonts w:eastAsia="Times New Roman" w:cs="Times New Roman"/>
            <w:szCs w:val="20"/>
          </w:rPr>
          <w:t>Indice GCI de l'UIT</w:t>
        </w:r>
      </w:hyperlink>
      <w:r w:rsidRPr="00023B55">
        <w:t xml:space="preserve"> et promu des campagnes de sensibilisation et l'adoption de politiques visant à protéger les enfants en ligne.</w:t>
      </w:r>
    </w:p>
    <w:p w14:paraId="330D1490" w14:textId="77777777" w:rsidR="007412AE" w:rsidRPr="00023B55" w:rsidRDefault="007412AE" w:rsidP="00F52608">
      <w:pPr>
        <w:pStyle w:val="Headingi"/>
        <w:jc w:val="both"/>
      </w:pPr>
      <w:r w:rsidRPr="00023B55">
        <w:t>Inclusion numérique et accessibilité</w:t>
      </w:r>
    </w:p>
    <w:p w14:paraId="17DAB6F3" w14:textId="77777777" w:rsidR="007412AE" w:rsidRPr="00023B55" w:rsidRDefault="007412AE" w:rsidP="00F52608">
      <w:pPr>
        <w:jc w:val="both"/>
      </w:pPr>
      <w:r w:rsidRPr="00023B55">
        <w:t>Conformément au Plan d'action de Genève et à son appel en faveur de l'inclusion numérique à l'échelle mondiale, l'UIT a mis en œuvre de nombreux projets visant à rendre les TIC accessibles aux communautés mal desservies et marginalisées. Les normes internationales ont contribué à rendre les produits et services TIC accessibles à tous, quel que soit le niveau de maîtrise.</w:t>
      </w:r>
    </w:p>
    <w:p w14:paraId="3CA94B90" w14:textId="77777777" w:rsidR="007412AE" w:rsidRPr="00023B55" w:rsidRDefault="007412AE" w:rsidP="00F52608">
      <w:pPr>
        <w:pStyle w:val="Headingi"/>
        <w:jc w:val="both"/>
      </w:pPr>
      <w:r w:rsidRPr="00023B55">
        <w:t>Services en ligne</w:t>
      </w:r>
    </w:p>
    <w:p w14:paraId="45C4B17F" w14:textId="77777777" w:rsidR="007412AE" w:rsidRPr="00023B55" w:rsidRDefault="007412AE" w:rsidP="00F52608">
      <w:pPr>
        <w:jc w:val="both"/>
      </w:pPr>
      <w:r w:rsidRPr="00023B55">
        <w:t>Les applications électroniques ont considérablement amélioré l'administration publique, les soins de santé, l'éducation et le commerce. Les services d'administration en ligne ont permis de renforcer l'efficacité et la transparence de l'administration publique, tandis que les initiatives de télémédecine ont contribué à la fourniture de services de santé à distance aux communautés mal desservies.</w:t>
      </w:r>
    </w:p>
    <w:p w14:paraId="25DA3B57" w14:textId="77777777" w:rsidR="007412AE" w:rsidRPr="00023B55" w:rsidRDefault="007412AE" w:rsidP="00F52608">
      <w:pPr>
        <w:pStyle w:val="Headingi"/>
        <w:jc w:val="both"/>
      </w:pPr>
      <w:r w:rsidRPr="00023B55">
        <w:t>Coopération internationale et régionale</w:t>
      </w:r>
    </w:p>
    <w:p w14:paraId="40234927" w14:textId="77777777" w:rsidR="007412AE" w:rsidRPr="00023B55" w:rsidRDefault="007412AE" w:rsidP="00F52608">
      <w:pPr>
        <w:jc w:val="both"/>
      </w:pPr>
      <w:r w:rsidRPr="00023B55">
        <w:t>La promotion de la coopération internationale et régionale a été la pierre angulaire du Plan d'action de Genève. L'UIT collabore avec un large éventail d'organisations internationales et régionales pour promouvoir les résultats du SMSI et les TIC au service du développement.</w:t>
      </w:r>
    </w:p>
    <w:p w14:paraId="24BA4120" w14:textId="77777777" w:rsidR="007412AE" w:rsidRPr="00023B55" w:rsidRDefault="007412AE" w:rsidP="00F52608">
      <w:pPr>
        <w:pStyle w:val="Heading1"/>
      </w:pPr>
      <w:bookmarkStart w:id="12" w:name="_Toc200377663"/>
      <w:r w:rsidRPr="00023B55">
        <w:lastRenderedPageBreak/>
        <w:t>Progrès accomplis en vue de la réalisation des objectifs indicatifs du Plan d'action de Genève depuis 2003 (les informations figurant dans le tableau ne sont pas complètes)</w:t>
      </w:r>
      <w:bookmarkEnd w:id="12"/>
    </w:p>
    <w:tbl>
      <w:tblPr>
        <w:tblStyle w:val="GridTable1Light"/>
        <w:tblW w:w="5000" w:type="pct"/>
        <w:tblLook w:val="04A0" w:firstRow="1" w:lastRow="0" w:firstColumn="1" w:lastColumn="0" w:noHBand="0" w:noVBand="1"/>
      </w:tblPr>
      <w:tblGrid>
        <w:gridCol w:w="1966"/>
        <w:gridCol w:w="1365"/>
        <w:gridCol w:w="2979"/>
        <w:gridCol w:w="2751"/>
      </w:tblGrid>
      <w:tr w:rsidR="007412AE" w:rsidRPr="00023B55" w14:paraId="316FA23A" w14:textId="77777777" w:rsidTr="003B0987">
        <w:trPr>
          <w:cnfStyle w:val="100000000000" w:firstRow="1" w:lastRow="0" w:firstColumn="0" w:lastColumn="0" w:oddVBand="0" w:evenVBand="0" w:oddHBand="0" w:evenHBand="0" w:firstRowFirstColumn="0" w:firstRowLastColumn="0" w:lastRowFirstColumn="0" w:lastRowLastColumn="0"/>
          <w:trHeight w:val="473"/>
          <w:tblHeader/>
        </w:trPr>
        <w:tc>
          <w:tcPr>
            <w:cnfStyle w:val="001000000000" w:firstRow="0" w:lastRow="0" w:firstColumn="1" w:lastColumn="0" w:oddVBand="0" w:evenVBand="0" w:oddHBand="0" w:evenHBand="0" w:firstRowFirstColumn="0" w:firstRowLastColumn="0" w:lastRowFirstColumn="0" w:lastRowLastColumn="0"/>
            <w:tcW w:w="1085" w:type="pct"/>
            <w:hideMark/>
          </w:tcPr>
          <w:p w14:paraId="186127F1" w14:textId="77777777" w:rsidR="007412AE" w:rsidRPr="00023B55" w:rsidRDefault="007412AE" w:rsidP="003B0987">
            <w:pPr>
              <w:pStyle w:val="Tablehead"/>
              <w:rPr>
                <w:rFonts w:cs="Calibri"/>
                <w:b/>
                <w:bCs w:val="0"/>
                <w:sz w:val="20"/>
              </w:rPr>
            </w:pPr>
            <w:r w:rsidRPr="00023B55">
              <w:rPr>
                <w:b/>
                <w:bCs w:val="0"/>
              </w:rPr>
              <w:t>Cible</w:t>
            </w:r>
          </w:p>
        </w:tc>
        <w:tc>
          <w:tcPr>
            <w:tcW w:w="753" w:type="pct"/>
          </w:tcPr>
          <w:p w14:paraId="62460EAF" w14:textId="77777777" w:rsidR="007412AE" w:rsidRPr="00023B55" w:rsidRDefault="007412AE" w:rsidP="003B0987">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023B55">
              <w:rPr>
                <w:b/>
                <w:bCs w:val="0"/>
              </w:rPr>
              <w:t>Base établie en 2003</w:t>
            </w:r>
          </w:p>
        </w:tc>
        <w:tc>
          <w:tcPr>
            <w:tcW w:w="1644" w:type="pct"/>
            <w:hideMark/>
          </w:tcPr>
          <w:p w14:paraId="34AE2A04" w14:textId="77777777" w:rsidR="007412AE" w:rsidRPr="00023B55" w:rsidRDefault="007412AE" w:rsidP="003B0987">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023B55">
              <w:rPr>
                <w:b/>
                <w:bCs w:val="0"/>
              </w:rPr>
              <w:t>État d'avancement en 2024: progrès accomplis en 20 ans</w:t>
            </w:r>
          </w:p>
        </w:tc>
        <w:tc>
          <w:tcPr>
            <w:tcW w:w="1518" w:type="pct"/>
          </w:tcPr>
          <w:p w14:paraId="188E9826" w14:textId="77777777" w:rsidR="007412AE" w:rsidRPr="00023B55" w:rsidRDefault="007412AE" w:rsidP="003B0987">
            <w:pPr>
              <w:pStyle w:val="Tablehead"/>
              <w:cnfStyle w:val="100000000000" w:firstRow="1" w:lastRow="0" w:firstColumn="0" w:lastColumn="0" w:oddVBand="0" w:evenVBand="0" w:oddHBand="0" w:evenHBand="0" w:firstRowFirstColumn="0" w:firstRowLastColumn="0" w:lastRowFirstColumn="0" w:lastRowLastColumn="0"/>
              <w:rPr>
                <w:rFonts w:cs="Calibri"/>
                <w:b/>
                <w:bCs w:val="0"/>
                <w:sz w:val="20"/>
              </w:rPr>
            </w:pPr>
            <w:r w:rsidRPr="00023B55">
              <w:rPr>
                <w:b/>
                <w:bCs w:val="0"/>
              </w:rPr>
              <w:t>Défis qui subsistent</w:t>
            </w:r>
          </w:p>
        </w:tc>
      </w:tr>
      <w:tr w:rsidR="007412AE" w:rsidRPr="00023B55" w14:paraId="040A0D91" w14:textId="77777777" w:rsidTr="003B0987">
        <w:tc>
          <w:tcPr>
            <w:cnfStyle w:val="001000000000" w:firstRow="0" w:lastRow="0" w:firstColumn="1" w:lastColumn="0" w:oddVBand="0" w:evenVBand="0" w:oddHBand="0" w:evenHBand="0" w:firstRowFirstColumn="0" w:firstRowLastColumn="0" w:lastRowFirstColumn="0" w:lastRowLastColumn="0"/>
            <w:tcW w:w="1085" w:type="pct"/>
            <w:hideMark/>
          </w:tcPr>
          <w:p w14:paraId="22AF5C4B" w14:textId="77777777" w:rsidR="007412AE" w:rsidRPr="00023B55" w:rsidRDefault="007412AE" w:rsidP="003B0987">
            <w:pPr>
              <w:pStyle w:val="Tabletext"/>
              <w:ind w:left="284" w:hanging="284"/>
              <w:rPr>
                <w:rFonts w:cs="Calibri"/>
                <w:sz w:val="20"/>
              </w:rPr>
            </w:pPr>
            <w:r w:rsidRPr="00023B55">
              <w:t>1)</w:t>
            </w:r>
            <w:r w:rsidRPr="00023B55">
              <w:tab/>
              <w:t>Connecter les villages aux TIC et créer des points d'accès communautaire</w:t>
            </w:r>
          </w:p>
        </w:tc>
        <w:tc>
          <w:tcPr>
            <w:tcW w:w="753" w:type="pct"/>
          </w:tcPr>
          <w:p w14:paraId="3C747F30"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16%</w:t>
            </w:r>
            <w:r w:rsidRPr="00023B55">
              <w:t xml:space="preserve"> de la population mondiale a accès aux TIC [1].</w:t>
            </w:r>
          </w:p>
          <w:p w14:paraId="5C403B63"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1,5</w:t>
            </w:r>
            <w:r w:rsidRPr="00023B55">
              <w:t xml:space="preserve"> </w:t>
            </w:r>
            <w:r w:rsidRPr="00023B55">
              <w:rPr>
                <w:b/>
                <w:bCs/>
              </w:rPr>
              <w:t>milliard</w:t>
            </w:r>
            <w:r w:rsidRPr="00023B55">
              <w:t xml:space="preserve"> d'utilisateurs du large bande mobile.</w:t>
            </w:r>
          </w:p>
        </w:tc>
        <w:tc>
          <w:tcPr>
            <w:tcW w:w="1644" w:type="pct"/>
            <w:hideMark/>
          </w:tcPr>
          <w:p w14:paraId="273334D6"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68%</w:t>
            </w:r>
            <w:r w:rsidRPr="00023B55">
              <w:t xml:space="preserve"> de la population mondiale, 5,5 milliards de personnes étant en ligne.</w:t>
            </w:r>
          </w:p>
          <w:p w14:paraId="727EB07C"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 xml:space="preserve">Plus de </w:t>
            </w:r>
            <w:r w:rsidRPr="00023B55">
              <w:rPr>
                <w:b/>
                <w:bCs/>
              </w:rPr>
              <w:t>9 milliards</w:t>
            </w:r>
            <w:r w:rsidRPr="00023B55">
              <w:t xml:space="preserve"> d'utilisateurs du large bande mobile.</w:t>
            </w:r>
          </w:p>
          <w:p w14:paraId="01456E7A"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90%</w:t>
            </w:r>
            <w:r w:rsidRPr="00023B55">
              <w:t xml:space="preserve"> de la population rurale a accès à un réseau mobile 3G ou plus avancé.</w:t>
            </w:r>
          </w:p>
        </w:tc>
        <w:tc>
          <w:tcPr>
            <w:tcW w:w="1518" w:type="pct"/>
          </w:tcPr>
          <w:p w14:paraId="5FABE14F"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2,6 milliards</w:t>
            </w:r>
            <w:r w:rsidRPr="00023B55">
              <w:t xml:space="preserve"> de personnes ne sont toujours pas connectées, dont 1,8 milliard vivant dans les zones rurales, contre 800 millions dans les zones urbaines.</w:t>
            </w:r>
          </w:p>
          <w:p w14:paraId="5FEF8D3C"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10%</w:t>
            </w:r>
            <w:r w:rsidRPr="00023B55">
              <w:t xml:space="preserve"> de la population rurale n'a pas accès à un réseau mobile 3G ou plus avancé en 2024 [1].</w:t>
            </w:r>
          </w:p>
        </w:tc>
      </w:tr>
      <w:tr w:rsidR="007412AE" w:rsidRPr="00023B55" w14:paraId="10AF51D6" w14:textId="77777777" w:rsidTr="003B0987">
        <w:tc>
          <w:tcPr>
            <w:cnfStyle w:val="001000000000" w:firstRow="0" w:lastRow="0" w:firstColumn="1" w:lastColumn="0" w:oddVBand="0" w:evenVBand="0" w:oddHBand="0" w:evenHBand="0" w:firstRowFirstColumn="0" w:firstRowLastColumn="0" w:lastRowFirstColumn="0" w:lastRowLastColumn="0"/>
            <w:tcW w:w="1085" w:type="pct"/>
            <w:hideMark/>
          </w:tcPr>
          <w:p w14:paraId="10B73431" w14:textId="77777777" w:rsidR="007412AE" w:rsidRPr="00023B55" w:rsidRDefault="007412AE" w:rsidP="003B0987">
            <w:pPr>
              <w:pStyle w:val="Tabletext"/>
              <w:ind w:left="284" w:hanging="284"/>
              <w:rPr>
                <w:rFonts w:cs="Calibri"/>
                <w:sz w:val="20"/>
              </w:rPr>
            </w:pPr>
            <w:r w:rsidRPr="00023B55">
              <w:t>2)</w:t>
            </w:r>
            <w:r w:rsidRPr="00023B55">
              <w:tab/>
              <w:t>Connecter les établissements d'enseignement secondaire ou supérieur et les écoles primaires aux TIC</w:t>
            </w:r>
          </w:p>
        </w:tc>
        <w:tc>
          <w:tcPr>
            <w:tcW w:w="753" w:type="pct"/>
          </w:tcPr>
          <w:p w14:paraId="5F59FE56"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Manque de données mondiales.</w:t>
            </w:r>
          </w:p>
        </w:tc>
        <w:tc>
          <w:tcPr>
            <w:tcW w:w="1644" w:type="pct"/>
            <w:hideMark/>
          </w:tcPr>
          <w:p w14:paraId="1A7F0E79"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 xml:space="preserve">En 2023, </w:t>
            </w:r>
            <w:r w:rsidRPr="00023B55">
              <w:rPr>
                <w:b/>
                <w:bCs/>
              </w:rPr>
              <w:t>40%</w:t>
            </w:r>
            <w:r w:rsidRPr="00023B55">
              <w:t xml:space="preserve"> des écoles primaires, </w:t>
            </w:r>
            <w:r w:rsidRPr="00023B55">
              <w:rPr>
                <w:b/>
                <w:bCs/>
              </w:rPr>
              <w:t>50%</w:t>
            </w:r>
            <w:r w:rsidRPr="00023B55">
              <w:t xml:space="preserve"> des établissements du premier cycle de l'enseignement secondaire et </w:t>
            </w:r>
            <w:r w:rsidRPr="00023B55">
              <w:rPr>
                <w:b/>
                <w:bCs/>
              </w:rPr>
              <w:t>65%</w:t>
            </w:r>
            <w:r w:rsidRPr="00023B55">
              <w:t xml:space="preserve"> des établissements du second cycle de l'enseignement secondaire étaient connectés à l'Internet [2].</w:t>
            </w:r>
          </w:p>
          <w:p w14:paraId="175AFAA5"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Plus de 280 000 écoles</w:t>
            </w:r>
            <w:r w:rsidRPr="00023B55">
              <w:t xml:space="preserve"> connectées dans 49 pays, selon les données issues de l'Initiative Giga [3].</w:t>
            </w:r>
          </w:p>
        </w:tc>
        <w:tc>
          <w:tcPr>
            <w:tcW w:w="1518" w:type="pct"/>
          </w:tcPr>
          <w:p w14:paraId="184E58BF"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 xml:space="preserve">Manque de données sur la connectivité pour </w:t>
            </w:r>
            <w:r w:rsidRPr="00023B55">
              <w:rPr>
                <w:b/>
                <w:bCs/>
              </w:rPr>
              <w:t>65%</w:t>
            </w:r>
            <w:r w:rsidRPr="00023B55">
              <w:t xml:space="preserve"> des écoles dans 143 pays [3].</w:t>
            </w:r>
          </w:p>
        </w:tc>
      </w:tr>
      <w:tr w:rsidR="007412AE" w:rsidRPr="00023B55" w14:paraId="56FADDE6" w14:textId="77777777" w:rsidTr="003B0987">
        <w:tc>
          <w:tcPr>
            <w:cnfStyle w:val="001000000000" w:firstRow="0" w:lastRow="0" w:firstColumn="1" w:lastColumn="0" w:oddVBand="0" w:evenVBand="0" w:oddHBand="0" w:evenHBand="0" w:firstRowFirstColumn="0" w:firstRowLastColumn="0" w:lastRowFirstColumn="0" w:lastRowLastColumn="0"/>
            <w:tcW w:w="1085" w:type="pct"/>
            <w:hideMark/>
          </w:tcPr>
          <w:p w14:paraId="30E325EE" w14:textId="77777777" w:rsidR="007412AE" w:rsidRPr="00023B55" w:rsidRDefault="007412AE" w:rsidP="003B0987">
            <w:pPr>
              <w:pStyle w:val="Tabletext"/>
              <w:keepNext/>
              <w:keepLines/>
              <w:ind w:left="284" w:hanging="284"/>
              <w:rPr>
                <w:rFonts w:cs="Calibri"/>
                <w:sz w:val="20"/>
              </w:rPr>
            </w:pPr>
            <w:r w:rsidRPr="00023B55">
              <w:t>3)</w:t>
            </w:r>
            <w:r w:rsidRPr="00023B55">
              <w:tab/>
              <w:t>Connecter les centres scientifiques et les centres de recherche aux TIC</w:t>
            </w:r>
          </w:p>
        </w:tc>
        <w:tc>
          <w:tcPr>
            <w:tcW w:w="753" w:type="pct"/>
          </w:tcPr>
          <w:p w14:paraId="1532F53A" w14:textId="77777777" w:rsidR="007412AE" w:rsidRPr="00023B55" w:rsidRDefault="007412AE" w:rsidP="003B0987">
            <w:pPr>
              <w:pStyle w:val="Tabletext"/>
              <w:keepNext/>
              <w:keepLines/>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Manque de données mondiales.</w:t>
            </w:r>
          </w:p>
        </w:tc>
        <w:tc>
          <w:tcPr>
            <w:tcW w:w="1644" w:type="pct"/>
            <w:hideMark/>
          </w:tcPr>
          <w:p w14:paraId="5EF67CC6" w14:textId="77777777" w:rsidR="007412AE" w:rsidRPr="00023B55" w:rsidRDefault="007412AE" w:rsidP="003B0987">
            <w:pPr>
              <w:pStyle w:val="Tabletext"/>
              <w:keepNext/>
              <w:keepLines/>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Manque de données mondiales</w:t>
            </w:r>
          </w:p>
        </w:tc>
        <w:tc>
          <w:tcPr>
            <w:tcW w:w="1518" w:type="pct"/>
          </w:tcPr>
          <w:p w14:paraId="311D9571" w14:textId="77777777" w:rsidR="007412AE" w:rsidRPr="00023B55" w:rsidRDefault="007412AE" w:rsidP="003B0987">
            <w:pPr>
              <w:pStyle w:val="Tabletext"/>
              <w:keepNext/>
              <w:keepLines/>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Les centres de recherche des pays en développement ne disposent toujours pas d'une connexion à l'Internet à haut débit et abordable.</w:t>
            </w:r>
          </w:p>
        </w:tc>
      </w:tr>
      <w:tr w:rsidR="007412AE" w:rsidRPr="00023B55" w14:paraId="53841C41" w14:textId="77777777" w:rsidTr="003B0987">
        <w:tc>
          <w:tcPr>
            <w:cnfStyle w:val="001000000000" w:firstRow="0" w:lastRow="0" w:firstColumn="1" w:lastColumn="0" w:oddVBand="0" w:evenVBand="0" w:oddHBand="0" w:evenHBand="0" w:firstRowFirstColumn="0" w:firstRowLastColumn="0" w:lastRowFirstColumn="0" w:lastRowLastColumn="0"/>
            <w:tcW w:w="1085" w:type="pct"/>
            <w:hideMark/>
          </w:tcPr>
          <w:p w14:paraId="711FB630" w14:textId="77777777" w:rsidR="007412AE" w:rsidRPr="00023B55" w:rsidRDefault="007412AE" w:rsidP="003B0987">
            <w:pPr>
              <w:pStyle w:val="Tabletext"/>
              <w:ind w:left="284" w:right="-101" w:hanging="284"/>
              <w:rPr>
                <w:rFonts w:cs="Calibri"/>
                <w:sz w:val="20"/>
              </w:rPr>
            </w:pPr>
            <w:r w:rsidRPr="00023B55">
              <w:t>4)</w:t>
            </w:r>
            <w:r w:rsidRPr="00023B55">
              <w:tab/>
              <w:t>Connecter les bibliothèques publiques, les centres culturels, les musées, les bureaux de poste et les services d'archives aux TIC</w:t>
            </w:r>
          </w:p>
        </w:tc>
        <w:tc>
          <w:tcPr>
            <w:tcW w:w="753" w:type="pct"/>
          </w:tcPr>
          <w:p w14:paraId="689D5662"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Manque de données mondiales.</w:t>
            </w:r>
          </w:p>
        </w:tc>
        <w:tc>
          <w:tcPr>
            <w:tcW w:w="1644" w:type="pct"/>
            <w:hideMark/>
          </w:tcPr>
          <w:p w14:paraId="7707CCAF"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Plus de 369 000</w:t>
            </w:r>
            <w:r w:rsidRPr="00023B55">
              <w:t xml:space="preserve"> bibliothèques disposent d'un accès à l'Internet (Fédération internationale des associations de bibliothécaires et des bibliothèques) [4].</w:t>
            </w:r>
          </w:p>
          <w:p w14:paraId="014442AD"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 xml:space="preserve">100 000 </w:t>
            </w:r>
            <w:r w:rsidRPr="00023B55">
              <w:t>bureaux de poste connectés (Union postale universelle) [5].</w:t>
            </w:r>
          </w:p>
        </w:tc>
        <w:tc>
          <w:tcPr>
            <w:tcW w:w="1518" w:type="pct"/>
          </w:tcPr>
          <w:p w14:paraId="32BE85F2"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87%</w:t>
            </w:r>
            <w:r w:rsidRPr="00023B55">
              <w:t xml:space="preserve"> des bibliothèques ne sont toujours pas connectées [4].</w:t>
            </w:r>
          </w:p>
          <w:p w14:paraId="52255700"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550 000</w:t>
            </w:r>
            <w:r w:rsidRPr="00023B55">
              <w:t xml:space="preserve"> bureaux de poste ne sont toujours pas connectés.</w:t>
            </w:r>
          </w:p>
          <w:p w14:paraId="7D878848"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Données manquantes pour les pays à faible revenu.</w:t>
            </w:r>
          </w:p>
        </w:tc>
      </w:tr>
      <w:tr w:rsidR="007412AE" w:rsidRPr="00023B55" w14:paraId="618945BD" w14:textId="77777777" w:rsidTr="003B0987">
        <w:tc>
          <w:tcPr>
            <w:cnfStyle w:val="001000000000" w:firstRow="0" w:lastRow="0" w:firstColumn="1" w:lastColumn="0" w:oddVBand="0" w:evenVBand="0" w:oddHBand="0" w:evenHBand="0" w:firstRowFirstColumn="0" w:firstRowLastColumn="0" w:lastRowFirstColumn="0" w:lastRowLastColumn="0"/>
            <w:tcW w:w="1085" w:type="pct"/>
            <w:hideMark/>
          </w:tcPr>
          <w:p w14:paraId="0E3CCB40" w14:textId="77777777" w:rsidR="007412AE" w:rsidRPr="00023B55" w:rsidRDefault="007412AE" w:rsidP="003B0987">
            <w:pPr>
              <w:pStyle w:val="Tabletext"/>
              <w:ind w:left="284" w:hanging="284"/>
              <w:rPr>
                <w:rFonts w:cs="Calibri"/>
                <w:sz w:val="20"/>
              </w:rPr>
            </w:pPr>
            <w:r w:rsidRPr="00023B55">
              <w:lastRenderedPageBreak/>
              <w:t>5)</w:t>
            </w:r>
            <w:r w:rsidRPr="00023B55">
              <w:tab/>
              <w:t>Connecter les centres de santé et les hôpitaux aux TIC</w:t>
            </w:r>
          </w:p>
        </w:tc>
        <w:tc>
          <w:tcPr>
            <w:tcW w:w="753" w:type="pct"/>
          </w:tcPr>
          <w:p w14:paraId="4D4DFD5D"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Manque de données mondiales.</w:t>
            </w:r>
          </w:p>
        </w:tc>
        <w:tc>
          <w:tcPr>
            <w:tcW w:w="1644" w:type="pct"/>
            <w:hideMark/>
          </w:tcPr>
          <w:p w14:paraId="43FDAB95"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Plus grand recours aux dossiers de santé électroniques, principalement dans les pays développés.</w:t>
            </w:r>
          </w:p>
          <w:p w14:paraId="75AC41F3"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Les services de télémédecine se sont développés, en particulier pendant la pandémie de COVID-19.</w:t>
            </w:r>
          </w:p>
        </w:tc>
        <w:tc>
          <w:tcPr>
            <w:tcW w:w="1518" w:type="pct"/>
          </w:tcPr>
          <w:p w14:paraId="6C6B0AC6"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Il existe d'importantes disparités entre les pays développés et les pays en développement, ainsi qu'entre les hôpitaux urbains et ruraux d'un même pays.</w:t>
            </w:r>
          </w:p>
        </w:tc>
      </w:tr>
      <w:tr w:rsidR="007412AE" w:rsidRPr="00023B55" w14:paraId="521BE70E" w14:textId="77777777" w:rsidTr="003B0987">
        <w:tc>
          <w:tcPr>
            <w:cnfStyle w:val="001000000000" w:firstRow="0" w:lastRow="0" w:firstColumn="1" w:lastColumn="0" w:oddVBand="0" w:evenVBand="0" w:oddHBand="0" w:evenHBand="0" w:firstRowFirstColumn="0" w:firstRowLastColumn="0" w:lastRowFirstColumn="0" w:lastRowLastColumn="0"/>
            <w:tcW w:w="1085" w:type="pct"/>
            <w:hideMark/>
          </w:tcPr>
          <w:p w14:paraId="6A454E95" w14:textId="77777777" w:rsidR="007412AE" w:rsidRPr="00023B55" w:rsidRDefault="007412AE" w:rsidP="003B0987">
            <w:pPr>
              <w:pStyle w:val="Tabletext"/>
              <w:ind w:left="284" w:hanging="284"/>
              <w:rPr>
                <w:rFonts w:cs="Calibri"/>
                <w:sz w:val="20"/>
              </w:rPr>
            </w:pPr>
            <w:r w:rsidRPr="00023B55">
              <w:t>6)</w:t>
            </w:r>
            <w:r w:rsidRPr="00023B55">
              <w:tab/>
              <w:t>Connecter toutes les administrations publiques, locales et centrales, et les doter d'un site web et d'une adresse électronique</w:t>
            </w:r>
          </w:p>
        </w:tc>
        <w:tc>
          <w:tcPr>
            <w:tcW w:w="753" w:type="pct"/>
          </w:tcPr>
          <w:p w14:paraId="7FE48BAF"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Manque de données mondiales.</w:t>
            </w:r>
          </w:p>
        </w:tc>
        <w:tc>
          <w:tcPr>
            <w:tcW w:w="1644" w:type="pct"/>
            <w:hideMark/>
          </w:tcPr>
          <w:p w14:paraId="7DCFA571" w14:textId="77777777" w:rsidR="007412AE" w:rsidRPr="00023B55" w:rsidRDefault="007412AE" w:rsidP="003B0987">
            <w:pPr>
              <w:pStyle w:val="Tabletext"/>
              <w:spacing w:before="80"/>
              <w:ind w:right="-76"/>
              <w:cnfStyle w:val="000000000000" w:firstRow="0" w:lastRow="0" w:firstColumn="0" w:lastColumn="0" w:oddVBand="0" w:evenVBand="0" w:oddHBand="0" w:evenHBand="0" w:firstRowFirstColumn="0" w:firstRowLastColumn="0" w:lastRowFirstColumn="0" w:lastRowLastColumn="0"/>
              <w:rPr>
                <w:rFonts w:cs="Calibri"/>
                <w:sz w:val="20"/>
              </w:rPr>
            </w:pPr>
            <w:r w:rsidRPr="00023B55">
              <w:t xml:space="preserve">Environ </w:t>
            </w:r>
            <w:r w:rsidRPr="00023B55">
              <w:rPr>
                <w:b/>
                <w:bCs/>
              </w:rPr>
              <w:t>98% des pays</w:t>
            </w:r>
            <w:r w:rsidRPr="00023B55">
              <w:t xml:space="preserve"> proposent des services d'administration en ligne et la plupart ont mis en œuvre un certain niveau de fonctionnalité des systèmes d'administration numérique [6].</w:t>
            </w:r>
          </w:p>
          <w:p w14:paraId="220ADD68"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La plupart des pays améliorent leurs plates-formes en ligne, la majorité d'entre eux proposant des portails nationaux bien développés qui offrent des organigrammes, des détails sur la structure administrative, des informations sur les principaux responsables et des liens vers les sites web des ministères et des administrations locales.</w:t>
            </w:r>
          </w:p>
          <w:p w14:paraId="15DCB447" w14:textId="77777777" w:rsidR="007412AE" w:rsidRPr="00023B55" w:rsidRDefault="007412AE" w:rsidP="003B0987">
            <w:pPr>
              <w:pStyle w:val="Tabletext"/>
              <w:keepLines/>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En 2024, entre 76 et 83% des pays disposaient de stratégies, de politiques ou de législations nationales en matière d'administration en ligne, relatives à la cybersécurité, à la confidentialité des données, à la protection des données, à l'identité numérique et au droit des citoyens d'accéder aux informations administratives [6].</w:t>
            </w:r>
          </w:p>
        </w:tc>
        <w:tc>
          <w:tcPr>
            <w:tcW w:w="1518" w:type="pct"/>
          </w:tcPr>
          <w:p w14:paraId="4EFCC4EF"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Malgré des progrès significatifs dans le développement de l'administration numérique, les moyennes de l'Indice de développement de l'administration publique en ligne (EGDI) défini par le DESA pour la région Afrique, les pays les moins avancés (PMA), les pays en développement sans littoral (PDSL) et les petits États insulaires en développement (PEID), restent inférieures à la moyenne mondiale, ce qui souligne la nécessité de déployer des efforts ciblés pour réduire les disparités qui existent [6].</w:t>
            </w:r>
          </w:p>
        </w:tc>
      </w:tr>
      <w:tr w:rsidR="007412AE" w:rsidRPr="00023B55" w14:paraId="15CB8EBE" w14:textId="77777777" w:rsidTr="003B0987">
        <w:tc>
          <w:tcPr>
            <w:cnfStyle w:val="001000000000" w:firstRow="0" w:lastRow="0" w:firstColumn="1" w:lastColumn="0" w:oddVBand="0" w:evenVBand="0" w:oddHBand="0" w:evenHBand="0" w:firstRowFirstColumn="0" w:firstRowLastColumn="0" w:lastRowFirstColumn="0" w:lastRowLastColumn="0"/>
            <w:tcW w:w="1085" w:type="pct"/>
            <w:hideMark/>
          </w:tcPr>
          <w:p w14:paraId="137BE2F3" w14:textId="77777777" w:rsidR="007412AE" w:rsidRPr="00023B55" w:rsidRDefault="007412AE" w:rsidP="003B0987">
            <w:pPr>
              <w:pStyle w:val="Tabletext"/>
              <w:ind w:left="284" w:hanging="284"/>
              <w:rPr>
                <w:rFonts w:cs="Calibri"/>
                <w:sz w:val="20"/>
              </w:rPr>
            </w:pPr>
            <w:r w:rsidRPr="00023B55">
              <w:t>7)</w:t>
            </w:r>
            <w:r w:rsidRPr="00023B55">
              <w:tab/>
              <w:t xml:space="preserve">Adapter tous les programmes des écoles primaires ou secondaires afin de relever les défis de la société de </w:t>
            </w:r>
            <w:r w:rsidRPr="00023B55">
              <w:lastRenderedPageBreak/>
              <w:t>l'information, compte tenu des conditions propres à chaque pays</w:t>
            </w:r>
          </w:p>
        </w:tc>
        <w:tc>
          <w:tcPr>
            <w:tcW w:w="753" w:type="pct"/>
          </w:tcPr>
          <w:p w14:paraId="12BE361C"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lastRenderedPageBreak/>
              <w:t>Manque de données mondiales.</w:t>
            </w:r>
          </w:p>
        </w:tc>
        <w:tc>
          <w:tcPr>
            <w:tcW w:w="1644" w:type="pct"/>
          </w:tcPr>
          <w:p w14:paraId="262E7BA2"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À l'échelle mondiale, plus de </w:t>
            </w:r>
            <w:r w:rsidRPr="00023B55">
              <w:rPr>
                <w:b/>
                <w:bCs/>
              </w:rPr>
              <w:t>54%</w:t>
            </w:r>
            <w:r w:rsidRPr="00023B55">
              <w:t xml:space="preserve"> des pays ont adopté des normes relatives aux compétences numériques pour les programmes scolaires [2].</w:t>
            </w:r>
          </w:p>
          <w:p w14:paraId="6049B6D0"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 xml:space="preserve">Les programmes d'enseignement primaire et </w:t>
            </w:r>
            <w:r w:rsidRPr="00023B55">
              <w:lastRenderedPageBreak/>
              <w:t>secondaire ont évolué pour intégrer des compétences en matière de maîtrise des outils numériques, de codage et de pensée critique, en raison d'un plus grand accès à Internet et d'appareils numériques plus abordables financièrement.</w:t>
            </w:r>
          </w:p>
          <w:p w14:paraId="06F735EA"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La pandémie de COVID-19 a entraîné l'essor rapide et spectaculaire des plates</w:t>
            </w:r>
            <w:r w:rsidRPr="00023B55">
              <w:noBreakHyphen/>
              <w:t>formes d'apprentissage en ligne, qui continuent de s'étendre.</w:t>
            </w:r>
          </w:p>
        </w:tc>
        <w:tc>
          <w:tcPr>
            <w:tcW w:w="1518" w:type="pct"/>
          </w:tcPr>
          <w:p w14:paraId="54DBF825"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lastRenderedPageBreak/>
              <w:t xml:space="preserve">Les enseignants cherchent des mesures pour éviter que les élèves ne soient distraits, tandis que certains parents s'inquiètent de la dépendance aux écrans, de la question de la vie privée et de l'intimidation, en plus </w:t>
            </w:r>
            <w:r w:rsidRPr="00023B55">
              <w:lastRenderedPageBreak/>
              <w:t>des risques d'aggravation des inégalités sociales entre les communautés marginalisées [2].</w:t>
            </w:r>
          </w:p>
        </w:tc>
      </w:tr>
      <w:tr w:rsidR="007412AE" w:rsidRPr="00023B55" w14:paraId="4EC595BB" w14:textId="77777777" w:rsidTr="003B0987">
        <w:tc>
          <w:tcPr>
            <w:cnfStyle w:val="001000000000" w:firstRow="0" w:lastRow="0" w:firstColumn="1" w:lastColumn="0" w:oddVBand="0" w:evenVBand="0" w:oddHBand="0" w:evenHBand="0" w:firstRowFirstColumn="0" w:firstRowLastColumn="0" w:lastRowFirstColumn="0" w:lastRowLastColumn="0"/>
            <w:tcW w:w="1085" w:type="pct"/>
          </w:tcPr>
          <w:p w14:paraId="3D2FC6B2" w14:textId="77777777" w:rsidR="007412AE" w:rsidRPr="00023B55" w:rsidRDefault="007412AE" w:rsidP="003B0987">
            <w:pPr>
              <w:pStyle w:val="Tabletext"/>
              <w:ind w:left="284" w:hanging="284"/>
              <w:rPr>
                <w:rFonts w:cs="Calibri"/>
                <w:b w:val="0"/>
                <w:bCs w:val="0"/>
                <w:sz w:val="20"/>
              </w:rPr>
            </w:pPr>
            <w:r w:rsidRPr="00023B55">
              <w:lastRenderedPageBreak/>
              <w:t>8)</w:t>
            </w:r>
            <w:r w:rsidRPr="00023B55">
              <w:tab/>
              <w:t>Donner à toute la population mondiale accès aux services de télévision et de radiodiffusion</w:t>
            </w:r>
          </w:p>
        </w:tc>
        <w:tc>
          <w:tcPr>
            <w:tcW w:w="753" w:type="pct"/>
          </w:tcPr>
          <w:p w14:paraId="6CE672ED"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Manque de données mondiales.</w:t>
            </w:r>
          </w:p>
        </w:tc>
        <w:tc>
          <w:tcPr>
            <w:tcW w:w="1644" w:type="pct"/>
          </w:tcPr>
          <w:p w14:paraId="5FD3ED40"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p>
        </w:tc>
        <w:tc>
          <w:tcPr>
            <w:tcW w:w="1518" w:type="pct"/>
          </w:tcPr>
          <w:p w14:paraId="60419387"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Les services de radio traditionnels restent essentiels dans les zones rurales et mal desservies, tandis que la radio en continu sur Internet continue de se développer dans les zones urbaines.</w:t>
            </w:r>
          </w:p>
        </w:tc>
      </w:tr>
      <w:tr w:rsidR="007412AE" w:rsidRPr="00023B55" w14:paraId="7898A7D2" w14:textId="77777777" w:rsidTr="003B0987">
        <w:tc>
          <w:tcPr>
            <w:cnfStyle w:val="001000000000" w:firstRow="0" w:lastRow="0" w:firstColumn="1" w:lastColumn="0" w:oddVBand="0" w:evenVBand="0" w:oddHBand="0" w:evenHBand="0" w:firstRowFirstColumn="0" w:firstRowLastColumn="0" w:lastRowFirstColumn="0" w:lastRowLastColumn="0"/>
            <w:tcW w:w="1085" w:type="pct"/>
          </w:tcPr>
          <w:p w14:paraId="0D0E1229" w14:textId="77777777" w:rsidR="007412AE" w:rsidRPr="00023B55" w:rsidRDefault="007412AE" w:rsidP="003B0987">
            <w:pPr>
              <w:pStyle w:val="Tabletext"/>
              <w:keepLines/>
              <w:ind w:left="284" w:right="11" w:hanging="284"/>
              <w:rPr>
                <w:rFonts w:cs="Calibri"/>
                <w:b w:val="0"/>
                <w:bCs w:val="0"/>
                <w:sz w:val="20"/>
              </w:rPr>
            </w:pPr>
            <w:r w:rsidRPr="00023B55">
              <w:t>9)</w:t>
            </w:r>
            <w:r w:rsidRPr="00023B55">
              <w:tab/>
              <w:t>Encourager l'élaboration de contenus et réunir les conditions techniques propres à faciliter la présence et l'utilisation de toutes les langues du monde sur l'Internet</w:t>
            </w:r>
          </w:p>
        </w:tc>
        <w:tc>
          <w:tcPr>
            <w:tcW w:w="753" w:type="pct"/>
          </w:tcPr>
          <w:p w14:paraId="6FDB5F98" w14:textId="77777777" w:rsidR="007412AE" w:rsidRPr="00023B55" w:rsidRDefault="007412AE" w:rsidP="003B0987">
            <w:pPr>
              <w:pStyle w:val="Tabletext"/>
              <w:keepLines/>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Domination de la langue anglaise et de quelques autres langues majeures sur Internet.</w:t>
            </w:r>
          </w:p>
        </w:tc>
        <w:tc>
          <w:tcPr>
            <w:tcW w:w="1644" w:type="pct"/>
          </w:tcPr>
          <w:p w14:paraId="4DEF4CF8" w14:textId="77777777" w:rsidR="007412AE" w:rsidRPr="00023B55" w:rsidRDefault="007412AE" w:rsidP="003B0987">
            <w:pPr>
              <w:pStyle w:val="Tabletext"/>
              <w:keepLines/>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Plus de 400</w:t>
            </w:r>
            <w:r w:rsidRPr="00023B55">
              <w:t xml:space="preserve"> langues sont entièrement accessibles en ligne, sur les 7 000 langues utilisées en 2024 [8].</w:t>
            </w:r>
          </w:p>
        </w:tc>
        <w:tc>
          <w:tcPr>
            <w:tcW w:w="1518" w:type="pct"/>
          </w:tcPr>
          <w:p w14:paraId="70689E95" w14:textId="77777777" w:rsidR="007412AE" w:rsidRPr="00023B55" w:rsidRDefault="007412AE" w:rsidP="003B0987">
            <w:pPr>
              <w:pStyle w:val="Tabletext"/>
              <w:keepLines/>
              <w:spacing w:before="80"/>
              <w:cnfStyle w:val="000000000000" w:firstRow="0" w:lastRow="0" w:firstColumn="0" w:lastColumn="0" w:oddVBand="0" w:evenVBand="0" w:oddHBand="0" w:evenHBand="0" w:firstRowFirstColumn="0" w:firstRowLastColumn="0" w:lastRowFirstColumn="0" w:lastRowLastColumn="0"/>
              <w:rPr>
                <w:rFonts w:cs="Calibri"/>
                <w:sz w:val="20"/>
              </w:rPr>
            </w:pPr>
          </w:p>
        </w:tc>
      </w:tr>
      <w:tr w:rsidR="007412AE" w:rsidRPr="00023B55" w14:paraId="2F4FB3F9" w14:textId="77777777" w:rsidTr="003B0987">
        <w:tc>
          <w:tcPr>
            <w:cnfStyle w:val="001000000000" w:firstRow="0" w:lastRow="0" w:firstColumn="1" w:lastColumn="0" w:oddVBand="0" w:evenVBand="0" w:oddHBand="0" w:evenHBand="0" w:firstRowFirstColumn="0" w:firstRowLastColumn="0" w:lastRowFirstColumn="0" w:lastRowLastColumn="0"/>
            <w:tcW w:w="1085" w:type="pct"/>
          </w:tcPr>
          <w:p w14:paraId="136B207F" w14:textId="77777777" w:rsidR="007412AE" w:rsidRPr="00023B55" w:rsidRDefault="007412AE" w:rsidP="003B0987">
            <w:pPr>
              <w:pStyle w:val="Tabletext"/>
              <w:tabs>
                <w:tab w:val="left" w:pos="305"/>
              </w:tabs>
              <w:ind w:left="284" w:hanging="284"/>
              <w:rPr>
                <w:rFonts w:cs="Calibri"/>
                <w:b w:val="0"/>
                <w:bCs w:val="0"/>
                <w:sz w:val="20"/>
              </w:rPr>
            </w:pPr>
            <w:r w:rsidRPr="00023B55">
              <w:t>10)</w:t>
            </w:r>
            <w:r w:rsidRPr="00023B55">
              <w:tab/>
              <w:t>Faire en sorte que plus de la moitié des habitants de la planète aient à leur portée un accès aux TIC</w:t>
            </w:r>
          </w:p>
        </w:tc>
        <w:tc>
          <w:tcPr>
            <w:tcW w:w="753" w:type="pct"/>
          </w:tcPr>
          <w:p w14:paraId="0FCA6FB2"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16%</w:t>
            </w:r>
            <w:r w:rsidRPr="00023B55">
              <w:t xml:space="preserve"> de la population mondiale a accès aux TIC [1].</w:t>
            </w:r>
          </w:p>
        </w:tc>
        <w:tc>
          <w:tcPr>
            <w:tcW w:w="1644" w:type="pct"/>
          </w:tcPr>
          <w:p w14:paraId="642BC50C"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68%</w:t>
            </w:r>
            <w:r w:rsidRPr="00023B55">
              <w:t xml:space="preserve"> de la population mondiale, 5,5 milliards de personnes étant en ligne.</w:t>
            </w:r>
          </w:p>
          <w:p w14:paraId="7E333ED6"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96%</w:t>
            </w:r>
            <w:r w:rsidRPr="00023B55">
              <w:t xml:space="preserve"> de la population mondiale est désormais couverte par un réseau large bande mobile donnant accès à Internet [1].</w:t>
            </w:r>
          </w:p>
        </w:tc>
        <w:tc>
          <w:tcPr>
            <w:tcW w:w="1518" w:type="pct"/>
          </w:tcPr>
          <w:p w14:paraId="0EFEA403"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rPr>
                <w:b/>
                <w:bCs/>
              </w:rPr>
              <w:t>2,6 milliards</w:t>
            </w:r>
            <w:r w:rsidRPr="00023B55">
              <w:t xml:space="preserve"> de personnes ne sont toujours pas connectées.</w:t>
            </w:r>
          </w:p>
          <w:p w14:paraId="59E6BBC3"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 xml:space="preserve">Dans les zones rurales des pays à faible revenu, près de </w:t>
            </w:r>
            <w:r w:rsidRPr="00023B55">
              <w:rPr>
                <w:b/>
                <w:bCs/>
              </w:rPr>
              <w:t>30%</w:t>
            </w:r>
            <w:r w:rsidRPr="00023B55">
              <w:t xml:space="preserve"> de la population n'a pas la possibilité de se connecter à l'Internet.</w:t>
            </w:r>
          </w:p>
          <w:p w14:paraId="03BE1C48" w14:textId="77777777" w:rsidR="007412AE" w:rsidRPr="00023B55" w:rsidRDefault="007412AE" w:rsidP="003B0987">
            <w:pPr>
              <w:pStyle w:val="Tabletext"/>
              <w:spacing w:before="80"/>
              <w:cnfStyle w:val="000000000000" w:firstRow="0" w:lastRow="0" w:firstColumn="0" w:lastColumn="0" w:oddVBand="0" w:evenVBand="0" w:oddHBand="0" w:evenHBand="0" w:firstRowFirstColumn="0" w:firstRowLastColumn="0" w:lastRowFirstColumn="0" w:lastRowLastColumn="0"/>
              <w:rPr>
                <w:rFonts w:cs="Calibri"/>
                <w:sz w:val="20"/>
              </w:rPr>
            </w:pPr>
            <w:r w:rsidRPr="00023B55">
              <w:t xml:space="preserve">La </w:t>
            </w:r>
            <w:r w:rsidRPr="00023B55">
              <w:rPr>
                <w:b/>
                <w:bCs/>
              </w:rPr>
              <w:t>fracture numérique entre les hommes et les femmes</w:t>
            </w:r>
            <w:r w:rsidRPr="00023B55">
              <w:t xml:space="preserve"> se réduit, 65% des </w:t>
            </w:r>
            <w:r w:rsidRPr="00023B55">
              <w:lastRenderedPageBreak/>
              <w:t>femmes utilisant Internet, mais, en 2024, l'on dénombrait 189 millions d'internautes supplémentaires chez les hommes par rapport aux femmes [1].</w:t>
            </w:r>
          </w:p>
        </w:tc>
      </w:tr>
    </w:tbl>
    <w:p w14:paraId="1FB82BAE" w14:textId="77777777" w:rsidR="007412AE" w:rsidRPr="00023B55" w:rsidRDefault="00862B49" w:rsidP="007412AE">
      <w:pPr>
        <w:spacing w:before="0"/>
      </w:pPr>
      <w:r>
        <w:rPr>
          <w:rFonts w:cs="Calibri"/>
        </w:rPr>
        <w:lastRenderedPageBreak/>
        <w:pict w14:anchorId="4797F632">
          <v:rect id="_x0000_i1027" style="width:0;height:1.5pt" o:hralign="center" o:hrstd="t" o:hr="t" fillcolor="#a0a0a0" stroked="f"/>
        </w:pict>
      </w:r>
    </w:p>
    <w:p w14:paraId="77706BFA" w14:textId="77777777" w:rsidR="007412AE" w:rsidRPr="00023B55" w:rsidRDefault="007412AE" w:rsidP="007412AE">
      <w:pPr>
        <w:pStyle w:val="FootnoteText"/>
        <w:tabs>
          <w:tab w:val="clear" w:pos="256"/>
        </w:tabs>
        <w:spacing w:before="80"/>
        <w:ind w:left="567" w:hanging="567"/>
      </w:pPr>
      <w:r w:rsidRPr="00023B55">
        <w:t>[1]</w:t>
      </w:r>
      <w:r w:rsidRPr="00023B55">
        <w:tab/>
      </w:r>
      <w:hyperlink r:id="rId192" w:anchor="/fr" w:history="1">
        <w:r w:rsidRPr="00023B55">
          <w:rPr>
            <w:rStyle w:val="Hyperlink"/>
            <w:rFonts w:eastAsia="Times New Roman" w:cs="Times New Roman"/>
            <w:szCs w:val="20"/>
          </w:rPr>
          <w:t>Mesurer le développement numérique – Faits et chiffres 2024, UIT</w:t>
        </w:r>
      </w:hyperlink>
      <w:r w:rsidRPr="00023B55">
        <w:t>.</w:t>
      </w:r>
    </w:p>
    <w:p w14:paraId="2EEB57BF" w14:textId="77777777" w:rsidR="007412AE" w:rsidRPr="00023B55" w:rsidRDefault="007412AE" w:rsidP="007412AE">
      <w:pPr>
        <w:pStyle w:val="FootnoteText"/>
        <w:tabs>
          <w:tab w:val="clear" w:pos="256"/>
        </w:tabs>
        <w:spacing w:before="80"/>
        <w:ind w:left="567" w:hanging="567"/>
      </w:pPr>
      <w:r w:rsidRPr="00023B55">
        <w:t>[2]</w:t>
      </w:r>
      <w:r w:rsidRPr="00023B55">
        <w:tab/>
      </w:r>
      <w:hyperlink r:id="rId193" w:history="1">
        <w:r w:rsidRPr="00023B55">
          <w:rPr>
            <w:rStyle w:val="Hyperlink"/>
            <w:rFonts w:eastAsia="Times New Roman" w:cs="Times New Roman"/>
            <w:szCs w:val="20"/>
          </w:rPr>
          <w:t>La situation du large bande en 2015, Commission sur le large bande</w:t>
        </w:r>
      </w:hyperlink>
      <w:r w:rsidRPr="00023B55">
        <w:t>.</w:t>
      </w:r>
    </w:p>
    <w:p w14:paraId="15921308" w14:textId="77777777" w:rsidR="007412AE" w:rsidRPr="00023B55" w:rsidRDefault="007412AE" w:rsidP="007412AE">
      <w:pPr>
        <w:pStyle w:val="FootnoteText"/>
        <w:tabs>
          <w:tab w:val="clear" w:pos="256"/>
        </w:tabs>
        <w:spacing w:before="80"/>
        <w:ind w:left="567" w:hanging="567"/>
      </w:pPr>
      <w:r w:rsidRPr="00023B55">
        <w:t>[3]</w:t>
      </w:r>
      <w:r w:rsidRPr="00023B55">
        <w:tab/>
      </w:r>
      <w:hyperlink r:id="rId194" w:history="1">
        <w:r w:rsidRPr="00023B55">
          <w:rPr>
            <w:rStyle w:val="Hyperlink"/>
            <w:rFonts w:eastAsia="Times New Roman" w:cs="Times New Roman"/>
            <w:szCs w:val="20"/>
          </w:rPr>
          <w:t>Outil GigaMaps</w:t>
        </w:r>
      </w:hyperlink>
      <w:r w:rsidRPr="00023B55">
        <w:t>.</w:t>
      </w:r>
    </w:p>
    <w:p w14:paraId="1FF0C8D0" w14:textId="77777777" w:rsidR="007412AE" w:rsidRPr="00023B55" w:rsidRDefault="007412AE" w:rsidP="007412AE">
      <w:pPr>
        <w:pStyle w:val="FootnoteText"/>
        <w:tabs>
          <w:tab w:val="clear" w:pos="256"/>
        </w:tabs>
        <w:spacing w:before="80"/>
        <w:ind w:left="567" w:hanging="567"/>
      </w:pPr>
      <w:r w:rsidRPr="00023B55">
        <w:t>[4]</w:t>
      </w:r>
      <w:r w:rsidRPr="00023B55">
        <w:tab/>
      </w:r>
      <w:hyperlink r:id="rId195" w:history="1">
        <w:r w:rsidRPr="00023B55">
          <w:rPr>
            <w:rStyle w:val="Hyperlink"/>
            <w:rFonts w:eastAsia="Times New Roman" w:cs="Times New Roman"/>
            <w:szCs w:val="20"/>
          </w:rPr>
          <w:t>Fédération internationale des associations de bibliothécaires et des bibliothèques (IFLA).</w:t>
        </w:r>
      </w:hyperlink>
    </w:p>
    <w:p w14:paraId="7354A229" w14:textId="77777777" w:rsidR="007412AE" w:rsidRPr="00023B55" w:rsidRDefault="007412AE" w:rsidP="007412AE">
      <w:pPr>
        <w:pStyle w:val="FootnoteText"/>
        <w:tabs>
          <w:tab w:val="clear" w:pos="256"/>
        </w:tabs>
        <w:spacing w:before="80"/>
        <w:ind w:left="567" w:hanging="567"/>
      </w:pPr>
      <w:r w:rsidRPr="00023B55">
        <w:t>[5]</w:t>
      </w:r>
      <w:r w:rsidRPr="00023B55">
        <w:tab/>
      </w:r>
      <w:hyperlink r:id="rId196" w:history="1">
        <w:r w:rsidRPr="00023B55">
          <w:rPr>
            <w:rStyle w:val="Hyperlink"/>
            <w:rFonts w:eastAsia="Times New Roman" w:cs="Times New Roman"/>
            <w:szCs w:val="20"/>
          </w:rPr>
          <w:t>Initiative Connect.post, UPU</w:t>
        </w:r>
      </w:hyperlink>
      <w:r w:rsidRPr="00023B55">
        <w:t>.</w:t>
      </w:r>
    </w:p>
    <w:p w14:paraId="10DDED7E" w14:textId="77777777" w:rsidR="007412AE" w:rsidRPr="00023B55" w:rsidRDefault="007412AE" w:rsidP="007412AE">
      <w:pPr>
        <w:pStyle w:val="FootnoteText"/>
        <w:tabs>
          <w:tab w:val="clear" w:pos="256"/>
        </w:tabs>
        <w:spacing w:before="80"/>
        <w:ind w:left="567" w:hanging="567"/>
      </w:pPr>
      <w:r w:rsidRPr="00023B55">
        <w:t>[6]</w:t>
      </w:r>
      <w:r w:rsidRPr="00023B55">
        <w:tab/>
      </w:r>
      <w:hyperlink r:id="rId197" w:history="1">
        <w:r w:rsidRPr="00023B55">
          <w:rPr>
            <w:rStyle w:val="Hyperlink"/>
            <w:rFonts w:eastAsia="Times New Roman" w:cs="Times New Roman"/>
            <w:szCs w:val="20"/>
          </w:rPr>
          <w:t>Étude sur l'administration publique en ligne menée par l'Organisation des Nations Unies en 2024, DESA</w:t>
        </w:r>
      </w:hyperlink>
      <w:r w:rsidRPr="00023B55">
        <w:t>.</w:t>
      </w:r>
    </w:p>
    <w:p w14:paraId="2CECB226" w14:textId="77777777" w:rsidR="007412AE" w:rsidRPr="00023B55" w:rsidRDefault="007412AE" w:rsidP="007412AE">
      <w:pPr>
        <w:pStyle w:val="FootnoteText"/>
        <w:tabs>
          <w:tab w:val="clear" w:pos="256"/>
        </w:tabs>
        <w:spacing w:before="80"/>
        <w:ind w:left="567" w:hanging="567"/>
      </w:pPr>
      <w:r w:rsidRPr="00023B55">
        <w:t>[7]</w:t>
      </w:r>
      <w:r w:rsidRPr="00023B55">
        <w:tab/>
      </w:r>
      <w:hyperlink r:id="rId198" w:history="1">
        <w:r w:rsidRPr="00023B55">
          <w:rPr>
            <w:rStyle w:val="Hyperlink"/>
            <w:rFonts w:eastAsia="Times New Roman" w:cs="Times New Roman"/>
            <w:szCs w:val="20"/>
          </w:rPr>
          <w:t>Mesurer la diversité linguistique sur Internet, UNESCO</w:t>
        </w:r>
      </w:hyperlink>
      <w:r w:rsidRPr="00023B55">
        <w:t>.</w:t>
      </w:r>
    </w:p>
    <w:p w14:paraId="0F7B1833" w14:textId="77777777" w:rsidR="007412AE" w:rsidRPr="00023B55" w:rsidRDefault="007412AE" w:rsidP="007412AE">
      <w:pPr>
        <w:pStyle w:val="FootnoteText"/>
        <w:tabs>
          <w:tab w:val="clear" w:pos="256"/>
        </w:tabs>
        <w:spacing w:before="80"/>
        <w:ind w:left="567" w:hanging="567"/>
      </w:pPr>
      <w:r w:rsidRPr="00023B55">
        <w:t>[8]</w:t>
      </w:r>
      <w:r w:rsidRPr="00023B55">
        <w:tab/>
      </w:r>
      <w:hyperlink r:id="rId199" w:history="1">
        <w:r w:rsidRPr="00023B55">
          <w:rPr>
            <w:rStyle w:val="Hyperlink"/>
            <w:rFonts w:eastAsia="Times New Roman" w:cs="Times New Roman"/>
            <w:szCs w:val="20"/>
          </w:rPr>
          <w:t>www.UNESCO.org/</w:t>
        </w:r>
      </w:hyperlink>
      <w:r w:rsidRPr="00023B55">
        <w:t>.</w:t>
      </w:r>
    </w:p>
    <w:p w14:paraId="005C1F71" w14:textId="77777777" w:rsidR="007412AE" w:rsidRPr="00023B55" w:rsidRDefault="00862B49" w:rsidP="007412AE">
      <w:pPr>
        <w:spacing w:before="0"/>
      </w:pPr>
      <w:r>
        <w:rPr>
          <w:rFonts w:cs="Calibri"/>
        </w:rPr>
        <w:pict w14:anchorId="2BCCC3B7">
          <v:rect id="_x0000_i1028" style="width:0;height:1.5pt" o:hralign="center" o:hrstd="t" o:hr="t" fillcolor="#a0a0a0" stroked="f"/>
        </w:pict>
      </w:r>
    </w:p>
    <w:p w14:paraId="692EED64" w14:textId="77777777" w:rsidR="007412AE" w:rsidRPr="00023B55" w:rsidRDefault="007412AE" w:rsidP="00F52608">
      <w:pPr>
        <w:pStyle w:val="Heading2"/>
      </w:pPr>
      <w:r w:rsidRPr="00023B55">
        <w:t>Un cadre existant, efficace et évolutif</w:t>
      </w:r>
    </w:p>
    <w:p w14:paraId="48561023" w14:textId="77777777" w:rsidR="007412AE" w:rsidRPr="00023B55" w:rsidRDefault="007412AE" w:rsidP="00C87007">
      <w:pPr>
        <w:jc w:val="both"/>
      </w:pPr>
      <w:r w:rsidRPr="00023B55">
        <w:t>Le processus du SMSI n'a cessé d'évoluer dans un contexte de progrès technologiques rapides et dans un paysage numérique mondial en pleine mutation. Au cours de la deuxième décennie du SMSI, l'alignement sur le Programme 2030 a renforcé la coopération en matière de technologie au service du développement durable.</w:t>
      </w:r>
    </w:p>
    <w:p w14:paraId="28B5EBC7" w14:textId="77777777" w:rsidR="007412AE" w:rsidRPr="00023B55" w:rsidRDefault="007412AE" w:rsidP="00C87007">
      <w:pPr>
        <w:jc w:val="both"/>
      </w:pPr>
      <w:r w:rsidRPr="00023B55">
        <w:t>Le Forum du SMSI s'est notamment poursuivi en ligne pendant la pandémie de COVID-19. Depuis lors, les discussions du SMSI continuent de s'adapter à l'éventail croissant des technologies numériques et d'étudier de nouvelles questions d'ordre politique. Il s'agit notamment d'examiner en profondeur les défis posés par l'IA.</w:t>
      </w:r>
    </w:p>
    <w:p w14:paraId="6622FBB2" w14:textId="77777777" w:rsidR="007412AE" w:rsidRPr="00023B55" w:rsidRDefault="007412AE" w:rsidP="00C87007">
      <w:pPr>
        <w:jc w:val="both"/>
      </w:pPr>
      <w:r w:rsidRPr="00023B55">
        <w:t>Il faut aligner les initiatives du SMSI sur le Programme de développement durable à l'horizon 2030 pour optimiser les effets des technologies numériques sur le développement mondial. Le Tableau de correspondance SMSI-ODD constitue un cadre à cette fin, en établissant des correspondances entre les contributions aux grandes orientations du SMSI et des objectifs de développement durable spécifiques. Par exemple, la grande orientation C2 (Infrastructure de l'information et de la communication) contribue à la réalisation de l'ODD 9 (Industrie, innovation et infrastructure), tandis que la grande orientation C4 (Renforcement des capacités) s'aligne sur l'ODD 4 (Éducation de qualité). Ce tableau aide les parties prenantes à recenser les domaines dans lesquels il existe une synergie ainsi que les possibilités de collaboration, en veillant à ce que les initiatives numériques contribuent efficacement à la réalisation des ODD.</w:t>
      </w:r>
    </w:p>
    <w:p w14:paraId="671EC3AA" w14:textId="77777777" w:rsidR="007412AE" w:rsidRPr="00023B55" w:rsidRDefault="007412AE" w:rsidP="00F52608">
      <w:pPr>
        <w:pStyle w:val="Headingb"/>
      </w:pPr>
      <w:r w:rsidRPr="00023B55">
        <w:t>Évoluer avec les technologies</w:t>
      </w:r>
    </w:p>
    <w:p w14:paraId="22452F18" w14:textId="77777777" w:rsidR="007412AE" w:rsidRPr="00023B55" w:rsidRDefault="007412AE" w:rsidP="00C87007">
      <w:pPr>
        <w:jc w:val="both"/>
      </w:pPr>
      <w:r w:rsidRPr="00023B55">
        <w:t xml:space="preserve">Les répercussions des progrès accomplis dans l'informatique en nuage, l'IA, la robotique et les technologies spatiales sont profondes, offrant de nouvelles possibilités d'innovation et de </w:t>
      </w:r>
      <w:r w:rsidRPr="00023B55">
        <w:lastRenderedPageBreak/>
        <w:t>développement. Les travaux de l'UIT en matière de normalisation et d'élaboration de politiques sont essentiels pour enrichir les discussions du SMSI à cet égard et pour garantir que ces technologies soient déployées de manière responsable et éthique. Les commissions d'études de l'UIT-T s'emploient à élaborer des normes internationales concernant les technologies émergentes et à promouvoir l'interopérabilité et la sécurité, notamment dans les domaines de l'IA, de la 5G, de l'IoT et de l'informatique quantique. Les travaux de l'UIT-R se poursuivent pour répondre à l'évolution constante des communications modernes, y compris l'identification de fréquences additionnelles pour les IMT.</w:t>
      </w:r>
    </w:p>
    <w:p w14:paraId="532C797E" w14:textId="77777777" w:rsidR="007412AE" w:rsidRPr="00023B55" w:rsidRDefault="007412AE" w:rsidP="00C87007">
      <w:pPr>
        <w:pStyle w:val="Headingb"/>
        <w:jc w:val="both"/>
      </w:pPr>
      <w:r w:rsidRPr="00023B55">
        <w:t>Faire face aux défis en matière de cybersécurité</w:t>
      </w:r>
    </w:p>
    <w:p w14:paraId="6C3DC571" w14:textId="77777777" w:rsidR="007412AE" w:rsidRPr="00023B55" w:rsidRDefault="007412AE" w:rsidP="00C87007">
      <w:pPr>
        <w:jc w:val="both"/>
      </w:pPr>
      <w:r w:rsidRPr="00023B55">
        <w:t>Le paysage des TIC a subi de profonds changements au cours des vingt dernières années, les TIC étant aujourd'hui la base de chaque secteur de la société et de la plus grande partie des infrastructures essentielles. Les technologies TIC innovantes, comme l'informatique en nuage, les réseaux pilotés par logiciel (SDN), la virtualisation des fonctions de réseau (NFV), la 5G, les mégadonnées, l'IA, etc., effacent les frontières du marché et les frontières géographiques, rendant l'écosystème de la cybersécurité de plus en plus dynamique et complexe.</w:t>
      </w:r>
    </w:p>
    <w:p w14:paraId="18CC64C2" w14:textId="77777777" w:rsidR="007412AE" w:rsidRPr="00023B55" w:rsidRDefault="007412AE" w:rsidP="00C87007">
      <w:pPr>
        <w:keepLines/>
        <w:jc w:val="both"/>
      </w:pPr>
      <w:r w:rsidRPr="00023B55">
        <w:t>Les nouvelles technologies et les nouveaux acteurs commerciaux peuvent entraîner une exposition à de nouvelles vulnérabilités et menaces, d'autant plus que la priorité donnée par le secteur privé aux performances, aux parts de marché et aux coûts est souvent privilégiée par rapport aux investissements dans la sécurité au stade de la conception. Un certain nombre de questions posent des défis majeurs face à ces technologies, comme trouver un moyen de réduire et de maîtriser le nombre de vulnérabilités en assurant la sécurité dès la conception (car des produits restent encore vulnérables dès leur phase de conception elle</w:t>
      </w:r>
      <w:r w:rsidRPr="00023B55">
        <w:noBreakHyphen/>
        <w:t>même), renforcer la confiance dans les produits et les services tout au long de leur cycle de vie par des mécanismes, des protocoles et des normes d'accréditation et assurer l'utilisation légitime des données produites par l'utilisateur tout en protégeant la vie privée de ce dernier.</w:t>
      </w:r>
    </w:p>
    <w:p w14:paraId="74421EBF" w14:textId="77777777" w:rsidR="007412AE" w:rsidRPr="00023B55" w:rsidRDefault="007412AE" w:rsidP="00C87007">
      <w:pPr>
        <w:jc w:val="both"/>
      </w:pPr>
      <w:r w:rsidRPr="00023B55">
        <w:t>La normalisation et des processus de certification/accréditation périodiques pourraient aider à réduire le nombre et les incidences des vulnérabilités en contribuant à créer une culture de la sécurité dès la conception, ce qui permettrait de renforcer la confiance dans ces technologies. Toutefois, la normalisation de la sécurité, c'est-à-dire l'élaboration de mesures techniques et de procédure pour la sécurité, reste une cible mouvante car elle nécessite un secteur d'activité à la pointe de la technologie, des autorités de réglementation spécialistes de la technologie et, le cas échéant, des organismes de contrôle.</w:t>
      </w:r>
    </w:p>
    <w:p w14:paraId="27A26F0A" w14:textId="77777777" w:rsidR="007412AE" w:rsidRPr="00023B55" w:rsidRDefault="007412AE" w:rsidP="00C87007">
      <w:pPr>
        <w:jc w:val="both"/>
      </w:pPr>
      <w:r w:rsidRPr="00023B55">
        <w:t>En outre, le manque de compétences et de connaissances pour ce qui est des aspects techniques, juridiques, administratifs et humains de la cybersécurité peut également nuire aux infrastructures nationales vitales. Actuellement, de nombreux utilisateurs finals des TIC ne comprennent pas pleinement les questions de cybersécurité ou ne disposent pas des compétences ou des outils nécessaires pour protéger au mieux leurs données, leur vie privée et leurs biens, les utilisateurs les plus vulnérables, notamment les femmes et les enfants, étant particulièrement exposés. Le renforcement des aptitudes, des compétences et des mesures qui contribueront à l'instauration d'une culture de la cybersécurité efficace reste un enjeu fondamental.</w:t>
      </w:r>
    </w:p>
    <w:p w14:paraId="1D8A8A9B" w14:textId="77777777" w:rsidR="007412AE" w:rsidRPr="00023B55" w:rsidRDefault="007412AE" w:rsidP="00C87007">
      <w:pPr>
        <w:jc w:val="both"/>
      </w:pPr>
      <w:r w:rsidRPr="00023B55">
        <w:t xml:space="preserve">Le Programme mondial cybersécurité (GCA) de l'UIT constitue un cadre de coopération internationale visant à répondre aux questions de plus en plus pressantes en matière de cybersécurité. Le Programme a également été revu en 2022, et la Conférence de </w:t>
      </w:r>
      <w:r w:rsidRPr="00023B55">
        <w:lastRenderedPageBreak/>
        <w:t>plénipotentiaires de l'UIT a pris note des lignes directrices relatives à son utilisation [1]. Par le biais de normes techniques, d'équipes CIRT, de cyberexercices, d'activités de renforcement des capacités et de partenariats étroits, l'UIT travaille au renforcement de la confiance dans l'utilisation des technologies numériques. Par exemple, l'Indice GCI est un outil essentiel pour évaluer les engagements des pays du monde entier en matière de cybersécurité, fournissant une évaluation complète des cadres nationaux de cybersécurité. Le dernier rapport de l'Indice GCI rend compte des progrès importants accomplis dans le cadre des activités mondiales en matière de cybersécurité, qui s'expliquent par le renforcement des mesures juridiques, techniques et organisationnelles entreprises par de nombreux pays.</w:t>
      </w:r>
    </w:p>
    <w:p w14:paraId="66F42A15" w14:textId="77777777" w:rsidR="007412AE" w:rsidRPr="00023B55" w:rsidRDefault="007412AE" w:rsidP="00F52608">
      <w:pPr>
        <w:pStyle w:val="Headingb"/>
      </w:pPr>
      <w:r w:rsidRPr="00023B55">
        <w:t>Réfléchir à la coopération et à la coordination en matière d'IA</w:t>
      </w:r>
    </w:p>
    <w:p w14:paraId="3FFF564C" w14:textId="77777777" w:rsidR="007412AE" w:rsidRPr="00023B55" w:rsidRDefault="007412AE" w:rsidP="00C87007">
      <w:pPr>
        <w:keepNext/>
        <w:keepLines/>
        <w:jc w:val="both"/>
      </w:pPr>
      <w:r w:rsidRPr="00023B55">
        <w:t xml:space="preserve">Si l'évolution rapide de l'IA offre des perspectives, elle pose aussi des problèmes. Le SMSI est devenu un lieu de rencontre pour débattre de manière approfondie de l'éthique de l'IA et des cadres de gouvernance, ainsi que de la coopération et de la coordination en matière de développement et de déploiement de l'IA. En tirant parti des membres du Groupe GTI-IA et des partenaires des Nations Unies pour l'IA au service du bien social, l'UIT coordonne les contributions et prépare le rapport annuel sur les activités des Nations Unies relatives à l'IA, qui constitue un répertoire interactif. Dans la </w:t>
      </w:r>
      <w:hyperlink r:id="rId200" w:history="1">
        <w:r w:rsidRPr="00023B55">
          <w:rPr>
            <w:rStyle w:val="Hyperlink"/>
            <w:rFonts w:eastAsia="Times New Roman" w:cs="Times New Roman"/>
            <w:szCs w:val="20"/>
          </w:rPr>
          <w:t>dernière version</w:t>
        </w:r>
      </w:hyperlink>
      <w:r w:rsidRPr="00023B55">
        <w:t xml:space="preserve"> publiée à l'occasion du Sommet mondial sur l'IA au service du bien social de 2024, on recense 408 projets relevant du domaine de l'IA présentés par 47 organismes, qui couvrent l'ensemble des 17 ODD et dont les résultats figurent principalement dans des outils logiciels et des rapports, et qui portent sur des questions telles que les droits humains, l'éthique et la justice; l'environnement; l'agriculture; la santé; l'éducation; le genre; et les télécommunications. Ces projets nécessitent des collaborations avec le système des Nations Unies, les États Membres, les établissements universitaires et le secteur privé.</w:t>
      </w:r>
    </w:p>
    <w:p w14:paraId="3F411BBA" w14:textId="77777777" w:rsidR="00592423" w:rsidRPr="00023B55" w:rsidRDefault="00862B49" w:rsidP="00592423">
      <w:pPr>
        <w:spacing w:before="0"/>
      </w:pPr>
      <w:r>
        <w:rPr>
          <w:rFonts w:cs="Calibri"/>
        </w:rPr>
        <w:pict w14:anchorId="0B3290AC">
          <v:rect id="_x0000_i1029" style="width:0;height:1.5pt" o:hralign="center" o:hrstd="t" o:hr="t" fillcolor="#a0a0a0" stroked="f"/>
        </w:pict>
      </w:r>
    </w:p>
    <w:p w14:paraId="3FD18078" w14:textId="6352A958" w:rsidR="00592423" w:rsidRPr="00023B55" w:rsidRDefault="00592423" w:rsidP="00592423">
      <w:pPr>
        <w:pStyle w:val="FootnoteText"/>
        <w:tabs>
          <w:tab w:val="clear" w:pos="256"/>
        </w:tabs>
        <w:spacing w:before="80"/>
        <w:ind w:left="567" w:hanging="567"/>
      </w:pPr>
      <w:r w:rsidRPr="00023B55">
        <w:t>[1]</w:t>
      </w:r>
      <w:r w:rsidRPr="00023B55">
        <w:tab/>
        <w:t>Document intitulé "</w:t>
      </w:r>
      <w:hyperlink r:id="rId201" w:history="1">
        <w:r w:rsidRPr="00023B55">
          <w:rPr>
            <w:rStyle w:val="Hyperlink"/>
            <w:rFonts w:eastAsia="Times New Roman" w:cs="Times New Roman"/>
            <w:szCs w:val="20"/>
          </w:rPr>
          <w:t>Information Document for Guidelines for utilization of the GCA</w:t>
        </w:r>
      </w:hyperlink>
      <w:r w:rsidRPr="00023B55">
        <w:t>" (Document d'information sur les lignes directrices relatives à l'utilisation du programme GCA).</w:t>
      </w:r>
    </w:p>
    <w:p w14:paraId="68F3FFE3" w14:textId="77777777" w:rsidR="00592423" w:rsidRPr="00023B55" w:rsidRDefault="00862B49" w:rsidP="00592423">
      <w:pPr>
        <w:spacing w:before="0"/>
      </w:pPr>
      <w:r>
        <w:rPr>
          <w:rFonts w:cs="Calibri"/>
        </w:rPr>
        <w:pict w14:anchorId="2DE4D80C">
          <v:rect id="_x0000_i1030" style="width:0;height:1.5pt" o:hralign="center" o:hrstd="t" o:hr="t" fillcolor="#a0a0a0" stroked="f"/>
        </w:pict>
      </w:r>
    </w:p>
    <w:p w14:paraId="419E8650" w14:textId="77777777" w:rsidR="007412AE" w:rsidRPr="00023B55" w:rsidRDefault="007412AE" w:rsidP="007412AE">
      <w:r w:rsidRPr="00023B55">
        <w:br w:type="page"/>
      </w:r>
    </w:p>
    <w:p w14:paraId="799389B2" w14:textId="77777777" w:rsidR="007412AE" w:rsidRPr="00023B55" w:rsidRDefault="007412AE" w:rsidP="007412AE">
      <w:pPr>
        <w:pStyle w:val="Parttitle"/>
        <w:jc w:val="left"/>
        <w:rPr>
          <w:color w:val="0F4761"/>
          <w:sz w:val="32"/>
          <w:szCs w:val="32"/>
        </w:rPr>
      </w:pPr>
      <w:bookmarkStart w:id="13" w:name="_Toc200377664"/>
      <w:r w:rsidRPr="00023B55">
        <w:rPr>
          <w:color w:val="0F4761"/>
          <w:sz w:val="32"/>
          <w:szCs w:val="32"/>
        </w:rPr>
        <w:lastRenderedPageBreak/>
        <w:t>Partie 2 – L'UIT, moteur des résultats obtenus dans le cadre du SMSI</w:t>
      </w:r>
      <w:bookmarkEnd w:id="13"/>
    </w:p>
    <w:p w14:paraId="2C165B51" w14:textId="77777777" w:rsidR="007412AE" w:rsidRPr="00023B55" w:rsidRDefault="007412AE" w:rsidP="00C87007">
      <w:pPr>
        <w:jc w:val="both"/>
      </w:pPr>
      <w:r w:rsidRPr="00023B55">
        <w:t>L'UIT assure la coordination du processus du SMSI depuis ses débuts, en garantissant une participation large et dynamique des parties prenantes et une mise en œuvre efficace. Les organes directeurs de l'Union, tels que la Conférence de plénipotentiaires, le Conseil et le Groupe de travail du Conseil sur le SMSI et les ODD, définissent l'orientation stratégique de l'UIT à l'appui de la vision du SMSI en matière de coopération numérique et de développement durable.</w:t>
      </w:r>
    </w:p>
    <w:p w14:paraId="70B9EA65" w14:textId="77777777" w:rsidR="007412AE" w:rsidRPr="00023B55" w:rsidRDefault="007412AE" w:rsidP="00C87007">
      <w:pPr>
        <w:jc w:val="both"/>
      </w:pPr>
      <w:r w:rsidRPr="00023B55">
        <w:t>L'Union a assuré la collaboration avec les Nations Unies sur les grandes orientations C2 (Infrastructure de l'information et de la communication), C4 (Renforcement des capacités), C5 (Établir la confiance et la sécurité dans l'utilisation des TIC) et C6 (Créer un environnement propice) du SMSI, et a contribué activement à la mise en œuvre de plusieurs autres grandes orientations du SMSI.</w:t>
      </w:r>
    </w:p>
    <w:p w14:paraId="276218D5" w14:textId="77777777" w:rsidR="007412AE" w:rsidRPr="00023B55" w:rsidRDefault="007412AE" w:rsidP="00C87007">
      <w:pPr>
        <w:jc w:val="both"/>
      </w:pPr>
      <w:r w:rsidRPr="00023B55">
        <w:t>Le Forum annuel du SMSI, organisé par l'UIT depuis 2009, sert de cadre au dialogue, à la collaboration et à l'échange de connaissances entre les parties prenantes, qui élabore des recommandations politiques concrètes, met en avant les bonnes pratiques et encourage les initiatives collaboratives.</w:t>
      </w:r>
    </w:p>
    <w:p w14:paraId="795F6BD5" w14:textId="77777777" w:rsidR="007412AE" w:rsidRPr="00023B55" w:rsidRDefault="007412AE" w:rsidP="00C87007">
      <w:pPr>
        <w:jc w:val="both"/>
      </w:pPr>
      <w:r w:rsidRPr="00023B55">
        <w:t>L'UIT tient à jour la base de données de l'inventaire des activités du SMSI, qui contient plus de 15 000 projets liés aux technologies qui contribuent à promouvoir le développement durable, et a lancé le Prix du SMSI pour récompenser l'excellence dans la mise en œuvre de ces projets.</w:t>
      </w:r>
    </w:p>
    <w:p w14:paraId="5CB8BD05" w14:textId="77777777" w:rsidR="007412AE" w:rsidRPr="00023B55" w:rsidRDefault="007412AE" w:rsidP="00C87007">
      <w:pPr>
        <w:jc w:val="both"/>
      </w:pPr>
      <w:r w:rsidRPr="00023B55">
        <w:t>En outre, des initiatives de premier plan menées par l'UIT, telles que la Coalition pour le numérique Partner2Connect, illustrent l'esprit de collaboration encouragé par le SMSI dès les premières années de mise en place de la coopération numérique mondiale. L'UIT contribue également à la réalisation de l'objectif du SMSI en matière de développement numérique durable grâce à la mise en place d'initiatives conjointes avec d'autres institutions du système des Nations Unies telles que l'UNESCO, le PNUD et l'UNICEF. La Commission UIT</w:t>
      </w:r>
      <w:r w:rsidRPr="00023B55">
        <w:noBreakHyphen/>
        <w:t>UNESCO sur le large bande au service du développement durable est un excellent exemple de coopération dans ce domaine, en ce sens qu'elle agit en tant que plate</w:t>
      </w:r>
      <w:r w:rsidRPr="00023B55">
        <w:noBreakHyphen/>
        <w:t>forme multi-parties prenants unique de haut niveau réunissant les représentants les plus influents du secteur des TIC, en tant que partenariat public-privé favorisant la coopération numérique et élaborant des recommandations concrètes pour parvenir à une connectivité universelle.</w:t>
      </w:r>
    </w:p>
    <w:p w14:paraId="36383F5C" w14:textId="77777777" w:rsidR="007412AE" w:rsidRPr="00023B55" w:rsidRDefault="007412AE" w:rsidP="00C87007">
      <w:pPr>
        <w:jc w:val="both"/>
      </w:pPr>
      <w:r w:rsidRPr="00023B55">
        <w:t>En collaboration avec un nombre croissant de partenaires des secteurs public et privé, l'UIT s'efforce de mettre les technologies numériques au service de tous dans le monde entier.</w:t>
      </w:r>
    </w:p>
    <w:p w14:paraId="26E37E65" w14:textId="77777777" w:rsidR="007412AE" w:rsidRPr="00023B55" w:rsidRDefault="007412AE" w:rsidP="00C87007">
      <w:pPr>
        <w:pStyle w:val="Heading1"/>
        <w:jc w:val="both"/>
      </w:pPr>
      <w:bookmarkStart w:id="14" w:name="_Toc200377665"/>
      <w:r w:rsidRPr="00023B55">
        <w:t>Résultats obtenus grâce à l'UIT</w:t>
      </w:r>
      <w:bookmarkEnd w:id="14"/>
    </w:p>
    <w:p w14:paraId="0074B798" w14:textId="77777777" w:rsidR="007412AE" w:rsidRPr="00023B55" w:rsidRDefault="007412AE" w:rsidP="00C87007">
      <w:pPr>
        <w:jc w:val="both"/>
      </w:pPr>
      <w:r w:rsidRPr="00023B55">
        <w:t>L'UIT a toujours joué un rôle déterminant dans la promotion des initiatives du SMSI et l'appui à ces dernières, en veillant à ce que le processus reste dynamique et efficace. En outre, l'Union a coordonné les principales grandes orientations du SMSI, en améliorant principalement la connectivité dans les régions mal desservies, en mettant l'accent sur la maîtrise des outils numériques et la formation au numérique, en mettant en œuvre des mesures de cybersécurité et en élaborant des politiques pour soutenir la croissance numérique.</w:t>
      </w:r>
    </w:p>
    <w:p w14:paraId="18B3FFF6" w14:textId="77777777" w:rsidR="007412AE" w:rsidRPr="00023B55" w:rsidRDefault="007412AE" w:rsidP="00C87007">
      <w:pPr>
        <w:jc w:val="both"/>
      </w:pPr>
      <w:r w:rsidRPr="00023B55">
        <w:t>D'autres éléments importants portent sur l'établissement de rapports complets et la soumission de contributions par le biais de rapports annuels, tels que les contributions de l'UIT au SMSI, les feuilles de route de l'UIT sur les grandes orientations du SMSI, les contributions de l'UNGIS et les résultats du Forum multi-parties prenantes du SMSI.</w:t>
      </w:r>
    </w:p>
    <w:p w14:paraId="4C6F4D9E" w14:textId="77777777" w:rsidR="007412AE" w:rsidRPr="00023B55" w:rsidRDefault="007412AE" w:rsidP="00C87007">
      <w:pPr>
        <w:jc w:val="both"/>
      </w:pPr>
      <w:r w:rsidRPr="00023B55">
        <w:lastRenderedPageBreak/>
        <w:t>La participation de l'UIT a été pour beaucoup dans la coordination avec les diverses parties prenantes, ce qui a permis de garantir que le processus du SMSI demeure dynamique et efficace. Cette large participation à la mise en œuvre des résultats du SMSI témoigne du statut de l'UIT en tant que principale institution des Nations Unies spécialisée dans le domaine des technologies numériques.</w:t>
      </w:r>
    </w:p>
    <w:p w14:paraId="65019627" w14:textId="77777777" w:rsidR="007412AE" w:rsidRPr="00023B55" w:rsidRDefault="007412AE" w:rsidP="00C87007">
      <w:pPr>
        <w:pStyle w:val="Heading1"/>
        <w:jc w:val="both"/>
      </w:pPr>
      <w:bookmarkStart w:id="15" w:name="_Toc200377666"/>
      <w:r w:rsidRPr="00023B55">
        <w:t>Gouvernance et résolutions</w:t>
      </w:r>
      <w:bookmarkEnd w:id="15"/>
    </w:p>
    <w:p w14:paraId="08EA3FF8" w14:textId="7D3C5FAA" w:rsidR="007412AE" w:rsidRPr="00023B55" w:rsidRDefault="007412AE" w:rsidP="00C87007">
      <w:pPr>
        <w:jc w:val="both"/>
      </w:pPr>
      <w:r w:rsidRPr="00023B55">
        <w:t>La vision de l'Union, telle que définie dans les Plans stratégiques de l'UIT pour les périodes 2020-2023 et 2024-2027, est "une société de l'information s'appuyant sur un monde interconnecté, où les télécommunications/technologies de l'information et de la communication permettent et accélèrent une croissance et un développement socio</w:t>
      </w:r>
      <w:r w:rsidRPr="00023B55">
        <w:noBreakHyphen/>
        <w:t xml:space="preserve">économiques et écologiquement durables pour tous", en accord avec les </w:t>
      </w:r>
      <w:hyperlink r:id="rId202" w:history="1">
        <w:r w:rsidR="00B94F4A" w:rsidRPr="00023B55">
          <w:rPr>
            <w:rStyle w:val="Hyperlink"/>
            <w:rFonts w:eastAsia="Times New Roman" w:cs="Times New Roman"/>
            <w:szCs w:val="20"/>
          </w:rPr>
          <w:t>D</w:t>
        </w:r>
        <w:r w:rsidRPr="00023B55">
          <w:rPr>
            <w:rStyle w:val="Hyperlink"/>
            <w:rFonts w:eastAsia="Times New Roman" w:cs="Times New Roman"/>
            <w:szCs w:val="20"/>
          </w:rPr>
          <w:t>ocuments finals du SMSI</w:t>
        </w:r>
      </w:hyperlink>
      <w:r w:rsidRPr="00023B55">
        <w:t>. Les buts stratégiques de l'Union (croissance, inclusion, durabilité, innovation et partenariats) appuient le rôle de l'UIT consistant à faciliter les progrès en faveur de la mise en œuvre des grandes orientations du SMSI et du Programme de développement durable à l'horizon 2030.</w:t>
      </w:r>
    </w:p>
    <w:p w14:paraId="1DA4D2DB" w14:textId="77777777" w:rsidR="007412AE" w:rsidRPr="00023B55" w:rsidRDefault="007412AE" w:rsidP="00C87007">
      <w:pPr>
        <w:jc w:val="both"/>
      </w:pPr>
      <w:r w:rsidRPr="00023B55">
        <w:t xml:space="preserve">Les organes directeurs de l'UIT, notamment le </w:t>
      </w:r>
      <w:hyperlink r:id="rId203" w:history="1">
        <w:r w:rsidRPr="00023B55">
          <w:rPr>
            <w:rStyle w:val="Hyperlink"/>
            <w:rFonts w:eastAsia="Times New Roman" w:cs="Times New Roman"/>
            <w:szCs w:val="20"/>
          </w:rPr>
          <w:t>Groupe de travail du Conseil sur le SMSI/les ODD (GTC-SMSI/ODD)</w:t>
        </w:r>
      </w:hyperlink>
      <w:r w:rsidRPr="00023B55">
        <w:t xml:space="preserve">, le </w:t>
      </w:r>
      <w:hyperlink r:id="rId204" w:anchor="/fr" w:history="1">
        <w:r w:rsidRPr="00023B55">
          <w:rPr>
            <w:rStyle w:val="Hyperlink"/>
            <w:rFonts w:eastAsia="Times New Roman" w:cs="Times New Roman"/>
            <w:szCs w:val="20"/>
          </w:rPr>
          <w:t>Conseil de l'UIT</w:t>
        </w:r>
      </w:hyperlink>
      <w:r w:rsidRPr="00023B55">
        <w:t xml:space="preserve"> et la </w:t>
      </w:r>
      <w:hyperlink r:id="rId205" w:history="1">
        <w:r w:rsidRPr="00023B55">
          <w:rPr>
            <w:rStyle w:val="Hyperlink"/>
            <w:rFonts w:eastAsia="Times New Roman" w:cs="Times New Roman"/>
            <w:szCs w:val="20"/>
          </w:rPr>
          <w:t>Conférence de plénipotentiaires</w:t>
        </w:r>
      </w:hyperlink>
      <w:r w:rsidRPr="00023B55">
        <w:t xml:space="preserve"> (Résolutions </w:t>
      </w:r>
      <w:hyperlink r:id="rId206" w:history="1">
        <w:r w:rsidRPr="00023B55">
          <w:rPr>
            <w:rStyle w:val="Hyperlink"/>
            <w:rFonts w:eastAsia="Times New Roman" w:cs="Times New Roman"/>
            <w:szCs w:val="20"/>
          </w:rPr>
          <w:t>140</w:t>
        </w:r>
      </w:hyperlink>
      <w:r w:rsidRPr="00023B55">
        <w:t xml:space="preserve"> (Rév. Bucarest, 2022), </w:t>
      </w:r>
      <w:hyperlink r:id="rId207" w:history="1">
        <w:r w:rsidRPr="00023B55">
          <w:rPr>
            <w:rStyle w:val="Hyperlink"/>
            <w:rFonts w:eastAsia="Times New Roman" w:cs="Times New Roman"/>
            <w:szCs w:val="20"/>
          </w:rPr>
          <w:t>172</w:t>
        </w:r>
      </w:hyperlink>
      <w:r w:rsidRPr="00023B55">
        <w:t xml:space="preserve"> (Rév. Guadalajara, 2010), </w:t>
      </w:r>
      <w:hyperlink r:id="rId208" w:history="1">
        <w:r w:rsidRPr="00023B55">
          <w:rPr>
            <w:rStyle w:val="Hyperlink"/>
            <w:rFonts w:eastAsia="Times New Roman" w:cs="Times New Roman"/>
            <w:szCs w:val="20"/>
          </w:rPr>
          <w:t>71</w:t>
        </w:r>
      </w:hyperlink>
      <w:r w:rsidRPr="00023B55">
        <w:t xml:space="preserve"> (Rév. Bucarest 2022)), supervisent la mise en œuvre des résultats du SMSI. Ces organes assurent un dialogue permanent sur les activités de suivi du SMSI, fournissent une orientation stratégique et alignent les activités de l'UIT sur le cadre général du SMSI. Les résolutions principales des Nations Unies, telles que la </w:t>
      </w:r>
      <w:hyperlink r:id="rId209" w:history="1">
        <w:r w:rsidRPr="00023B55">
          <w:rPr>
            <w:rStyle w:val="Hyperlink"/>
            <w:rFonts w:eastAsia="Times New Roman" w:cs="Times New Roman"/>
            <w:szCs w:val="20"/>
          </w:rPr>
          <w:t>Résolution 70/125</w:t>
        </w:r>
      </w:hyperlink>
      <w:r w:rsidRPr="00023B55">
        <w:t xml:space="preserve"> de l'Assemblée générale des Nations Unies et la </w:t>
      </w:r>
      <w:hyperlink r:id="rId210" w:history="1">
        <w:r w:rsidRPr="00023B55">
          <w:rPr>
            <w:rStyle w:val="Hyperlink"/>
            <w:rFonts w:eastAsia="Times New Roman" w:cs="Times New Roman"/>
            <w:szCs w:val="20"/>
          </w:rPr>
          <w:t>Résolution E/RES/2024/13</w:t>
        </w:r>
      </w:hyperlink>
      <w:r w:rsidRPr="00023B55">
        <w:t xml:space="preserve"> du Conseil économique et social (ECOSOC), renforcent la position de chef de file de l'UIT dans la mise en œuvre des résultats du SMSI </w:t>
      </w:r>
      <w:hyperlink r:id="rId211" w:history="1">
        <w:r w:rsidRPr="00023B55">
          <w:rPr>
            <w:rStyle w:val="Hyperlink"/>
            <w:rFonts w:eastAsia="Times New Roman" w:cs="Times New Roman"/>
            <w:szCs w:val="20"/>
          </w:rPr>
          <w:t>[1]</w:t>
        </w:r>
      </w:hyperlink>
      <w:r w:rsidRPr="00023B55">
        <w:rPr>
          <w:rStyle w:val="Hyperlink"/>
          <w:rFonts w:eastAsia="Times New Roman" w:cs="Times New Roman"/>
          <w:color w:val="auto"/>
          <w:szCs w:val="20"/>
        </w:rPr>
        <w:t>,</w:t>
      </w:r>
      <w:r w:rsidRPr="00023B55">
        <w:t xml:space="preserve"> </w:t>
      </w:r>
      <w:hyperlink r:id="rId212" w:history="1">
        <w:r w:rsidRPr="00023B55">
          <w:rPr>
            <w:rStyle w:val="Hyperlink"/>
            <w:rFonts w:eastAsia="Times New Roman" w:cs="Times New Roman"/>
            <w:szCs w:val="20"/>
          </w:rPr>
          <w:t>[2]</w:t>
        </w:r>
      </w:hyperlink>
      <w:r w:rsidRPr="00023B55">
        <w:t>.</w:t>
      </w:r>
    </w:p>
    <w:p w14:paraId="5739D328" w14:textId="77777777" w:rsidR="007412AE" w:rsidRPr="00023B55" w:rsidRDefault="007412AE" w:rsidP="00C87007">
      <w:pPr>
        <w:jc w:val="both"/>
      </w:pPr>
      <w:r w:rsidRPr="00023B55">
        <w:t xml:space="preserve">Les Résolutions </w:t>
      </w:r>
      <w:hyperlink r:id="rId213" w:history="1">
        <w:r w:rsidRPr="00023B55">
          <w:rPr>
            <w:rStyle w:val="Hyperlink"/>
            <w:rFonts w:eastAsia="Times New Roman" w:cs="Times New Roman"/>
            <w:szCs w:val="20"/>
          </w:rPr>
          <w:t>140</w:t>
        </w:r>
      </w:hyperlink>
      <w:r w:rsidRPr="00023B55">
        <w:t xml:space="preserve"> (Rév. Bucarest, 2022), </w:t>
      </w:r>
      <w:hyperlink r:id="rId214" w:history="1">
        <w:r w:rsidRPr="00023B55">
          <w:rPr>
            <w:rStyle w:val="Hyperlink"/>
            <w:rFonts w:eastAsia="Times New Roman" w:cs="Times New Roman"/>
            <w:szCs w:val="20"/>
          </w:rPr>
          <w:t>172</w:t>
        </w:r>
      </w:hyperlink>
      <w:r w:rsidRPr="00023B55">
        <w:t xml:space="preserve"> (Rév. Guadalajara, 2010), </w:t>
      </w:r>
      <w:hyperlink r:id="rId215" w:history="1">
        <w:r w:rsidRPr="00023B55">
          <w:rPr>
            <w:rStyle w:val="Hyperlink"/>
            <w:rFonts w:eastAsia="Times New Roman" w:cs="Times New Roman"/>
            <w:szCs w:val="20"/>
          </w:rPr>
          <w:t>71</w:t>
        </w:r>
      </w:hyperlink>
      <w:r w:rsidRPr="00023B55">
        <w:t xml:space="preserve"> (Rév. Bucarest 2022) de la Conférence de plénipotentiaires et les Résolutions </w:t>
      </w:r>
      <w:hyperlink r:id="rId216" w:history="1">
        <w:r w:rsidRPr="00023B55">
          <w:rPr>
            <w:rStyle w:val="Hyperlink"/>
            <w:rFonts w:eastAsia="Times New Roman" w:cs="Times New Roman"/>
            <w:szCs w:val="20"/>
          </w:rPr>
          <w:t>1332</w:t>
        </w:r>
      </w:hyperlink>
      <w:r w:rsidRPr="00023B55">
        <w:t xml:space="preserve"> (modifiée en 2024) et </w:t>
      </w:r>
      <w:hyperlink r:id="rId217" w:history="1">
        <w:r w:rsidRPr="00023B55">
          <w:rPr>
            <w:rStyle w:val="Hyperlink"/>
            <w:rFonts w:eastAsia="Times New Roman" w:cs="Times New Roman"/>
            <w:szCs w:val="20"/>
          </w:rPr>
          <w:t>1334</w:t>
        </w:r>
      </w:hyperlink>
      <w:r w:rsidRPr="00023B55">
        <w:t xml:space="preserve"> (modifiée en 2023) du Conseil de l'UIT façonnent et régissent davantage la mise en œuvre des résultats du SMSI, conformément aux Résolutions de la Conférence de plénipotentiaires de l'UIT, de l'Assemblée générale des Nations Unies et de l'ECOSOC, tandis que les Secteurs de l'UIT contribuent à la mise en œuvre des résultats du SMSI par leurs résolutions respectives, à savoir les Résolutions </w:t>
      </w:r>
      <w:hyperlink r:id="rId218" w:history="1">
        <w:r w:rsidRPr="00023B55">
          <w:rPr>
            <w:rStyle w:val="Hyperlink"/>
            <w:rFonts w:eastAsia="Times New Roman" w:cs="Times New Roman"/>
            <w:szCs w:val="20"/>
          </w:rPr>
          <w:t>30</w:t>
        </w:r>
      </w:hyperlink>
      <w:r w:rsidRPr="00023B55">
        <w:t xml:space="preserve"> (Rév. Kigali, 2022) de la CMDT, la </w:t>
      </w:r>
      <w:hyperlink r:id="rId219" w:history="1">
        <w:r w:rsidRPr="00023B55">
          <w:rPr>
            <w:rStyle w:val="Hyperlink"/>
            <w:rFonts w:eastAsia="Times New Roman" w:cs="Times New Roman"/>
            <w:szCs w:val="20"/>
          </w:rPr>
          <w:t>Résolution 75</w:t>
        </w:r>
      </w:hyperlink>
      <w:r w:rsidRPr="00023B55">
        <w:t xml:space="preserve"> (Rév. Genève, 2022) de l'AMNT et la </w:t>
      </w:r>
      <w:hyperlink r:id="rId220" w:history="1">
        <w:r w:rsidRPr="00023B55">
          <w:rPr>
            <w:rStyle w:val="Hyperlink"/>
            <w:rFonts w:eastAsia="Times New Roman" w:cs="Times New Roman"/>
            <w:szCs w:val="20"/>
          </w:rPr>
          <w:t>Résolution 61-2</w:t>
        </w:r>
      </w:hyperlink>
      <w:r w:rsidRPr="00023B55">
        <w:t xml:space="preserve"> (modifiée en 2019) de la CMR.</w:t>
      </w:r>
    </w:p>
    <w:p w14:paraId="606676D4" w14:textId="77777777" w:rsidR="007412AE" w:rsidRPr="00023B55" w:rsidRDefault="007412AE" w:rsidP="00F52608">
      <w:pPr>
        <w:pStyle w:val="Heading1"/>
      </w:pPr>
      <w:bookmarkStart w:id="16" w:name="_Toc200377667"/>
      <w:r w:rsidRPr="00023B55">
        <w:t>Mise en œuvre de la coordination intersectorielle au sein de l'UIT</w:t>
      </w:r>
      <w:bookmarkEnd w:id="16"/>
    </w:p>
    <w:p w14:paraId="55E97FED" w14:textId="77777777" w:rsidR="007412AE" w:rsidRPr="00023B55" w:rsidRDefault="007412AE" w:rsidP="00C87007">
      <w:pPr>
        <w:keepNext/>
        <w:keepLines/>
        <w:jc w:val="both"/>
      </w:pPr>
      <w:r w:rsidRPr="00023B55">
        <w:t>Au cours des 20 dernières années, l'UIT a joué un rôle central dans la mise en œuvre des résultats du SMSI, en sa qualité de coordonnateur pour plusieurs grandes orientations du SMSI et de garant du développement numérique mondial. Par l'intermédiaire de ses trois secteurs, l'UIT-D, l'UIT-T et l'UIT-R, l'UIT a transformé les engagements du SMSI en actions, politiques et normes concrètes qui façonnent le paysage numérique mondial.</w:t>
      </w:r>
    </w:p>
    <w:p w14:paraId="79DD89ED" w14:textId="102EF386" w:rsidR="007412AE" w:rsidRPr="00023B55" w:rsidRDefault="007412AE" w:rsidP="00C87007">
      <w:pPr>
        <w:jc w:val="both"/>
      </w:pPr>
      <w:r w:rsidRPr="00023B55">
        <w:t>2005-2015: Fondements et examen du SMSI+10</w:t>
      </w:r>
      <w:r w:rsidR="00B94F4A" w:rsidRPr="00023B55">
        <w:t>.</w:t>
      </w:r>
    </w:p>
    <w:p w14:paraId="43013957" w14:textId="77777777" w:rsidR="007412AE" w:rsidRPr="00023B55" w:rsidRDefault="007412AE" w:rsidP="00C87007">
      <w:pPr>
        <w:jc w:val="both"/>
      </w:pPr>
      <w:r w:rsidRPr="00023B55">
        <w:t xml:space="preserve">La première décennie de mise en œuvre du SMSI a été marquée par des travaux fondamentaux dans tous les secteurs de l'UIT, présentés dans le </w:t>
      </w:r>
      <w:hyperlink r:id="rId221" w:history="1">
        <w:r w:rsidRPr="00023B55">
          <w:rPr>
            <w:rStyle w:val="Hyperlink"/>
            <w:rFonts w:eastAsia="Times New Roman" w:cs="Times New Roman"/>
            <w:szCs w:val="20"/>
          </w:rPr>
          <w:t>Rapport du SMSI+10: Contribution de l'UIT sur dix ans à la mise en œuvre et au suivi des résultats du SMSI</w:t>
        </w:r>
      </w:hyperlink>
      <w:r w:rsidRPr="00023B55">
        <w:t xml:space="preserve">. Au cours </w:t>
      </w:r>
      <w:r w:rsidRPr="00023B55">
        <w:lastRenderedPageBreak/>
        <w:t>de cette période, les travaux ont porté sur la mise en place des bases institutionnelles et techniques d'un développement numérique inclusif et l'amélioration de la connectivité mondiale.</w:t>
      </w:r>
    </w:p>
    <w:p w14:paraId="21019C58" w14:textId="77777777" w:rsidR="007412AE" w:rsidRPr="00023B55" w:rsidRDefault="007412AE" w:rsidP="007412AE">
      <w:r w:rsidRPr="00023B55">
        <w:t>2015-2025: Mise en œuvre et alignement stratégique plus approfondis</w:t>
      </w:r>
    </w:p>
    <w:p w14:paraId="55D7985C" w14:textId="77777777" w:rsidR="007412AE" w:rsidRPr="00023B55" w:rsidRDefault="007412AE" w:rsidP="00C87007">
      <w:pPr>
        <w:jc w:val="both"/>
      </w:pPr>
      <w:r w:rsidRPr="00023B55">
        <w:t xml:space="preserve">La </w:t>
      </w:r>
      <w:hyperlink r:id="rId222" w:history="1">
        <w:r w:rsidRPr="00023B55">
          <w:rPr>
            <w:rStyle w:val="Hyperlink"/>
            <w:rFonts w:eastAsia="Times New Roman" w:cs="Times New Roman"/>
            <w:szCs w:val="20"/>
          </w:rPr>
          <w:t>Résolution 30</w:t>
        </w:r>
      </w:hyperlink>
      <w:r w:rsidRPr="00023B55">
        <w:t xml:space="preserve"> (Rév. Kigali, 2022) de la CMDT réaffirme le rôle de l'UIT-D dans la mise en œuvre des résultats du SMSI et du Programme de développement durable à l'horizon 2030. Cette Résolution met l'accent sur l'inclusion numérique, le renforcement des capacités et la création d'environnements propices à la croissance des TIC. Des initiatives phares telles que Connect2Recover, Giga et "Smart Villages" ont contribué à renforcer la résilience numérique et à réduire la fracture numérique, en particulier dans les régions mal desservies.</w:t>
      </w:r>
    </w:p>
    <w:p w14:paraId="4AFCEAB2" w14:textId="77777777" w:rsidR="007412AE" w:rsidRPr="00023B55" w:rsidRDefault="007412AE" w:rsidP="00C87007">
      <w:pPr>
        <w:jc w:val="both"/>
      </w:pPr>
      <w:r w:rsidRPr="00023B55">
        <w:t xml:space="preserve">La </w:t>
      </w:r>
      <w:hyperlink r:id="rId223" w:history="1">
        <w:r w:rsidRPr="00023B55">
          <w:rPr>
            <w:rStyle w:val="Hyperlink"/>
            <w:rFonts w:eastAsia="Times New Roman" w:cs="Times New Roman"/>
            <w:szCs w:val="20"/>
          </w:rPr>
          <w:t>Résolution 75</w:t>
        </w:r>
      </w:hyperlink>
      <w:r w:rsidRPr="00023B55">
        <w:t xml:space="preserve"> (Rév. Genève, 2022) de l'AMNT souligne l'engagement de l'UIT-T à élaborer des normes mondiales qui favorisent les grandes orientations du SMSI, en particulier la grande orientation C5. Cette Résolution souligne l'importance de normaliser les technologies émergentes telles que l'IA, l'IoT et la communication quantique. Les travaux de l'UIT-T permettent de faire en sorte que la transformation numérique soit sûre, interopérable et inclusive, contribuant ainsi aux efforts déployés à l'échelle mondiale en matière de développement des TIC.</w:t>
      </w:r>
    </w:p>
    <w:p w14:paraId="63C4905E" w14:textId="77777777" w:rsidR="007412AE" w:rsidRPr="00023B55" w:rsidRDefault="007412AE" w:rsidP="00C87007">
      <w:pPr>
        <w:jc w:val="both"/>
      </w:pPr>
      <w:r w:rsidRPr="00023B55">
        <w:t xml:space="preserve">La CMR-23 de l'UIT-R, qui s'est tenue à Dubaï, a mis à jour le cadre réglementaire mondial pour la gestion du spectre des fréquences radioélectriques et des orbites de satellites. Les </w:t>
      </w:r>
      <w:hyperlink r:id="rId224" w:history="1">
        <w:r w:rsidRPr="00023B55">
          <w:rPr>
            <w:rStyle w:val="Hyperlink"/>
            <w:rFonts w:eastAsia="Times New Roman" w:cs="Times New Roman"/>
            <w:szCs w:val="20"/>
          </w:rPr>
          <w:t>Actes finals de la CMR-23</w:t>
        </w:r>
      </w:hyperlink>
      <w:r w:rsidRPr="00023B55">
        <w:t xml:space="preserve"> proposent des révisions et de nouvelles résolutions essentielles concernant la 5G/6G, le large bande par satellite et les communications d'urgence, éléments importants de la grande orientation C2 du SMSI. Ces mises à jour visent à garantir un accès équitable aux ressources spectrales, à promouvoir les réseaux de prochaine génération et à promouvoir la connectivité mondiale.</w:t>
      </w:r>
    </w:p>
    <w:p w14:paraId="06E360F6" w14:textId="77777777" w:rsidR="007412AE" w:rsidRPr="00023B55" w:rsidRDefault="007412AE" w:rsidP="00C87007">
      <w:pPr>
        <w:jc w:val="both"/>
      </w:pPr>
      <w:r w:rsidRPr="00023B55">
        <w:t>Vingt années de résultats et une vision pour l'après-2025 – De 2005 à 2025, l'UIT a montré l'exemple, de façon continue, dans la promotion de la vision du SMSI. Par le biais de mandats et de résolutions sectoriels, l'Union a mis en œuvre les grandes orientations du SMSI, les a adaptées à l'évolution technologique et a favorisé un développement numérique inclusif. Alors que la communauté mondiale se prépare à la manifestation de haut niveau SMSI+20 de 2025 et à l'examen global du SMSI+20 de l'Assemblée générale des Nations Unies les 16 et 17 décembre 2025, les contributions sectorielles de l'UIT continuent de jouer un rôle essentiel dans l'édification d'une société de l'information centrée sur l'humain, inclusive et durable.</w:t>
      </w:r>
    </w:p>
    <w:p w14:paraId="5C0B65AD" w14:textId="77777777" w:rsidR="007412AE" w:rsidRPr="00023B55" w:rsidRDefault="007412AE" w:rsidP="00C87007">
      <w:pPr>
        <w:pStyle w:val="Heading1"/>
        <w:jc w:val="both"/>
      </w:pPr>
      <w:bookmarkStart w:id="17" w:name="_Toc200377668"/>
      <w:r w:rsidRPr="00023B55">
        <w:t>Coordination des 11 grandes orientations du SMSI</w:t>
      </w:r>
      <w:bookmarkEnd w:id="17"/>
    </w:p>
    <w:p w14:paraId="3C489369" w14:textId="77777777" w:rsidR="007412AE" w:rsidRPr="00023B55" w:rsidRDefault="007412AE" w:rsidP="00C87007">
      <w:pPr>
        <w:jc w:val="both"/>
      </w:pPr>
      <w:r w:rsidRPr="00023B55">
        <w:t>Le rôle de coordonnateur que joue l'UIT dans le cadre des grandes orientations du SMSI témoigne de son engagement à mettre les TIC au service du développement durable. Grâce à sa capacité à diriger et à la collaboration dont elle fait preuve, l'UIT a accompli des progrès notables dans la réalisation des objectifs du Plan d'action de Genève et de l'Agenda de Tunis, en veillant à ce que les technologies numériques profitent à tous les particuliers et à toutes les communautés.</w:t>
      </w:r>
    </w:p>
    <w:p w14:paraId="474BFCC2" w14:textId="77777777" w:rsidR="007412AE" w:rsidRPr="00023B55" w:rsidRDefault="007412AE" w:rsidP="00C87007">
      <w:pPr>
        <w:jc w:val="both"/>
      </w:pPr>
      <w:r w:rsidRPr="00023B55">
        <w:t xml:space="preserve">Les grandes orientations du SMSI constituent un cadre complet destiné à promouvoir le développement numérique et à tirer parti des TIC pour réaliser les ODD. L'UIT joue un rôle central dans la coordination de ces grandes orientations, en menant des initiatives qui favorisent la connectivité, la maîtrise des outils numériques, la cybersécurité et la création d'un environnement propice à la croissance des TIC. On trouvera dans la présente section une </w:t>
      </w:r>
      <w:r w:rsidRPr="00023B55">
        <w:lastRenderedPageBreak/>
        <w:t>présentation des 11 grandes orientations du SMSI, l'accent étant mis sur les contributions de l'UIT à leur mise en œuvre.</w:t>
      </w:r>
    </w:p>
    <w:p w14:paraId="492C819B" w14:textId="77777777" w:rsidR="007412AE" w:rsidRPr="00023B55" w:rsidRDefault="007412AE" w:rsidP="00C87007">
      <w:pPr>
        <w:pStyle w:val="Heading2"/>
        <w:jc w:val="both"/>
      </w:pPr>
      <w:r w:rsidRPr="00023B55">
        <w:t>C1 – Le rôle des gouvernements et de toutes les parties prenantes dans la promotion des TIC pour le développement</w:t>
      </w:r>
    </w:p>
    <w:p w14:paraId="4B74FD10" w14:textId="77777777" w:rsidR="007412AE" w:rsidRPr="00023B55" w:rsidRDefault="007412AE" w:rsidP="00C87007">
      <w:pPr>
        <w:jc w:val="both"/>
      </w:pPr>
      <w:r w:rsidRPr="00023B55">
        <w:t>Les gouvernements et les parties prenantes jouent un rôle essentiel dans la promotion des TIC pour le développement. L'UIT collabore avec les pouvoirs publics, les entités du secteur privé, les organisations de la société civile et les organismes internationaux en vue de définir des politiques et des cadres propices à l'inclusion numérique et à l'innovation. Parmi les principales initiatives entreprises, on peut citer les partenariats public-privé, les activités de promotion des politiques et les programmes de renforcement des capacités qui donnent aux parties prenantes les moyens de mettre les TIC au service du développement durable.</w:t>
      </w:r>
    </w:p>
    <w:p w14:paraId="621D1BE9" w14:textId="77777777" w:rsidR="007412AE" w:rsidRPr="00023B55" w:rsidRDefault="007412AE" w:rsidP="00C87007">
      <w:pPr>
        <w:pStyle w:val="Heading2"/>
        <w:jc w:val="both"/>
      </w:pPr>
      <w:r w:rsidRPr="00023B55">
        <w:t>C2 – Infrastructure de l'information et de la communication</w:t>
      </w:r>
    </w:p>
    <w:p w14:paraId="11C4B654" w14:textId="77777777" w:rsidR="007412AE" w:rsidRPr="00023B55" w:rsidRDefault="007412AE" w:rsidP="00C87007">
      <w:pPr>
        <w:jc w:val="both"/>
      </w:pPr>
      <w:r w:rsidRPr="00023B55">
        <w:t>Il est essentiel de développer une infrastructure des TIC solide pour réduire la fracture numérique et garantir l'accès universel aux services numériques. L'UIT fournit un appui technique, élabore des normes internationales et fait connaître les meilleures pratiques en matière de déploiement d'infrastructures. Parmi les initiatives notables, on peut citer l'initiative Giga, qui vise à connecter chaque école à l'Internet, et l'appui en faveur des points IXP pour améliorer l'échange de trafic Internet local. La Commission UIT-UNESCO sur le large bande a mis en place une réflexion de fond sur l'utilisation de la connectivité large bande, afin d'accélérer la réalisation du Programme de développement durable à l'horizon 2030 adopté par l'Organisation des Nations Unies.</w:t>
      </w:r>
    </w:p>
    <w:p w14:paraId="42937195" w14:textId="77777777" w:rsidR="007412AE" w:rsidRPr="00023B55" w:rsidRDefault="007412AE" w:rsidP="00C87007">
      <w:pPr>
        <w:pStyle w:val="Heading2"/>
        <w:jc w:val="both"/>
      </w:pPr>
      <w:r w:rsidRPr="00023B55">
        <w:t>C3 – L'accès à l'information et au savoir</w:t>
      </w:r>
    </w:p>
    <w:p w14:paraId="2D793C65" w14:textId="77777777" w:rsidR="007412AE" w:rsidRPr="00023B55" w:rsidRDefault="007412AE" w:rsidP="00C87007">
      <w:pPr>
        <w:jc w:val="both"/>
      </w:pPr>
      <w:r w:rsidRPr="00023B55">
        <w:t>Garantir l'accès à l'information et au savoir est fondamental pour l'inclusion numérique. L'UIT met en œuvre des initiatives contribuant à améliorer la maîtrise des outils numériques et permettant aux communautés mal desservies et marginalisées d'accéder aux TIC. Le Forum du SMSI et d'autres plates-formes de partage des connaissances facilitent l'échange de bonnes pratiques et de projets ayant été menés à bien, permettant aux parties prenantes de tirer des enseignements de leurs expériences.</w:t>
      </w:r>
    </w:p>
    <w:p w14:paraId="1F0EAB50" w14:textId="77777777" w:rsidR="007412AE" w:rsidRPr="00023B55" w:rsidRDefault="007412AE" w:rsidP="00C87007">
      <w:pPr>
        <w:pStyle w:val="Heading2"/>
        <w:jc w:val="both"/>
      </w:pPr>
      <w:r w:rsidRPr="00023B55">
        <w:t>C4 – Renforcement des capacités</w:t>
      </w:r>
    </w:p>
    <w:p w14:paraId="10CECD85" w14:textId="77777777" w:rsidR="007412AE" w:rsidRPr="00023B55" w:rsidRDefault="007412AE" w:rsidP="00C87007">
      <w:pPr>
        <w:jc w:val="both"/>
      </w:pPr>
      <w:r w:rsidRPr="00023B55">
        <w:t xml:space="preserve">Il est primordial pour l'UIT de doter les individus et les institutions des capacités à utiliser efficacement les TIC. L'Académie de l'UIT propose un large éventail de cours, d'ateliers et de programmes de formation afin d'améliorer les compétences et les connaissances numériques. Les programmes de formation spécialisés et les </w:t>
      </w:r>
      <w:r w:rsidRPr="00023B55">
        <w:rPr>
          <w:u w:val="single"/>
        </w:rPr>
        <w:t>centres de formation de l'Académie de l'UIT</w:t>
      </w:r>
      <w:r w:rsidRPr="00023B55">
        <w:t xml:space="preserve"> offrent des services de formation de haute qualité adaptés aux besoins régionaux, ce qui permet aux communautés de s'épanouir dans l'ère numérique.</w:t>
      </w:r>
    </w:p>
    <w:p w14:paraId="68AF164B" w14:textId="77777777" w:rsidR="007412AE" w:rsidRPr="00023B55" w:rsidRDefault="007412AE" w:rsidP="00C87007">
      <w:pPr>
        <w:jc w:val="both"/>
      </w:pPr>
      <w:r w:rsidRPr="00023B55">
        <w:t>La Coalition pour les compétences en matière d'IA, qui s'inscrit dans le cadre de l'Initiative "L'IA au service du bien social pour produire des effets", offre une plate-forme ouverte, fiable et inclusive des Nations Unies pour l'enseignement de l'IA et le renforcement des capacités en la matière à l'échelle mondiale. Des séminaires et des ateliers mondiaux et régionaux des radiocommunications sont organisés dans le cadre du programme de renforcement des capacités de l'UIT-R. Ces séminaires et ateliers proposent une formation sur la gestion du spectre, le Règlement des radiocommunications de l'UIT et les outils TIC connexes.</w:t>
      </w:r>
    </w:p>
    <w:p w14:paraId="1FF7372E" w14:textId="77777777" w:rsidR="007412AE" w:rsidRPr="00023B55" w:rsidRDefault="007412AE" w:rsidP="00C87007">
      <w:pPr>
        <w:pStyle w:val="Heading2"/>
        <w:jc w:val="both"/>
      </w:pPr>
      <w:r w:rsidRPr="00023B55">
        <w:lastRenderedPageBreak/>
        <w:t>C5 – Établir la confiance et la sécurité dans l'utilisation des TIC</w:t>
      </w:r>
    </w:p>
    <w:p w14:paraId="6A0CA3D2" w14:textId="77777777" w:rsidR="007412AE" w:rsidRPr="00023B55" w:rsidRDefault="007412AE" w:rsidP="00C87007">
      <w:pPr>
        <w:jc w:val="both"/>
      </w:pPr>
      <w:r w:rsidRPr="00023B55">
        <w:t>La promotion d'un environnement numérique sûr et sécurisé est essentielle pour renforcer la confiance dans les TIC. Le GCA de l'UIT constitue un cadre complet de coopération internationale en matière de cybersécurité. Par le biais de normes techniques, d'équipes CIRT, de cyberexercices, d'activités de renforcement des capacités et de partenariats étroits, l'UIT travaille au renforcement de la confiance dans l'utilisation des technologies numériques. L'initiative sur la protection en ligne des enfants sensibilise aux risques en ligne et encourage des pratiques numériques sûres.</w:t>
      </w:r>
    </w:p>
    <w:p w14:paraId="01F58D67" w14:textId="77777777" w:rsidR="007412AE" w:rsidRPr="00023B55" w:rsidRDefault="007412AE" w:rsidP="00C87007">
      <w:pPr>
        <w:pStyle w:val="Heading2"/>
        <w:jc w:val="both"/>
      </w:pPr>
      <w:r w:rsidRPr="00023B55">
        <w:t>C6 – Créer un environnement propice</w:t>
      </w:r>
    </w:p>
    <w:p w14:paraId="443E614A" w14:textId="77777777" w:rsidR="007412AE" w:rsidRPr="00023B55" w:rsidRDefault="007412AE" w:rsidP="00C87007">
      <w:pPr>
        <w:jc w:val="both"/>
      </w:pPr>
      <w:r w:rsidRPr="00023B55">
        <w:t xml:space="preserve">La création d'un environnement propice implique l'élaboration de politiques et de réglementations qui appuient la croissance des TIC. L'UIT fournit des orientations sur les cadres réglementaires, favorise la coopération internationale et appuie l'élaboration de politiques qui encouragent les investissements dans les infrastructures TIC. Le Colloque mondial des régulateurs (GSR) et les programmes de formation à la réglementation en matière de numérique aident les régulateurs à créer des environnements réglementaires efficaces. La Commission sur le large bande a également contribué à cette grande orientation du SMSI, en élaborant plus de 70 examens et </w:t>
      </w:r>
      <w:hyperlink r:id="rId225" w:history="1">
        <w:r w:rsidRPr="00023B55">
          <w:rPr>
            <w:rStyle w:val="Hyperlink"/>
            <w:rFonts w:eastAsia="Times New Roman" w:cs="Times New Roman"/>
            <w:szCs w:val="20"/>
          </w:rPr>
          <w:t>recommandations de politique</w:t>
        </w:r>
      </w:hyperlink>
      <w:r w:rsidRPr="00023B55">
        <w:t xml:space="preserve"> générale axées sur la collaboration pour parvenir à une connectivité universelle, y compris des stratégies, des politiques et des réglementations visant à favoriser l'adoption du large bande et à encourager les investissements dans les infrastructures.</w:t>
      </w:r>
    </w:p>
    <w:p w14:paraId="2827288E" w14:textId="76AFFB1C" w:rsidR="007412AE" w:rsidRPr="00023B55" w:rsidRDefault="007412AE" w:rsidP="00C87007">
      <w:pPr>
        <w:jc w:val="both"/>
      </w:pPr>
      <w:r w:rsidRPr="00023B55">
        <w:t>Par exemple, la Recommandation UIT-R M.2160</w:t>
      </w:r>
      <w:r w:rsidR="00C77817" w:rsidRPr="00023B55">
        <w:t xml:space="preserve"> </w:t>
      </w:r>
      <w:hyperlink r:id="rId226" w:history="1">
        <w:r w:rsidRPr="00023B55">
          <w:rPr>
            <w:rStyle w:val="Hyperlink"/>
            <w:rFonts w:eastAsia="Times New Roman" w:cs="Times New Roman"/>
            <w:szCs w:val="20"/>
          </w:rPr>
          <w:t>[1]</w:t>
        </w:r>
      </w:hyperlink>
      <w:r w:rsidRPr="00023B55">
        <w:t xml:space="preserve"> décrit le cadre et les objectifs généraux associés au développement de la composante de Terre des IMT à l'horizon 2030 et au-delà (IMT-2030). À terme, les services mobiles devraient continuer de permettre de mieux répondre aux besoins de la société connectée, tant pour les pays développés que pour les pays en développement. Cette Recommandation décrit le cadre de développement des IMT</w:t>
      </w:r>
      <w:r w:rsidRPr="00023B55">
        <w:noBreakHyphen/>
        <w:t>2030, y compris des fonctionnalités très diverses associées aux scénarios d'utilisation envisagés. En outre, elle traite des objectifs liés au développement futur des IMT-2030, qui consistent notamment à poursuivre l'amélioration des IMT existantes et à les faire évoluer. Cette Recommandation constitue une avancée majeure dans l'élaboration et la mise en œuvre de normes mondialement reconnues pour les systèmes mobiles utilisant la 6G. Toutes les technologies de télécommunication mobile des générations précédentes – le cellulaire analogique (1G), le cellulaire numérique (2G), les IMT-2000 (3G), les IMT évoluées (4G) et les IMT-2020 (5G) – ont également été normalisées dans le cadre de l'UIT.</w:t>
      </w:r>
    </w:p>
    <w:p w14:paraId="014BA3CF" w14:textId="77777777" w:rsidR="007412AE" w:rsidRPr="00023B55" w:rsidRDefault="007412AE" w:rsidP="00F52608">
      <w:pPr>
        <w:pStyle w:val="Heading2"/>
      </w:pPr>
      <w:r w:rsidRPr="00023B55">
        <w:t>C7 – Applications TIC</w:t>
      </w:r>
    </w:p>
    <w:p w14:paraId="4DD7F5F8" w14:textId="77777777" w:rsidR="007412AE" w:rsidRPr="00023B55" w:rsidRDefault="007412AE" w:rsidP="00C87007">
      <w:pPr>
        <w:jc w:val="both"/>
      </w:pPr>
      <w:r w:rsidRPr="00023B55">
        <w:t>Les applications TIC utilisées dans différents secteurs (administration publique en ligne, cybersanté, apprentissage en ligne, commerce électronique, cyberagriculture, cyberécologie et cyberscience) améliorent la qualité de vie et favorisent le développement durable. L'UIT appuie la conception et la mise en œuvre de ces applications en fournissant une assistance technique et en encourageant les bonnes pratiques. Des initiatives telles que la télémédecine et les plates-formes d'apprentissage en ligne améliorent l'accès aux services essentiels et les possibilités de croissance.</w:t>
      </w:r>
    </w:p>
    <w:p w14:paraId="710406A8" w14:textId="77777777" w:rsidR="007412AE" w:rsidRPr="00023B55" w:rsidRDefault="007412AE" w:rsidP="00F52608">
      <w:pPr>
        <w:pStyle w:val="Heading2"/>
      </w:pPr>
      <w:r w:rsidRPr="00023B55">
        <w:lastRenderedPageBreak/>
        <w:t>C8 – Diversité et identité culturelles, diversité linguistique et contenus locaux</w:t>
      </w:r>
    </w:p>
    <w:p w14:paraId="42803EFC" w14:textId="77777777" w:rsidR="007412AE" w:rsidRPr="00023B55" w:rsidRDefault="007412AE" w:rsidP="00C87007">
      <w:pPr>
        <w:jc w:val="both"/>
      </w:pPr>
      <w:r w:rsidRPr="00023B55">
        <w:t>Il est essentiel de promouvoir la diversité culturelle et linguistique pour veiller à ce que les TIC soient pertinentes et accessibles pour des populations diverses. L'UIT appuie la création de contenus numériques multilingues, collabore avec l'UNESCO pour préserver le patrimoine culturel grâce à la généralisation du numérique et fournit une assistance technique pour le développement de contenus locaux.</w:t>
      </w:r>
    </w:p>
    <w:p w14:paraId="4CFD2F60" w14:textId="77777777" w:rsidR="007412AE" w:rsidRPr="00023B55" w:rsidRDefault="007412AE" w:rsidP="00C87007">
      <w:pPr>
        <w:pStyle w:val="Heading2"/>
        <w:jc w:val="both"/>
      </w:pPr>
      <w:r w:rsidRPr="00023B55">
        <w:t>C9 – Médias</w:t>
      </w:r>
    </w:p>
    <w:p w14:paraId="280F49F2" w14:textId="77777777" w:rsidR="007412AE" w:rsidRPr="00023B55" w:rsidRDefault="007412AE" w:rsidP="00C87007">
      <w:pPr>
        <w:jc w:val="both"/>
      </w:pPr>
      <w:r w:rsidRPr="00023B55">
        <w:t>Le renforcement de l'infrastructure médiatique et la promotion de la liberté d'expression sont des éléments fondamentaux de l'action menée par l'UIT. Cette dernière fournit une assistance technique concernant la radiodiffusion numérique communautaire, soutient le développement des médias dans les pays en développement et propose des programmes de formation à l'intention des professionnels des médias pour améliorer leurs compétences numériques.</w:t>
      </w:r>
    </w:p>
    <w:p w14:paraId="6D949B1C" w14:textId="77777777" w:rsidR="007412AE" w:rsidRPr="00023B55" w:rsidRDefault="007412AE" w:rsidP="00C87007">
      <w:pPr>
        <w:pStyle w:val="Heading2"/>
        <w:jc w:val="both"/>
      </w:pPr>
      <w:r w:rsidRPr="00023B55">
        <w:t>C10 – Dimensions éthiques de la société de l'information</w:t>
      </w:r>
    </w:p>
    <w:p w14:paraId="790F64F9" w14:textId="77777777" w:rsidR="007412AE" w:rsidRPr="00023B55" w:rsidRDefault="007412AE" w:rsidP="00C87007">
      <w:pPr>
        <w:jc w:val="both"/>
      </w:pPr>
      <w:r w:rsidRPr="00023B55">
        <w:t>Il est essentiel d'élaborer des lignes directrices et des normes éthiques relatives à l'utilisation des TIC pour favoriser un comportement numérique responsable. Les initiatives de l'UIT comprennent des lignes directrices sur la confidentialité des données, la cybersécurité et l'utilisation éthique de l'IA et d'autres technologies émergentes. Des campagnes de sensibilisation et des programmes pédagogiques promeuvent la citoyenneté numérique et la sécurité en ligne.</w:t>
      </w:r>
    </w:p>
    <w:p w14:paraId="5EA1A28F" w14:textId="77777777" w:rsidR="007412AE" w:rsidRPr="00023B55" w:rsidRDefault="007412AE" w:rsidP="00C87007">
      <w:pPr>
        <w:pStyle w:val="Heading2"/>
        <w:jc w:val="both"/>
      </w:pPr>
      <w:r w:rsidRPr="00023B55">
        <w:t>C11 – Coopération internationale et régionale</w:t>
      </w:r>
    </w:p>
    <w:p w14:paraId="79E63CC2" w14:textId="77777777" w:rsidR="007412AE" w:rsidRPr="00023B55" w:rsidRDefault="007412AE" w:rsidP="00C87007">
      <w:pPr>
        <w:jc w:val="both"/>
      </w:pPr>
      <w:r w:rsidRPr="00023B55">
        <w:t>Il est essentiel d'encourager la coopération internationale et régionale pour relever les défis mondiaux liés aux TIC. L'UIT collabore avec un large éventail d'organisations internationales et régionales pour promouvoir les résultats du SMSI et les TIC au service du développement. Les partenariats avec l'UNESCO, le PNUD, la CNUCED et d'autres institutions des Nations Unies renforcent également l'efficacité des initiatives dans le domaine des TIC et favorisent l'échange de bonnes pratiques.</w:t>
      </w:r>
    </w:p>
    <w:p w14:paraId="1A42D2DC" w14:textId="77777777" w:rsidR="0039632C" w:rsidRPr="00023B55" w:rsidRDefault="0039632C" w:rsidP="00C87007">
      <w:pPr>
        <w:pStyle w:val="Heading1"/>
        <w:jc w:val="both"/>
      </w:pPr>
      <w:bookmarkStart w:id="18" w:name="_Toc200377669"/>
      <w:r w:rsidRPr="00023B55">
        <w:t>Les quatre principales grandes orientations de l'UIT</w:t>
      </w:r>
      <w:bookmarkEnd w:id="18"/>
    </w:p>
    <w:p w14:paraId="109FF660" w14:textId="77777777" w:rsidR="0039632C" w:rsidRPr="00023B55" w:rsidRDefault="0039632C" w:rsidP="00C87007">
      <w:pPr>
        <w:jc w:val="both"/>
      </w:pPr>
      <w:r w:rsidRPr="00023B55">
        <w:t>L'UIT joue le rôle de coordonnateur principal pour d'importantes grandes orientations du SMSI, qui sont essentielles pour la mise en œuvre du Plan d'action de Genève et de l'Agenda de Tunis. Ces grandes orientations portent sur des domaines fondamentaux tels que le développement des infrastructures, le renforcement des capacités, la cybersécurité et les environnements réglementaires.</w:t>
      </w:r>
    </w:p>
    <w:p w14:paraId="63BB7A0B" w14:textId="77777777" w:rsidR="0039632C" w:rsidRPr="00023B55" w:rsidRDefault="0039632C" w:rsidP="00C87007">
      <w:pPr>
        <w:jc w:val="both"/>
      </w:pPr>
      <w:r w:rsidRPr="00023B55">
        <w:t>Plus précisément, l'UIT coordonne les grandes orientations suivantes:</w:t>
      </w:r>
    </w:p>
    <w:p w14:paraId="2A45E88A" w14:textId="77777777" w:rsidR="0039632C" w:rsidRPr="00023B55" w:rsidRDefault="0039632C" w:rsidP="00C87007">
      <w:pPr>
        <w:pStyle w:val="enumlev1"/>
        <w:jc w:val="both"/>
      </w:pPr>
      <w:r w:rsidRPr="00023B55">
        <w:t>1)</w:t>
      </w:r>
      <w:r w:rsidRPr="00023B55">
        <w:tab/>
      </w:r>
      <w:r w:rsidRPr="00023B55">
        <w:rPr>
          <w:b/>
          <w:bCs/>
        </w:rPr>
        <w:t>Grande orientation C2 – Infrastructure de l'information et de la communication</w:t>
      </w:r>
      <w:r w:rsidRPr="00023B55">
        <w:t>: axée sur le développement de l'infrastructure des télécommunications/TIC en vue de réduire la fracture numérique et d'assurer l'accès universel aux TIC.</w:t>
      </w:r>
    </w:p>
    <w:p w14:paraId="56F6C93A" w14:textId="77777777" w:rsidR="0039632C" w:rsidRPr="00023B55" w:rsidRDefault="0039632C" w:rsidP="00C87007">
      <w:pPr>
        <w:pStyle w:val="enumlev1"/>
        <w:jc w:val="both"/>
      </w:pPr>
      <w:r w:rsidRPr="00023B55">
        <w:t>2)</w:t>
      </w:r>
      <w:r w:rsidRPr="00023B55">
        <w:tab/>
      </w:r>
      <w:r w:rsidRPr="00023B55">
        <w:rPr>
          <w:b/>
          <w:bCs/>
        </w:rPr>
        <w:t>Grande orientation C4 – Renforcement des capacités</w:t>
      </w:r>
      <w:r w:rsidRPr="00023B55">
        <w:t>: vise à renforcer les capacités des personnes et des institutions de manière à ce qu'elles puissent utiliser efficacement les TIC.</w:t>
      </w:r>
    </w:p>
    <w:p w14:paraId="5492A0C4" w14:textId="77777777" w:rsidR="0039632C" w:rsidRPr="00023B55" w:rsidRDefault="0039632C" w:rsidP="00C87007">
      <w:pPr>
        <w:pStyle w:val="enumlev1"/>
        <w:jc w:val="both"/>
      </w:pPr>
      <w:r w:rsidRPr="00023B55">
        <w:lastRenderedPageBreak/>
        <w:t>3)</w:t>
      </w:r>
      <w:r w:rsidRPr="00023B55">
        <w:tab/>
      </w:r>
      <w:r w:rsidRPr="00023B55">
        <w:rPr>
          <w:b/>
          <w:bCs/>
        </w:rPr>
        <w:t>Grande orientation C5 – Établir la confiance et la sécurité dans l'utilisation des TIC</w:t>
      </w:r>
      <w:r w:rsidRPr="00023B55">
        <w:t>: répond à la nécessité d'instaurer un environnement numérique sûr et digne de confiance.</w:t>
      </w:r>
    </w:p>
    <w:p w14:paraId="182E7239" w14:textId="77777777" w:rsidR="0039632C" w:rsidRPr="00023B55" w:rsidRDefault="0039632C" w:rsidP="00C87007">
      <w:pPr>
        <w:pStyle w:val="enumlev1"/>
        <w:jc w:val="both"/>
      </w:pPr>
      <w:r w:rsidRPr="00023B55">
        <w:t>4)</w:t>
      </w:r>
      <w:r w:rsidRPr="00023B55">
        <w:tab/>
      </w:r>
      <w:r w:rsidRPr="00023B55">
        <w:rPr>
          <w:b/>
          <w:bCs/>
        </w:rPr>
        <w:t>Grande orientation C6 – Créer un environnement propice</w:t>
      </w:r>
      <w:r w:rsidRPr="00023B55">
        <w:t>: met l'accent sur la création d'un environnement politique et réglementaire propice au développement des TIC.</w:t>
      </w:r>
    </w:p>
    <w:p w14:paraId="48E0A137" w14:textId="77777777" w:rsidR="0039632C" w:rsidRPr="00023B55" w:rsidRDefault="0039632C" w:rsidP="00C87007">
      <w:pPr>
        <w:jc w:val="both"/>
      </w:pPr>
      <w:r w:rsidRPr="00023B55">
        <w:t>En outre, l'UIT s'investit dans le cadre d'autres grandes orientations du SMSI en tant que coordonnateur conjoint ou partenaire, et collabore ainsi avec différentes parties prenantes au service du développement des TIC. Cette participation importante met en relief le rôle global que joue l'UIT dans la promotion du cadre du SMSI.</w:t>
      </w:r>
    </w:p>
    <w:p w14:paraId="6C9590C5" w14:textId="77777777" w:rsidR="0039632C" w:rsidRPr="00023B55" w:rsidRDefault="0039632C" w:rsidP="00C87007">
      <w:pPr>
        <w:jc w:val="both"/>
      </w:pPr>
      <w:r w:rsidRPr="00023B55">
        <w:t>Le Forum annuel du SMSI, organisé par l'UIT depuis 2009, réunit des parties prenantes diverses, notamment des représentants de gouvernements, du secteur privé, de la société civile et d'organisations internationales, dans le but d'échanger, de partager des connaissances et de mener des activités de collaboration sur les TIC au service du développement.</w:t>
      </w:r>
    </w:p>
    <w:p w14:paraId="40DFD4F2" w14:textId="77777777" w:rsidR="0039632C" w:rsidRPr="00023B55" w:rsidRDefault="0039632C" w:rsidP="00C87007">
      <w:pPr>
        <w:pStyle w:val="Heading2"/>
        <w:jc w:val="both"/>
        <w:rPr>
          <w:color w:val="0F4761"/>
        </w:rPr>
      </w:pPr>
      <w:hyperlink r:id="rId227" w:history="1">
        <w:r w:rsidRPr="00023B55">
          <w:rPr>
            <w:rStyle w:val="Hyperlink"/>
            <w:rFonts w:eastAsia="Times New Roman" w:cs="Times New Roman"/>
            <w:color w:val="0F4761"/>
            <w:szCs w:val="20"/>
          </w:rPr>
          <w:t>C2 – Infrastructure de l'information et de la communication</w:t>
        </w:r>
      </w:hyperlink>
    </w:p>
    <w:p w14:paraId="65F919A9" w14:textId="77777777" w:rsidR="0039632C" w:rsidRPr="00023B55" w:rsidRDefault="0039632C" w:rsidP="00C87007">
      <w:pPr>
        <w:jc w:val="both"/>
      </w:pPr>
      <w:r w:rsidRPr="00023B55">
        <w:t>Il est essentiel de développer une infrastructure de l'information et de la communication solide pour réduire la fracture numérique et garantir l'accès universel aux technologies numériques.</w:t>
      </w:r>
    </w:p>
    <w:p w14:paraId="205A48C1" w14:textId="77777777" w:rsidR="0039632C" w:rsidRPr="00023B55" w:rsidRDefault="0039632C" w:rsidP="00C87007">
      <w:pPr>
        <w:jc w:val="both"/>
      </w:pPr>
      <w:r w:rsidRPr="00023B55">
        <w:t>L'UIT, en sa qualité de coordonnateur principal pour la grande orientation C2, a concentré ses efforts sur les éléments suivants:</w:t>
      </w:r>
    </w:p>
    <w:p w14:paraId="42A5DE38" w14:textId="77777777" w:rsidR="0039632C" w:rsidRPr="00023B55" w:rsidRDefault="0039632C" w:rsidP="00C87007">
      <w:pPr>
        <w:pStyle w:val="enumlev1"/>
        <w:jc w:val="both"/>
      </w:pPr>
      <w:r w:rsidRPr="00023B55">
        <w:t>–</w:t>
      </w:r>
      <w:r w:rsidRPr="00023B55">
        <w:tab/>
      </w:r>
      <w:r w:rsidRPr="00023B55">
        <w:rPr>
          <w:b/>
          <w:bCs/>
        </w:rPr>
        <w:t>Appui technique et normalisation</w:t>
      </w:r>
      <w:r w:rsidRPr="00023B55">
        <w:t>: aider les États Membres de l'UIT à développer et à mettre en place des infrastructures TIC modernes, sûres, accessibles et financièrement abordables. L'UIT élabore également des normes internationales qui garantissent l'interopérabilité et la qualité des services TIC. Le Secteur des radiocommunications de l'UIT a pour objectif de faciliter la collaboration internationale afin d'assurer une utilisation équitable, rationnelle, efficace et économique du spectre des fréquences radioélectriques et des orbites des satellites.</w:t>
      </w:r>
    </w:p>
    <w:p w14:paraId="704AD678" w14:textId="77777777" w:rsidR="0039632C" w:rsidRPr="00023B55" w:rsidRDefault="0039632C" w:rsidP="00C87007">
      <w:pPr>
        <w:pStyle w:val="enumlev1"/>
        <w:keepNext/>
        <w:keepLines/>
        <w:jc w:val="both"/>
      </w:pPr>
      <w:r w:rsidRPr="00023B55">
        <w:t>–</w:t>
      </w:r>
      <w:r w:rsidRPr="00023B55">
        <w:tab/>
      </w:r>
      <w:r w:rsidRPr="00023B55">
        <w:rPr>
          <w:b/>
          <w:bCs/>
        </w:rPr>
        <w:t>Initiatives de déploiement d'infrastructures</w:t>
      </w:r>
      <w:r w:rsidRPr="00023B55">
        <w:t>: en particulier dans les zones rurales et mal desservies. Par exemple, l'initiative Giga, lancée en partenariat avec l'UNICEF, vise à connecter chaque école à l'Internet et à offrir aux élèves un accès à des ressources et à des possibilités d'apprentissage en ligne.</w:t>
      </w:r>
    </w:p>
    <w:p w14:paraId="0212A86B" w14:textId="77777777" w:rsidR="0039632C" w:rsidRPr="00023B55" w:rsidRDefault="0039632C" w:rsidP="00C87007">
      <w:pPr>
        <w:pStyle w:val="enumlev1"/>
        <w:jc w:val="both"/>
      </w:pPr>
      <w:r w:rsidRPr="00023B55">
        <w:t>–</w:t>
      </w:r>
      <w:r w:rsidRPr="00023B55">
        <w:tab/>
      </w:r>
      <w:r w:rsidRPr="00023B55">
        <w:rPr>
          <w:b/>
          <w:bCs/>
        </w:rPr>
        <w:t>Appui en faveur des points d'échange Internet (IXP)</w:t>
      </w:r>
      <w:r w:rsidRPr="00023B55">
        <w:t>: indispensables pour améliorer la connectivité Internet et réduire les coûts. Les points IXP facilitent l'échange de trafic Internet au niveau local, et améliorent ainsi l'efficacité et la qualité de fonctionnement des services Internet.</w:t>
      </w:r>
    </w:p>
    <w:p w14:paraId="20D3B6DD" w14:textId="77777777" w:rsidR="0039632C" w:rsidRPr="00023B55" w:rsidRDefault="0039632C" w:rsidP="00C87007">
      <w:pPr>
        <w:pStyle w:val="enumlev1"/>
        <w:jc w:val="both"/>
      </w:pPr>
      <w:r w:rsidRPr="00023B55">
        <w:t>–</w:t>
      </w:r>
      <w:r w:rsidRPr="00023B55">
        <w:tab/>
      </w:r>
      <w:r w:rsidRPr="00023B55">
        <w:rPr>
          <w:b/>
          <w:bCs/>
        </w:rPr>
        <w:t>Cartographie, analyse et visualisation de l'infrastructure de connectivité</w:t>
      </w:r>
      <w:r w:rsidRPr="00023B55">
        <w:t>: cartographie de l'infrastructure de connectivité existante, analyse des lacunes et visualisation de la couverture du réseau pour orienter les décisions d'investissement et de politique générale. Ces fonctions garantissent un déploiement ciblé et viable des infrastructures TIC permettant de réduire la fracture numérique.</w:t>
      </w:r>
    </w:p>
    <w:p w14:paraId="751AF348" w14:textId="77777777" w:rsidR="0039632C" w:rsidRPr="00023B55" w:rsidRDefault="0039632C" w:rsidP="00C87007">
      <w:pPr>
        <w:pStyle w:val="enumlev1"/>
        <w:jc w:val="both"/>
      </w:pPr>
      <w:r w:rsidRPr="00023B55">
        <w:t>–</w:t>
      </w:r>
      <w:r w:rsidRPr="00023B55">
        <w:tab/>
      </w:r>
      <w:r w:rsidRPr="00023B55">
        <w:rPr>
          <w:b/>
          <w:bCs/>
        </w:rPr>
        <w:t>Appui technique relatif aux technologies émergentes</w:t>
      </w:r>
      <w:r w:rsidRPr="00023B55">
        <w:t xml:space="preserve">: aider à développer et à mettre en place des infrastructures TIC modernes, sûres, accessibles et financièrement abordables. Cet appui vise également à garantir l'interopérabilité, la qualité de service et l'adoption de technologies émergentes telles que la 5G, les réseaux fondés sur l'IA et </w:t>
      </w:r>
      <w:r w:rsidRPr="00023B55">
        <w:lastRenderedPageBreak/>
        <w:t>les communications quantiques, afin que les États Membres puissent atteindre leurs objectifs en matière de transformation numérique.</w:t>
      </w:r>
    </w:p>
    <w:p w14:paraId="25F40E70" w14:textId="77777777" w:rsidR="0039632C" w:rsidRPr="00023B55" w:rsidRDefault="0039632C" w:rsidP="00C87007">
      <w:pPr>
        <w:pStyle w:val="enumlev1"/>
        <w:jc w:val="both"/>
      </w:pPr>
      <w:r w:rsidRPr="00023B55">
        <w:t>–</w:t>
      </w:r>
      <w:r w:rsidRPr="00023B55">
        <w:tab/>
      </w:r>
      <w:r w:rsidRPr="00023B55">
        <w:rPr>
          <w:b/>
          <w:bCs/>
        </w:rPr>
        <w:t>Initiatives de déploiement d'infrastructures</w:t>
      </w:r>
      <w:r w:rsidRPr="00023B55">
        <w:t>: diriger les efforts visant à développer l'infrastructure TIC, en particulier dans les zones mal desservies et les zones rurales. Par exemple, appuyer l'initiative Giga, lancée en partenariat avec l'UNICEF, qui vise à connecter chaque école à l'Internet et à offrir aux élèves un accès à des ressources et à des possibilités d'apprentissage en ligne.</w:t>
      </w:r>
    </w:p>
    <w:p w14:paraId="1EDAAD24" w14:textId="77777777" w:rsidR="0039632C" w:rsidRPr="00023B55" w:rsidRDefault="0039632C" w:rsidP="00C87007">
      <w:pPr>
        <w:pStyle w:val="enumlev1"/>
        <w:jc w:val="both"/>
      </w:pPr>
      <w:r w:rsidRPr="00023B55">
        <w:t>–</w:t>
      </w:r>
      <w:r w:rsidRPr="00023B55">
        <w:tab/>
      </w:r>
      <w:r w:rsidRPr="00023B55">
        <w:rPr>
          <w:b/>
          <w:bCs/>
        </w:rPr>
        <w:t>Gestion du spectre et communications spatiales</w:t>
      </w:r>
      <w:r w:rsidRPr="00023B55">
        <w:t>: coordonner l'attribution et la gestion du spectre en vue d'optimiser l'utilisation des fréquences radioélectriques. L'UIT a mis au point des kits pratiques de gestion du spectre (à savoir le Système de gestion du spectre pour les pays en développement (SMS4DC) et la méthode de calcul harmonisée pour l'Afrique (HCM4A)), afin d'aider les États Membres à harmoniser l'utilisation du spectre et à réduire les brouillages. L'Union contribue en particulier au maintien de la connectivité dans les situations d'urgence, appuie les opérations humanitaires et les interventions en cas d'urgence qui sauvent des vies, aide les pays sans littoral en leur proposant des solutions de communication par satellite et contribue à renforcer les capacités des ressources orbitales.</w:t>
      </w:r>
    </w:p>
    <w:p w14:paraId="4630F85F" w14:textId="77777777" w:rsidR="0039632C" w:rsidRPr="00023B55" w:rsidRDefault="0039632C" w:rsidP="00C87007">
      <w:pPr>
        <w:pStyle w:val="enumlev1"/>
        <w:jc w:val="both"/>
      </w:pPr>
      <w:r w:rsidRPr="00023B55">
        <w:t>–</w:t>
      </w:r>
      <w:r w:rsidRPr="00023B55">
        <w:tab/>
      </w:r>
      <w:r w:rsidRPr="00023B55">
        <w:rPr>
          <w:b/>
          <w:bCs/>
        </w:rPr>
        <w:t>Appui en faveur de la radiodiffusion</w:t>
      </w:r>
      <w:r w:rsidRPr="00023B55">
        <w:t>: fournir des orientations relatives à la modernisation des infrastructures de radiodiffusion pour soutenir la transformation numérique dans le secteur des médias.</w:t>
      </w:r>
    </w:p>
    <w:p w14:paraId="5FB53A7D" w14:textId="77777777" w:rsidR="0039632C" w:rsidRPr="00023B55" w:rsidRDefault="0039632C" w:rsidP="00C87007">
      <w:pPr>
        <w:pStyle w:val="enumlev1"/>
        <w:jc w:val="both"/>
      </w:pPr>
      <w:r w:rsidRPr="00023B55">
        <w:t>–</w:t>
      </w:r>
      <w:r w:rsidRPr="00023B55">
        <w:tab/>
      </w:r>
      <w:r w:rsidRPr="00023B55">
        <w:rPr>
          <w:b/>
          <w:bCs/>
        </w:rPr>
        <w:t>Infrastructure publique numérique</w:t>
      </w:r>
      <w:r w:rsidRPr="00023B55">
        <w:t>: faciliter les initiatives de renforcement des capacités, organiser des ateliers de sensibilisation et encourager la coopération entre les gouvernements, le secteur privé et les communautés techniques pour relever les défis liés à la mise en œuvre de l'infrastructure publique numérique et appuyer la transformation et l'inclusion numériques à l'échelle mondiale.</w:t>
      </w:r>
    </w:p>
    <w:p w14:paraId="4691AF6B" w14:textId="77777777" w:rsidR="0039632C" w:rsidRPr="00023B55" w:rsidRDefault="0039632C" w:rsidP="00C87007">
      <w:pPr>
        <w:pStyle w:val="enumlev1"/>
        <w:keepLines/>
        <w:jc w:val="both"/>
      </w:pPr>
      <w:r w:rsidRPr="00023B55">
        <w:t>–</w:t>
      </w:r>
      <w:r w:rsidRPr="00023B55">
        <w:tab/>
      </w:r>
      <w:r w:rsidRPr="00023B55">
        <w:rPr>
          <w:b/>
          <w:bCs/>
        </w:rPr>
        <w:t>Connectivité large bande</w:t>
      </w:r>
      <w:r w:rsidRPr="00023B55">
        <w:t>: la Commission UIT/UNESCO sur le large bande agit de sorte que chaque pays dispose de services de communication large bande efficaces, sûrs, sécurisés et durables, une condition essentielle pour accélérer la réalisation des objectifs de développement nationaux et internationaux.</w:t>
      </w:r>
    </w:p>
    <w:p w14:paraId="5E0365D3" w14:textId="5B728A37" w:rsidR="0039632C" w:rsidRPr="00023B55" w:rsidRDefault="0039632C" w:rsidP="00C87007">
      <w:pPr>
        <w:pStyle w:val="Headingb"/>
        <w:jc w:val="both"/>
      </w:pPr>
      <w:r w:rsidRPr="00023B55">
        <w:t xml:space="preserve">Difficultés rencontrées dans la mise en œuvre de la </w:t>
      </w:r>
      <w:r w:rsidR="00C77817" w:rsidRPr="00023B55">
        <w:t>g</w:t>
      </w:r>
      <w:r w:rsidRPr="00023B55">
        <w:t>rande orientation C2:</w:t>
      </w:r>
    </w:p>
    <w:p w14:paraId="43663435" w14:textId="77777777" w:rsidR="0039632C" w:rsidRPr="00023B55" w:rsidRDefault="0039632C" w:rsidP="00C87007">
      <w:pPr>
        <w:pStyle w:val="enumlev1"/>
        <w:jc w:val="both"/>
      </w:pPr>
      <w:r w:rsidRPr="00023B55">
        <w:t>–</w:t>
      </w:r>
      <w:r w:rsidRPr="00023B55">
        <w:tab/>
        <w:t>Contraintes liées aux ressources et au financement: le développement et l'entretien d'infrastructures de l'information et de la communication nécessitent des ressources et des investissements financiers considérables. Il peut être très difficile d'obtenir un financement adéquat et pérenne dans le cadre de ces initiatives.</w:t>
      </w:r>
    </w:p>
    <w:p w14:paraId="42EDA5F4" w14:textId="77777777" w:rsidR="0039632C" w:rsidRPr="00023B55" w:rsidRDefault="0039632C" w:rsidP="00C87007">
      <w:pPr>
        <w:pStyle w:val="enumlev1"/>
        <w:jc w:val="both"/>
      </w:pPr>
      <w:r w:rsidRPr="00023B55">
        <w:t>–</w:t>
      </w:r>
      <w:r w:rsidRPr="00023B55">
        <w:tab/>
        <w:t>Données: il est primordial de s'assurer que les parties prenantes ont accès à des données pertinentes et actualisées pour prendre des décisions éclairées et assurer une planification efficace. Toutefois, les disparités en matière de disponibilité et de qualité des données peuvent entraver les efforts visant à développer et à entretenir des infrastructures TIC robustes.</w:t>
      </w:r>
    </w:p>
    <w:p w14:paraId="32044D2B" w14:textId="77777777" w:rsidR="0039632C" w:rsidRPr="00023B55" w:rsidRDefault="0039632C" w:rsidP="00C87007">
      <w:pPr>
        <w:pStyle w:val="enumlev1"/>
        <w:jc w:val="both"/>
      </w:pPr>
      <w:r w:rsidRPr="00023B55">
        <w:t>–</w:t>
      </w:r>
      <w:r w:rsidRPr="00023B55">
        <w:tab/>
        <w:t>Coordination et collaboration: il est difficile de mobiliser efficacement un ensemble divers de parties prenantes, notamment des entités gouvernementales, des acteurs du secteur privé et la société civile, car leurs priorités et leurs intérêts diffèrent.</w:t>
      </w:r>
    </w:p>
    <w:p w14:paraId="6A11480E" w14:textId="77777777" w:rsidR="0039632C" w:rsidRPr="00023B55" w:rsidRDefault="0039632C" w:rsidP="00C87007">
      <w:pPr>
        <w:pStyle w:val="enumlev1"/>
        <w:jc w:val="both"/>
      </w:pPr>
      <w:r w:rsidRPr="00023B55">
        <w:t>–</w:t>
      </w:r>
      <w:r w:rsidRPr="00023B55">
        <w:tab/>
        <w:t>Fracture numérique: l'un des principaux objectifs de cette grande orientation est d'améliorer l'accès à l'infrastructure de l'information et de la communication. Toutefois, la fracture numérique actuelle demeure un obstacle important.</w:t>
      </w:r>
    </w:p>
    <w:p w14:paraId="34062E55" w14:textId="77777777" w:rsidR="0039632C" w:rsidRPr="00023B55" w:rsidRDefault="0039632C" w:rsidP="0039632C">
      <w:pPr>
        <w:pStyle w:val="enumlev1"/>
      </w:pPr>
      <w:r w:rsidRPr="00023B55">
        <w:lastRenderedPageBreak/>
        <w:t>–</w:t>
      </w:r>
      <w:r w:rsidRPr="00023B55">
        <w:tab/>
        <w:t>Durabilité: garantir la viabilité à long terme des initiatives relatives à l'infrastructure de l'information et de la communication représente un défi de taille. Il est nécessaire d'assurer un soutien, un suivi et un renforcement des capacités constants pour que l'infrastructure conserve sa pertinence et son efficacité.</w:t>
      </w:r>
    </w:p>
    <w:p w14:paraId="6C2C4646" w14:textId="77777777" w:rsidR="0039632C" w:rsidRPr="00023B55" w:rsidRDefault="0039632C" w:rsidP="00C87007">
      <w:pPr>
        <w:pStyle w:val="enumlev1"/>
        <w:jc w:val="both"/>
      </w:pPr>
      <w:r w:rsidRPr="00023B55">
        <w:t>–</w:t>
      </w:r>
      <w:r w:rsidRPr="00023B55">
        <w:tab/>
        <w:t>Préoccupations en matière de confidentialité et de sécurité: l'expansion de l'infrastructure de l'information et de la communication soulève des questions importantes liées à la confidentialité et à la sécurité des données. Il est indispensable d'appliquer des mesures garantissant une utilisation responsable et éthique de ces technologies.</w:t>
      </w:r>
    </w:p>
    <w:p w14:paraId="7990CBA2" w14:textId="77777777" w:rsidR="0039632C" w:rsidRPr="00023B55" w:rsidRDefault="0039632C" w:rsidP="00C87007">
      <w:pPr>
        <w:pStyle w:val="Heading2"/>
        <w:jc w:val="both"/>
        <w:rPr>
          <w:color w:val="0F4761"/>
        </w:rPr>
      </w:pPr>
      <w:hyperlink r:id="rId228" w:history="1">
        <w:r w:rsidRPr="00023B55">
          <w:rPr>
            <w:rStyle w:val="Hyperlink"/>
            <w:rFonts w:eastAsia="Times New Roman" w:cs="Times New Roman"/>
            <w:color w:val="0F4761"/>
            <w:szCs w:val="20"/>
          </w:rPr>
          <w:t>C4 – Renforcement des capacités</w:t>
        </w:r>
      </w:hyperlink>
    </w:p>
    <w:p w14:paraId="42E10EBF" w14:textId="77777777" w:rsidR="0039632C" w:rsidRPr="00023B55" w:rsidRDefault="0039632C" w:rsidP="00C87007">
      <w:pPr>
        <w:jc w:val="both"/>
      </w:pPr>
      <w:r w:rsidRPr="00023B55">
        <w:t>Il est primordial de doter les personnes et les institutions des capacités à utiliser efficacement les TIC pour promouvoir la maîtrise des outils numériques et le perfectionnement des compétences.</w:t>
      </w:r>
    </w:p>
    <w:p w14:paraId="4EFF89D5" w14:textId="77777777" w:rsidR="0039632C" w:rsidRPr="00023B55" w:rsidRDefault="0039632C" w:rsidP="00C87007">
      <w:pPr>
        <w:jc w:val="both"/>
      </w:pPr>
      <w:r w:rsidRPr="00023B55">
        <w:t>En sa qualité de coordonnateur principal pour la grande orientation C4, l'UIT a mis en œuvre divers programmes, notamment les suivants:</w:t>
      </w:r>
    </w:p>
    <w:p w14:paraId="3C577F0E" w14:textId="542D4AC1" w:rsidR="0039632C" w:rsidRPr="00023B55" w:rsidRDefault="0039632C" w:rsidP="00C87007">
      <w:pPr>
        <w:pStyle w:val="enumlev1"/>
        <w:jc w:val="both"/>
      </w:pPr>
      <w:r w:rsidRPr="00023B55">
        <w:t>–</w:t>
      </w:r>
      <w:r w:rsidRPr="00023B55">
        <w:tab/>
      </w:r>
      <w:r w:rsidRPr="00023B55">
        <w:rPr>
          <w:b/>
          <w:bCs/>
        </w:rPr>
        <w:t>Académie de l'UIT</w:t>
      </w:r>
      <w:r w:rsidRPr="00023B55">
        <w:t xml:space="preserve">: principale plate-forme de l'UIT pour le renforcement des capacités et la formation dans le domaine des TIC. Elle propose un large choix de cours, d'ateliers et de programmes de formation destinés à renforcer les compétences et les connaissances des professionnels des TIC, des décideurs et d'autres parties prenantes. </w:t>
      </w:r>
      <w:r w:rsidRPr="00023B55">
        <w:rPr>
          <w:u w:val="single"/>
        </w:rPr>
        <w:t>Fin 2024</w:t>
      </w:r>
      <w:r w:rsidRPr="00023B55">
        <w:t xml:space="preserve">, </w:t>
      </w:r>
      <w:r w:rsidRPr="00023B55">
        <w:rPr>
          <w:u w:val="single"/>
        </w:rPr>
        <w:t>plus de 62 000 utilisateurs</w:t>
      </w:r>
      <w:r w:rsidRPr="00023B55">
        <w:t xml:space="preserve"> issus de tous les États Membres</w:t>
      </w:r>
      <w:r w:rsidR="00C77817" w:rsidRPr="00023B55">
        <w:t xml:space="preserve"> </w:t>
      </w:r>
      <w:hyperlink r:id="rId229" w:history="1">
        <w:r w:rsidRPr="00023B55">
          <w:rPr>
            <w:rStyle w:val="Hyperlink"/>
            <w:rFonts w:eastAsia="Times New Roman" w:cs="Times New Roman"/>
            <w:szCs w:val="20"/>
          </w:rPr>
          <w:t>[3]</w:t>
        </w:r>
      </w:hyperlink>
      <w:r w:rsidRPr="00023B55">
        <w:t xml:space="preserve"> étaient inscrits sur la plate-forme.</w:t>
      </w:r>
    </w:p>
    <w:p w14:paraId="03B20B4A" w14:textId="77777777" w:rsidR="0039632C" w:rsidRPr="00023B55" w:rsidRDefault="0039632C" w:rsidP="00C87007">
      <w:pPr>
        <w:pStyle w:val="enumlev1"/>
        <w:jc w:val="both"/>
      </w:pPr>
      <w:r w:rsidRPr="00023B55">
        <w:t>–</w:t>
      </w:r>
      <w:r w:rsidRPr="00023B55">
        <w:tab/>
      </w:r>
      <w:r w:rsidRPr="00023B55">
        <w:rPr>
          <w:b/>
          <w:bCs/>
        </w:rPr>
        <w:t>Programmes de formation spécialisés</w:t>
      </w:r>
      <w:r w:rsidRPr="00023B55">
        <w:t>: programmes proposés par l'UIT portant sur des thèmes tels que la gestion du spectre, la cybersécurité, la qualité de service et les compétences numériques. Ceux-ci sont conçus pour répondre aux besoins particuliers des différents groupes cibles et veiller à ce que ces derniers disposent des compétences nécessaires pour prospérer dans l'économie numérique. Le Bureau des radiocommunications de l'UIT (BR) organise tous les deux ans des séminaires mondiaux sur la gestion du spectre ainsi que des séminaires régionaux visant à répondre aux besoins particuliers des pays en développement. L'un des objectifs du BR est d'organiser des séminaires régionaux, afin de tenir compte de manière équitable de toutes les régions de l'UIT.</w:t>
      </w:r>
    </w:p>
    <w:p w14:paraId="6067C922" w14:textId="77777777" w:rsidR="0039632C" w:rsidRPr="00023B55" w:rsidRDefault="0039632C" w:rsidP="00C87007">
      <w:pPr>
        <w:pStyle w:val="enumlev1"/>
        <w:jc w:val="both"/>
      </w:pPr>
      <w:r w:rsidRPr="00023B55">
        <w:t>–</w:t>
      </w:r>
      <w:r w:rsidRPr="00023B55">
        <w:tab/>
      </w:r>
      <w:r w:rsidRPr="00023B55">
        <w:rPr>
          <w:b/>
          <w:bCs/>
        </w:rPr>
        <w:t>Centres de formation de l'Académie de l'UIT</w:t>
      </w:r>
      <w:r w:rsidRPr="00023B55">
        <w:t>: centres établis dans différentes régions pour assurer une formation de qualité et des services de renforcement des capacités. Ils collaborent avec des institutions locales et des experts dans le but de dispenser des programmes de formation adaptés au contexte régional.</w:t>
      </w:r>
    </w:p>
    <w:p w14:paraId="089C007C" w14:textId="6899A1BB" w:rsidR="0039632C" w:rsidRPr="00023B55" w:rsidRDefault="0039632C" w:rsidP="00C87007">
      <w:pPr>
        <w:pStyle w:val="enumlev1"/>
        <w:jc w:val="both"/>
      </w:pPr>
      <w:r w:rsidRPr="00023B55">
        <w:t>–</w:t>
      </w:r>
      <w:r w:rsidRPr="00023B55">
        <w:tab/>
      </w:r>
      <w:hyperlink r:id="rId230" w:anchor="/fr" w:history="1">
        <w:r w:rsidRPr="00023B55">
          <w:rPr>
            <w:rStyle w:val="Hyperlink"/>
            <w:rFonts w:eastAsia="Times New Roman" w:cs="Times New Roman"/>
            <w:b/>
            <w:bCs/>
            <w:szCs w:val="20"/>
          </w:rPr>
          <w:t>Initiative sur les centres de transformation numérique</w:t>
        </w:r>
      </w:hyperlink>
      <w:r w:rsidRPr="00023B55">
        <w:t>: lancée en 2019 sous la forme d'un partenariat entre l'UIT et Cisco. L'objectif de cette initiative est de dispenser une formation aux compétences numériques élémentaires et intermédiaires aux communautés mal desservies dans lesquelles les centres de transformation numérique exercent leurs activités. Jusqu'en 2024, l'initiative avait permis de créer 14 centres dans différents pays et régions et de former des milliers de participants</w:t>
      </w:r>
      <w:r w:rsidR="00C77817" w:rsidRPr="00023B55">
        <w:t xml:space="preserve"> </w:t>
      </w:r>
      <w:hyperlink r:id="rId231" w:history="1">
        <w:r w:rsidRPr="00023B55">
          <w:rPr>
            <w:rStyle w:val="Hyperlink"/>
            <w:rFonts w:eastAsia="Times New Roman" w:cs="Times New Roman"/>
            <w:szCs w:val="20"/>
          </w:rPr>
          <w:t>[4]</w:t>
        </w:r>
      </w:hyperlink>
      <w:r w:rsidRPr="00023B55">
        <w:t>. Plus de 390 000 participants, dont 54% de femmes, ont suivi une formation depuis le lancement de l'initiative.</w:t>
      </w:r>
    </w:p>
    <w:p w14:paraId="63CB546F" w14:textId="77777777" w:rsidR="0039632C" w:rsidRPr="00023B55" w:rsidRDefault="0039632C" w:rsidP="00C87007">
      <w:pPr>
        <w:pStyle w:val="enumlev1"/>
        <w:jc w:val="both"/>
      </w:pPr>
      <w:r w:rsidRPr="00023B55">
        <w:t>–</w:t>
      </w:r>
      <w:r w:rsidRPr="00023B55">
        <w:tab/>
      </w:r>
      <w:hyperlink r:id="rId232" w:anchor="/fr" w:history="1">
        <w:r w:rsidRPr="00023B55">
          <w:rPr>
            <w:rStyle w:val="Hyperlink"/>
            <w:rFonts w:eastAsia="Times New Roman" w:cs="Times New Roman"/>
            <w:b/>
            <w:bCs/>
            <w:szCs w:val="20"/>
          </w:rPr>
          <w:t>Coalition pour les compétences en matière d'IA</w:t>
        </w:r>
      </w:hyperlink>
      <w:r w:rsidRPr="00023B55">
        <w:t xml:space="preserve">: menée sous l'impulsion de l'Initiative "L'IA au service du bien social pour produire des effets" de l'UIT dans l'objectif qu'elle </w:t>
      </w:r>
      <w:r w:rsidRPr="00023B55">
        <w:lastRenderedPageBreak/>
        <w:t>devienne la principale plate-forme mondiale, ouverte, fiable et inclusive des Nations Unies pour l'enseignement de l'IA et le renforcement des capacités en la matière.</w:t>
      </w:r>
    </w:p>
    <w:p w14:paraId="0A7319CB" w14:textId="4369D4ED" w:rsidR="0039632C" w:rsidRPr="00023B55" w:rsidRDefault="0039632C" w:rsidP="00C87007">
      <w:pPr>
        <w:pStyle w:val="Headingb"/>
        <w:jc w:val="both"/>
      </w:pPr>
      <w:r w:rsidRPr="00023B55">
        <w:t xml:space="preserve">Difficultés rencontrées dans la mise en œuvre de la </w:t>
      </w:r>
      <w:r w:rsidR="00F30744" w:rsidRPr="00023B55">
        <w:t>g</w:t>
      </w:r>
      <w:r w:rsidRPr="00023B55">
        <w:t>rande orientation C4:</w:t>
      </w:r>
    </w:p>
    <w:p w14:paraId="7CB130B2" w14:textId="77777777" w:rsidR="0039632C" w:rsidRPr="00023B55" w:rsidRDefault="0039632C" w:rsidP="00C87007">
      <w:pPr>
        <w:pStyle w:val="enumlev1"/>
        <w:jc w:val="both"/>
      </w:pPr>
      <w:r w:rsidRPr="00023B55">
        <w:t>–</w:t>
      </w:r>
      <w:r w:rsidRPr="00023B55">
        <w:tab/>
        <w:t>Ressources limitées: l'insuffisance de l'infrastructure des TIC (accès à la connectivité, dispositifs) peut entraver l'efficacité des initiatives de renforcement des capacités. Le manque de fonds suffisants pour mener à bien des programmes complets de renforcement des capacités compromet la pérennité et l'évolutivité de telles initiatives.</w:t>
      </w:r>
    </w:p>
    <w:p w14:paraId="34A62675" w14:textId="77777777" w:rsidR="0039632C" w:rsidRPr="00023B55" w:rsidRDefault="0039632C" w:rsidP="00C87007">
      <w:pPr>
        <w:pStyle w:val="enumlev1"/>
        <w:jc w:val="both"/>
      </w:pPr>
      <w:r w:rsidRPr="00023B55">
        <w:t>–</w:t>
      </w:r>
      <w:r w:rsidRPr="00023B55">
        <w:tab/>
        <w:t>Persistance de la fracture numérique et du déficit de compétences numériques: les inégalités d'accès aux technologies numériques, en particulier dans les zones difficiles d'accès, accentuent le déficit de compétences numériques au sein des communautés mal desservies, qui risquent d'être encore plus marginalisées.</w:t>
      </w:r>
    </w:p>
    <w:p w14:paraId="651E31D7" w14:textId="77777777" w:rsidR="0039632C" w:rsidRPr="00023B55" w:rsidRDefault="0039632C" w:rsidP="00C87007">
      <w:pPr>
        <w:pStyle w:val="enumlev1"/>
        <w:jc w:val="both"/>
      </w:pPr>
      <w:r w:rsidRPr="00023B55">
        <w:t>–</w:t>
      </w:r>
      <w:r w:rsidRPr="00023B55">
        <w:tab/>
        <w:t>Politique et réglementation: le manque de coordination et d'harmonisation des politiques au niveau national pourrait donner lieu à des incohérences dans la mise en œuvre des programmes de renforcement des capacités à l'échelle mondiale.</w:t>
      </w:r>
    </w:p>
    <w:p w14:paraId="526AEF0E" w14:textId="77777777" w:rsidR="0039632C" w:rsidRPr="00023B55" w:rsidRDefault="0039632C" w:rsidP="00C87007">
      <w:pPr>
        <w:pStyle w:val="enumlev1"/>
        <w:jc w:val="both"/>
      </w:pPr>
      <w:r w:rsidRPr="00023B55">
        <w:t>–</w:t>
      </w:r>
      <w:r w:rsidRPr="00023B55">
        <w:tab/>
        <w:t>Capacité d'adaptation à un environnement technologique en mutation rapide: les activités de renforcement des capacités peuvent être dépassées si celles-ci ne suivent pas le rythme soutenu des dernières évolutions technologiques. Il est donc primordial de s'adapter constamment aux technologies émergentes et à l'évolution des besoins.</w:t>
      </w:r>
    </w:p>
    <w:p w14:paraId="6B61BFC7" w14:textId="77777777" w:rsidR="0039632C" w:rsidRPr="00023B55" w:rsidRDefault="0039632C" w:rsidP="00C87007">
      <w:pPr>
        <w:pStyle w:val="enumlev1"/>
        <w:jc w:val="both"/>
      </w:pPr>
      <w:r w:rsidRPr="00023B55">
        <w:t>–</w:t>
      </w:r>
      <w:r w:rsidRPr="00023B55">
        <w:tab/>
        <w:t>Suivi et évaluation: absence de systèmes normalisés de suivi et d'évaluation permettant de mesurer avec précision les retombées des programmes de renforcement des capacités, en particulier les avantages à long terme des actions de renforcement des capacités visant à favoriser le développement socio-économique et l'autonomisation des citoyens.</w:t>
      </w:r>
    </w:p>
    <w:p w14:paraId="20073160" w14:textId="77777777" w:rsidR="0039632C" w:rsidRPr="00023B55" w:rsidRDefault="0039632C" w:rsidP="00C87007">
      <w:pPr>
        <w:pStyle w:val="Heading2"/>
        <w:jc w:val="both"/>
        <w:rPr>
          <w:color w:val="0F4761"/>
        </w:rPr>
      </w:pPr>
      <w:hyperlink r:id="rId233" w:history="1">
        <w:r w:rsidRPr="00023B55">
          <w:rPr>
            <w:rStyle w:val="Hyperlink"/>
            <w:rFonts w:eastAsia="Times New Roman" w:cs="Times New Roman"/>
            <w:color w:val="0F4761"/>
            <w:szCs w:val="20"/>
          </w:rPr>
          <w:t>C5 – Établir la confiance et la sécurité dans l'utilisation des TIC</w:t>
        </w:r>
      </w:hyperlink>
    </w:p>
    <w:p w14:paraId="4EFE01EC" w14:textId="77777777" w:rsidR="0039632C" w:rsidRPr="00023B55" w:rsidRDefault="0039632C" w:rsidP="00C87007">
      <w:pPr>
        <w:jc w:val="both"/>
      </w:pPr>
      <w:r w:rsidRPr="00023B55">
        <w:t>Il est primordial de garantir la sécurité et la fiabilité pour instaurer un climat de confiance dans l'utilisation des technologies numériques. En sa qualité de coordonnateur principal pour la grande orientation C5, l'UIT a mis en œuvre ce qui suit:</w:t>
      </w:r>
    </w:p>
    <w:p w14:paraId="019C909B" w14:textId="77777777" w:rsidR="0039632C" w:rsidRPr="00023B55" w:rsidRDefault="0039632C" w:rsidP="00C87007">
      <w:pPr>
        <w:pStyle w:val="enumlev1"/>
        <w:jc w:val="both"/>
      </w:pPr>
      <w:r w:rsidRPr="00023B55">
        <w:t>–</w:t>
      </w:r>
      <w:r w:rsidRPr="00023B55">
        <w:rPr>
          <w:b/>
          <w:bCs/>
        </w:rPr>
        <w:tab/>
        <w:t>Programme mondial cybersécurité (GCA)</w:t>
      </w:r>
      <w:r w:rsidRPr="00023B55">
        <w:t>: cadre destiné à promouvoir la cybersécurité et à instaurer un climat de confiance dans l'utilisation des TIC. Il répond aux défis grandissants de la cybersécurité et vise à instaurer un climat de confiance dans l'utilisation des technologies numériques. Le Programme a également été revu en 2022, et la Conférence de plénipotentiaires de l'UIT a pris note des lignes directrices relatives à son utilisation. L'UIT élabore des normes internationales en matière de cybersécurité, promeut des stratégies nationales de cybersécurité et appuie les initiatives visant à protéger les enfants en ligne.</w:t>
      </w:r>
    </w:p>
    <w:p w14:paraId="6E6443ED" w14:textId="77777777" w:rsidR="0039632C" w:rsidRPr="00023B55" w:rsidRDefault="0039632C" w:rsidP="00C87007">
      <w:pPr>
        <w:pStyle w:val="enumlev1"/>
        <w:jc w:val="both"/>
      </w:pPr>
      <w:r w:rsidRPr="00023B55">
        <w:t>–</w:t>
      </w:r>
      <w:r w:rsidRPr="00023B55">
        <w:rPr>
          <w:b/>
          <w:bCs/>
        </w:rPr>
        <w:tab/>
        <w:t>Protection en ligne des enfants</w:t>
      </w:r>
      <w:r w:rsidRPr="00023B55">
        <w:t xml:space="preserve">: initiative visant à protéger les enfants contre les risques en ligne et à promouvoir une utilisation sûre et responsable de l'Internet. Elle englobe des lignes directrices, des programmes de formation et des campagnes de sensibilisation visant à former les enfants, les parents et les éducateurs à la sécurité en ligne. Conformément à l'accord signé avec le Royaume d'Arabie saoudite, l'UIT met en œuvre le projet "Créer un cyberenvironnement sûr et de nature à autonomiser les enfants", dans le cadre duquel un certain nombre de cours de formation en ligne adaptés au rythme de chacun sont dispensés à toutes les parties prenantes concernées, par l'intermédiaire de l'Académie de l'UIT. Il était prévu que l'UIT présente, à la mi-2023, </w:t>
      </w:r>
      <w:r w:rsidRPr="00023B55">
        <w:lastRenderedPageBreak/>
        <w:t>deux solutions interactives – une application web et un jeu en ligne – destinées à donner les moyens aux enfants et aux jeunes de devenir des citoyens responsables de la société du numérique.</w:t>
      </w:r>
    </w:p>
    <w:p w14:paraId="178ECF17" w14:textId="77777777" w:rsidR="0039632C" w:rsidRPr="00023B55" w:rsidRDefault="0039632C" w:rsidP="00C87007">
      <w:pPr>
        <w:pStyle w:val="enumlev1"/>
        <w:jc w:val="both"/>
      </w:pPr>
      <w:r w:rsidRPr="00023B55">
        <w:t>–</w:t>
      </w:r>
      <w:r w:rsidRPr="00023B55">
        <w:rPr>
          <w:b/>
          <w:bCs/>
        </w:rPr>
        <w:tab/>
        <w:t>Mesures juridiques</w:t>
      </w:r>
      <w:r w:rsidRPr="00023B55">
        <w:t xml:space="preserve">: mises en œuvre par l'intermédiaire du Secteur du développement des télécommunications (UIT-D) pour aider les États Membres de l'UIT à comprendre les aspects juridiques de la cybersécurité. Dans le cadre de la priorité 5 de l'UIT-D définie dans le Plan d'action de Kigali, et compte tenu de la Question 3/2 de l'UIT-D, une assistance relative aux aspects juridiques de la cybersécurité est fournie au moyen des </w:t>
      </w:r>
      <w:hyperlink r:id="rId234" w:history="1">
        <w:r w:rsidRPr="00023B55">
          <w:rPr>
            <w:rStyle w:val="Hyperlink"/>
            <w:rFonts w:eastAsia="Times New Roman" w:cs="Times New Roman"/>
            <w:szCs w:val="20"/>
          </w:rPr>
          <w:t>ressources de l'UIT en matière de législation sur la cybercriminalité</w:t>
        </w:r>
      </w:hyperlink>
      <w:r w:rsidRPr="00023B55">
        <w:t>. L'UIT collabore étroitement avec des partenaires tels que l'Office des Nations Unies contre la drogue et le crime (ONUDC).</w:t>
      </w:r>
    </w:p>
    <w:p w14:paraId="5CAB6B43" w14:textId="77777777" w:rsidR="0039632C" w:rsidRPr="00023B55" w:rsidRDefault="0039632C" w:rsidP="00C87007">
      <w:pPr>
        <w:pStyle w:val="Headingb"/>
        <w:jc w:val="both"/>
      </w:pPr>
      <w:r w:rsidRPr="00023B55">
        <w:t>Mesures techniques et de procédure</w:t>
      </w:r>
    </w:p>
    <w:p w14:paraId="373ED53D" w14:textId="77777777" w:rsidR="0039632C" w:rsidRPr="00023B55" w:rsidRDefault="0039632C" w:rsidP="00C87007">
      <w:pPr>
        <w:pStyle w:val="enumlev1"/>
        <w:jc w:val="both"/>
      </w:pPr>
      <w:r w:rsidRPr="00023B55">
        <w:t>–</w:t>
      </w:r>
      <w:r w:rsidRPr="00023B55">
        <w:tab/>
        <w:t xml:space="preserve">Les </w:t>
      </w:r>
      <w:hyperlink r:id="rId235" w:history="1">
        <w:r w:rsidRPr="00023B55">
          <w:rPr>
            <w:rStyle w:val="Hyperlink"/>
            <w:rFonts w:eastAsia="Times New Roman" w:cs="Times New Roman"/>
            <w:szCs w:val="20"/>
          </w:rPr>
          <w:t>Commissions d'études</w:t>
        </w:r>
      </w:hyperlink>
      <w:r w:rsidRPr="00023B55">
        <w:t xml:space="preserve"> 5, 11, 13, 16, 17 et 20 de l'UIT-T s'attachent à élaborer des normes de sécurité (voir le </w:t>
      </w:r>
      <w:hyperlink r:id="rId236" w:history="1">
        <w:r w:rsidRPr="00023B55">
          <w:rPr>
            <w:rStyle w:val="Hyperlink"/>
            <w:rFonts w:eastAsia="Times New Roman" w:cs="Times New Roman"/>
            <w:szCs w:val="20"/>
          </w:rPr>
          <w:t>catalogue des Recommandations UIT-T</w:t>
        </w:r>
      </w:hyperlink>
      <w:r w:rsidRPr="00023B55">
        <w:t>) sur des sujets très divers, de l'économie circulaire à l'informatique en nuage, en passant par la confiance à l'égard des technologies, la sécurité électromagnétique, les réseaux de distribution de clés quantiques, les procédures et protocoles de signalisation et des applications spécifiques comme les normes JPEG 2000 et oneM2M.</w:t>
      </w:r>
    </w:p>
    <w:p w14:paraId="00874E38" w14:textId="77777777" w:rsidR="0039632C" w:rsidRPr="00023B55" w:rsidRDefault="0039632C" w:rsidP="00C87007">
      <w:pPr>
        <w:pStyle w:val="enumlev1"/>
        <w:jc w:val="both"/>
      </w:pPr>
      <w:r w:rsidRPr="00023B55">
        <w:t>–</w:t>
      </w:r>
      <w:r w:rsidRPr="00023B55">
        <w:tab/>
        <w:t xml:space="preserve">Plusieurs groupes spécialisés de l'UIT-T (dont la liste est disponible sur </w:t>
      </w:r>
      <w:hyperlink r:id="rId237" w:history="1">
        <w:r w:rsidRPr="00023B55">
          <w:rPr>
            <w:rStyle w:val="Hyperlink"/>
            <w:rFonts w:eastAsia="Times New Roman" w:cs="Times New Roman"/>
            <w:szCs w:val="20"/>
          </w:rPr>
          <w:t>cette page</w:t>
        </w:r>
      </w:hyperlink>
      <w:r w:rsidRPr="00023B55">
        <w:t>) étudient actuellement les aspects liés à la confiance pour diverses technologies émergentes.</w:t>
      </w:r>
    </w:p>
    <w:p w14:paraId="61D071A4" w14:textId="77777777" w:rsidR="0039632C" w:rsidRPr="00023B55" w:rsidRDefault="0039632C" w:rsidP="00C87007">
      <w:pPr>
        <w:pStyle w:val="enumlev1"/>
        <w:jc w:val="both"/>
      </w:pPr>
      <w:r w:rsidRPr="00023B55">
        <w:t>–</w:t>
      </w:r>
      <w:r w:rsidRPr="00023B55">
        <w:tab/>
        <w:t xml:space="preserve">Le Secteur des radiocommunications de l'UIT (UIT-R) a défini des principes de sécurité précis pour les réseaux IMT (3G, 4G et 5G). Il a également publié des Recommandations sur les questions de sécurité relatives à l'architecture de gestion des réseaux pour les systèmes numériques à satellites et sur l'amélioration de la qualité de fonctionnement du protocole de commande de transmission sur les réseaux à satellite (voir </w:t>
      </w:r>
      <w:hyperlink r:id="rId238" w:history="1">
        <w:r w:rsidRPr="00023B55">
          <w:rPr>
            <w:rStyle w:val="Hyperlink"/>
            <w:rFonts w:eastAsia="Times New Roman" w:cs="Times New Roman"/>
            <w:szCs w:val="20"/>
          </w:rPr>
          <w:t>ici</w:t>
        </w:r>
      </w:hyperlink>
      <w:r w:rsidRPr="00023B55">
        <w:t xml:space="preserve">). Des informations relatives aux technologies mobiles futuristes prévues pour les "IMT à l'horizon 2020 et au-delà" sont disponibles </w:t>
      </w:r>
      <w:hyperlink r:id="rId239" w:history="1">
        <w:r w:rsidRPr="00023B55">
          <w:rPr>
            <w:rStyle w:val="Hyperlink"/>
            <w:rFonts w:eastAsia="Times New Roman" w:cs="Times New Roman"/>
            <w:szCs w:val="20"/>
          </w:rPr>
          <w:t>ici</w:t>
        </w:r>
      </w:hyperlink>
      <w:r w:rsidRPr="00023B55">
        <w:t>.</w:t>
      </w:r>
    </w:p>
    <w:p w14:paraId="14A47C5F" w14:textId="77777777" w:rsidR="0039632C" w:rsidRPr="00023B55" w:rsidRDefault="0039632C" w:rsidP="00C87007">
      <w:pPr>
        <w:pStyle w:val="Headingb"/>
        <w:jc w:val="both"/>
      </w:pPr>
      <w:r w:rsidRPr="00023B55">
        <w:t>État de préparation des institutions</w:t>
      </w:r>
    </w:p>
    <w:p w14:paraId="0543F4A6" w14:textId="77777777" w:rsidR="0039632C" w:rsidRPr="00023B55" w:rsidRDefault="0039632C" w:rsidP="00C87007">
      <w:pPr>
        <w:pStyle w:val="enumlev1"/>
        <w:jc w:val="both"/>
      </w:pPr>
      <w:r w:rsidRPr="00023B55">
        <w:t>–</w:t>
      </w:r>
      <w:r w:rsidRPr="00023B55">
        <w:tab/>
        <w:t>Depuis 2012, l'UIT collabore avec des États Membres, des partenaires et des organisations mondiales en vue de renforcer la cybersécurité, moyennant la création d'équipes d'intervention en cas d'incident informatique (CIRT) aux niveaux national et régional. De plus, l'UIT mène des évaluations du niveau de maturité des équipes CIRT afin d'améliorer encore les capacités de ces équipes. Jusqu'à présent, l'UIT a fourni une assistance à 84 pays, dans le cadre de l'évaluation de leur état de préparation en matière de cybersécurité, en vue de créer des équipes nationales CIRT ou d'améliorer les équipes existantes. L'UIT a mis en œuvre 21 projets ayant trait aux équipes CIRT et travaille actuellement sur trois autres projets.</w:t>
      </w:r>
    </w:p>
    <w:p w14:paraId="1B0D3742" w14:textId="77777777" w:rsidR="0039632C" w:rsidRPr="00023B55" w:rsidRDefault="0039632C" w:rsidP="00C87007">
      <w:pPr>
        <w:pStyle w:val="enumlev1"/>
        <w:jc w:val="both"/>
      </w:pPr>
      <w:r w:rsidRPr="00023B55">
        <w:t>–</w:t>
      </w:r>
      <w:r w:rsidRPr="00023B55">
        <w:tab/>
        <w:t>L'UIT continue de collaborer activement avec le Forum pour les équipes d'intervention en cas d'incident (FIRST), en vue de renforcer le cadre de services des équipes de réponse aux incidents de sécurité informatique (CSIRT) et de réviser des supports de formation pour le renforcement des capacités dans la gestion des interventions des équipes CIRT nationales.</w:t>
      </w:r>
    </w:p>
    <w:p w14:paraId="650DA63B" w14:textId="77777777" w:rsidR="0039632C" w:rsidRPr="00023B55" w:rsidRDefault="0039632C" w:rsidP="00C87007">
      <w:pPr>
        <w:pStyle w:val="enumlev1"/>
        <w:jc w:val="both"/>
      </w:pPr>
      <w:r w:rsidRPr="00023B55">
        <w:t>–</w:t>
      </w:r>
      <w:r w:rsidRPr="00023B55">
        <w:tab/>
        <w:t xml:space="preserve">Au mois de mai 2024, l'UIT avait organisé 42 </w:t>
      </w:r>
      <w:hyperlink r:id="rId240" w:history="1">
        <w:r w:rsidRPr="00023B55">
          <w:rPr>
            <w:rStyle w:val="Hyperlink"/>
            <w:rFonts w:eastAsia="Times New Roman" w:cs="Times New Roman"/>
            <w:szCs w:val="20"/>
          </w:rPr>
          <w:t>cyberexercices</w:t>
        </w:r>
      </w:hyperlink>
      <w:r w:rsidRPr="00023B55">
        <w:t xml:space="preserve"> internationaux, régionaux ou nationaux (y compris trois cyberexercices mondiaux), auxquels plus de 140 pays et 2 </w:t>
      </w:r>
      <w:r w:rsidRPr="00023B55">
        <w:lastRenderedPageBreak/>
        <w:t>500 professionnels des six régions de l'UIT ont pris part. Le tout premier cyberexercice mondial en présentiel s'est tenu en avril 2024, à l'aimable invitation du Conseil de la cybersécurité des Émirats arabes unis.</w:t>
      </w:r>
    </w:p>
    <w:p w14:paraId="57AF1BAB" w14:textId="77777777" w:rsidR="0039632C" w:rsidRPr="00023B55" w:rsidRDefault="0039632C" w:rsidP="00F52608">
      <w:pPr>
        <w:pStyle w:val="Headingb"/>
      </w:pPr>
      <w:r w:rsidRPr="00023B55">
        <w:t>Renforcement des capacités</w:t>
      </w:r>
    </w:p>
    <w:p w14:paraId="73C56116" w14:textId="77777777" w:rsidR="0039632C" w:rsidRPr="00023B55" w:rsidRDefault="0039632C" w:rsidP="00C87007">
      <w:pPr>
        <w:pStyle w:val="enumlev1"/>
        <w:jc w:val="both"/>
      </w:pPr>
      <w:r w:rsidRPr="00023B55">
        <w:t>–</w:t>
      </w:r>
      <w:r w:rsidRPr="00023B55">
        <w:tab/>
        <w:t>Des forums régionaux sur la cybersécurité ont été organisés à l'intention de toutes les régions de l'UIT à des fins de renforcement des capacités. Après la CMDT-22, les travaux relatifs à la Question 3/2 (</w:t>
      </w:r>
      <w:hyperlink r:id="rId241" w:history="1">
        <w:r w:rsidRPr="00023B55">
          <w:rPr>
            <w:rStyle w:val="Hyperlink"/>
            <w:rFonts w:eastAsia="Times New Roman" w:cs="Times New Roman"/>
            <w:szCs w:val="20"/>
          </w:rPr>
          <w:t>Sécurisation des réseaux d'information et de communication: bonnes pratiques pour créer une culture de la cybersécurité</w:t>
        </w:r>
      </w:hyperlink>
      <w:r w:rsidRPr="00023B55">
        <w:t>) se poursuivent.</w:t>
      </w:r>
    </w:p>
    <w:p w14:paraId="762A6D65" w14:textId="77777777" w:rsidR="0039632C" w:rsidRPr="00023B55" w:rsidRDefault="0039632C" w:rsidP="00C87007">
      <w:pPr>
        <w:pStyle w:val="enumlev1"/>
        <w:jc w:val="both"/>
      </w:pPr>
      <w:r w:rsidRPr="00023B55">
        <w:t>–</w:t>
      </w:r>
      <w:r w:rsidRPr="00023B55">
        <w:tab/>
        <w:t xml:space="preserve">L'UIT s'est appuyée sur la </w:t>
      </w:r>
      <w:hyperlink r:id="rId242" w:history="1">
        <w:r w:rsidRPr="00023B55">
          <w:rPr>
            <w:rStyle w:val="Hyperlink"/>
            <w:rFonts w:eastAsia="Times New Roman" w:cs="Times New Roman"/>
            <w:szCs w:val="20"/>
          </w:rPr>
          <w:t>deuxième édition du Guide sur l'élaboration d'une stratégie nationale en matière de cybersécurité</w:t>
        </w:r>
      </w:hyperlink>
      <w:r w:rsidRPr="00023B55">
        <w:t>, publiée en 2021 en collaboration avec 20 partenaires internationaux, et travaille actuellement avec plusieurs pays et territoires pour faire progresser les stratégies de ces derniers dans le domaine de la cybersécurité, moyennant des exercices de simulation en présentiel et l'évaluation des plans d'action en collaboration avec le Royaume-Uni. L'UIT, en concertation avec les parties prenantes, prévoit de lancer le processus de mise à jour de ce Guide en 2025.</w:t>
      </w:r>
    </w:p>
    <w:p w14:paraId="54B3A4D1" w14:textId="77777777" w:rsidR="0039632C" w:rsidRPr="00023B55" w:rsidRDefault="0039632C" w:rsidP="00C87007">
      <w:pPr>
        <w:pStyle w:val="enumlev1"/>
        <w:jc w:val="both"/>
      </w:pPr>
      <w:r w:rsidRPr="00023B55">
        <w:t>–</w:t>
      </w:r>
      <w:r w:rsidRPr="00023B55">
        <w:tab/>
        <w:t>Par l'intermédiaire de l'</w:t>
      </w:r>
      <w:hyperlink r:id="rId243" w:anchor="/fr" w:history="1">
        <w:r w:rsidRPr="00023B55">
          <w:rPr>
            <w:rStyle w:val="Hyperlink"/>
            <w:rFonts w:eastAsia="Times New Roman" w:cs="Times New Roman"/>
            <w:szCs w:val="20"/>
          </w:rPr>
          <w:t>Académie de l'UIT</w:t>
        </w:r>
      </w:hyperlink>
      <w:r w:rsidRPr="00023B55">
        <w:t>, des Centres d'excellence de l'UIT et des Centres de formation de l'Académie de l'UIT, l'Union continue de proposer des activités de formation et des ateliers dans divers domaines liés à la cybersécurité.</w:t>
      </w:r>
    </w:p>
    <w:p w14:paraId="0AC6B9C6" w14:textId="77777777" w:rsidR="0039632C" w:rsidRPr="00023B55" w:rsidRDefault="0039632C" w:rsidP="00C87007">
      <w:pPr>
        <w:pStyle w:val="enumlev1"/>
        <w:jc w:val="both"/>
      </w:pPr>
      <w:r w:rsidRPr="00023B55">
        <w:t>–</w:t>
      </w:r>
      <w:r w:rsidRPr="00023B55">
        <w:tab/>
        <w:t xml:space="preserve">Dans le cadre des efforts qu'elle déploie pour renforcer les compétences en matière de cybersécurité, l'UIT a mené à bien plusieurs éditions du </w:t>
      </w:r>
      <w:hyperlink r:id="rId244" w:history="1">
        <w:r w:rsidRPr="00023B55">
          <w:rPr>
            <w:rStyle w:val="Hyperlink"/>
            <w:rFonts w:eastAsia="Times New Roman" w:cs="Times New Roman"/>
            <w:szCs w:val="20"/>
          </w:rPr>
          <w:t>Programme de mentorat intitulé "Les femmes dans le secteur de la cybersécurité".</w:t>
        </w:r>
      </w:hyperlink>
    </w:p>
    <w:p w14:paraId="04D19E3A" w14:textId="77777777" w:rsidR="0039632C" w:rsidRPr="00023B55" w:rsidRDefault="0039632C" w:rsidP="00C87007">
      <w:pPr>
        <w:pStyle w:val="enumlev1"/>
        <w:jc w:val="both"/>
      </w:pPr>
      <w:r w:rsidRPr="00023B55">
        <w:t>–</w:t>
      </w:r>
      <w:r w:rsidRPr="00023B55">
        <w:tab/>
        <w:t>L'UIT coopère actuellement avec plusieurs pays dans le cadre du projet "</w:t>
      </w:r>
      <w:hyperlink r:id="rId245" w:history="1">
        <w:r w:rsidRPr="00023B55">
          <w:rPr>
            <w:rStyle w:val="Hyperlink"/>
            <w:rFonts w:eastAsia="Times New Roman" w:cs="Times New Roman"/>
            <w:szCs w:val="20"/>
          </w:rPr>
          <w:t>La cybersécurité au service du bien social</w:t>
        </w:r>
      </w:hyperlink>
      <w:r w:rsidRPr="00023B55">
        <w:t>", soutenu par la République de Corée, en vue d'assurer un accès gratuit à des outils, des formations et des services par l'intermédiaire de cinq Membres du Secteur de l'UIT-D, comprenant des évaluations sur les stratégies nationales de cybersécurité, des outils de suivi de la vulnérabilité dans le cyberespace et des formations aux compétences en matière de cybersécurité.</w:t>
      </w:r>
    </w:p>
    <w:p w14:paraId="78AFBA82" w14:textId="77777777" w:rsidR="0039632C" w:rsidRPr="00023B55" w:rsidRDefault="0039632C" w:rsidP="00C87007">
      <w:pPr>
        <w:pStyle w:val="enumlev1"/>
        <w:jc w:val="both"/>
      </w:pPr>
      <w:r w:rsidRPr="00023B55">
        <w:t>–</w:t>
      </w:r>
      <w:r w:rsidRPr="00023B55">
        <w:tab/>
        <w:t>L'UIT a coopéré avec l'Organisation des États américains (OEA) pour définir une approche systémique concernant l'éducation à la cybersécurité, et continue d'organiser des ateliers au niveau national et d'aider les pays à franchir de nouvelles étapes en utilisant le cadre.</w:t>
      </w:r>
    </w:p>
    <w:p w14:paraId="08930A36" w14:textId="77777777" w:rsidR="0039632C" w:rsidRPr="00023B55" w:rsidRDefault="0039632C" w:rsidP="00C87007">
      <w:pPr>
        <w:pStyle w:val="enumlev1"/>
        <w:jc w:val="both"/>
      </w:pPr>
      <w:r w:rsidRPr="00023B55">
        <w:t>–</w:t>
      </w:r>
      <w:r w:rsidRPr="00023B55">
        <w:tab/>
        <w:t>L'UIT a collaboré avec le Royaume de Suède, Microsoft et le Forum mondial sur la cyberexpertise (GFCE) concernant la création d'un recueil consacré à l'intégration de la cybersécurité dans le développement.</w:t>
      </w:r>
    </w:p>
    <w:p w14:paraId="0BFB6C33" w14:textId="77777777" w:rsidR="0039632C" w:rsidRPr="00023B55" w:rsidRDefault="0039632C" w:rsidP="00C87007">
      <w:pPr>
        <w:pStyle w:val="enumlev1"/>
        <w:jc w:val="both"/>
      </w:pPr>
      <w:r w:rsidRPr="00023B55">
        <w:t>–</w:t>
      </w:r>
      <w:r w:rsidRPr="00023B55">
        <w:tab/>
        <w:t>L'Indice mondial de cybersécurité (GCI) de l'UIT met en évidence et évalue les engagements des pays du monde entier en matière de cybersécurité. Le dernier rapport de l'Indice GCI met en avant les progrès importants accomplis dans le cadre des activités mondiales en matière de cybersécurité, qui s'expliquent par le renforcement des mesures juridiques, techniques et organisationnelles entrepris par de nombreux pays.</w:t>
      </w:r>
    </w:p>
    <w:p w14:paraId="477284F1" w14:textId="77777777" w:rsidR="0039632C" w:rsidRPr="00023B55" w:rsidRDefault="0039632C" w:rsidP="00C87007">
      <w:pPr>
        <w:pStyle w:val="Headingb"/>
        <w:jc w:val="both"/>
      </w:pPr>
      <w:r w:rsidRPr="00023B55">
        <w:t>Coopération internationale dans le domaine de la cybersécurité</w:t>
      </w:r>
    </w:p>
    <w:p w14:paraId="0F62F608" w14:textId="77777777" w:rsidR="0039632C" w:rsidRPr="00023B55" w:rsidRDefault="0039632C" w:rsidP="00C87007">
      <w:pPr>
        <w:pStyle w:val="enumlev1"/>
        <w:jc w:val="both"/>
      </w:pPr>
      <w:r w:rsidRPr="00023B55">
        <w:t>–</w:t>
      </w:r>
      <w:r w:rsidRPr="00023B55">
        <w:tab/>
        <w:t xml:space="preserve">L'UIT renforce ses relations et ses </w:t>
      </w:r>
      <w:hyperlink r:id="rId246" w:history="1">
        <w:r w:rsidRPr="00023B55">
          <w:rPr>
            <w:rStyle w:val="Hyperlink"/>
            <w:rFonts w:eastAsia="Times New Roman" w:cs="Times New Roman"/>
            <w:szCs w:val="20"/>
          </w:rPr>
          <w:t>partenariats</w:t>
        </w:r>
      </w:hyperlink>
      <w:r w:rsidRPr="00023B55">
        <w:t xml:space="preserve"> avec diverses organisations et initiatives régionales ou internationales, notamment l'OEA, l'Agence de l'Union européenne chargée de la sécurité des réseaux et de l'information (ENISA), INTERPOL, la Communauté économique des États de l'Afrique de l'Ouest (CEDEAO), la Banque mondiale, le Forum FIRST, le Forum GFCE et les associations régionales </w:t>
      </w:r>
      <w:r w:rsidRPr="00023B55">
        <w:lastRenderedPageBreak/>
        <w:t>d'équipes CSIRT/CERT, comme AP CERT, AFRICA CERT et OIC CERT, en vue d'éviter le chevauchement inutile d'activités et d'identifier les domaines dans lesquels une collaboration peut être instaurée.</w:t>
      </w:r>
    </w:p>
    <w:p w14:paraId="62855AA2" w14:textId="77777777" w:rsidR="0039632C" w:rsidRPr="00023B55" w:rsidRDefault="0039632C" w:rsidP="00C87007">
      <w:pPr>
        <w:pStyle w:val="enumlev1"/>
        <w:jc w:val="both"/>
      </w:pPr>
      <w:r w:rsidRPr="00023B55">
        <w:t>–</w:t>
      </w:r>
      <w:r w:rsidRPr="00023B55">
        <w:tab/>
        <w:t xml:space="preserve">Conformément à la </w:t>
      </w:r>
      <w:hyperlink r:id="rId247" w:history="1">
        <w:r w:rsidRPr="00023B55">
          <w:rPr>
            <w:rStyle w:val="Hyperlink"/>
            <w:rFonts w:eastAsia="Times New Roman" w:cs="Times New Roman"/>
            <w:szCs w:val="20"/>
          </w:rPr>
          <w:t>Décision 630</w:t>
        </w:r>
      </w:hyperlink>
      <w:r w:rsidRPr="00023B55">
        <w:t xml:space="preserve"> (session de 2023 du Conseil), l'UIT met actuellement en place des </w:t>
      </w:r>
      <w:hyperlink r:id="rId248" w:history="1">
        <w:r w:rsidRPr="00023B55">
          <w:rPr>
            <w:rStyle w:val="Hyperlink"/>
            <w:rFonts w:eastAsia="Times New Roman" w:cs="Times New Roman"/>
            <w:szCs w:val="20"/>
          </w:rPr>
          <w:t>sources d'information</w:t>
        </w:r>
      </w:hyperlink>
      <w:r w:rsidRPr="00023B55">
        <w:t xml:space="preserve"> visant à aider les États Membres à renforcer leurs capacités en matière de cybersécurité et de cyberrésilience, et a invité les États Membres ainsi que d'autres parties prenantes à contribuer à ces efforts en présentant des bonnes pratiques, des ressources et des informations dans ce domaine.</w:t>
      </w:r>
    </w:p>
    <w:p w14:paraId="30F2EEDD" w14:textId="77777777" w:rsidR="0039632C" w:rsidRPr="00023B55" w:rsidRDefault="0039632C" w:rsidP="00C87007">
      <w:pPr>
        <w:pStyle w:val="enumlev1"/>
        <w:keepLines/>
        <w:jc w:val="both"/>
      </w:pPr>
      <w:r w:rsidRPr="00023B55">
        <w:t>–</w:t>
      </w:r>
      <w:r w:rsidRPr="00023B55">
        <w:tab/>
        <w:t>L'UIT a continué de travailler avec les parties prenantes dans le cadre du Groupe de travail à composition non limitée sur la sécurité des TIC et de leur utilisation (OEWG), en contribuant à l'exercice de mise en correspondance des activités de renforcement des capacités du Groupe, en acquérant une meilleure compréhension des besoins actuels en matière de cybersécurité à l'aide de l'Indice GCI et en présentant les retombées de l'Initiative "HerCyberTracks".</w:t>
      </w:r>
    </w:p>
    <w:p w14:paraId="72C27158" w14:textId="77777777" w:rsidR="0039632C" w:rsidRPr="00023B55" w:rsidRDefault="0039632C" w:rsidP="00C87007">
      <w:pPr>
        <w:pStyle w:val="enumlev1"/>
        <w:jc w:val="both"/>
      </w:pPr>
      <w:r w:rsidRPr="00023B55">
        <w:t>–</w:t>
      </w:r>
      <w:r w:rsidRPr="00023B55">
        <w:tab/>
        <w:t>L'UIT collabore avec des États Membres pour s'acquitter de sa mission, notamment avec la République tchèque, l'Allemagne, le Royaume d'Arabie saoudite et le Royaume</w:t>
      </w:r>
      <w:r w:rsidRPr="00023B55">
        <w:noBreakHyphen/>
        <w:t>Uni.</w:t>
      </w:r>
    </w:p>
    <w:p w14:paraId="28832DBD" w14:textId="658AE197" w:rsidR="0039632C" w:rsidRPr="00023B55" w:rsidRDefault="0039632C" w:rsidP="00C87007">
      <w:pPr>
        <w:pStyle w:val="Headingb"/>
        <w:jc w:val="both"/>
      </w:pPr>
      <w:r w:rsidRPr="00023B55">
        <w:t xml:space="preserve">Difficultés rencontrées dans la mise en œuvre de la </w:t>
      </w:r>
      <w:r w:rsidR="00F30744" w:rsidRPr="00023B55">
        <w:t>g</w:t>
      </w:r>
      <w:r w:rsidRPr="00023B55">
        <w:t>rande orientation C5</w:t>
      </w:r>
    </w:p>
    <w:p w14:paraId="4B7E6D5F" w14:textId="77777777" w:rsidR="0039632C" w:rsidRPr="00023B55" w:rsidRDefault="0039632C" w:rsidP="00C87007">
      <w:pPr>
        <w:pStyle w:val="enumlev1"/>
        <w:jc w:val="both"/>
      </w:pPr>
      <w:r w:rsidRPr="00023B55">
        <w:t>–</w:t>
      </w:r>
      <w:r w:rsidRPr="00023B55">
        <w:tab/>
        <w:t>Mobilisation de ressources suffisantes dans les meilleurs délais: faire en sorte que les ressources adéquates – financières, techniques et humaines – soient mobilisées dans les meilleurs délais pour appuyer les initiatives en matière de cybersécurité reste un défi permanent.</w:t>
      </w:r>
    </w:p>
    <w:p w14:paraId="4C36BAD0" w14:textId="77777777" w:rsidR="0039632C" w:rsidRPr="00023B55" w:rsidRDefault="0039632C" w:rsidP="00C87007">
      <w:pPr>
        <w:pStyle w:val="enumlev1"/>
        <w:jc w:val="both"/>
      </w:pPr>
      <w:r w:rsidRPr="00023B55">
        <w:t>–</w:t>
      </w:r>
      <w:r w:rsidRPr="00023B55">
        <w:tab/>
        <w:t>Participation des parties prenantes: il est essentiel de mobiliser un large éventail de parties prenantes, y compris les gouvernements, le secteur privé, la société civile et les organisations internationales, mais cela s'avère souvent difficile en raison de leurs priorités et capacités diverses.</w:t>
      </w:r>
    </w:p>
    <w:p w14:paraId="6AA9AD94" w14:textId="77777777" w:rsidR="0039632C" w:rsidRPr="00023B55" w:rsidRDefault="0039632C" w:rsidP="00C87007">
      <w:pPr>
        <w:pStyle w:val="enumlev1"/>
        <w:jc w:val="both"/>
      </w:pPr>
      <w:r w:rsidRPr="00023B55">
        <w:t>–</w:t>
      </w:r>
      <w:r w:rsidRPr="00023B55">
        <w:tab/>
        <w:t>Évolution des besoins et des capacités: l'évolution rapide des technologies et des menaces exige une adaptation permanente. De nombreuses parties prenantes ont du mal à suivre le rythme de ces évolutions et présentent donc des lacunes en matière de préparation et de résilience en matière de cybersécurité.</w:t>
      </w:r>
    </w:p>
    <w:p w14:paraId="0A74F5D0" w14:textId="77777777" w:rsidR="0039632C" w:rsidRPr="00023B55" w:rsidRDefault="0039632C" w:rsidP="00C87007">
      <w:pPr>
        <w:pStyle w:val="Heading2"/>
        <w:jc w:val="both"/>
        <w:rPr>
          <w:color w:val="0F4761"/>
        </w:rPr>
      </w:pPr>
      <w:hyperlink r:id="rId249" w:history="1">
        <w:r w:rsidRPr="00023B55">
          <w:rPr>
            <w:rStyle w:val="Hyperlink"/>
            <w:rFonts w:eastAsia="Times New Roman" w:cs="Times New Roman"/>
            <w:color w:val="0F4761"/>
            <w:szCs w:val="20"/>
          </w:rPr>
          <w:t>C6 – Créer un environnement propice</w:t>
        </w:r>
      </w:hyperlink>
    </w:p>
    <w:p w14:paraId="4406E762" w14:textId="77777777" w:rsidR="0039632C" w:rsidRPr="00023B55" w:rsidRDefault="0039632C" w:rsidP="00C87007">
      <w:pPr>
        <w:jc w:val="both"/>
      </w:pPr>
      <w:r w:rsidRPr="00023B55">
        <w:t>Il est essentiel de créer un environnement politique et réglementaire propice pour favoriser la croissance et l'innovation numériques.</w:t>
      </w:r>
    </w:p>
    <w:p w14:paraId="57E764A1" w14:textId="77777777" w:rsidR="0039632C" w:rsidRPr="00023B55" w:rsidRDefault="0039632C" w:rsidP="00C87007">
      <w:pPr>
        <w:jc w:val="both"/>
      </w:pPr>
      <w:r w:rsidRPr="00023B55">
        <w:t>En sa qualité de coordonnateur principal pour la grande orientation C6, l'UIT concentre ses efforts sur ce qui suit:</w:t>
      </w:r>
    </w:p>
    <w:p w14:paraId="630C6002" w14:textId="77777777" w:rsidR="0039632C" w:rsidRPr="00023B55" w:rsidRDefault="0039632C" w:rsidP="00C87007">
      <w:pPr>
        <w:pStyle w:val="enumlev1"/>
        <w:jc w:val="both"/>
      </w:pPr>
      <w:r w:rsidRPr="00023B55">
        <w:t>–</w:t>
      </w:r>
      <w:r w:rsidRPr="00023B55">
        <w:tab/>
      </w:r>
      <w:r w:rsidRPr="00023B55">
        <w:rPr>
          <w:b/>
          <w:bCs/>
        </w:rPr>
        <w:t>Orientations en matière de politique et de réglementation</w:t>
      </w:r>
      <w:r w:rsidRPr="00023B55">
        <w:t>: aider les pays à adopter des cadres et politiques réglementaires qui favorisent le développement des TIC. Il s'agit notamment des bonnes pratiques visant à stimuler la concurrence, à garantir un accès universel et à encourager les investissements dans les infrastructures TIC.</w:t>
      </w:r>
    </w:p>
    <w:p w14:paraId="6CCC1FAA" w14:textId="77777777" w:rsidR="0039632C" w:rsidRPr="00023B55" w:rsidRDefault="0039632C" w:rsidP="00C87007">
      <w:pPr>
        <w:pStyle w:val="enumlev1"/>
        <w:jc w:val="both"/>
      </w:pPr>
      <w:r w:rsidRPr="00023B55">
        <w:t>–</w:t>
      </w:r>
      <w:r w:rsidRPr="00023B55">
        <w:tab/>
      </w:r>
      <w:hyperlink r:id="rId250" w:history="1">
        <w:r w:rsidRPr="00023B55">
          <w:rPr>
            <w:rStyle w:val="Hyperlink"/>
            <w:rFonts w:eastAsia="Times New Roman" w:cs="Times New Roman"/>
            <w:b/>
            <w:bCs/>
            <w:szCs w:val="20"/>
          </w:rPr>
          <w:t>Colloque mondial des régulateurs</w:t>
        </w:r>
      </w:hyperlink>
      <w:r w:rsidRPr="00023B55">
        <w:t>: manifestation annuelle organisée par l'UIT qui réunit des régulateurs du monde entier pour débattre de questions politiques et réglementaires liées aux TIC. Le Colloque offre un cadre permettant de partager des expériences, d'échanger sur les difficultés et de rechercher des solutions.</w:t>
      </w:r>
    </w:p>
    <w:p w14:paraId="6DE7AF05" w14:textId="77777777" w:rsidR="0039632C" w:rsidRPr="00023B55" w:rsidRDefault="0039632C" w:rsidP="00C87007">
      <w:pPr>
        <w:pStyle w:val="enumlev1"/>
        <w:jc w:val="both"/>
      </w:pPr>
      <w:r w:rsidRPr="00023B55">
        <w:lastRenderedPageBreak/>
        <w:t>–</w:t>
      </w:r>
      <w:r w:rsidRPr="00023B55">
        <w:tab/>
      </w:r>
      <w:hyperlink r:id="rId251" w:anchor="/fr" w:history="1">
        <w:r w:rsidRPr="00023B55">
          <w:rPr>
            <w:rStyle w:val="Hyperlink"/>
            <w:rFonts w:eastAsia="Times New Roman" w:cs="Times New Roman"/>
            <w:b/>
            <w:bCs/>
            <w:szCs w:val="20"/>
          </w:rPr>
          <w:t>Plate-forme et formation dans le domaine de la réglementation numérique</w:t>
        </w:r>
      </w:hyperlink>
      <w:r w:rsidRPr="00023B55">
        <w:t>: aider les régulateurs à acquérir les compétences et les connaissances leur permettant de créer des environnements réglementaires efficaces. Ces programmes portent notamment sur la gestion du spectre, la politique de la concurrence et la protection des consommateurs.</w:t>
      </w:r>
    </w:p>
    <w:p w14:paraId="6C32532B" w14:textId="77777777" w:rsidR="0039632C" w:rsidRPr="00023B55" w:rsidRDefault="0039632C" w:rsidP="00C87007">
      <w:pPr>
        <w:pStyle w:val="enumlev1"/>
        <w:jc w:val="both"/>
      </w:pPr>
      <w:r w:rsidRPr="00023B55">
        <w:t>–</w:t>
      </w:r>
      <w:r w:rsidRPr="00023B55">
        <w:tab/>
      </w:r>
      <w:hyperlink r:id="rId252" w:history="1">
        <w:r w:rsidRPr="00023B55">
          <w:rPr>
            <w:rStyle w:val="Hyperlink"/>
            <w:rFonts w:eastAsia="Times New Roman" w:cs="Times New Roman"/>
            <w:b/>
            <w:bCs/>
            <w:szCs w:val="20"/>
          </w:rPr>
          <w:t>Séminaires mondiaux des radiocommunications de l'UIT</w:t>
        </w:r>
      </w:hyperlink>
      <w:r w:rsidRPr="00023B55">
        <w:t>: organisés tous les deux ans par le BR pour proposer une formation et une assistance aux États Membres en ce qui concerne la gestion du spectre et les activités de radiocommunication de l'UIT.</w:t>
      </w:r>
    </w:p>
    <w:p w14:paraId="61AD784E" w14:textId="77777777" w:rsidR="0039632C" w:rsidRPr="00023B55" w:rsidRDefault="0039632C" w:rsidP="00C87007">
      <w:pPr>
        <w:pStyle w:val="enumlev1"/>
        <w:jc w:val="both"/>
      </w:pPr>
      <w:r w:rsidRPr="00023B55">
        <w:t>–</w:t>
      </w:r>
      <w:r w:rsidRPr="00023B55">
        <w:tab/>
      </w:r>
      <w:hyperlink r:id="rId253" w:history="1">
        <w:r w:rsidRPr="00023B55">
          <w:rPr>
            <w:rStyle w:val="Hyperlink"/>
            <w:rFonts w:eastAsia="Times New Roman" w:cs="Times New Roman"/>
            <w:b/>
            <w:bCs/>
            <w:szCs w:val="20"/>
          </w:rPr>
          <w:t>Séminaires régionaux des radiocommunications de l'UIT</w:t>
        </w:r>
      </w:hyperlink>
      <w:r w:rsidRPr="00023B55">
        <w:t>: organisés conjointement avec les États Membres pour proposer une formation et une assistance en ce qui concerne la gestion du spectre et les activités de radiocommunication de l'UIT.</w:t>
      </w:r>
    </w:p>
    <w:p w14:paraId="56ED2087" w14:textId="77777777" w:rsidR="0039632C" w:rsidRPr="00023B55" w:rsidRDefault="0039632C" w:rsidP="00C87007">
      <w:pPr>
        <w:jc w:val="both"/>
      </w:pPr>
      <w:r w:rsidRPr="00023B55">
        <w:t>La Coalition pour le numérique Partner2Connect menée par l'UIT a également mobilisé des engagements qui contribueront à renforcer les compétences et la réglementation et à garantir l'inclusion numérique.</w:t>
      </w:r>
    </w:p>
    <w:p w14:paraId="6205ACDD" w14:textId="77777777" w:rsidR="0039632C" w:rsidRPr="00023B55" w:rsidRDefault="0039632C" w:rsidP="00C87007">
      <w:pPr>
        <w:jc w:val="both"/>
      </w:pPr>
      <w:r w:rsidRPr="00023B55">
        <w:t>La Commission UIT-UNESCO sur le large bande fait figure de pionnière et de chef de file en matière de produits de connaissance sur les TIC et les ODD. Elle dispose d'un modèle éprouvé de résultats collaboratifs et consensuels obtenus par les parties prenantes membres, notamment les suivants:</w:t>
      </w:r>
    </w:p>
    <w:p w14:paraId="0EC5819D" w14:textId="77777777" w:rsidR="0039632C" w:rsidRPr="00023B55" w:rsidRDefault="0039632C" w:rsidP="00C87007">
      <w:pPr>
        <w:pStyle w:val="enumlev1"/>
        <w:jc w:val="both"/>
      </w:pPr>
      <w:r w:rsidRPr="00023B55">
        <w:t>–</w:t>
      </w:r>
      <w:r w:rsidRPr="00023B55">
        <w:tab/>
        <w:t>Plus de 35 conclusions de Groupe de travail sur le développement du numérique et publication de plus de 300 recommandations élaborées en collaboration. Ces recommandations d'actions s'adressent à chaque groupe de parties prenantes de l'écosystème numérique.</w:t>
      </w:r>
    </w:p>
    <w:p w14:paraId="4A0A2A05" w14:textId="77777777" w:rsidR="0039632C" w:rsidRPr="00023B55" w:rsidRDefault="0039632C" w:rsidP="00C87007">
      <w:pPr>
        <w:pStyle w:val="enumlev1"/>
        <w:jc w:val="both"/>
      </w:pPr>
      <w:r w:rsidRPr="00023B55">
        <w:t>–</w:t>
      </w:r>
      <w:r w:rsidRPr="00023B55">
        <w:tab/>
        <w:t xml:space="preserve">Quatorze éditions du rapport annuel sur la situation du large bande, qui analysent les enjeux et les réussites en matière de connectivité à l'échelle mondiale et suivent les progrès accomplis dans la réalisation de ses </w:t>
      </w:r>
      <w:hyperlink r:id="rId254" w:history="1">
        <w:r w:rsidRPr="00023B55">
          <w:rPr>
            <w:rStyle w:val="Hyperlink"/>
            <w:rFonts w:eastAsia="Times New Roman" w:cs="Times New Roman"/>
            <w:szCs w:val="20"/>
          </w:rPr>
          <w:t>sept grands objectifs</w:t>
        </w:r>
      </w:hyperlink>
      <w:r w:rsidRPr="00023B55">
        <w:t>, avec plus de 70 recommandations et conclusions uniques élaborées de manière consensuelle par les membres de la Commission dans différentes catégories telles que les politiques et la réglementation, le financement et l'investissement, les questions environnementales/sociales et de gouvernance, l'entrepreneuriat et l'inclusion.</w:t>
      </w:r>
    </w:p>
    <w:p w14:paraId="02FACE52" w14:textId="7A9456D5" w:rsidR="0039632C" w:rsidRPr="00023B55" w:rsidRDefault="0039632C" w:rsidP="00C87007">
      <w:pPr>
        <w:pStyle w:val="Headingb"/>
        <w:jc w:val="both"/>
      </w:pPr>
      <w:r w:rsidRPr="00023B55">
        <w:t xml:space="preserve">Difficultés rencontrées dans la mise en œuvre de la </w:t>
      </w:r>
      <w:r w:rsidR="00C77817" w:rsidRPr="00023B55">
        <w:t>g</w:t>
      </w:r>
      <w:r w:rsidRPr="00023B55">
        <w:t>rande orientation C6</w:t>
      </w:r>
    </w:p>
    <w:p w14:paraId="6AC9E4B9" w14:textId="77777777" w:rsidR="0039632C" w:rsidRPr="00023B55" w:rsidRDefault="0039632C" w:rsidP="00C87007">
      <w:pPr>
        <w:pStyle w:val="enumlev1"/>
        <w:jc w:val="both"/>
      </w:pPr>
      <w:r w:rsidRPr="00023B55">
        <w:t>–</w:t>
      </w:r>
      <w:r w:rsidRPr="00023B55">
        <w:tab/>
        <w:t>Réformes politiques et réglementaires: il est nécessaire d'apporter des modifications aux cadres politiques et réglementaires des TIC pour créer un environnement inclusif et propice. Pour cela, il convient d'élaborer un langage commun fondé sur la consultation et les données factuelles, de redéfinir et de mettre en œuvre des programmes d'action, et de renforcer constamment les compétences.</w:t>
      </w:r>
    </w:p>
    <w:p w14:paraId="5E586B3E" w14:textId="77777777" w:rsidR="0039632C" w:rsidRPr="00023B55" w:rsidRDefault="0039632C" w:rsidP="00C87007">
      <w:pPr>
        <w:pStyle w:val="enumlev1"/>
        <w:jc w:val="both"/>
      </w:pPr>
      <w:r w:rsidRPr="00023B55">
        <w:t>–</w:t>
      </w:r>
      <w:r w:rsidRPr="00023B55">
        <w:tab/>
        <w:t>Abattre les cloisons dans la réglementation collaborative: l'un des principaux défis aux niveaux national et régional est de surmonter les effets du cloisonnement et de l'isolement. Une réglementation collaborative efficace exige d'unir un éventail de compétences spécialisées et de mécanismes d'application afin d'uniformiser les règles du jeu entre les pays.</w:t>
      </w:r>
    </w:p>
    <w:p w14:paraId="011718CC" w14:textId="77777777" w:rsidR="0039632C" w:rsidRPr="00023B55" w:rsidRDefault="0039632C" w:rsidP="00C87007">
      <w:pPr>
        <w:pStyle w:val="enumlev1"/>
        <w:jc w:val="both"/>
      </w:pPr>
      <w:r w:rsidRPr="00023B55">
        <w:t>–</w:t>
      </w:r>
      <w:r w:rsidRPr="00023B55">
        <w:tab/>
        <w:t xml:space="preserve">Cadres propices à l'investissement: s'il est vrai que les gouvernements pourraient collaborer plus étroitement sur la question des incitations réglementaires et économiques, la clé est d'établir des cadres politiques et réglementaires propices à l'investissement. Ces cadres devraient appuyer la transformation numérique dans toutes les industries et dans tous les secteurs, en encourageant le secteur privé à investir </w:t>
      </w:r>
      <w:r w:rsidRPr="00023B55">
        <w:lastRenderedPageBreak/>
        <w:t>dans les TIC pour rendre l'accès à ces technologies plus abordable sur le plan financier et réduire les inégalités.</w:t>
      </w:r>
    </w:p>
    <w:p w14:paraId="6E1EF378" w14:textId="77777777" w:rsidR="0039632C" w:rsidRPr="00023B55" w:rsidRDefault="0039632C" w:rsidP="00F52608">
      <w:pPr>
        <w:pStyle w:val="Heading1"/>
      </w:pPr>
      <w:bookmarkStart w:id="19" w:name="_Toc200377670"/>
      <w:r w:rsidRPr="00023B55">
        <w:t>Contribuer à faire progresser les autres grandes orientations du SMSI</w:t>
      </w:r>
      <w:bookmarkEnd w:id="19"/>
    </w:p>
    <w:p w14:paraId="346F26A0" w14:textId="77777777" w:rsidR="0039632C" w:rsidRPr="00023B55" w:rsidRDefault="0039632C" w:rsidP="00C87007">
      <w:pPr>
        <w:jc w:val="both"/>
      </w:pPr>
      <w:r w:rsidRPr="00023B55">
        <w:t>Le rôle que joue l'UIT en tant que coordonnateur conjoint et partenaire dans le cadre de plusieurs grandes orientations du SMSI témoigne de son engagement à mettre les technologies au service du développement durable. En menant à bien des projets porteurs d'effets et en faisant preuve de collaboration, l'UIT a contribué à accélérer la mise en œuvre du Plan d'action de Genève et de l'Agenda de Tunis, et ainsi à faire progresser les technologies numériques au profit de toutes les populations et de toutes les communautés du monde entier.</w:t>
      </w:r>
    </w:p>
    <w:p w14:paraId="27299A06" w14:textId="77777777" w:rsidR="0039632C" w:rsidRPr="00023B55" w:rsidRDefault="0039632C" w:rsidP="00C87007">
      <w:pPr>
        <w:jc w:val="both"/>
      </w:pPr>
      <w:r w:rsidRPr="00023B55">
        <w:t>Au-delà de ses quatre grandes orientations, l'UIT agit en tant que coordonnateur conjoint ou partenaire principal dans le cadre de sept autres grandes orientations du SMSI. La présente section vise à mettre en avant les contributions de l'UIT en faveur de ces grandes orientations et à présenter des expériences de terrain qui témoignent des retombées de ces initiatives.</w:t>
      </w:r>
    </w:p>
    <w:p w14:paraId="0206A01D" w14:textId="77777777" w:rsidR="0039632C" w:rsidRPr="00023B55" w:rsidRDefault="0039632C" w:rsidP="00C87007">
      <w:pPr>
        <w:pStyle w:val="Heading2"/>
        <w:jc w:val="both"/>
      </w:pPr>
      <w:r w:rsidRPr="00023B55">
        <w:t>C1 – Le rôle des gouvernements et de toutes les parties prenantes dans la promotion des TIC pour le développement</w:t>
      </w:r>
    </w:p>
    <w:p w14:paraId="53393A65" w14:textId="77777777" w:rsidR="0039632C" w:rsidRPr="00023B55" w:rsidRDefault="0039632C" w:rsidP="00C87007">
      <w:pPr>
        <w:jc w:val="both"/>
      </w:pPr>
      <w:r w:rsidRPr="00023B55">
        <w:t>L'UIT collabore avec des gouvernements et des parties prenantes dans le but de promouvoir le rôle des TIC dans le développement. Elle plaide notamment en faveur de l'adoption de politiques qui soutiennent l'inclusion numérique, l'innovation et l'utilisation des TIC en vue d'atteindre les ODD. Les partenariats public-privé et les activités de promotion des politiques constituent des éléments essentiels des activités menées par l'UIT en la matière.</w:t>
      </w:r>
    </w:p>
    <w:p w14:paraId="558227EF" w14:textId="77777777" w:rsidR="0039632C" w:rsidRPr="00023B55" w:rsidRDefault="0039632C" w:rsidP="00C87007">
      <w:pPr>
        <w:jc w:val="both"/>
      </w:pPr>
      <w:r w:rsidRPr="00023B55">
        <w:t>Récit de terrain: en collaboration avec les gouvernements locaux, l'UIT a appuyé l'établissement de stratégies numériques nationales accordant la priorité à l'infrastructure des TIC et à la maîtrise des outils numériques. Par exemple, le plan directeur "Smart Rwanda" vise à transformer le Rwanda en une économie fondée sur la connaissance en tirant parti des TIC. Il met l'accent sur la formation aux compétences numériques et les services d'administration en ligne.</w:t>
      </w:r>
    </w:p>
    <w:p w14:paraId="7D42D43C" w14:textId="77777777" w:rsidR="0039632C" w:rsidRPr="00023B55" w:rsidRDefault="0039632C" w:rsidP="00C87007">
      <w:pPr>
        <w:pStyle w:val="Heading2"/>
        <w:jc w:val="both"/>
      </w:pPr>
      <w:r w:rsidRPr="00023B55">
        <w:t>C3 – L'accès à l'information et au savoir</w:t>
      </w:r>
    </w:p>
    <w:p w14:paraId="07D50EE4" w14:textId="77777777" w:rsidR="0039632C" w:rsidRPr="00023B55" w:rsidRDefault="0039632C" w:rsidP="00C87007">
      <w:pPr>
        <w:jc w:val="both"/>
      </w:pPr>
      <w:r w:rsidRPr="00023B55">
        <w:t>Garantir l'accès à l'information et au savoir est fondamental pour l'inclusion numérique. L'UIT met en œuvre des initiatives contribuant à améliorer la maîtrise des outils numériques et permettant aux communautés mal desservies et marginalisées d'accéder aux TIC. Les plates-formes de partage de connaissances, telles que le Forum du SMSI, facilitent l'échange de bonnes pratiques et la réussite des projets.</w:t>
      </w:r>
    </w:p>
    <w:p w14:paraId="13A8F581" w14:textId="77777777" w:rsidR="0039632C" w:rsidRPr="00023B55" w:rsidRDefault="0039632C" w:rsidP="00C87007">
      <w:pPr>
        <w:jc w:val="both"/>
      </w:pPr>
      <w:r w:rsidRPr="00023B55">
        <w:t>Récit de terrain: l'initiative relative aux Centres de transformation numérique, appuyée par l'UIT, a contribué à établir des centres de formation dans différentes régions pour renforcer les compétences numériques des populations des pays en développement. Ces centres dispensent des formations essentielles à la maîtrise des outils numériques et aux compétences numériques à l'intention des communautés mal desservies, afin de donner aux populations les moyens de prendre part à l'économie numérique.</w:t>
      </w:r>
    </w:p>
    <w:p w14:paraId="53DF23F0" w14:textId="77777777" w:rsidR="0039632C" w:rsidRPr="00023B55" w:rsidRDefault="0039632C" w:rsidP="00C87007">
      <w:pPr>
        <w:pStyle w:val="Heading2"/>
        <w:jc w:val="both"/>
      </w:pPr>
      <w:r w:rsidRPr="00023B55">
        <w:lastRenderedPageBreak/>
        <w:t>C7 – Les applications TIC</w:t>
      </w:r>
    </w:p>
    <w:p w14:paraId="3272925E" w14:textId="77777777" w:rsidR="0039632C" w:rsidRPr="00023B55" w:rsidRDefault="0039632C" w:rsidP="00C87007">
      <w:pPr>
        <w:keepNext/>
        <w:keepLines/>
        <w:jc w:val="both"/>
      </w:pPr>
      <w:r w:rsidRPr="00023B55">
        <w:t>Les applications TIC utilisées dans différents secteurs (administration publique en ligne, commerce électronique, télé-enseignement, télésanté, cybertravail, cyberécologie, cyberagriculture et cyberscience) améliorent la qualité de vie et favorisent le développement durable. L'UIT appuie la conception et la mise en œuvre de ces applications en fournissant une assistance technique et en encourageant les bonnes pratiques.</w:t>
      </w:r>
    </w:p>
    <w:p w14:paraId="7065F45D" w14:textId="77777777" w:rsidR="0039632C" w:rsidRPr="00023B55" w:rsidRDefault="0039632C" w:rsidP="00C87007">
      <w:pPr>
        <w:jc w:val="both"/>
      </w:pPr>
      <w:r w:rsidRPr="00023B55">
        <w:t>Récit de terrain: le projet de cybersanté pour tous, lauréat du Prix du SMSI en 2024, tire parti de la télémédecine et des applications de santé mobile pour améliorer l'accès aux soins de santé dans les zones reculées. Il a permis d'améliorer considérablement la fourniture de soins de santé en proposant des consultations à distance et des services de suivi de la santé.</w:t>
      </w:r>
    </w:p>
    <w:p w14:paraId="125C9A49" w14:textId="77777777" w:rsidR="0039632C" w:rsidRPr="00023B55" w:rsidRDefault="0039632C" w:rsidP="00C87007">
      <w:pPr>
        <w:pStyle w:val="Heading2"/>
        <w:jc w:val="both"/>
      </w:pPr>
      <w:r w:rsidRPr="00023B55">
        <w:t>C8 – Diversité et identité culturelles, diversité linguistique et contenus locaux</w:t>
      </w:r>
    </w:p>
    <w:p w14:paraId="059797CC" w14:textId="77777777" w:rsidR="0039632C" w:rsidRPr="00023B55" w:rsidRDefault="0039632C" w:rsidP="00C87007">
      <w:pPr>
        <w:jc w:val="both"/>
      </w:pPr>
      <w:r w:rsidRPr="00023B55">
        <w:t>Il est essentiel de promouvoir la diversité culturelle et linguistique pour veiller à ce que les TIC soient pertinentes et accessibles pour des populations diverses. L'UIT appuie la création de contenus numériques multilingues, collabore avec l'UNESCO pour préserver le patrimoine culturel grâce à la généralisation du numérique et fournit une assistance technique pour le développement de contenus locaux.</w:t>
      </w:r>
    </w:p>
    <w:p w14:paraId="23A72635" w14:textId="77777777" w:rsidR="0039632C" w:rsidRPr="00023B55" w:rsidRDefault="0039632C" w:rsidP="00C87007">
      <w:pPr>
        <w:jc w:val="both"/>
      </w:pPr>
      <w:r w:rsidRPr="00023B55">
        <w:t>Récit de terrain: la collaboration entre l'UIT et l'UNESCO dans le cadre du projet de préservation du patrimoine numérique a abouti à la dématérialisation des artefacts culturels et à la création de répertoires en ligne. Cette initiative permet de préserver le patrimoine culturel et de le rendre accessible à une audience mondiale, et promeut ainsi la diversité et l'identité culturelles.</w:t>
      </w:r>
    </w:p>
    <w:p w14:paraId="5E718277" w14:textId="77777777" w:rsidR="0039632C" w:rsidRPr="00023B55" w:rsidRDefault="0039632C" w:rsidP="00C87007">
      <w:pPr>
        <w:pStyle w:val="Heading2"/>
        <w:jc w:val="both"/>
      </w:pPr>
      <w:r w:rsidRPr="00023B55">
        <w:t>C9 – Médias</w:t>
      </w:r>
    </w:p>
    <w:p w14:paraId="43A6E672" w14:textId="77777777" w:rsidR="0039632C" w:rsidRPr="00023B55" w:rsidRDefault="0039632C" w:rsidP="00C87007">
      <w:pPr>
        <w:jc w:val="both"/>
      </w:pPr>
      <w:r w:rsidRPr="00023B55">
        <w:t>Le renforcement de l'infrastructure médiatique et la promotion de la liberté d'expression sont des éléments fondamentaux de l'action menée par l'UIT. Cette dernière fournit une assistance technique concernant la radiodiffusion numérique communautaire, soutient le développement des médias dans les pays en développement et propose des programmes de formation à l'intention des professionnels des médias pour améliorer leurs compétences numériques.</w:t>
      </w:r>
    </w:p>
    <w:p w14:paraId="74E38DBC" w14:textId="77777777" w:rsidR="0039632C" w:rsidRPr="00023B55" w:rsidRDefault="0039632C" w:rsidP="00C87007">
      <w:pPr>
        <w:jc w:val="both"/>
      </w:pPr>
      <w:r w:rsidRPr="00023B55">
        <w:t>Depuis 2024, l'UIT contribue activement à favoriser le développement des médias et le renforcement des capacités, en particulier dans les pays en développement, au moyen de programmes de formation et d'ateliers visant à améliorer les connaissances et les compétences médiatiques. En outre, elle défend la liberté d'expression et la protection des journalistes en collaborant avec d'autres organisations pour créer un environnement plus sûr pour les professionnels des médias.</w:t>
      </w:r>
    </w:p>
    <w:p w14:paraId="58C15BD5" w14:textId="170ACF06" w:rsidR="0039632C" w:rsidRPr="00023B55" w:rsidRDefault="0039632C" w:rsidP="00C87007">
      <w:pPr>
        <w:jc w:val="both"/>
      </w:pPr>
      <w:r w:rsidRPr="00023B55">
        <w:t>Afin de promouvoir l'inclusion numérique, l'UIT a lancé plusieurs initiatives garantissant un accès aux médias et à l'information aux communautés marginalisées, notamment des projets visant à réduire la fracture numérique. En outre, elle encourage l'initiation aux médias et à l'information pour aider les populations à analyser et à utiliser avec un regard critique les informations provenant de différentes sources médiatiques, met au point des ressources pédagogiques et mène des campagnes de sensibilisation. Enfin, l'UIT appuie des initiatives médiatiques communautaires pour faire en sorte que différentes voix soient entendues, fournit une assistance technique et alloue des fonds aux stations de radio et de télévision communautaires.</w:t>
      </w:r>
    </w:p>
    <w:p w14:paraId="0CECE202" w14:textId="77777777" w:rsidR="0039632C" w:rsidRPr="00023B55" w:rsidRDefault="0039632C" w:rsidP="00C87007">
      <w:pPr>
        <w:jc w:val="both"/>
      </w:pPr>
      <w:r w:rsidRPr="00023B55">
        <w:lastRenderedPageBreak/>
        <w:t>Récit de terrain: en partenariat avec des organisations médiatiques locales, l'UIT a créé des stations de radio communautaires en zone rurale, qui donnent la parole à des acteurs locaux et permettent d'accéder à l'information. Ces stations jouent un rôle primordial dans la diffusion d'informations sur la santé, l'éducation et le développement communautaire.</w:t>
      </w:r>
    </w:p>
    <w:p w14:paraId="76A72237" w14:textId="77777777" w:rsidR="0039632C" w:rsidRPr="00023B55" w:rsidRDefault="0039632C" w:rsidP="00C87007">
      <w:pPr>
        <w:pStyle w:val="Heading2"/>
        <w:jc w:val="both"/>
      </w:pPr>
      <w:r w:rsidRPr="00023B55">
        <w:t>C10 – Dimensions éthiques de la société de l'information</w:t>
      </w:r>
    </w:p>
    <w:p w14:paraId="04D8A0BB" w14:textId="77777777" w:rsidR="0039632C" w:rsidRPr="00023B55" w:rsidRDefault="0039632C" w:rsidP="00C87007">
      <w:pPr>
        <w:jc w:val="both"/>
      </w:pPr>
      <w:r w:rsidRPr="00023B55">
        <w:t>Il est essentiel d'élaborer des lignes directrices et des normes éthiques relatives à l'utilisation des TIC pour favoriser un comportement numérique responsable. Les initiatives de l'UIT comprennent des lignes directrices sur la confidentialité des données, la cybersécurité et l'utilisation éthique de l'IA et d'autres technologies émergentes. Des campagnes de sensibilisation et des programmes pédagogiques promeuvent la citoyenneté numérique et la sécurité en ligne.</w:t>
      </w:r>
    </w:p>
    <w:p w14:paraId="059AC615" w14:textId="77777777" w:rsidR="0039632C" w:rsidRPr="00023B55" w:rsidRDefault="0039632C" w:rsidP="00C87007">
      <w:pPr>
        <w:jc w:val="both"/>
      </w:pPr>
      <w:r w:rsidRPr="00023B55">
        <w:t>Dans le cadre de l'initiative de l'UIT sur la protection en ligne des enfants, par exemple, des campagnes de sensibilisation et des programmes de formation ont été mis en œuvre pour former les enfants, les parents et les éducateurs à la sécurité en ligne. Ces activités ont touché des millions d'enfants dans le monde et contribué à promouvoir une utilisation sûre et responsable des TIC.</w:t>
      </w:r>
    </w:p>
    <w:p w14:paraId="1DADC42F" w14:textId="77777777" w:rsidR="0039632C" w:rsidRPr="00023B55" w:rsidRDefault="0039632C" w:rsidP="00C87007">
      <w:pPr>
        <w:jc w:val="both"/>
      </w:pPr>
      <w:r w:rsidRPr="00023B55">
        <w:t>L'essor de l'IA a donné un caractère nouveau et urgent aux discussions sur l'éthique dans le domaine des technologies. La Journée de la gouvernance de l'IA, organisée par l'UIT dans le cadre des conférences du SMSI+20 et "L'intelligence artificielle au service du bien social" en mai 2024, a rassemblé des décideurs (dont de nombreux représentants de pays en développement) pour examiner la question du changement fondamental de principes et de pratiques à entreprendre pour parvenir à une IA responsable.</w:t>
      </w:r>
    </w:p>
    <w:p w14:paraId="2E4C0D87" w14:textId="77777777" w:rsidR="0039632C" w:rsidRPr="00023B55" w:rsidRDefault="0039632C" w:rsidP="00C87007">
      <w:pPr>
        <w:pStyle w:val="Heading2"/>
        <w:jc w:val="both"/>
      </w:pPr>
      <w:r w:rsidRPr="00023B55">
        <w:t>C11 – Coopération internationale et régionale</w:t>
      </w:r>
    </w:p>
    <w:p w14:paraId="36AFAE57" w14:textId="77777777" w:rsidR="0039632C" w:rsidRPr="00023B55" w:rsidRDefault="0039632C" w:rsidP="00C87007">
      <w:pPr>
        <w:jc w:val="both"/>
      </w:pPr>
      <w:r w:rsidRPr="00023B55">
        <w:t>Il est essentiel d'encourager la coopération internationale et régionale pour relever les défis mondiaux liés aux TIC. L'UIT collabore avec un large éventail d'organisations internationales et régionales pour promouvoir les résultats du SMSI et les TIC au service du développement. Les partenariats avec l'UNESCO, le PNUD, la CNUCED et d'autres institutions des Nations Unies renforcent également l'efficacité des initiatives dans le domaine des TIC et favorisent l'échange de bonnes pratiques.</w:t>
      </w:r>
    </w:p>
    <w:p w14:paraId="0CBFFF39" w14:textId="77777777" w:rsidR="0039632C" w:rsidRPr="00023B55" w:rsidRDefault="0039632C" w:rsidP="00C87007">
      <w:pPr>
        <w:jc w:val="both"/>
      </w:pPr>
      <w:r w:rsidRPr="00023B55">
        <w:t>La Commission "Le large bande au service du développement durable" – partenariat multi</w:t>
      </w:r>
      <w:r w:rsidRPr="00023B55">
        <w:noBreakHyphen/>
        <w:t>parties prenantes de haut niveau dirigé par l'UIT et l'UNESCO – encourage la coopération numérique en élaborant des recommandations concrètes pour parvenir à la connectivité universelle et en déployant des efforts visant à faire profiter tout un chacun des avantages révolutionnaires de la transformation numérique.</w:t>
      </w:r>
    </w:p>
    <w:p w14:paraId="3CAEE95A" w14:textId="77777777" w:rsidR="0039632C" w:rsidRPr="00023B55" w:rsidRDefault="0039632C" w:rsidP="00C87007">
      <w:pPr>
        <w:jc w:val="both"/>
      </w:pPr>
      <w:r w:rsidRPr="00023B55">
        <w:t>Les commissions d'études de l'UIT ont contribué à faire avancer le processus du SMSI. Les commissions d'études des Secteurs de la normalisation (UIT-T) et des radiocommunications (UIT-R) rassemblent des experts du monde entier pour aider à coordonner les services et à harmoniser les normes, tandis que les commissions d'études du Secteur du développement (UIT-D) se concentrent sur la mise à disposition d'une connectivité efficace et la promotion d'une transformation numérique durable.</w:t>
      </w:r>
    </w:p>
    <w:p w14:paraId="1D3AEBA7" w14:textId="77777777" w:rsidR="0039632C" w:rsidRPr="00023B55" w:rsidRDefault="0039632C" w:rsidP="00F52608">
      <w:pPr>
        <w:pStyle w:val="Heading1"/>
      </w:pPr>
      <w:bookmarkStart w:id="20" w:name="_Toc200377671"/>
      <w:r w:rsidRPr="00023B55">
        <w:lastRenderedPageBreak/>
        <w:t>Forum du SMSI</w:t>
      </w:r>
      <w:bookmarkEnd w:id="20"/>
    </w:p>
    <w:p w14:paraId="786F23DB" w14:textId="77777777" w:rsidR="0039632C" w:rsidRPr="00023B55" w:rsidRDefault="0039632C" w:rsidP="00C87007">
      <w:pPr>
        <w:jc w:val="both"/>
      </w:pPr>
      <w:r w:rsidRPr="00023B55">
        <w:t>Le Forum annuel du SMSI, que l'UIT accueille depuis 2009 et organise conjointement avec l'UNESCO, le PNUD et la CNUCED, en collaboration avec plus de 40 entités des Nations Unies, sert de cadre multi-parties prenantes de dialogue, de collaboration et de partage de connaissances. Il élabore des recommandations politiques concrètes et encourage les initiatives collaboratives. En rassemblant les multiples parties prenantes du processus du SMSI, le Forum en est devenu une pierre angulaire.</w:t>
      </w:r>
    </w:p>
    <w:p w14:paraId="5ABF7F9E" w14:textId="77777777" w:rsidR="0039632C" w:rsidRPr="00023B55" w:rsidRDefault="0039632C" w:rsidP="00C87007">
      <w:pPr>
        <w:jc w:val="both"/>
      </w:pPr>
      <w:r w:rsidRPr="00023B55">
        <w:t>Au cours des quinze dernières années, le Forum du SMSI est devenu la principale plate</w:t>
      </w:r>
      <w:r w:rsidRPr="00023B55">
        <w:noBreakHyphen/>
        <w:t>forme multi-parties prenantes du monde au service du développement numérique, et mobilise ainsi une communauté véritablement mondiale. Le Forum, auquel participent plus de 160 pays, a accueilli plus de 50 000 parties prenantes, sur place et à distance, y compris des représentants de gouvernements, du secteur privé, de la société civile, d'établissements universitaires et d'organisations internationales.</w:t>
      </w:r>
    </w:p>
    <w:p w14:paraId="7F8FC25C" w14:textId="77777777" w:rsidR="0039632C" w:rsidRPr="00023B55" w:rsidRDefault="0039632C" w:rsidP="00C87007">
      <w:pPr>
        <w:jc w:val="both"/>
      </w:pPr>
      <w:r w:rsidRPr="00023B55">
        <w:t>Il se distingue par son approche inclusive et participative et constitue une pierre angulaire du processus du SMSI en favorisant le développement numérique par le dialogue, la collaboration et l'échange de bonnes pratiques entre diverses parties prenantes, notamment des gouvernements, des entités du secteur privé, des organisations de la société civile, des organisations internationales et des établissements universitaires. Au programme de chaque édition figurent des sessions politiques de haut niveau, des ateliers thématiques et des discussions interactives traitant des questions urgentes dans le secteur mondial des technologies. Ce Forum, dont les différents thèmes annuels reflètent les tendances et défis qui se font jour, fait en sorte que divers points de vue soient pris en compte lors de l'élaboration des politiques et stratégies numériques, permettant ainsi aux parties prenantes de rester informées et de s'adapter aux avancées technologiques et politiques.</w:t>
      </w:r>
    </w:p>
    <w:p w14:paraId="49204E30" w14:textId="77777777" w:rsidR="0039632C" w:rsidRPr="00023B55" w:rsidRDefault="0039632C" w:rsidP="00C87007">
      <w:pPr>
        <w:jc w:val="both"/>
      </w:pPr>
      <w:r w:rsidRPr="00023B55">
        <w:t>Les principaux résultats de chaque année sont les suivants:</w:t>
      </w:r>
    </w:p>
    <w:p w14:paraId="7764708F" w14:textId="77777777" w:rsidR="0039632C" w:rsidRPr="00023B55" w:rsidRDefault="0039632C" w:rsidP="00C87007">
      <w:pPr>
        <w:pStyle w:val="enumlev1"/>
        <w:jc w:val="both"/>
      </w:pPr>
      <w:r w:rsidRPr="00023B55">
        <w:t>–</w:t>
      </w:r>
      <w:r w:rsidRPr="00023B55">
        <w:tab/>
      </w:r>
      <w:r w:rsidRPr="00023B55">
        <w:rPr>
          <w:b/>
          <w:bCs/>
        </w:rPr>
        <w:t>Recommandations politiques</w:t>
      </w:r>
      <w:r w:rsidRPr="00023B55">
        <w:t>: le Forum produit des recommandations politiques concrètes qui guident les parties prenantes dans la mise en œuvre de stratégies numériques efficaces. Ces recommandations sont fondées sur les points de vue et les expériences partagés par les participants au cours des sessions.</w:t>
      </w:r>
    </w:p>
    <w:p w14:paraId="633F1815" w14:textId="77777777" w:rsidR="0039632C" w:rsidRPr="00023B55" w:rsidRDefault="0039632C" w:rsidP="00C87007">
      <w:pPr>
        <w:pStyle w:val="enumlev1"/>
        <w:jc w:val="both"/>
      </w:pPr>
      <w:r w:rsidRPr="00023B55">
        <w:t>–</w:t>
      </w:r>
      <w:r w:rsidRPr="00023B55">
        <w:tab/>
      </w:r>
      <w:r w:rsidRPr="00023B55">
        <w:rPr>
          <w:b/>
          <w:bCs/>
        </w:rPr>
        <w:t>Bonnes pratiques et études de cas</w:t>
      </w:r>
      <w:r w:rsidRPr="00023B55">
        <w:t>: le Forum met en lumière des projets et initiatives réussis qui illustrent le pouvoir de transformation des TIC. Ces bonnes pratiques et études de cas constituent des ressources précieuses pour les parties prenantes qui cherchent à reproduire et à appliquer plus largement des modèles qui ont fait leurs preuves.</w:t>
      </w:r>
    </w:p>
    <w:p w14:paraId="068BBA78" w14:textId="77777777" w:rsidR="0039632C" w:rsidRPr="00023B55" w:rsidRDefault="0039632C" w:rsidP="00C87007">
      <w:pPr>
        <w:pStyle w:val="enumlev1"/>
        <w:keepLines/>
        <w:jc w:val="both"/>
      </w:pPr>
      <w:r w:rsidRPr="00023B55">
        <w:t>–</w:t>
      </w:r>
      <w:r w:rsidRPr="00023B55">
        <w:tab/>
      </w:r>
      <w:r w:rsidRPr="00023B55">
        <w:rPr>
          <w:b/>
          <w:bCs/>
        </w:rPr>
        <w:t>Initiatives de collaboration</w:t>
      </w:r>
      <w:r w:rsidRPr="00023B55">
        <w:t>: le Forum encourage la création d'initiatives de collaboration et de partenariats pour relever certains défis dans le secteur des TIC. Ces initiatives tirent parti des forces et des ressources de multiples parties prenantes pour atteindre des objectifs communs.</w:t>
      </w:r>
    </w:p>
    <w:p w14:paraId="397D4318" w14:textId="77777777" w:rsidR="0039632C" w:rsidRPr="00023B55" w:rsidRDefault="0039632C" w:rsidP="00C87007">
      <w:pPr>
        <w:jc w:val="both"/>
      </w:pPr>
      <w:r w:rsidRPr="00023B55">
        <w:t xml:space="preserve">Depuis sa création en 2009, le Forum du SMSI a évolué, passant d'une plate-forme de mise en œuvre post-sommet à la principale instance multi-parties prenantes du monde pour le développement numérique. L'édition inaugurale du Forum tenue en 2009 a constitué le moment où le Sommet du SMSI, qui était une phase, est devenu un processus annuel, et a mis l'accent sur une mise en œuvre inclusive et sur l'édification des sociétés de l'information. En 2010 et 2011, le Forum s'est intéressé au rôle des TIC dans le développement et à leur rôle de catalyseur dans la réalisation des Objectifs du Millénaire pour le développement. En 2012, la </w:t>
      </w:r>
      <w:r w:rsidRPr="00023B55">
        <w:lastRenderedPageBreak/>
        <w:t>durabilité est devenue un thème central avec l'organisation de sessions consacrées à l'utilisation des TIC dans la gestion des catastrophes et la protection de l'environnement. L'édition de 2013 a mis l'accent sur la maîtrise des outils numériques, le multilinguisme et la diversité culturelle, et jeté les bases de la Manifestation phare de haut niveau SMSI+10 de 2014. Cette réunion spéciale a permis de passer en revue les progrès accomplis par le SMSI pendant dix ans et de définir une vision pour l'avenir. En 2015, le Forum s'est aligné sur les Objectifs de développement durable (ODD) nouvellement adoptés et a présenté le Tableau de correspondance SMSI-ODD afin de mettre en correspondance les grandes orientations et les cibles mondiales de développement. Au cours des années suivantes, de 2016 à 2018, cet alignement a été renforcé avec la présentation de solutions TIC pour l'éducation, la santé, l'égalité des sexes et l'infrastructure numérique.</w:t>
      </w:r>
    </w:p>
    <w:p w14:paraId="1583BDB9" w14:textId="77777777" w:rsidR="0039632C" w:rsidRPr="00023B55" w:rsidRDefault="0039632C" w:rsidP="00C87007">
      <w:pPr>
        <w:jc w:val="both"/>
      </w:pPr>
      <w:r w:rsidRPr="00023B55">
        <w:t>Depuis 2019, le Forum du SMSI met davantage l'accent sur la transformation numérique inclusive et la coopération internationale. L'édition de 2019 a insisté sur le rôle des TIC dans l'accélération de la mise en œuvre des ODD, tandis que le Forum de 2020, qui s'est tenu virtuellement en raison de la pandémie de COVID-19, a mis en lumière le rôle essentiel des technologies numériques dans la réponse et la résilience aux crises. En 2021, le Forum s'est penché sur la reprise post-pandémie, en mettant l'accent sur l'équité numérique et la résilience des infrastructures. Les éditions de 2022 et 2023 ont tiré parti de cette dynamique en se concentrant sur le bien-être, l'inclusion, l'innovation et la confiance numérique. La manifestation de haut niveau du Forum SMSI+20 tenue en 2024 a constitué un cadre préparatoire à l'examen des vingt ans et a accordé une place importante à la prochaine phase d'accélération de la coopération. À l'avenir, la manifestation de haut niveau SMSI+20 de 2025 célébrera les vingt ans du processus du SMSI, évaluera les progrès accomplis dans le monde et tracera une nouvelle voie vers un développement numérique inclusif, conformément à l'évolution du programme numérique mondial.</w:t>
      </w:r>
    </w:p>
    <w:p w14:paraId="7A12190D" w14:textId="77777777" w:rsidR="0039632C" w:rsidRPr="00023B55" w:rsidRDefault="0039632C" w:rsidP="00C87007">
      <w:pPr>
        <w:jc w:val="both"/>
      </w:pPr>
      <w:r w:rsidRPr="00023B55">
        <w:t>Il convient de reconnaître que chaque Forum du SMSI a constitué bien plus qu'un simple thème ou titre. Chaque édition se caractérisait par un ensemble riche de sessions, de formats et d'interactions entre les parties prenantes, allant des dialogues politiques de haut niveau aux tables rondes ministérielles en passant par des présentations d'innovations locales, des hackathons ou des initiatives menées par des jeunes. Les centaines de sessions tenues chaque année, la participation de milliers de parties prenantes de plus de 160 pays et la contribution de plus de 40 institutions des Nations Unies ont permis au Forum d'aborder un large éventail de sujets, allant de l'éthique de l'IA à l'accessibilité numérique aux systèmes de connaissances autochtones en passant par la cybersécurité et l'infrastructure publique numérique. La force du Forum réside dans sa capacité d'adaptation et son caractère inclusif, qui garantissent un traitement en temps réel des sujets émergents et une prise en compte de tous les points de vue. Si les résumés mettent souvent en relief certains thèmes, ils ne suffisent pas à rendre pleinement compte de l'ampleur, de la diversité et de la profondeur des contributions du Forum du SMSI au développement du numérique dans le monde.</w:t>
      </w:r>
    </w:p>
    <w:p w14:paraId="2358066E" w14:textId="77777777" w:rsidR="0039632C" w:rsidRPr="00023B55" w:rsidRDefault="0039632C" w:rsidP="00C87007">
      <w:pPr>
        <w:pStyle w:val="Heading2"/>
        <w:jc w:val="both"/>
      </w:pPr>
      <w:r w:rsidRPr="00023B55">
        <w:t>Manifestation de haut niveau du Forum SMSI+20 de 2024</w:t>
      </w:r>
    </w:p>
    <w:p w14:paraId="02FB636F" w14:textId="77777777" w:rsidR="0039632C" w:rsidRPr="00023B55" w:rsidRDefault="0039632C" w:rsidP="00C87007">
      <w:pPr>
        <w:jc w:val="both"/>
      </w:pPr>
      <w:r w:rsidRPr="00023B55">
        <w:t>La manifestation de haut niveau du Forum SMSI+20 de 2024 a donné l'occasion aux parties prenantes de discuter des progrès accomplis, d'échanger des bonnes pratiques et de produire des résultats concrets.</w:t>
      </w:r>
    </w:p>
    <w:p w14:paraId="01225904" w14:textId="77777777" w:rsidR="0039632C" w:rsidRPr="00023B55" w:rsidRDefault="0039632C" w:rsidP="00C87007">
      <w:pPr>
        <w:jc w:val="both"/>
      </w:pPr>
      <w:r w:rsidRPr="00023B55">
        <w:t>Les principaux enseignements de la manifestation de 2024 sont les suivants:</w:t>
      </w:r>
    </w:p>
    <w:p w14:paraId="1DBDB112" w14:textId="77777777" w:rsidR="0039632C" w:rsidRPr="00023B55" w:rsidRDefault="0039632C" w:rsidP="00C87007">
      <w:pPr>
        <w:jc w:val="both"/>
      </w:pPr>
      <w:r w:rsidRPr="00023B55">
        <w:rPr>
          <w:b/>
          <w:bCs/>
        </w:rPr>
        <w:lastRenderedPageBreak/>
        <w:t>Résultats concrets</w:t>
      </w:r>
      <w:r w:rsidRPr="00023B55">
        <w:t>: les manifestations de ce type visent à orienter les futures initiatives du SMSI, en particulier dans un contexte où les technologies et les priorités politiques continuent d'évoluer rapidement.</w:t>
      </w:r>
    </w:p>
    <w:p w14:paraId="113EB602" w14:textId="77777777" w:rsidR="0039632C" w:rsidRPr="00023B55" w:rsidRDefault="0039632C" w:rsidP="00C87007">
      <w:pPr>
        <w:jc w:val="both"/>
      </w:pPr>
      <w:r w:rsidRPr="00023B55">
        <w:rPr>
          <w:b/>
          <w:bCs/>
        </w:rPr>
        <w:t>Perspectives ministérielles</w:t>
      </w:r>
      <w:r w:rsidRPr="00023B55">
        <w:t>: les tables rondes ministérielles offriront des perspectives de haut niveau sur les défis et les possibilités que présente l'environnement numérique, et les discussions éclaireront l'élaboration des politiques et la planification stratégique.</w:t>
      </w:r>
    </w:p>
    <w:p w14:paraId="2DD93372" w14:textId="77777777" w:rsidR="0039632C" w:rsidRPr="00023B55" w:rsidRDefault="0039632C" w:rsidP="00C87007">
      <w:pPr>
        <w:jc w:val="both"/>
      </w:pPr>
      <w:r w:rsidRPr="00023B55">
        <w:rPr>
          <w:b/>
          <w:bCs/>
        </w:rPr>
        <w:t>Résumés des présidents</w:t>
      </w:r>
      <w:r w:rsidRPr="00023B55">
        <w:t xml:space="preserve">: les résumés des présidents des conférences rendent compte des points importants des discussions de haut niveau et constituent une ressource précieuse permettant aux parties prenantes de comprendre les progrès accomplis pour l'heure et les prochaines étapes du processus du SMSI. </w:t>
      </w:r>
      <w:hyperlink r:id="rId255" w:history="1">
        <w:r w:rsidRPr="00023B55">
          <w:rPr>
            <w:rStyle w:val="Hyperlink"/>
            <w:rFonts w:eastAsia="Times New Roman" w:cs="Times New Roman"/>
            <w:szCs w:val="20"/>
          </w:rPr>
          <w:t>Édition de 2024 de la manifestation de haut niveau du Forum SMSI+20: résumé du Président</w:t>
        </w:r>
      </w:hyperlink>
      <w:r w:rsidRPr="00023B55">
        <w:t>.</w:t>
      </w:r>
    </w:p>
    <w:p w14:paraId="00976DE7" w14:textId="77777777" w:rsidR="0039632C" w:rsidRPr="00023B55" w:rsidRDefault="0039632C" w:rsidP="00C87007">
      <w:pPr>
        <w:jc w:val="both"/>
      </w:pPr>
      <w:r w:rsidRPr="00023B55">
        <w:t>L'édition de 2024 de cette manifestation de haut niveau a été accueillie par l'UIT et la Confédération suisse, et organisée conjointement avec l'UNESCO, le PNUD et la CNUCED. Elle s'est tenue du 27 au 31 mai 2024 à Genève (Suisse), des sessions ayant eu lieu du lundi au mercredi au Centre international de conférences de Genève (CICG) et le jeudi et le vendredi au siège de l'UIT.</w:t>
      </w:r>
    </w:p>
    <w:p w14:paraId="4C5FEBB4" w14:textId="77777777" w:rsidR="0039632C" w:rsidRPr="00023B55" w:rsidRDefault="0039632C" w:rsidP="00C87007">
      <w:pPr>
        <w:jc w:val="both"/>
      </w:pPr>
      <w:r w:rsidRPr="00023B55">
        <w:t>Dans la perspective de l'examen des vingt ans du SMSI effectué par l'Assemblée générale des Nations Unies, la manifestation de haut niveau du Forum SMSI+20 a constitué un cadre d'échanges multi-parties prenantes et un moteur d'action. Les participants à la manifestation ont fait le point sur les réalisations obtenues, les principales tendances rencontrés et les défis surmontés depuis l'adoption du Plan d'action de Genève de 2003. Cette manifestation a donné l'occasion aux acteurs de la communauté internationale d'évaluer les possibilités de coopération numérique mondiale et d'unir leurs forces au service d'une vision commune tournée vers l'avenir et redynamisée, contribuant ainsi à éclairer l'examen d'ensemble du SMSI+20 mené par l'Assemblée générale des Nations Unies.</w:t>
      </w:r>
    </w:p>
    <w:p w14:paraId="16E2441B" w14:textId="77777777" w:rsidR="0039632C" w:rsidRPr="00023B55" w:rsidRDefault="0039632C" w:rsidP="00C87007">
      <w:pPr>
        <w:jc w:val="both"/>
      </w:pPr>
      <w:r w:rsidRPr="00023B55">
        <w:t>La manifestation de haut niveau a rassemblé plus de 4 000 participants sur place et en ligne, dont près de 80 ministres, vice-ministres et directeurs d'autorités de régulation. Elle a réuni des représentants de 160 pays, dont plus de 500 participants de haut niveau ayant pris part à quelque 200 sessions où sont intervenus plus de 100 orateurs.</w:t>
      </w:r>
    </w:p>
    <w:p w14:paraId="015B6FC4" w14:textId="77777777" w:rsidR="0039632C" w:rsidRPr="00023B55" w:rsidRDefault="0039632C" w:rsidP="00C87007">
      <w:pPr>
        <w:jc w:val="both"/>
      </w:pPr>
      <w:r w:rsidRPr="00023B55">
        <w:t>La manifestation, qui a duré cinq jours, a rassemblé de multiples parties prenantes, notamment des représentants des pouvoirs publics, du secteur privé, du monde universitaire, de la communauté technique et de la société civile. Elle a porté sur de nombreux thèmes, dont les technologies émergentes, le SMSI+20, l'inclusion numérique, les processus de gouvernance numérique, le Pacte numérique mondial, le Sommet de l'avenir, la santé numérique, la connectivité universelle, la transformation numérique durable, la cybersécurité, l'infrastructure publique numérique, et bien d'autres encore.</w:t>
      </w:r>
    </w:p>
    <w:p w14:paraId="2BDB6F45" w14:textId="77777777" w:rsidR="0039632C" w:rsidRPr="00023B55" w:rsidRDefault="0039632C" w:rsidP="00C87007">
      <w:pPr>
        <w:jc w:val="both"/>
      </w:pPr>
      <w:r w:rsidRPr="00023B55">
        <w:t>L'édition de 2024 de la manifestation de haut niveau SMSI+20 était présidée par S. E. M. Albert Rösti, Conseiller fédéral du Département fédéral de l'environnement, des transports, de l'énergie et de la communication (DETEC) de la Suisse. Lors de la cérémonie de clôture, le Président du Forum SMSI+20 a présenté son résumé, dans lequel il a synthétisé les discussions de son point de vue et mis en avant les principales idées et orientations futures qui se dégagent de la manifestation.</w:t>
      </w:r>
    </w:p>
    <w:p w14:paraId="1C488555" w14:textId="77777777" w:rsidR="0039632C" w:rsidRPr="00023B55" w:rsidRDefault="0039632C" w:rsidP="00C87007">
      <w:pPr>
        <w:jc w:val="both"/>
      </w:pPr>
      <w:r w:rsidRPr="00023B55">
        <w:t>Édition de 2024 de la manifestation de haut niveau du Forum SMSI+20: documents finals.</w:t>
      </w:r>
    </w:p>
    <w:p w14:paraId="252FD600" w14:textId="77777777" w:rsidR="0039632C" w:rsidRPr="00023B55" w:rsidRDefault="0039632C" w:rsidP="00C87007">
      <w:pPr>
        <w:pStyle w:val="enumlev1"/>
        <w:jc w:val="both"/>
      </w:pPr>
      <w:r w:rsidRPr="00023B55">
        <w:t>–</w:t>
      </w:r>
      <w:r w:rsidRPr="00023B55">
        <w:tab/>
      </w:r>
      <w:hyperlink r:id="rId256" w:history="1">
        <w:r w:rsidRPr="00023B55">
          <w:rPr>
            <w:rStyle w:val="Hyperlink"/>
            <w:rFonts w:eastAsia="Times New Roman" w:cs="Times New Roman"/>
            <w:szCs w:val="20"/>
          </w:rPr>
          <w:t>Édition de 2024 de la manifestation de haut niveau du Forum SMSI+20: résumé du Président</w:t>
        </w:r>
      </w:hyperlink>
    </w:p>
    <w:p w14:paraId="37317E1A" w14:textId="77777777" w:rsidR="0039632C" w:rsidRPr="00023B55" w:rsidRDefault="0039632C" w:rsidP="00C87007">
      <w:pPr>
        <w:pStyle w:val="enumlev1"/>
        <w:jc w:val="both"/>
      </w:pPr>
      <w:r w:rsidRPr="00023B55">
        <w:lastRenderedPageBreak/>
        <w:t>–</w:t>
      </w:r>
      <w:r w:rsidRPr="00023B55">
        <w:tab/>
      </w:r>
      <w:hyperlink r:id="rId257" w:history="1">
        <w:r w:rsidRPr="00023B55">
          <w:rPr>
            <w:rStyle w:val="Hyperlink"/>
            <w:rFonts w:eastAsia="Times New Roman" w:cs="Times New Roman"/>
            <w:szCs w:val="20"/>
          </w:rPr>
          <w:t>Édition de 2024 de la manifestation de haut niveau du Forum SMSI+20: document final</w:t>
        </w:r>
      </w:hyperlink>
    </w:p>
    <w:p w14:paraId="00BF8134" w14:textId="77777777" w:rsidR="0039632C" w:rsidRPr="00023B55" w:rsidRDefault="0039632C" w:rsidP="00C87007">
      <w:pPr>
        <w:pStyle w:val="enumlev1"/>
        <w:jc w:val="both"/>
      </w:pPr>
      <w:r w:rsidRPr="00023B55">
        <w:t>–</w:t>
      </w:r>
      <w:r w:rsidRPr="00023B55">
        <w:tab/>
      </w:r>
      <w:hyperlink r:id="rId258" w:history="1">
        <w:r w:rsidRPr="00023B55">
          <w:rPr>
            <w:rStyle w:val="Hyperlink"/>
            <w:rFonts w:eastAsia="Times New Roman" w:cs="Times New Roman"/>
            <w:szCs w:val="20"/>
          </w:rPr>
          <w:t>Manifestation de haut niveau du Forum SMSI+20 de 2024: résultats et synthèse de haut niveau</w:t>
        </w:r>
      </w:hyperlink>
    </w:p>
    <w:p w14:paraId="4DCC6A47" w14:textId="77777777" w:rsidR="0039632C" w:rsidRPr="00023B55" w:rsidRDefault="0039632C" w:rsidP="00C87007">
      <w:pPr>
        <w:pStyle w:val="enumlev1"/>
        <w:jc w:val="both"/>
      </w:pPr>
      <w:r w:rsidRPr="00023B55">
        <w:t>–</w:t>
      </w:r>
      <w:r w:rsidRPr="00023B55">
        <w:tab/>
      </w:r>
      <w:hyperlink r:id="rId259" w:history="1">
        <w:r w:rsidRPr="00023B55">
          <w:rPr>
            <w:rStyle w:val="Hyperlink"/>
            <w:rFonts w:eastAsia="Times New Roman" w:cs="Times New Roman"/>
            <w:szCs w:val="20"/>
          </w:rPr>
          <w:t>Rapport 2024 sur l'inventaire des activités du SMSI</w:t>
        </w:r>
      </w:hyperlink>
    </w:p>
    <w:p w14:paraId="3615FD16" w14:textId="77777777" w:rsidR="0039632C" w:rsidRPr="00023B55" w:rsidRDefault="0039632C" w:rsidP="00C87007">
      <w:pPr>
        <w:pStyle w:val="enumlev1"/>
        <w:jc w:val="both"/>
      </w:pPr>
      <w:r w:rsidRPr="00023B55">
        <w:t>–</w:t>
      </w:r>
      <w:r w:rsidRPr="00023B55">
        <w:tab/>
      </w:r>
      <w:hyperlink r:id="rId260" w:history="1">
        <w:r w:rsidRPr="00023B55">
          <w:rPr>
            <w:rStyle w:val="Hyperlink"/>
            <w:rFonts w:eastAsia="Times New Roman" w:cs="Times New Roman"/>
            <w:szCs w:val="20"/>
          </w:rPr>
          <w:t>Exemples de réussite dans le cadre de l'inventaire 2024 des activités du SMSI</w:t>
        </w:r>
      </w:hyperlink>
    </w:p>
    <w:p w14:paraId="049B0B63" w14:textId="77777777" w:rsidR="0039632C" w:rsidRPr="00023B55" w:rsidRDefault="0039632C" w:rsidP="00C87007">
      <w:pPr>
        <w:pStyle w:val="Heading2"/>
        <w:jc w:val="both"/>
      </w:pPr>
      <w:r w:rsidRPr="00023B55">
        <w:t>Manifestation de haut niveau SMSI+20 de 2025</w:t>
      </w:r>
    </w:p>
    <w:p w14:paraId="4B109900" w14:textId="77777777" w:rsidR="0039632C" w:rsidRPr="00023B55" w:rsidRDefault="0039632C" w:rsidP="00C87007">
      <w:pPr>
        <w:jc w:val="both"/>
      </w:pPr>
      <w:r w:rsidRPr="00023B55">
        <w:t xml:space="preserve">Par sa </w:t>
      </w:r>
      <w:hyperlink r:id="rId261" w:history="1">
        <w:r w:rsidRPr="00023B55">
          <w:rPr>
            <w:rStyle w:val="Hyperlink"/>
            <w:rFonts w:eastAsia="Times New Roman" w:cs="Times New Roman"/>
            <w:szCs w:val="20"/>
          </w:rPr>
          <w:t>Résolution 1332</w:t>
        </w:r>
      </w:hyperlink>
      <w:r w:rsidRPr="00023B55">
        <w:t xml:space="preserve"> sur le rôle de l'UIT dans la mise en œuvre des résultats du SMSI et du Programme de développement durable à l'horizon 2030, le Conseil de l'UIT a décidé, à sa session de 2024, que le Forum 2025 du SMSI devrait être présenté comme la </w:t>
      </w:r>
      <w:hyperlink r:id="rId262" w:history="1">
        <w:r w:rsidRPr="00023B55">
          <w:rPr>
            <w:rStyle w:val="Hyperlink"/>
            <w:rFonts w:eastAsia="Times New Roman" w:cs="Times New Roman"/>
            <w:szCs w:val="20"/>
          </w:rPr>
          <w:t>manifestation de haut niveau du Forum SMSI+20 de 2025</w:t>
        </w:r>
      </w:hyperlink>
      <w:r w:rsidRPr="00023B55">
        <w:t>.</w:t>
      </w:r>
    </w:p>
    <w:p w14:paraId="56CA6C24" w14:textId="77777777" w:rsidR="0039632C" w:rsidRPr="00023B55" w:rsidRDefault="0039632C" w:rsidP="00C87007">
      <w:pPr>
        <w:jc w:val="both"/>
      </w:pPr>
      <w:r w:rsidRPr="00023B55">
        <w:t xml:space="preserve">La manifestation sera accueillie conjointement par l'UIT et la Confédération suisse et organisée conjointement par l'UIT, l'UNESCO, le PNUD et la CNUCED, en collaboration avec les autres coordonnateurs des grandes orientations du SMSI et d'autres organisations du système des Nations Unies. Elle aura lieu du </w:t>
      </w:r>
      <w:r w:rsidRPr="00023B55">
        <w:rPr>
          <w:b/>
          <w:bCs/>
        </w:rPr>
        <w:t>7 au 11 juillet 2025</w:t>
      </w:r>
      <w:r w:rsidRPr="00023B55">
        <w:t xml:space="preserve"> à Palexpo à Genève (Suisse). Cette manifestation marquera une étape importante des vingt années de mise en œuvre du processus du SMSI et de ses grandes orientations, à savoir l'examen SMSI+20, qui permettra de dresser un bilan des réalisations obtenues, des principales tendances rencontrées, des défis surmontés et des perspectives offertes depuis l'adoption du Plan d'action de Genève.</w:t>
      </w:r>
    </w:p>
    <w:p w14:paraId="2EA3846F" w14:textId="77777777" w:rsidR="0039632C" w:rsidRPr="00023B55" w:rsidRDefault="0039632C" w:rsidP="00C87007">
      <w:pPr>
        <w:jc w:val="both"/>
      </w:pPr>
      <w:r w:rsidRPr="00023B55">
        <w:t>Le Président désigné pour cette manifestation est S. E. M. Solly Malatsi, Ministre des communications et des technologies numériques de la République sudafricaine.</w:t>
      </w:r>
    </w:p>
    <w:p w14:paraId="521C6A9E" w14:textId="77777777" w:rsidR="0039632C" w:rsidRPr="00023B55" w:rsidRDefault="0039632C" w:rsidP="00C87007">
      <w:pPr>
        <w:jc w:val="both"/>
      </w:pPr>
      <w:r w:rsidRPr="00023B55">
        <w:t>La manifestation se tiendra en même temps que le Sommet mondial sur l'intelligence artificielle au service du bien social. Les synergies entre ces deux manifestations seront exploitées pour offrir des perspectives complémentaires sur des sujets liés aux technologies émergentes et au numérique au service du développement.</w:t>
      </w:r>
    </w:p>
    <w:p w14:paraId="27331680" w14:textId="77777777" w:rsidR="0039632C" w:rsidRPr="00023B55" w:rsidRDefault="0039632C" w:rsidP="00C87007">
      <w:pPr>
        <w:pStyle w:val="Heading1"/>
        <w:jc w:val="both"/>
      </w:pPr>
      <w:bookmarkStart w:id="21" w:name="_Toc200377672"/>
      <w:r w:rsidRPr="00023B55">
        <w:t>La route vers 2030 et au-delà</w:t>
      </w:r>
      <w:bookmarkEnd w:id="21"/>
    </w:p>
    <w:p w14:paraId="6DF303F0" w14:textId="77777777" w:rsidR="0039632C" w:rsidRPr="00023B55" w:rsidRDefault="0039632C" w:rsidP="00C87007">
      <w:pPr>
        <w:jc w:val="both"/>
      </w:pPr>
      <w:r w:rsidRPr="00023B55">
        <w:t>Le Forum du SMSI peut continuer de servir de catalyseur pour l'innovation, la collaboration et l'élaboration de politiques dans les années à venir. Parmi les priorités à venir figurent notamment les efforts en faveur de la connectivité sur le dernier kilomètre, de la maîtrise des outils numériques, de l'accès financièrement abordable et des possibilités concrètes offertes par le numérique à tout un chacun, en particulier dans les communautés mal desservies et marginalisées.</w:t>
      </w:r>
    </w:p>
    <w:p w14:paraId="1EEB0D6B" w14:textId="77777777" w:rsidR="0039632C" w:rsidRPr="00023B55" w:rsidRDefault="0039632C" w:rsidP="00C87007">
      <w:pPr>
        <w:jc w:val="both"/>
      </w:pPr>
      <w:r w:rsidRPr="00023B55">
        <w:t>Le Forum du SMSI peut également encourager une coopération plus forte en vue de créer des cadres de cybersécurité robustes et de protéger l'infrastructure et les données numériques. Le dialogue et la collaboration dans le cadre du processus du SMSI demeurent des atouts essentiels pour bâtir un avenir numérique pour tous.</w:t>
      </w:r>
    </w:p>
    <w:p w14:paraId="3A6E85D5" w14:textId="77777777" w:rsidR="0039632C" w:rsidRPr="00023B55" w:rsidRDefault="0039632C" w:rsidP="00C87007">
      <w:pPr>
        <w:pStyle w:val="Heading1"/>
        <w:jc w:val="both"/>
      </w:pPr>
      <w:bookmarkStart w:id="22" w:name="_Toc200377673"/>
      <w:r w:rsidRPr="00023B55">
        <w:t>Inventaire des activités du SMSI</w:t>
      </w:r>
      <w:bookmarkEnd w:id="22"/>
    </w:p>
    <w:p w14:paraId="3D110C8D" w14:textId="77777777" w:rsidR="0039632C" w:rsidRPr="00023B55" w:rsidRDefault="0039632C" w:rsidP="00C87007">
      <w:pPr>
        <w:jc w:val="both"/>
      </w:pPr>
      <w:r w:rsidRPr="00023B55">
        <w:t>L'UIT suit de près les initiatives technologiques menées dans le monde et identifie celles qui réalisent des percées au service du développement durable.</w:t>
      </w:r>
    </w:p>
    <w:p w14:paraId="521B64B3" w14:textId="77777777" w:rsidR="0039632C" w:rsidRPr="00023B55" w:rsidRDefault="0039632C" w:rsidP="00C87007">
      <w:pPr>
        <w:jc w:val="both"/>
      </w:pPr>
      <w:r w:rsidRPr="00023B55">
        <w:t xml:space="preserve">Conformément à l'Agenda de Tunis, l'UIT tient à jour la base de données de l'inventaire des activités du SMSI, qui rassemble des informations sur les initiatives et projets dans le domaine des TIC. Le processus d'inventaire des activités du SMSI est devenu un répertoire international </w:t>
      </w:r>
      <w:r w:rsidRPr="00023B55">
        <w:lastRenderedPageBreak/>
        <w:t>de plus de 15 000 entrées donnant des informations précieuses sur les tendances de développement des TIC et les bonnes pratiques.</w:t>
      </w:r>
    </w:p>
    <w:p w14:paraId="7FF2FAF2" w14:textId="77777777" w:rsidR="0039632C" w:rsidRPr="00023B55" w:rsidRDefault="0039632C" w:rsidP="00C87007">
      <w:pPr>
        <w:jc w:val="both"/>
      </w:pPr>
      <w:r w:rsidRPr="00023B55">
        <w:t>En complément de cette base de données, le concours annuel des Prix du SMSI, lancé en 2012, récompense l'excellence dans la mise en œuvre de projets liés aux TIC qui contribuent à la réalisation des objectifs du processus du SMSI.</w:t>
      </w:r>
    </w:p>
    <w:p w14:paraId="2792008A" w14:textId="77777777" w:rsidR="0039632C" w:rsidRPr="00023B55" w:rsidRDefault="0039632C" w:rsidP="00C87007">
      <w:pPr>
        <w:pStyle w:val="Headingb"/>
        <w:jc w:val="both"/>
      </w:pPr>
      <w:r w:rsidRPr="00023B55">
        <w:t>À propos de la base de données</w:t>
      </w:r>
    </w:p>
    <w:p w14:paraId="272B73E5" w14:textId="77777777" w:rsidR="0039632C" w:rsidRPr="00023B55" w:rsidRDefault="0039632C" w:rsidP="00C87007">
      <w:pPr>
        <w:jc w:val="both"/>
      </w:pPr>
      <w:r w:rsidRPr="00023B55">
        <w:t>La base de données de l'inventaire des activités du SMSI constitue une ressource précieuse pour décrire et faire connaître les projets et initiatives numériques, ainsi que pour les évaluer au regard des grandes orientations du SMSI. La base de données encourage donc la coopération, l'investissement et le partage de connaissances, tandis que les initiatives bien établies témoignent du pouvoir de transformation des TIC dans divers secteurs et soulignent l'importance de mener des efforts constants pour mettre les technologies numériques au service du développement durable.</w:t>
      </w:r>
    </w:p>
    <w:p w14:paraId="4909CFCA" w14:textId="77777777" w:rsidR="0039632C" w:rsidRPr="00023B55" w:rsidRDefault="0039632C" w:rsidP="00C87007">
      <w:pPr>
        <w:jc w:val="both"/>
      </w:pPr>
      <w:r w:rsidRPr="00023B55">
        <w:t>Élaboré et tenu à jour par l'UIT, ce répertoire exhaustif donne des informations précieuses sur les progrès accomplis dans la mise en œuvre des grandes orientations du SMSI et met en lumière les projets réussis qui contribuent au développement du numérique dans le monde.</w:t>
      </w:r>
    </w:p>
    <w:p w14:paraId="187549AF" w14:textId="77777777" w:rsidR="0039632C" w:rsidRPr="00023B55" w:rsidRDefault="0039632C" w:rsidP="00C87007">
      <w:pPr>
        <w:jc w:val="both"/>
      </w:pPr>
      <w:r w:rsidRPr="00023B55">
        <w:t>Depuis sa création en 2004, la base de données sur l'inventaire des activités du SMSI s'est étoffée pour couvrir un large éventail d'initiatives liées aux TIC. Les plus de 15 000 entrées sont classées en fonction des 11 grandes orientations du SMSI et des 17 ODD, offrant ainsi un cadre clair pour évaluer l'incidence des TIC sur le développement durable.</w:t>
      </w:r>
    </w:p>
    <w:p w14:paraId="6698751F" w14:textId="77777777" w:rsidR="0039632C" w:rsidRPr="00023B55" w:rsidRDefault="0039632C" w:rsidP="00C87007">
      <w:pPr>
        <w:jc w:val="both"/>
      </w:pPr>
      <w:r w:rsidRPr="00023B55">
        <w:t>La base de données sur l'inventaire des activités du SMSI offre ce qui suit:</w:t>
      </w:r>
    </w:p>
    <w:p w14:paraId="01D20919" w14:textId="77777777" w:rsidR="0039632C" w:rsidRPr="00023B55" w:rsidRDefault="0039632C" w:rsidP="00C87007">
      <w:pPr>
        <w:pStyle w:val="enumlev1"/>
        <w:jc w:val="both"/>
      </w:pPr>
      <w:r w:rsidRPr="00023B55">
        <w:t>–</w:t>
      </w:r>
      <w:r w:rsidRPr="00023B55">
        <w:tab/>
      </w:r>
      <w:r w:rsidRPr="00023B55">
        <w:rPr>
          <w:b/>
          <w:bCs/>
        </w:rPr>
        <w:t>Couverture complète</w:t>
      </w:r>
      <w:r w:rsidRPr="00023B55">
        <w:t>: la base de données comprend un large éventail de projets, allant d'initiatives nationales à grande échelle à des initiatives communautaires. Grâce à cette couverture complète, la base de données illustre l'ensemble des activités liées aux TIC dans le monde.</w:t>
      </w:r>
    </w:p>
    <w:p w14:paraId="71B3A798" w14:textId="77777777" w:rsidR="0039632C" w:rsidRPr="00023B55" w:rsidRDefault="0039632C" w:rsidP="00C87007">
      <w:pPr>
        <w:pStyle w:val="enumlev1"/>
        <w:jc w:val="both"/>
      </w:pPr>
      <w:r w:rsidRPr="00023B55">
        <w:t>–</w:t>
      </w:r>
      <w:r w:rsidRPr="00023B55">
        <w:tab/>
      </w:r>
      <w:r w:rsidRPr="00023B55">
        <w:rPr>
          <w:b/>
          <w:bCs/>
        </w:rPr>
        <w:t>Classement par grandes orientations et par ODD</w:t>
      </w:r>
      <w:r w:rsidRPr="00023B55">
        <w:t>: les projets étant classés en fonction des grandes orientations du SMSI et des ODD, il est facile d'identifier les initiatives alignées sur des buts et priorités précis.</w:t>
      </w:r>
    </w:p>
    <w:p w14:paraId="1431762C" w14:textId="77777777" w:rsidR="0039632C" w:rsidRPr="00023B55" w:rsidRDefault="0039632C" w:rsidP="00C87007">
      <w:pPr>
        <w:pStyle w:val="enumlev1"/>
        <w:jc w:val="both"/>
      </w:pPr>
      <w:r w:rsidRPr="00023B55">
        <w:t>–</w:t>
      </w:r>
      <w:r w:rsidRPr="00023B55">
        <w:tab/>
      </w:r>
      <w:r w:rsidRPr="00023B55">
        <w:rPr>
          <w:b/>
          <w:bCs/>
        </w:rPr>
        <w:t>Accessibilité et transparence</w:t>
      </w:r>
      <w:r w:rsidRPr="00023B55">
        <w:t>: la base de données est accessible au public, permettant ainsi aux parties prenantes de découvrir les projets enregistrés et d'en tirer des enseignements. Cette transparence favorise le partage de connaissances et incite à reproduire les initiatives menées avec succès.</w:t>
      </w:r>
    </w:p>
    <w:p w14:paraId="488F3B71" w14:textId="77777777" w:rsidR="0039632C" w:rsidRPr="00023B55" w:rsidRDefault="0039632C" w:rsidP="00C87007">
      <w:pPr>
        <w:jc w:val="both"/>
      </w:pPr>
      <w:r w:rsidRPr="00023B55">
        <w:t>La base de données présente des informations sur un large éventail de projets dans divers secteurs, notamment l'éducation, la santé, l'agriculture et la gouvernance.</w:t>
      </w:r>
    </w:p>
    <w:p w14:paraId="39E84680" w14:textId="77777777" w:rsidR="0039632C" w:rsidRPr="00023B55" w:rsidRDefault="0039632C" w:rsidP="00C87007">
      <w:pPr>
        <w:pStyle w:val="Heading1"/>
        <w:jc w:val="both"/>
      </w:pPr>
      <w:bookmarkStart w:id="23" w:name="_Toc200377674"/>
      <w:r w:rsidRPr="00023B55">
        <w:t>Prix du SMSI – Reconnaître et célébrer les bonnes pratiques</w:t>
      </w:r>
      <w:bookmarkEnd w:id="23"/>
    </w:p>
    <w:p w14:paraId="1EE57E49" w14:textId="77777777" w:rsidR="0039632C" w:rsidRPr="00023B55" w:rsidRDefault="0039632C" w:rsidP="00C87007">
      <w:pPr>
        <w:jc w:val="both"/>
      </w:pPr>
      <w:r w:rsidRPr="00023B55">
        <w:t xml:space="preserve">Le concours des Prix du SMSI, lancé en 2012, fait partie intégrante du processus d'inventaire des activités du SMSI. Il récompense l'excellence dans la mise en œuvre de projets et d'initiatives dans le domaine des TIC qui contribuent à la réalisation des objectifs du processus du SMSI. Avec plus de 5 000 projets et initiatives soumis, le concours a attiré des centaines de milliers de participants aux phases de soumission et de vote en ligne, et touché des millions de personnes à travers ses activités de promotion des résultats et de célébration des lauréats et des champions. Ces prix mettent en avant des projets menés avec succès qui ont contribué </w:t>
      </w:r>
      <w:r w:rsidRPr="00023B55">
        <w:lastRenderedPageBreak/>
        <w:t>de manière significative à la réalisation des grandes orientations du SMSI et des ODD, favorisant ainsi la reproduction des bonnes pratiques.</w:t>
      </w:r>
    </w:p>
    <w:p w14:paraId="652A6B91" w14:textId="77777777" w:rsidR="0039632C" w:rsidRPr="00023B55" w:rsidRDefault="0039632C" w:rsidP="00C87007">
      <w:pPr>
        <w:pStyle w:val="Heading1"/>
        <w:jc w:val="both"/>
      </w:pPr>
      <w:bookmarkStart w:id="24" w:name="_Toc200377675"/>
      <w:r w:rsidRPr="00023B55">
        <w:t>Partenariat sur la mesure des TIC au service du développement</w:t>
      </w:r>
      <w:bookmarkEnd w:id="24"/>
    </w:p>
    <w:p w14:paraId="276D8A98" w14:textId="77777777" w:rsidR="0039632C" w:rsidRPr="00023B55" w:rsidRDefault="0039632C" w:rsidP="00C87007">
      <w:pPr>
        <w:jc w:val="both"/>
      </w:pPr>
      <w:r w:rsidRPr="00023B55">
        <w:t>Le Partenariat sur la mesure des TIC au service du développement est une initiative internationale multi-parties prenantes lancée en 2004 afin d'améliorer la disponibilité et la qualité des données et des indicateurs sur les TIC, en particulier dans les pays en développement. L'initiative fait directement suite à la demande du SMSI tendant à ce que des statistiques officielles soient établies pour suivre l'évolution de la société de l'information.</w:t>
      </w:r>
    </w:p>
    <w:p w14:paraId="306AB8CB" w14:textId="77777777" w:rsidR="0039632C" w:rsidRPr="00023B55" w:rsidRDefault="0039632C" w:rsidP="00C87007">
      <w:pPr>
        <w:jc w:val="both"/>
      </w:pPr>
      <w:r w:rsidRPr="00023B55">
        <w:t>Le Partenariat a aidé les décideurs à produire des statistiques sur les TIC qui sont essentielles pour la prise de décisions éclairées, notamment en définissant une liste d'indicateurs de base sur les TIC et des méthodes de collecte de ces indicateurs. Il aide les pays en développement à recueillir des statistiques sur les TIC, notamment grâce au renforcement des capacités et à la formation pratique des offices nationaux de la statistique, et recueille et diffuse des statistiques sur la société de l'information.</w:t>
      </w:r>
    </w:p>
    <w:p w14:paraId="094019D8" w14:textId="77777777" w:rsidR="0039632C" w:rsidRPr="00023B55" w:rsidRDefault="0039632C" w:rsidP="00C87007">
      <w:pPr>
        <w:jc w:val="both"/>
      </w:pPr>
      <w:r w:rsidRPr="00023B55">
        <w:t>Le nombre d'organisations régionales et internationales membres a augmenté, en passant de 11 à 14. Les travaux menés dans le cadre du Partenariat sont coordonnés par un comité directeur, dont les membres sont élus tous les trois ans. Le comité directeur actuel est composé de l'UIT, de la CNUCED et du DAES.</w:t>
      </w:r>
    </w:p>
    <w:p w14:paraId="7B2C1BA1" w14:textId="77777777" w:rsidR="0039632C" w:rsidRPr="00023B55" w:rsidRDefault="0039632C" w:rsidP="00C87007">
      <w:pPr>
        <w:jc w:val="both"/>
      </w:pPr>
      <w:r w:rsidRPr="00023B55">
        <w:t>Le Groupe a présenté son "</w:t>
      </w:r>
      <w:hyperlink r:id="rId263" w:history="1">
        <w:r w:rsidRPr="00023B55">
          <w:rPr>
            <w:rStyle w:val="Hyperlink"/>
            <w:rFonts w:eastAsia="Times New Roman" w:cs="Times New Roman"/>
            <w:szCs w:val="20"/>
          </w:rPr>
          <w:t>Rapport du Partenariat sur la mesure des technologies de l'information et de la communication au service du développement</w:t>
        </w:r>
      </w:hyperlink>
      <w:r w:rsidRPr="00023B55">
        <w:t>" à la 55ème session de la Commission de statistique des Nations Unies tenue à New York du 27 février au 1er mars 2024. Dans ce rapport, le Partenariat donne un aperçu des travaux qu'il a entrepris depuis le dernier rapport établi en 2022 et examine le rôle des indicateurs des TIC dans le suivi de la progression vers les objectifs et cibles de développement.</w:t>
      </w:r>
    </w:p>
    <w:p w14:paraId="662CD71D" w14:textId="77777777" w:rsidR="0039632C" w:rsidRPr="00023B55" w:rsidRDefault="0039632C" w:rsidP="00C87007">
      <w:pPr>
        <w:pStyle w:val="Headingb"/>
        <w:jc w:val="both"/>
      </w:pPr>
      <w:r w:rsidRPr="00023B55">
        <w:t>Le Partenariat poursuit notamment les principaux objectifs suivants:</w:t>
      </w:r>
    </w:p>
    <w:p w14:paraId="61455577" w14:textId="77777777" w:rsidR="0039632C" w:rsidRPr="00023B55" w:rsidRDefault="0039632C" w:rsidP="00C87007">
      <w:pPr>
        <w:pStyle w:val="enumlev1"/>
        <w:jc w:val="both"/>
      </w:pPr>
      <w:r w:rsidRPr="00023B55">
        <w:t>–</w:t>
      </w:r>
      <w:r w:rsidRPr="00023B55">
        <w:tab/>
        <w:t>Améliorer la qualité et la comparabilité des données: le partenariat est axé sur l'élaboration de méthodes et de normes convenues au niveau international pour les statistiques sur les TIC. Cela permet de garantir que les données recueillies auprès de différents pays sont comparables et fiables et d'effectuer plus facilement une analyse et une évaluation comparative pertinentes.</w:t>
      </w:r>
    </w:p>
    <w:p w14:paraId="3BEC9F95" w14:textId="77777777" w:rsidR="0039632C" w:rsidRPr="00023B55" w:rsidRDefault="0039632C" w:rsidP="00C87007">
      <w:pPr>
        <w:pStyle w:val="enumlev1"/>
        <w:jc w:val="both"/>
      </w:pPr>
      <w:r w:rsidRPr="00023B55">
        <w:t>–</w:t>
      </w:r>
      <w:r w:rsidRPr="00023B55">
        <w:tab/>
        <w:t>Renforcer les capacités: des ateliers de renforcement des capacités et des programmes de formation sont organisés dans le cadre du Partenariat pour donner aux pays les moyens d'améliorer leurs pratiques en matière de collecte et de diffusion de données sur les TIC. Ces initiatives contribuent à renforcer les compétences et les connaissances techniques nécessaires à l'établissement de statistiques de qualité sur les TIC.</w:t>
      </w:r>
    </w:p>
    <w:p w14:paraId="7FB2D970" w14:textId="77777777" w:rsidR="0039632C" w:rsidRPr="00023B55" w:rsidRDefault="0039632C" w:rsidP="00C87007">
      <w:pPr>
        <w:pStyle w:val="enumlev1"/>
        <w:jc w:val="both"/>
      </w:pPr>
      <w:r w:rsidRPr="00023B55">
        <w:t>–</w:t>
      </w:r>
      <w:r w:rsidRPr="00023B55">
        <w:tab/>
        <w:t>Promouvoir l'utilisation des données: en encourageant l'utilisation des données sur les TIC dans le cadre de l'élaboration des politiques et de la planification du développement, le Partenariat contribue à faire en sorte que les décisions reposent sur des informations exactes et actualisées. Cela renforce l'efficacité des initiatives dans le domaine des TIC et va dans le sens des objectifs de développement durable.</w:t>
      </w:r>
    </w:p>
    <w:p w14:paraId="0B4C9461" w14:textId="77777777" w:rsidR="0039632C" w:rsidRPr="00023B55" w:rsidRDefault="0039632C" w:rsidP="00C87007">
      <w:pPr>
        <w:pStyle w:val="Headingb"/>
        <w:jc w:val="both"/>
      </w:pPr>
      <w:r w:rsidRPr="00023B55">
        <w:lastRenderedPageBreak/>
        <w:t>Comment l'UIT renforce le Partenariat</w:t>
      </w:r>
    </w:p>
    <w:p w14:paraId="13E4F5ED" w14:textId="77777777" w:rsidR="0039632C" w:rsidRPr="00023B55" w:rsidRDefault="0039632C" w:rsidP="00C87007">
      <w:pPr>
        <w:jc w:val="both"/>
      </w:pPr>
      <w:r w:rsidRPr="00023B55">
        <w:t>L'UIT est un membre actif du Partenariat sur la mesure des TIC au service du développement, a dirigé plusieurs groupes d'action du Partenariat et fait partie du comité directeur depuis le début.</w:t>
      </w:r>
    </w:p>
    <w:p w14:paraId="51BB50C6" w14:textId="77777777" w:rsidR="0039632C" w:rsidRPr="00023B55" w:rsidRDefault="0039632C" w:rsidP="00C87007">
      <w:pPr>
        <w:jc w:val="both"/>
      </w:pPr>
      <w:r w:rsidRPr="00023B55">
        <w:t>Parmi la liste principale des indicateurs identifiés par le Partenariat sur la mesure des TIC au service du développement, l'UIT est chargée de recueillir les indicateurs relatifs à l'infrastructure et à l'accès, ainsi que les indicateurs relatifs à l'accès aux TIC et à leur utilisation par les ménages et les particuliers. Afin d'améliorer la disponibilité et la comparabilité des données, l'UIT travaille en étroite collaboration avec ses États Membres, en particulier avec les ministères chargés des télécommunications, les organismes de régulation et les instituts nationaux de la statistique. L'UIT fournit une assistance technique visant à renforcer les capacités de ces instituts.</w:t>
      </w:r>
    </w:p>
    <w:p w14:paraId="1A16A74E" w14:textId="77777777" w:rsidR="0039632C" w:rsidRPr="00023B55" w:rsidRDefault="0039632C" w:rsidP="00C87007">
      <w:pPr>
        <w:jc w:val="both"/>
      </w:pPr>
      <w:r w:rsidRPr="00023B55">
        <w:t>L'Union propose également une formation en ligne sur le thème "</w:t>
      </w:r>
      <w:hyperlink r:id="rId264" w:anchor="/fr" w:history="1">
        <w:r w:rsidRPr="00023B55">
          <w:rPr>
            <w:rStyle w:val="Hyperlink"/>
            <w:rFonts w:eastAsia="Times New Roman" w:cs="Times New Roman"/>
            <w:szCs w:val="20"/>
          </w:rPr>
          <w:t>Mesurer le développement du numérique: indicateurs des télécommunications/TIC</w:t>
        </w:r>
      </w:hyperlink>
      <w:r w:rsidRPr="00023B55">
        <w:t>", disponible sur la plate-forme de l'Académie de l'UIT. La formation vise à renforcer la capacité des pays à produire des indicateurs et des statistiques sur les TIC conformément aux normes et méthodologies internationales. Elle présente les principaux groupes d'indicateurs des télécommunications/TIC recueillis et les différents questionnaires, ainsi que la définition et les méthodologies des indicateurs conformément au Guide de l'UIT pour la collecte des données administratives sur les télécommunications/TIC. Les exemples présentés traitent des lacunes en matière de données et des difficultés auxquelles sont confrontés les pays et proposent des solutions possibles.</w:t>
      </w:r>
    </w:p>
    <w:p w14:paraId="721D19F9" w14:textId="77777777" w:rsidR="0039632C" w:rsidRPr="00023B55" w:rsidRDefault="0039632C" w:rsidP="00C87007">
      <w:pPr>
        <w:pStyle w:val="Headingb"/>
        <w:jc w:val="both"/>
      </w:pPr>
      <w:r w:rsidRPr="00023B55">
        <w:t>Autres ressources importantes du module des données et des analyses sur les TIC de l'UIT</w:t>
      </w:r>
    </w:p>
    <w:p w14:paraId="617A5FF7" w14:textId="77777777" w:rsidR="0039632C" w:rsidRPr="00023B55" w:rsidRDefault="0039632C" w:rsidP="00C87007">
      <w:pPr>
        <w:pStyle w:val="enumlev1"/>
        <w:jc w:val="both"/>
      </w:pPr>
      <w:r w:rsidRPr="00023B55">
        <w:t>–</w:t>
      </w:r>
      <w:r w:rsidRPr="00023B55">
        <w:tab/>
      </w:r>
      <w:hyperlink r:id="rId265" w:history="1">
        <w:r w:rsidRPr="00023B55">
          <w:rPr>
            <w:rStyle w:val="Hyperlink"/>
            <w:rFonts w:eastAsia="Times New Roman" w:cs="Times New Roman"/>
            <w:szCs w:val="20"/>
          </w:rPr>
          <w:t>Page d'accueil des statistiques TIC</w:t>
        </w:r>
      </w:hyperlink>
    </w:p>
    <w:p w14:paraId="2EC05FF9" w14:textId="77777777" w:rsidR="0039632C" w:rsidRPr="00023B55" w:rsidRDefault="0039632C" w:rsidP="00C87007">
      <w:pPr>
        <w:pStyle w:val="enumlev1"/>
        <w:jc w:val="both"/>
      </w:pPr>
      <w:r w:rsidRPr="00023B55">
        <w:t>–</w:t>
      </w:r>
      <w:r w:rsidRPr="00023B55">
        <w:tab/>
      </w:r>
      <w:hyperlink r:id="rId266" w:history="1">
        <w:r w:rsidRPr="00023B55">
          <w:rPr>
            <w:rStyle w:val="Hyperlink"/>
            <w:rFonts w:eastAsia="Times New Roman" w:cs="Times New Roman"/>
            <w:szCs w:val="20"/>
          </w:rPr>
          <w:t>Centre de données de l'UIT</w:t>
        </w:r>
      </w:hyperlink>
    </w:p>
    <w:p w14:paraId="252E93BF" w14:textId="77777777" w:rsidR="0039632C" w:rsidRPr="00023B55" w:rsidRDefault="0039632C" w:rsidP="00C87007">
      <w:pPr>
        <w:pStyle w:val="enumlev1"/>
        <w:jc w:val="both"/>
      </w:pPr>
      <w:r w:rsidRPr="00023B55">
        <w:t>–</w:t>
      </w:r>
      <w:r w:rsidRPr="00023B55">
        <w:tab/>
      </w:r>
      <w:hyperlink r:id="rId267" w:history="1">
        <w:r w:rsidRPr="00023B55">
          <w:rPr>
            <w:rStyle w:val="Hyperlink"/>
            <w:rFonts w:eastAsia="Times New Roman" w:cs="Times New Roman"/>
            <w:szCs w:val="20"/>
          </w:rPr>
          <w:t>Statistiques</w:t>
        </w:r>
      </w:hyperlink>
    </w:p>
    <w:p w14:paraId="06E6DA63" w14:textId="77777777" w:rsidR="0039632C" w:rsidRPr="00023B55" w:rsidRDefault="0039632C" w:rsidP="00C87007">
      <w:pPr>
        <w:pStyle w:val="enumlev1"/>
        <w:jc w:val="both"/>
      </w:pPr>
      <w:r w:rsidRPr="00023B55">
        <w:t>–</w:t>
      </w:r>
      <w:r w:rsidRPr="00023B55">
        <w:tab/>
      </w:r>
      <w:hyperlink r:id="rId268" w:history="1">
        <w:r w:rsidRPr="00023B55">
          <w:rPr>
            <w:rStyle w:val="Hyperlink"/>
            <w:rFonts w:eastAsia="Times New Roman" w:cs="Times New Roman"/>
            <w:szCs w:val="20"/>
          </w:rPr>
          <w:t>Publications</w:t>
        </w:r>
      </w:hyperlink>
    </w:p>
    <w:p w14:paraId="6154ACD4" w14:textId="77777777" w:rsidR="0039632C" w:rsidRPr="00023B55" w:rsidRDefault="0039632C" w:rsidP="00C87007">
      <w:pPr>
        <w:pStyle w:val="enumlev1"/>
        <w:jc w:val="both"/>
      </w:pPr>
      <w:r w:rsidRPr="00023B55">
        <w:t>–</w:t>
      </w:r>
      <w:r w:rsidRPr="00023B55">
        <w:tab/>
      </w:r>
      <w:hyperlink r:id="rId269" w:history="1">
        <w:r w:rsidRPr="00023B55">
          <w:rPr>
            <w:rStyle w:val="Hyperlink"/>
            <w:rFonts w:eastAsia="Times New Roman" w:cs="Times New Roman"/>
            <w:szCs w:val="20"/>
          </w:rPr>
          <w:t>Définitions, normes et méthodologie</w:t>
        </w:r>
      </w:hyperlink>
    </w:p>
    <w:p w14:paraId="087728F2" w14:textId="77777777" w:rsidR="0039632C" w:rsidRPr="00023B55" w:rsidRDefault="0039632C" w:rsidP="00C87007">
      <w:pPr>
        <w:pStyle w:val="enumlev1"/>
        <w:jc w:val="both"/>
      </w:pPr>
      <w:r w:rsidRPr="00023B55">
        <w:t>–</w:t>
      </w:r>
      <w:r w:rsidRPr="00023B55">
        <w:tab/>
      </w:r>
      <w:hyperlink r:id="rId270" w:history="1">
        <w:r w:rsidRPr="00023B55">
          <w:rPr>
            <w:rStyle w:val="Hyperlink"/>
            <w:rFonts w:eastAsia="Times New Roman" w:cs="Times New Roman"/>
            <w:szCs w:val="20"/>
          </w:rPr>
          <w:t>Manifestations</w:t>
        </w:r>
      </w:hyperlink>
    </w:p>
    <w:p w14:paraId="5E6A7CEA" w14:textId="77777777" w:rsidR="0039632C" w:rsidRPr="00023B55" w:rsidRDefault="0039632C" w:rsidP="00C87007">
      <w:pPr>
        <w:pStyle w:val="enumlev1"/>
        <w:jc w:val="both"/>
      </w:pPr>
      <w:r w:rsidRPr="00023B55">
        <w:t>–</w:t>
      </w:r>
      <w:r w:rsidRPr="00023B55">
        <w:tab/>
      </w:r>
      <w:hyperlink r:id="rId271" w:history="1">
        <w:r w:rsidRPr="00023B55">
          <w:rPr>
            <w:rStyle w:val="Hyperlink"/>
            <w:rFonts w:eastAsia="Times New Roman" w:cs="Times New Roman"/>
            <w:szCs w:val="20"/>
          </w:rPr>
          <w:t>Coopération internationale</w:t>
        </w:r>
      </w:hyperlink>
    </w:p>
    <w:p w14:paraId="36471545" w14:textId="77777777" w:rsidR="0039632C" w:rsidRPr="00023B55" w:rsidRDefault="0039632C" w:rsidP="00C87007">
      <w:pPr>
        <w:pStyle w:val="enumlev1"/>
        <w:jc w:val="both"/>
      </w:pPr>
      <w:r w:rsidRPr="00023B55">
        <w:t>–</w:t>
      </w:r>
      <w:r w:rsidRPr="00023B55">
        <w:tab/>
      </w:r>
      <w:hyperlink r:id="rId272" w:history="1">
        <w:r w:rsidRPr="00023B55">
          <w:rPr>
            <w:rStyle w:val="Hyperlink"/>
            <w:rFonts w:eastAsia="Times New Roman" w:cs="Times New Roman"/>
            <w:szCs w:val="20"/>
          </w:rPr>
          <w:t>Renforcement des capacités</w:t>
        </w:r>
      </w:hyperlink>
    </w:p>
    <w:p w14:paraId="6007BFFF" w14:textId="77777777" w:rsidR="0039632C" w:rsidRPr="00023B55" w:rsidRDefault="0039632C" w:rsidP="00C87007">
      <w:pPr>
        <w:pStyle w:val="enumlev1"/>
        <w:jc w:val="both"/>
      </w:pPr>
      <w:r w:rsidRPr="00023B55">
        <w:t>–</w:t>
      </w:r>
      <w:r w:rsidRPr="00023B55">
        <w:tab/>
      </w:r>
      <w:hyperlink r:id="rId273" w:history="1">
        <w:r w:rsidRPr="00023B55">
          <w:rPr>
            <w:rStyle w:val="Hyperlink"/>
            <w:rFonts w:eastAsia="Times New Roman" w:cs="Times New Roman"/>
            <w:szCs w:val="20"/>
          </w:rPr>
          <w:t>Mégadonnées pour mesurer la société de l'information</w:t>
        </w:r>
      </w:hyperlink>
    </w:p>
    <w:p w14:paraId="245D81DD" w14:textId="77777777" w:rsidR="0039632C" w:rsidRPr="00023B55" w:rsidRDefault="0039632C" w:rsidP="00C87007">
      <w:pPr>
        <w:pStyle w:val="enumlev1"/>
        <w:jc w:val="both"/>
      </w:pPr>
      <w:r w:rsidRPr="00023B55">
        <w:t>–</w:t>
      </w:r>
      <w:r w:rsidRPr="00023B55">
        <w:tab/>
      </w:r>
      <w:hyperlink r:id="rId274" w:history="1">
        <w:r w:rsidRPr="00023B55">
          <w:rPr>
            <w:rStyle w:val="Hyperlink"/>
            <w:rFonts w:eastAsia="Times New Roman" w:cs="Times New Roman"/>
            <w:szCs w:val="20"/>
          </w:rPr>
          <w:t>Groupes d'experts</w:t>
        </w:r>
      </w:hyperlink>
    </w:p>
    <w:p w14:paraId="324BC82A" w14:textId="77777777" w:rsidR="0039632C" w:rsidRPr="00023B55" w:rsidRDefault="0039632C" w:rsidP="00C87007">
      <w:pPr>
        <w:pStyle w:val="enumlev1"/>
        <w:jc w:val="both"/>
      </w:pPr>
      <w:r w:rsidRPr="00023B55">
        <w:t>–</w:t>
      </w:r>
      <w:r w:rsidRPr="00023B55">
        <w:tab/>
      </w:r>
      <w:hyperlink r:id="rId275" w:history="1">
        <w:r w:rsidRPr="00023B55">
          <w:rPr>
            <w:rStyle w:val="Hyperlink"/>
            <w:rFonts w:eastAsia="Times New Roman" w:cs="Times New Roman"/>
            <w:szCs w:val="20"/>
          </w:rPr>
          <w:t>Prix des TIC</w:t>
        </w:r>
      </w:hyperlink>
    </w:p>
    <w:p w14:paraId="204AB4AC" w14:textId="77777777" w:rsidR="0039632C" w:rsidRPr="00023B55" w:rsidRDefault="0039632C" w:rsidP="00C87007">
      <w:pPr>
        <w:pStyle w:val="enumlev1"/>
        <w:jc w:val="both"/>
      </w:pPr>
      <w:r w:rsidRPr="00023B55">
        <w:t>–</w:t>
      </w:r>
      <w:r w:rsidRPr="00023B55">
        <w:tab/>
      </w:r>
      <w:hyperlink r:id="rId276" w:history="1">
        <w:r w:rsidRPr="00023B55">
          <w:rPr>
            <w:rStyle w:val="Hyperlink"/>
            <w:rFonts w:eastAsia="Times New Roman" w:cs="Times New Roman"/>
            <w:szCs w:val="20"/>
          </w:rPr>
          <w:t>Faits et chiffres sur les TIC</w:t>
        </w:r>
      </w:hyperlink>
    </w:p>
    <w:p w14:paraId="6D01F3E9" w14:textId="77777777" w:rsidR="0039632C" w:rsidRPr="00023B55" w:rsidRDefault="0039632C" w:rsidP="00C87007">
      <w:pPr>
        <w:pStyle w:val="enumlev1"/>
        <w:jc w:val="both"/>
      </w:pPr>
      <w:r w:rsidRPr="00023B55">
        <w:t>–</w:t>
      </w:r>
      <w:r w:rsidRPr="00023B55">
        <w:tab/>
      </w:r>
      <w:hyperlink r:id="rId277" w:history="1">
        <w:r w:rsidRPr="00023B55">
          <w:rPr>
            <w:rStyle w:val="Hyperlink"/>
            <w:rFonts w:eastAsia="Times New Roman" w:cs="Times New Roman"/>
            <w:szCs w:val="20"/>
          </w:rPr>
          <w:t>Indice de développement des TIC (IDI)</w:t>
        </w:r>
      </w:hyperlink>
    </w:p>
    <w:p w14:paraId="7EF73225" w14:textId="77777777" w:rsidR="0039632C" w:rsidRPr="00023B55" w:rsidRDefault="0039632C" w:rsidP="00C87007">
      <w:pPr>
        <w:pStyle w:val="enumlev1"/>
        <w:jc w:val="both"/>
      </w:pPr>
      <w:r w:rsidRPr="00023B55">
        <w:t>–</w:t>
      </w:r>
      <w:r w:rsidRPr="00023B55">
        <w:tab/>
      </w:r>
      <w:hyperlink r:id="rId278" w:history="1">
        <w:r w:rsidRPr="00023B55">
          <w:rPr>
            <w:rStyle w:val="Hyperlink"/>
            <w:rFonts w:eastAsia="Times New Roman" w:cs="Times New Roman"/>
            <w:szCs w:val="20"/>
          </w:rPr>
          <w:t>Indicateurs des ODD relatifs aux TIC de l'UIT</w:t>
        </w:r>
      </w:hyperlink>
    </w:p>
    <w:p w14:paraId="6C4BA30F" w14:textId="77777777" w:rsidR="0039632C" w:rsidRPr="00023B55" w:rsidRDefault="0039632C" w:rsidP="00C87007">
      <w:pPr>
        <w:pStyle w:val="enumlev1"/>
        <w:jc w:val="both"/>
      </w:pPr>
      <w:r w:rsidRPr="00023B55">
        <w:t>–</w:t>
      </w:r>
      <w:r w:rsidRPr="00023B55">
        <w:tab/>
      </w:r>
      <w:hyperlink r:id="rId279" w:history="1">
        <w:r w:rsidRPr="00023B55">
          <w:rPr>
            <w:rStyle w:val="Hyperlink"/>
            <w:rFonts w:eastAsia="Times New Roman" w:cs="Times New Roman"/>
            <w:szCs w:val="20"/>
          </w:rPr>
          <w:t>Objectifs de connectivité universelle et efficace</w:t>
        </w:r>
      </w:hyperlink>
    </w:p>
    <w:p w14:paraId="2CBB6CC3" w14:textId="77777777" w:rsidR="0039632C" w:rsidRPr="00023B55" w:rsidRDefault="0039632C" w:rsidP="00C87007">
      <w:pPr>
        <w:pStyle w:val="Heading1"/>
        <w:jc w:val="both"/>
      </w:pPr>
      <w:bookmarkStart w:id="25" w:name="_Toc200377676"/>
      <w:r w:rsidRPr="00023B55">
        <w:t>Autres éléments importants</w:t>
      </w:r>
      <w:bookmarkEnd w:id="25"/>
    </w:p>
    <w:p w14:paraId="2D48477D" w14:textId="77777777" w:rsidR="0039632C" w:rsidRPr="00023B55" w:rsidRDefault="0039632C" w:rsidP="00C87007">
      <w:pPr>
        <w:jc w:val="both"/>
      </w:pPr>
      <w:r w:rsidRPr="00023B55">
        <w:t xml:space="preserve">La présentation régulière de rapports, les cycles de conférences et les prix de sensibilisation soulignent tous l'approche globale adoptée par l'UIT pour faire progresser le processus </w:t>
      </w:r>
      <w:r w:rsidRPr="00023B55">
        <w:lastRenderedPageBreak/>
        <w:t>du SMSI et promouvoir un développement numérique durable. L'élaboration de rapports annuels et de feuilles de route des grandes orientations, les efforts de coordination déployés par le Groupe UNGIS et la mise en œuvre au niveau régional permettent à l'UIT de continuer à accélérer les progrès en matière de développement des TIC dans le monde et de contribuer à la réalisation des ODD.</w:t>
      </w:r>
    </w:p>
    <w:p w14:paraId="48EB474C" w14:textId="77777777" w:rsidR="0039632C" w:rsidRPr="00023B55" w:rsidRDefault="0039632C" w:rsidP="00C87007">
      <w:pPr>
        <w:pStyle w:val="Headingb"/>
        <w:jc w:val="both"/>
      </w:pPr>
      <w:r w:rsidRPr="00023B55">
        <w:t>Rapport annuel sur la contribution de l'UIT à la mise en œuvre des résultats du SMSI</w:t>
      </w:r>
    </w:p>
    <w:p w14:paraId="051B13FE" w14:textId="77777777" w:rsidR="0039632C" w:rsidRPr="00023B55" w:rsidRDefault="0039632C" w:rsidP="00C87007">
      <w:pPr>
        <w:jc w:val="both"/>
      </w:pPr>
      <w:r w:rsidRPr="00023B55">
        <w:t>Le rapport annuel sur la contribution de l'UIT à la mise en œuvre des résultats du SMSI donne un aperçu complet des activités et des réalisations de l'organisation pour faire progresser le processus du SMSI, y compris les initiatives, projets et partenariats visant à promouvoir l'inclusion numérique, à améliorer la connectivité et à favoriser le développement durable.</w:t>
      </w:r>
    </w:p>
    <w:p w14:paraId="7ADAA188" w14:textId="77777777" w:rsidR="0039632C" w:rsidRPr="00023B55" w:rsidRDefault="0039632C" w:rsidP="00C87007">
      <w:pPr>
        <w:jc w:val="both"/>
      </w:pPr>
      <w:r w:rsidRPr="00023B55">
        <w:t>Le rapport de 2023, par exemple, détaille les efforts déployés par l'UIT pour élargir l'accès au large bande, encourager la maîtrise des outils numériques et promouvoir les mesures de cybersécurité. Il s'agit d'une ressource précieuse permettant aux parties prenantes de comprendre les incidences des travaux de l'UIT et de planifier leurs propres initiatives en conséquence.</w:t>
      </w:r>
    </w:p>
    <w:p w14:paraId="3073C955" w14:textId="368ED19E" w:rsidR="0039632C" w:rsidRPr="00023B55" w:rsidRDefault="0039632C" w:rsidP="00C87007">
      <w:pPr>
        <w:pStyle w:val="Headingb"/>
        <w:jc w:val="both"/>
      </w:pPr>
      <w:r w:rsidRPr="00023B55">
        <w:t xml:space="preserve">Feuilles de route sur les </w:t>
      </w:r>
      <w:r w:rsidR="00C77817" w:rsidRPr="00023B55">
        <w:t>g</w:t>
      </w:r>
      <w:r w:rsidRPr="00023B55">
        <w:t>randes orientations C2, C4, C5 et C6 du SMSI</w:t>
      </w:r>
    </w:p>
    <w:p w14:paraId="64FF7D25" w14:textId="77777777" w:rsidR="0039632C" w:rsidRPr="00023B55" w:rsidRDefault="0039632C" w:rsidP="00C87007">
      <w:pPr>
        <w:jc w:val="both"/>
      </w:pPr>
      <w:r w:rsidRPr="00023B55">
        <w:t>Les feuilles de route des grandes orientations du SMSI décrivent les étapes nécessaires à la réalisation des objectifs de chaque grande orientation et donnent des indications aux parties prenantes sur l'alignement de leurs efforts avec les objectifs généraux du SMSI. Ces feuilles de route sont régulièrement mises à jour pour tenir compte des nouvelles évolutions et des nouvelles priorités dans les vastes domaines que sont l'infrastructure de l'information et de la communication (C2), le renforcement des capacités (C4), l'établissement de la confiance et de la sécurité dans l'utilisation des TIC (C5) et la création d'un environnement propice (C6).</w:t>
      </w:r>
    </w:p>
    <w:p w14:paraId="3870E848" w14:textId="77777777" w:rsidR="0039632C" w:rsidRPr="00023B55" w:rsidRDefault="0039632C" w:rsidP="00C87007">
      <w:pPr>
        <w:pStyle w:val="Headingb"/>
        <w:jc w:val="both"/>
      </w:pPr>
      <w:r w:rsidRPr="00023B55">
        <w:t>Rôle et incidences du Groupe UNGIS</w:t>
      </w:r>
    </w:p>
    <w:p w14:paraId="5E8BE4F3" w14:textId="77777777" w:rsidR="0039632C" w:rsidRPr="00023B55" w:rsidRDefault="0039632C" w:rsidP="00C87007">
      <w:pPr>
        <w:jc w:val="both"/>
      </w:pPr>
      <w:r w:rsidRPr="00023B55">
        <w:t>Le Groupe UNGIS joue un rôle essentiel dans la coordination des initiatives numériques de l'ensemble des institutions des Nations Unies et garantit ainsi une approche unifiée du développement numérique. Créé en 2006, le Groupe UNGIS encourage la collaboration et les partenariats entre les membres du Conseil des chefs de secrétariat des organismes des Nations Unies pour la coordination (CCS) en vue d'atteindre les objectifs du SMSI. L'UIT, en tant que secrétariat permanent du Groupe UNGIS, joue un rôle déterminant dans l'organisation d'activités thématiques communes, de réunions, de consultations ouvertes et de manifestations. Les retombées des activités du Groupe UNGIS sur le processus du SMSI témoignent de l'importance d'un effort coordonné pour relever les défis mondiaux liés aux TIC et promouvoir le développement durable.</w:t>
      </w:r>
    </w:p>
    <w:p w14:paraId="37DB3377" w14:textId="77777777" w:rsidR="0039632C" w:rsidRPr="00023B55" w:rsidRDefault="0039632C" w:rsidP="00C87007">
      <w:pPr>
        <w:pStyle w:val="Headingb"/>
        <w:jc w:val="both"/>
      </w:pPr>
      <w:r w:rsidRPr="00023B55">
        <w:t>Mise en œuvre au niveau régional</w:t>
      </w:r>
    </w:p>
    <w:p w14:paraId="6F52395D" w14:textId="77777777" w:rsidR="0039632C" w:rsidRPr="00023B55" w:rsidRDefault="0039632C" w:rsidP="00C87007">
      <w:pPr>
        <w:jc w:val="both"/>
      </w:pPr>
      <w:r w:rsidRPr="00023B55">
        <w:t>L'UIT dispose de six bureaux régionaux et collabore étroitement avec les commissions régionales des Nations Unies et les organisations régionales de télécommunication. Les bureaux régionaux de l'UIT contribuent de façon déterminante à la réalisation des priorités du SMSI aux niveaux régional, national et local. Ces bureaux fournissent une assistance technique, un appui en matière de renforcement des capacités et des orientations de politique générale aux États Membres pour faire progresser la technologie dans l'intérêt de tous.</w:t>
      </w:r>
    </w:p>
    <w:p w14:paraId="406F9C85" w14:textId="77777777" w:rsidR="0039632C" w:rsidRPr="00023B55" w:rsidRDefault="0039632C" w:rsidP="00C87007">
      <w:pPr>
        <w:pStyle w:val="Heading1"/>
        <w:jc w:val="both"/>
      </w:pPr>
      <w:bookmarkStart w:id="26" w:name="_Toc200377677"/>
      <w:r w:rsidRPr="00023B55">
        <w:lastRenderedPageBreak/>
        <w:t>Interconnexions et synergies</w:t>
      </w:r>
      <w:bookmarkEnd w:id="26"/>
    </w:p>
    <w:p w14:paraId="14D47E59" w14:textId="77777777" w:rsidR="0039632C" w:rsidRPr="00023B55" w:rsidRDefault="0039632C" w:rsidP="00C87007">
      <w:pPr>
        <w:jc w:val="both"/>
      </w:pPr>
      <w:r w:rsidRPr="00023B55">
        <w:t>Les interactions entre le SMSI et d'autres plates-formes multi-parties prenantes témoignent de l'esprit de collaboration qui anime le développement numérique dans le monde. Des initiatives comme le Forum sur la gouvernance d'Internet et le Sommet sur l'IA au service du bien social, entre autres, complètent les résultats des activités du SMSI contribuant à faire progresser les technologies numériques dans le cadre d'un avenir durable et inclusif pour tous. Le SMSI est une plate-forme multi-parties prenantes essentielle qui favorise la coopération et le développement numériques à l'échelle mondiale.</w:t>
      </w:r>
    </w:p>
    <w:p w14:paraId="36FFE29E" w14:textId="77777777" w:rsidR="0039632C" w:rsidRPr="00023B55" w:rsidRDefault="0039632C" w:rsidP="00C87007">
      <w:pPr>
        <w:jc w:val="both"/>
      </w:pPr>
      <w:r w:rsidRPr="00023B55">
        <w:t>La présente section vise à étudier ces interconnexions et à mettre en avant les efforts de collaboration qui accentuent les retombées des initiatives du SMSI.</w:t>
      </w:r>
    </w:p>
    <w:p w14:paraId="11A5896A" w14:textId="77777777" w:rsidR="0039632C" w:rsidRPr="00023B55" w:rsidRDefault="0039632C" w:rsidP="00C87007">
      <w:pPr>
        <w:pStyle w:val="Heading1"/>
        <w:jc w:val="both"/>
      </w:pPr>
      <w:bookmarkStart w:id="27" w:name="_Toc200377678"/>
      <w:r w:rsidRPr="00023B55">
        <w:t>Forum sur la gouvernance d'Internet</w:t>
      </w:r>
      <w:bookmarkEnd w:id="27"/>
    </w:p>
    <w:p w14:paraId="16955BF6" w14:textId="77777777" w:rsidR="0039632C" w:rsidRPr="00023B55" w:rsidRDefault="0039632C" w:rsidP="00C87007">
      <w:pPr>
        <w:jc w:val="both"/>
      </w:pPr>
      <w:r w:rsidRPr="00023B55">
        <w:t>Le Forum sur la gouvernance d'Internet constitue un cadre essentiel pour les débats sur les politiques publiques relatives à l'Internet. Il rassemble des parties prenantes issues des gouvernements, du secteur privé, de la société civile et des établissements universitaires qui discutent et traitent des questions relatives à la gouvernance de l'Internet. Ce Forum, produit du processus du SMSI, poursuit le même objectif que ce dernier, à savoir favoriser l'édification d'un avenir numérique inclusif et durable. La collaboration entre le Forum et le SMSI est manifeste dans plusieurs domaines:</w:t>
      </w:r>
    </w:p>
    <w:p w14:paraId="7AF5A589" w14:textId="77777777" w:rsidR="0039632C" w:rsidRPr="00023B55" w:rsidRDefault="0039632C" w:rsidP="00C87007">
      <w:pPr>
        <w:pStyle w:val="enumlev1"/>
        <w:keepLines/>
        <w:jc w:val="both"/>
      </w:pPr>
      <w:r w:rsidRPr="00023B55">
        <w:t>–</w:t>
      </w:r>
      <w:r w:rsidRPr="00023B55">
        <w:tab/>
      </w:r>
      <w:r w:rsidRPr="00023B55">
        <w:rPr>
          <w:b/>
          <w:bCs/>
        </w:rPr>
        <w:t>Élaboration de politiques</w:t>
      </w:r>
      <w:r w:rsidRPr="00023B55">
        <w:t>: les deux cadres contribuent à l'élaboration de politiques qui favorisent l'accès à l'Internet, sa sécurité et sa gouvernance. Les discussions sur la gouvernance de l'Internet menées dans le cadre du Forum complètent les objectifs plus vastes du SMSI en matière de développement numérique, et garantissent un alignement des politiques de l'Internet sur les activités de coopération numérique à l'échelle mondiale.</w:t>
      </w:r>
    </w:p>
    <w:p w14:paraId="3CDC6950" w14:textId="77777777" w:rsidR="0039632C" w:rsidRPr="00023B55" w:rsidRDefault="0039632C" w:rsidP="00C87007">
      <w:pPr>
        <w:pStyle w:val="enumlev1"/>
        <w:jc w:val="both"/>
      </w:pPr>
      <w:r w:rsidRPr="00023B55">
        <w:t>–</w:t>
      </w:r>
      <w:r w:rsidRPr="00023B55">
        <w:tab/>
      </w:r>
      <w:r w:rsidRPr="00023B55">
        <w:rPr>
          <w:b/>
          <w:bCs/>
        </w:rPr>
        <w:t>Mobilisation des parties prenantes</w:t>
      </w:r>
      <w:r w:rsidRPr="00023B55">
        <w:t>: l'approche multi-parties prenantes du Forum sur la gouvernance d'Internet est conforme aux principes d'inclusion et de collaboration du SMSI. En mobilisant un large éventail de parties prenantes, les deux plates-formes garantissent la prise en compte de différents points de vue dans le façonnement du paysage numérique.</w:t>
      </w:r>
    </w:p>
    <w:p w14:paraId="6EC0F54E" w14:textId="77777777" w:rsidR="0039632C" w:rsidRPr="00023B55" w:rsidRDefault="0039632C" w:rsidP="00C87007">
      <w:pPr>
        <w:pStyle w:val="enumlev1"/>
        <w:jc w:val="both"/>
      </w:pPr>
      <w:r w:rsidRPr="00023B55">
        <w:t>–</w:t>
      </w:r>
      <w:r w:rsidRPr="00023B55">
        <w:tab/>
      </w:r>
      <w:r w:rsidRPr="00023B55">
        <w:rPr>
          <w:b/>
          <w:bCs/>
        </w:rPr>
        <w:t>Renforcement des capacités</w:t>
      </w:r>
      <w:r w:rsidRPr="00023B55">
        <w:t>: le Forum sur la gouvernance d'Internet et le SMSI appuient conjointement les initiatives de renforcement des capacités qui permettent aux parties prenantes de mieux comprendre la gouvernance de l'Internet et les politiques numériques. Ces initiatives donnent aux communautés les moyens de participer activement à l'économie numérique et aux processus de gouvernance.</w:t>
      </w:r>
    </w:p>
    <w:p w14:paraId="7B8FA9F8" w14:textId="77777777" w:rsidR="0039632C" w:rsidRPr="00023B55" w:rsidRDefault="0039632C" w:rsidP="00C87007">
      <w:pPr>
        <w:pStyle w:val="Headingb"/>
        <w:jc w:val="both"/>
      </w:pPr>
      <w:r w:rsidRPr="00023B55">
        <w:t>L'IA au service du bien social</w:t>
      </w:r>
    </w:p>
    <w:p w14:paraId="51787A04" w14:textId="77777777" w:rsidR="0039632C" w:rsidRPr="00023B55" w:rsidRDefault="0039632C" w:rsidP="00C87007">
      <w:pPr>
        <w:jc w:val="both"/>
      </w:pPr>
      <w:r w:rsidRPr="00023B55">
        <w:t xml:space="preserve">L'initiative sur l'IA au service du bien social est le principal cadre des Nations Unies sur l'IA au service du développement durable, guidé par la </w:t>
      </w:r>
      <w:hyperlink r:id="rId280" w:history="1">
        <w:r w:rsidRPr="00023B55">
          <w:rPr>
            <w:rStyle w:val="Hyperlink"/>
            <w:rFonts w:eastAsia="Times New Roman" w:cs="Times New Roman"/>
            <w:szCs w:val="20"/>
          </w:rPr>
          <w:t>Résolution 214</w:t>
        </w:r>
      </w:hyperlink>
      <w:r w:rsidRPr="00023B55">
        <w:t xml:space="preserve"> (Bucarest, 2022) de la Conférence de plénipotentiaires de l'UIT et renforcé par la </w:t>
      </w:r>
      <w:hyperlink r:id="rId281" w:history="1">
        <w:r w:rsidRPr="00023B55">
          <w:rPr>
            <w:rStyle w:val="Hyperlink"/>
            <w:rFonts w:eastAsia="Times New Roman" w:cs="Times New Roman"/>
            <w:szCs w:val="20"/>
          </w:rPr>
          <w:t>Résolution 78/265</w:t>
        </w:r>
      </w:hyperlink>
      <w:r w:rsidRPr="00023B55">
        <w:t xml:space="preserve"> et la </w:t>
      </w:r>
      <w:hyperlink r:id="rId282" w:history="1">
        <w:r w:rsidRPr="00023B55">
          <w:rPr>
            <w:rStyle w:val="Hyperlink"/>
            <w:rFonts w:eastAsia="Times New Roman" w:cs="Times New Roman"/>
            <w:szCs w:val="20"/>
          </w:rPr>
          <w:t>Résolution 78/311</w:t>
        </w:r>
      </w:hyperlink>
      <w:r w:rsidRPr="00023B55">
        <w:t xml:space="preserve"> de l'Assemblée générale des Nations Unies. Cette initiative, axée sur le recensement d'applications d'IA dignes de confiance, le renforcement des compétences et des normes et la promotion de la gouvernance de l'IA au service du développement durable, est organisée par l'UIT en partenariat avec plus de 40 institutions sœurs des Nations Unies et conjointement avec le Gouvernement suisse. Dans un contexte de hausse sensible de la demande d'activités liées à l'IA, l'UIT adapte ses programmes pour répondre aux besoins à l'échelle mondiale.</w:t>
      </w:r>
    </w:p>
    <w:p w14:paraId="15EDCD16" w14:textId="77777777" w:rsidR="0039632C" w:rsidRPr="00023B55" w:rsidRDefault="0039632C" w:rsidP="00C87007">
      <w:pPr>
        <w:pStyle w:val="enumlev1"/>
        <w:jc w:val="both"/>
      </w:pPr>
      <w:r w:rsidRPr="00023B55">
        <w:lastRenderedPageBreak/>
        <w:t>–</w:t>
      </w:r>
      <w:r w:rsidRPr="00023B55">
        <w:tab/>
      </w:r>
      <w:r w:rsidRPr="00023B55">
        <w:rPr>
          <w:b/>
          <w:bCs/>
        </w:rPr>
        <w:t>Élaboration de normes sur l'IA et échange en la matière</w:t>
      </w:r>
      <w:r w:rsidRPr="00023B55">
        <w:t>: dans sa quête de connectivité universelle et de transformation numérique durable, l'UIT a élaboré des normes relatives à l'utilisation de l'IA dans les réseaux 5G et les réseaux futurs, l'innovation multimédia, l'évaluation et l'amélioration de la qualité des services numériques et l'amélioration de l'efficacité énergétique, pour ne citer que ces exemples. Ces efforts sont renforcés par une collaboration étroite avec d'autres organismes de normalisation et des partenaires des Nations Unies, afin de soutenir l'élaboration et la publication d'une série complète de normes dans divers domaines. Le premier Sommet international sur les normes relatives à l'IA s'est tenu durant l'AMNT-24 de l'UIT. Organisé conjointement avec l'ISO et la CEI, ce sommet a réuni des experts et des parties prenantes d'organismes de normalisation mondiaux afin de répondre à la demande croissante d'accélération de la normalisation pour une IA responsable, sûre et inclusive. L'édition de 2025 du Sommet international sur les normes relatives à l'IA se tiendra les 2 et 3 décembre 2025 à Séoul (République de Corée).</w:t>
      </w:r>
    </w:p>
    <w:p w14:paraId="5EE19277" w14:textId="77777777" w:rsidR="0039632C" w:rsidRPr="00023B55" w:rsidRDefault="0039632C" w:rsidP="00C87007">
      <w:pPr>
        <w:pStyle w:val="enumlev1"/>
        <w:keepLines/>
        <w:jc w:val="both"/>
      </w:pPr>
      <w:r w:rsidRPr="00023B55">
        <w:t>–</w:t>
      </w:r>
      <w:r w:rsidRPr="00023B55">
        <w:tab/>
      </w:r>
      <w:r w:rsidRPr="00023B55">
        <w:rPr>
          <w:b/>
          <w:bCs/>
        </w:rPr>
        <w:t>Appui au déploiement de l'IA et au renforcement des capacités dans ce domaine</w:t>
      </w:r>
      <w:r w:rsidRPr="00023B55">
        <w:t>: l'UIT s'emploie à doter les pays du monde entier des connaissances et des outils nécessaires pour tirer parti de l'IA, afin de faire en sorte que les avantages qui en découlent soient accessibles sur un pied d'égalité à tous les habitants de la planète. L'équipe de l'initiative sur l'IA au service du bien social encadre actuellement des projets utilisant l'IA pour transformer des webinaires sur l'IA au service du bien social en manifestations de renforcement des capacités. L'UIT a organisé sa première manifestation régionale sur le thème de l'intelligence artificielle au service du bien social – "AI for Good Impact India" – en parallèle de l'AMNT-24 à New Delhi, à la demande du Gouvernement indien. L'initiative "AI for Good Impact Africa" se tiendra en octobre 2025 pendant l'Exposition AI Africa, en partenariat avec le secrétariat du G20. La Coalition pour les compétences en matière d'IA, quant à elle, constitue une plate-forme mondiale, ouverte, digne de confiance et inclusive pour la formation et le renforcement des capacités concernant cette technologie.</w:t>
      </w:r>
    </w:p>
    <w:p w14:paraId="0EBCD865" w14:textId="77777777" w:rsidR="0039632C" w:rsidRPr="00023B55" w:rsidRDefault="0039632C" w:rsidP="00C87007">
      <w:pPr>
        <w:pStyle w:val="enumlev1"/>
        <w:jc w:val="both"/>
      </w:pPr>
      <w:r w:rsidRPr="00023B55">
        <w:t>–</w:t>
      </w:r>
      <w:r w:rsidRPr="00023B55">
        <w:tab/>
      </w:r>
      <w:r w:rsidRPr="00023B55">
        <w:rPr>
          <w:b/>
          <w:bCs/>
        </w:rPr>
        <w:t>Gouvernance, politiques et travaux liés à la réglementation dans le domaine de l'IA</w:t>
      </w:r>
      <w:r w:rsidRPr="00023B55">
        <w:t xml:space="preserve">: la première </w:t>
      </w:r>
      <w:hyperlink r:id="rId283" w:anchor="/fr" w:history="1">
        <w:r w:rsidRPr="00023B55">
          <w:rPr>
            <w:rStyle w:val="Hyperlink"/>
            <w:rFonts w:eastAsia="Times New Roman" w:cs="Times New Roman"/>
            <w:szCs w:val="20"/>
          </w:rPr>
          <w:t>Journée de la gouvernance de l'IA</w:t>
        </w:r>
      </w:hyperlink>
      <w:r w:rsidRPr="00023B55">
        <w:t>, portant sur le thème "Des principes à la mise en œuvre", a eu lieu le 29 mai 2024 dans le cadre de l'édition de 2024 du Sommet mondial sur l'intelligence artificielle au service du bien social. La manifestation a rassemblé des participants du monde entier, parmi lesquels figuraient des hauts représentants de gouvernements, notamment des ministres, des décideurs, des chercheurs et des experts en technologie de pays développés comme de pays en développement. La manifestation était composée de parties prenantes diverses, conformément à la mission de l'UIT d'offrir un cadre inclusif, neutre et représentatif à l'échelle mondiale pour l'IA. Cette journée a été marquée par des discussions et des activités collaboratives vivantes qui avaient pour but de transformer les principes de gouvernance de l'IA en cadres concrets.</w:t>
      </w:r>
    </w:p>
    <w:p w14:paraId="7DC64326" w14:textId="77777777" w:rsidR="0039632C" w:rsidRPr="00023B55" w:rsidRDefault="0039632C" w:rsidP="00C87007">
      <w:pPr>
        <w:pStyle w:val="enumlev1"/>
        <w:jc w:val="both"/>
      </w:pPr>
      <w:r w:rsidRPr="00023B55">
        <w:t>–</w:t>
      </w:r>
      <w:r w:rsidRPr="00023B55">
        <w:tab/>
      </w:r>
      <w:r w:rsidRPr="00023B55">
        <w:rPr>
          <w:b/>
          <w:bCs/>
        </w:rPr>
        <w:t>Appuyer la coordination dans le domaine de l'IA à l'échelle du système des Nations Unies</w:t>
      </w:r>
      <w:r w:rsidRPr="00023B55">
        <w:t xml:space="preserve">: le Groupe de travail interinstitutions sur l'IA (GTI-IA) du Conseil des chefs de secrétariat des organismes des Nations Unies pour la coordination – Comité de haut niveau sur les programmes, coprésidé par l'UIT et l'UNESCO, dirige un vaste effort de coordination entre presque 50 entités des Nations Unies et a mis au point des initiatives d'envergure, telles que l'initiative sur les principes relatifs à une utilisation éthique de l'IA dans l'ensemble du système des Nations Unies. De plus, en tirant parti des membres </w:t>
      </w:r>
      <w:r w:rsidRPr="00023B55">
        <w:lastRenderedPageBreak/>
        <w:t>du Groupe GTI-IA et des partenaires des Nations Unies pour l'IA au service du bien social, l'UIT coordonne les contributions et prépare le rapport annuel sur les activités des Nations Unies relatives à l'IA, qui constitue un répertoire interactif. Dans la dernière version publiée à l'occasion du Sommet mondial sur l'IA au service du bien social de 2024, on recense 408 projets dans le domaine de l'IA présentés par 47 organismes, qui couvrent l'ensemble des 17 ODD et dont les résultats figurent principalement dans des outils logiciels et des rapports, et qui portent sur des questions telles que les droits humains, l'éthique et la justice; l'environnement; l'agriculture; la santé; l'éducation; le genre; et les télécommunications. Ces projets nécessitent des collaborations avec le système des Nations Unies, les États Membres, les établissements universitaires et le secteur privé.</w:t>
      </w:r>
    </w:p>
    <w:p w14:paraId="3A0B0C4E" w14:textId="77777777" w:rsidR="0039632C" w:rsidRPr="00023B55" w:rsidRDefault="0039632C" w:rsidP="00C87007">
      <w:pPr>
        <w:pStyle w:val="enumlev1"/>
        <w:keepLines/>
        <w:jc w:val="both"/>
      </w:pPr>
      <w:r w:rsidRPr="00023B55">
        <w:t>–</w:t>
      </w:r>
      <w:r w:rsidRPr="00023B55">
        <w:tab/>
      </w:r>
      <w:r w:rsidRPr="00023B55">
        <w:rPr>
          <w:b/>
          <w:bCs/>
        </w:rPr>
        <w:t>Collaboration multi-parties prenantes via la plate-forme sur l'IA au service du bien social</w:t>
      </w:r>
      <w:r w:rsidRPr="00023B55">
        <w:t>: la plate-forme sur l'IA au service du bien social est devenue un outil puissant pour encourager les partenariats public-privé, faciliter l'échange de connaissances et aider les pays en développement à parvenir à un développement durable grâce à l'application pratique de cas d'utilisation de l'IA très prometteurs. Grâce à ses initiatives sur l'IA au service du bien social, telles que le concours sur les start-up et la robotique dans le domaine de l'IA, les défis en matière d'apprentissage automatique et le Journal de l'UIT, l'Union rassemble des connaissances et des cas d'utilisation de l'IA. Ce répertoire permettra de constituer et d'alimenter une véritable mine de connaissances favorisant le développement durable dans le droit fil des ODD. L'Initiative "L'IA au service du bien social pour produire des effets" joue un rôle déterminant dans la mobilisation des ressources nécessaires pour élargir les applications de l'IA à l'échelle mondiale, afin de faire en sorte que des progrès équitables soient accomplis au regard de tous les ODD, quelle que soit la région concernée. En particulier, la manifestation de haut niveau du Forum SMSI+20 et le Sommet mondial sur l'IA au service du bien social ont eu lieu la même semaine, du 27 au 31 mai 2024, à Genève (Suisse). Cette programmation a permis à diverses communautés de parties prenantes de tirer parti des possibilités offertes par les deux manifestations. La programmation simultanée de ces manifestations a favorisé la tenue de discussions approfondies sur l'intégration de l'IA dans les stratégies de développement, mettant ainsi en avant l'importance de la collaboration multi-parties prenantes en vue de tirer parti des technologies émergentes au service du développement durable.</w:t>
      </w:r>
    </w:p>
    <w:p w14:paraId="54E3DDC8" w14:textId="77777777" w:rsidR="0039632C" w:rsidRPr="00023B55" w:rsidRDefault="0039632C" w:rsidP="00C87007">
      <w:pPr>
        <w:pStyle w:val="Headingb"/>
        <w:jc w:val="both"/>
      </w:pPr>
      <w:r w:rsidRPr="00023B55">
        <w:t>Commission "Le large bande au service du développement durable"</w:t>
      </w:r>
    </w:p>
    <w:p w14:paraId="44C02C81" w14:textId="77777777" w:rsidR="0039632C" w:rsidRPr="00023B55" w:rsidRDefault="0039632C" w:rsidP="00C87007">
      <w:pPr>
        <w:jc w:val="both"/>
      </w:pPr>
      <w:r w:rsidRPr="00023B55">
        <w:t xml:space="preserve">La Commission sur le large bande, menée par l'UIT et l'UNESCO, a fixé </w:t>
      </w:r>
      <w:hyperlink r:id="rId284" w:history="1">
        <w:r w:rsidRPr="00023B55">
          <w:rPr>
            <w:rStyle w:val="Hyperlink"/>
            <w:rFonts w:eastAsia="Times New Roman" w:cs="Times New Roman"/>
            <w:szCs w:val="20"/>
          </w:rPr>
          <w:t>sept grands objectifs</w:t>
        </w:r>
      </w:hyperlink>
      <w:r w:rsidRPr="00023B55">
        <w:t xml:space="preserve"> pour 2025 qui visent à évaluer les progrès accomplis en matière d'accès </w:t>
      </w:r>
      <w:proofErr w:type="gramStart"/>
      <w:r w:rsidRPr="00023B55">
        <w:t>au large bande</w:t>
      </w:r>
      <w:proofErr w:type="gramEnd"/>
      <w:r w:rsidRPr="00023B55">
        <w:t xml:space="preserve"> et à recenser les lacunes persistantes. Ils traduisent des buts ambitieux et inspirants et donnent des indications sur les politiques et programmes à appliquer aux niveaux national et international pour développer le large bande et parvenir à la connectivité universelle. La Commission sur le large bande suit les progrès accomplis dans la réalisation de ces objectifs dans son </w:t>
      </w:r>
      <w:hyperlink r:id="rId285" w:history="1">
        <w:r w:rsidRPr="00023B55">
          <w:rPr>
            <w:rStyle w:val="Hyperlink"/>
            <w:rFonts w:eastAsia="Times New Roman" w:cs="Times New Roman"/>
            <w:szCs w:val="20"/>
          </w:rPr>
          <w:t>rapport annuel phare sur la situation du large bande</w:t>
        </w:r>
      </w:hyperlink>
      <w:r w:rsidRPr="00023B55">
        <w:t>. À l'aide de diverses sources de données (y compris des données et des statistiques de l'UIT), des estimations des progrès accomplis dans la réalisation de ces objectifs sont établies et des recommandations de politique générale multi-parties prenantes sont formulées pour proposer des moyens de progresser dans la réalisation de ces objectifs et de les atteindre.</w:t>
      </w:r>
    </w:p>
    <w:p w14:paraId="1B782B74" w14:textId="77777777" w:rsidR="0039632C" w:rsidRPr="00023B55" w:rsidRDefault="0039632C" w:rsidP="00C87007">
      <w:pPr>
        <w:jc w:val="both"/>
      </w:pPr>
      <w:r w:rsidRPr="00023B55">
        <w:lastRenderedPageBreak/>
        <w:t>Les groupes de travail de la Commission sur le large bande se penchent également sur des thèmes liés à ces objectifs pour fournir des analyses plus approfondies et des recommandations détaillées à toutes les parties prenantes.</w:t>
      </w:r>
    </w:p>
    <w:p w14:paraId="6C27CBC4" w14:textId="77777777" w:rsidR="0039632C" w:rsidRPr="00023B55" w:rsidRDefault="0039632C" w:rsidP="00C87007">
      <w:pPr>
        <w:pStyle w:val="enumlev1"/>
        <w:jc w:val="both"/>
      </w:pPr>
      <w:r w:rsidRPr="00023B55">
        <w:t>–</w:t>
      </w:r>
      <w:r w:rsidRPr="00023B55">
        <w:tab/>
        <w:t>Objectif 1 – Rendre universelle la politique en faveur du large bande</w:t>
      </w:r>
    </w:p>
    <w:p w14:paraId="4DC11B1C" w14:textId="77777777" w:rsidR="0039632C" w:rsidRPr="00023B55" w:rsidRDefault="0039632C" w:rsidP="00C87007">
      <w:pPr>
        <w:pStyle w:val="enumlev1"/>
        <w:jc w:val="both"/>
      </w:pPr>
      <w:r w:rsidRPr="00023B55">
        <w:t>–</w:t>
      </w:r>
      <w:r w:rsidRPr="00023B55">
        <w:tab/>
        <w:t>Objectif 2 – Rendre le large bande plus abordable financièrement</w:t>
      </w:r>
    </w:p>
    <w:p w14:paraId="0439D339" w14:textId="77777777" w:rsidR="0039632C" w:rsidRPr="00023B55" w:rsidRDefault="0039632C" w:rsidP="00C87007">
      <w:pPr>
        <w:pStyle w:val="enumlev1"/>
        <w:jc w:val="both"/>
      </w:pPr>
      <w:r w:rsidRPr="00023B55">
        <w:t>–</w:t>
      </w:r>
      <w:r w:rsidRPr="00023B55">
        <w:tab/>
        <w:t>Objectif 3 – Connecter tout un chacun</w:t>
      </w:r>
    </w:p>
    <w:p w14:paraId="3968E136" w14:textId="77777777" w:rsidR="0039632C" w:rsidRPr="00023B55" w:rsidRDefault="0039632C" w:rsidP="00C87007">
      <w:pPr>
        <w:pStyle w:val="enumlev1"/>
        <w:jc w:val="both"/>
      </w:pPr>
      <w:r w:rsidRPr="00023B55">
        <w:t>–</w:t>
      </w:r>
      <w:r w:rsidRPr="00023B55">
        <w:tab/>
        <w:t>Objectif 4 – Promouvoir le renforcement des compétences numériques</w:t>
      </w:r>
    </w:p>
    <w:p w14:paraId="0794B49B" w14:textId="77777777" w:rsidR="0039632C" w:rsidRPr="00023B55" w:rsidRDefault="0039632C" w:rsidP="00C87007">
      <w:pPr>
        <w:pStyle w:val="enumlev1"/>
        <w:jc w:val="both"/>
      </w:pPr>
      <w:r w:rsidRPr="00023B55">
        <w:t>–</w:t>
      </w:r>
      <w:r w:rsidRPr="00023B55">
        <w:tab/>
        <w:t>Objectif 5 – Accroître l'utilisation des services financiers numériques</w:t>
      </w:r>
    </w:p>
    <w:p w14:paraId="6EE14592" w14:textId="77777777" w:rsidR="0039632C" w:rsidRPr="00023B55" w:rsidRDefault="0039632C" w:rsidP="00C87007">
      <w:pPr>
        <w:pStyle w:val="enumlev1"/>
        <w:jc w:val="both"/>
      </w:pPr>
      <w:r w:rsidRPr="00023B55">
        <w:t>–</w:t>
      </w:r>
      <w:r w:rsidRPr="00023B55">
        <w:tab/>
        <w:t>Objectif 6 – Connecter les MPME</w:t>
      </w:r>
    </w:p>
    <w:p w14:paraId="5336D2C5" w14:textId="77777777" w:rsidR="0039632C" w:rsidRPr="00023B55" w:rsidRDefault="0039632C" w:rsidP="00C87007">
      <w:pPr>
        <w:pStyle w:val="enumlev1"/>
        <w:jc w:val="both"/>
      </w:pPr>
      <w:r w:rsidRPr="00023B55">
        <w:t>–</w:t>
      </w:r>
      <w:r w:rsidRPr="00023B55">
        <w:tab/>
        <w:t>Objectif 7 – Réduire la fracture numérique entre les hommes et les femmes</w:t>
      </w:r>
    </w:p>
    <w:p w14:paraId="7940BC95" w14:textId="77777777" w:rsidR="0039632C" w:rsidRPr="00023B55" w:rsidRDefault="0039632C" w:rsidP="00C87007">
      <w:pPr>
        <w:jc w:val="both"/>
      </w:pPr>
      <w:r w:rsidRPr="00023B55">
        <w:t xml:space="preserve">Les </w:t>
      </w:r>
      <w:hyperlink r:id="rId286" w:history="1">
        <w:r w:rsidRPr="00023B55">
          <w:rPr>
            <w:rStyle w:val="Hyperlink"/>
            <w:rFonts w:eastAsia="Times New Roman" w:cs="Times New Roman"/>
            <w:szCs w:val="20"/>
          </w:rPr>
          <w:t>sept grands objectifs</w:t>
        </w:r>
      </w:hyperlink>
      <w:r w:rsidRPr="00023B55">
        <w:t xml:space="preserve"> doivent expirer d'ici fin 2025. Malgré des progrès considérables effectués dans certains domaines, les objectifs de la Commission sur le large bande n'ont toujours pas été atteints. L'Objectif 2 relatif à l'accessibilité financière du large bande mobile est en passe d'être atteint, et l'Objectif 7 relatif à l'égalité hommes-femmes en matière d'accès au large bande a été atteint dans certains pays, mais pas dans le monde entier.</w:t>
      </w:r>
    </w:p>
    <w:p w14:paraId="438FAB59" w14:textId="77777777" w:rsidR="0039632C" w:rsidRPr="00023B55" w:rsidRDefault="0039632C" w:rsidP="00C87007">
      <w:pPr>
        <w:pStyle w:val="enumlev1"/>
        <w:jc w:val="both"/>
      </w:pPr>
      <w:r w:rsidRPr="00023B55">
        <w:t>–</w:t>
      </w:r>
      <w:r w:rsidRPr="00023B55">
        <w:tab/>
        <w:t>Des progrès ont été accomplis en ce qui concerne l'Objectif 1, mais les plans sont devenus plus complets et s'étendent au-delà du large bande et de la connectivité dans le Plan d'action dans le domaine du numérique.</w:t>
      </w:r>
    </w:p>
    <w:p w14:paraId="79AD3BB0" w14:textId="77777777" w:rsidR="0039632C" w:rsidRPr="00023B55" w:rsidRDefault="0039632C" w:rsidP="00C87007">
      <w:pPr>
        <w:pStyle w:val="enumlev1"/>
        <w:jc w:val="both"/>
      </w:pPr>
      <w:r w:rsidRPr="00023B55">
        <w:t>–</w:t>
      </w:r>
      <w:r w:rsidRPr="00023B55">
        <w:tab/>
        <w:t>L'Objectif 2 est sur le point d'être atteint pour ce qui est de l'accessibilité financière du large bande mobile, mais pas pour le large bande fixe.</w:t>
      </w:r>
    </w:p>
    <w:p w14:paraId="05D7BE49" w14:textId="77777777" w:rsidR="0039632C" w:rsidRPr="00023B55" w:rsidRDefault="0039632C" w:rsidP="00C87007">
      <w:pPr>
        <w:pStyle w:val="enumlev1"/>
        <w:jc w:val="both"/>
      </w:pPr>
      <w:r w:rsidRPr="00023B55">
        <w:t>–</w:t>
      </w:r>
      <w:r w:rsidRPr="00023B55">
        <w:tab/>
        <w:t>L'accès à l'Internet s'est nettement amélioré, mais cet accès est souvent concentré dans les zones urbaines et est loin d'être universel. La fracture numérique entre les âges est maintenant répandue dans de nombreux pays à revenu élevé.</w:t>
      </w:r>
    </w:p>
    <w:p w14:paraId="40ABA700" w14:textId="77777777" w:rsidR="0039632C" w:rsidRPr="00023B55" w:rsidRDefault="0039632C" w:rsidP="00C87007">
      <w:pPr>
        <w:pStyle w:val="enumlev1"/>
        <w:jc w:val="both"/>
      </w:pPr>
      <w:r w:rsidRPr="00023B55">
        <w:t>–</w:t>
      </w:r>
      <w:r w:rsidRPr="00023B55">
        <w:tab/>
        <w:t>On recense de nouvelles applications prometteuses dans les services financiers numériques, mais les données sont anciennes et obsolètes.</w:t>
      </w:r>
    </w:p>
    <w:p w14:paraId="1432727C" w14:textId="77777777" w:rsidR="0039632C" w:rsidRPr="00023B55" w:rsidRDefault="0039632C" w:rsidP="00C87007">
      <w:pPr>
        <w:pStyle w:val="enumlev1"/>
        <w:jc w:val="both"/>
      </w:pPr>
      <w:r w:rsidRPr="00023B55">
        <w:t>–</w:t>
      </w:r>
      <w:r w:rsidRPr="00023B55">
        <w:tab/>
        <w:t>Des progrès ont été réalisés en ce qui concerne les compétences numériques (Objectif 4) et l'accès en ligne des MPME (Objectif 6), mais des problèmes liés à la disponibilité des données rendent ces objectifs difficilement mesurables.</w:t>
      </w:r>
    </w:p>
    <w:p w14:paraId="6E5EBD76" w14:textId="77777777" w:rsidR="0039632C" w:rsidRPr="00023B55" w:rsidRDefault="0039632C" w:rsidP="00C87007">
      <w:pPr>
        <w:pStyle w:val="enumlev1"/>
        <w:jc w:val="both"/>
      </w:pPr>
      <w:r w:rsidRPr="00023B55">
        <w:t>–</w:t>
      </w:r>
      <w:r w:rsidRPr="00023B55">
        <w:tab/>
        <w:t>L'Objectif 7 visant à parvenir à l'égalité hommes-femmes en matière d'accès au large bande a été atteint dans certains pays, mais pas à l'échelle mondiale.</w:t>
      </w:r>
    </w:p>
    <w:p w14:paraId="43973D78" w14:textId="77777777" w:rsidR="0039632C" w:rsidRPr="00023B55" w:rsidRDefault="0039632C" w:rsidP="00C87007">
      <w:pPr>
        <w:jc w:val="both"/>
      </w:pPr>
      <w:r w:rsidRPr="00023B55">
        <w:t>Une plus grande clarté et une plus grande portée seraient bienvenues pour pouvoir mesurer les grands objectifs mondiaux. La Commission sur le large bande a appelé à recueillir et à publier des données détaillées, fiables et ventilées par sexe relatives au déploiement des infrastructures ainsi qu'à l'adoption et à l'utilisation de l'Internet, conformément aux lignes directrices et normes internationales.</w:t>
      </w:r>
    </w:p>
    <w:p w14:paraId="1C1E0A20" w14:textId="77777777" w:rsidR="0039632C" w:rsidRPr="00023B55" w:rsidRDefault="0039632C" w:rsidP="00C87007">
      <w:pPr>
        <w:pStyle w:val="Headingb"/>
        <w:jc w:val="both"/>
      </w:pPr>
      <w:r w:rsidRPr="00023B55">
        <w:t>Journée des mondes virtuels des Nations Unies</w:t>
      </w:r>
    </w:p>
    <w:p w14:paraId="477725D2" w14:textId="77777777" w:rsidR="0039632C" w:rsidRPr="00023B55" w:rsidRDefault="0039632C" w:rsidP="00C87007">
      <w:pPr>
        <w:jc w:val="both"/>
      </w:pPr>
      <w:r w:rsidRPr="00023B55">
        <w:t>La Journée des mondes virtuels des Nations Unies, organisée conjointement par l'UIT et 12 institutions des Nations Unies, rassemble des représentants de gouvernements et de villes et des innovateurs pour étudier comment les mondes virtuels fondés sur l'IA peuvent autonomiser les communautés et relever les défis mondiaux.</w:t>
      </w:r>
    </w:p>
    <w:p w14:paraId="40F2CBF8" w14:textId="77777777" w:rsidR="0039632C" w:rsidRPr="00023B55" w:rsidRDefault="0039632C" w:rsidP="00C87007">
      <w:pPr>
        <w:jc w:val="both"/>
      </w:pPr>
      <w:r w:rsidRPr="00023B55">
        <w:t xml:space="preserve">L'Initiative mondiale sur les mondes virtuels et l'IA, lancée par l'UIT, Digital Dubaï et le Centre international de calcul (CIC) des Nations Unies, réunit des parties prenantes dans le but </w:t>
      </w:r>
      <w:r w:rsidRPr="00023B55">
        <w:lastRenderedPageBreak/>
        <w:t>d'étudier les possibilités et les défis associés aux technologies émergentes comme l'IA et le métavers. Elle encourage les discussions sur la gouvernance, l'interopérabilité et l'inclusion, afin de faire en sorte que les mondes virtuels contribuent au développement durable et à l'inclusion numérique. Elle s'aligne sur les grandes orientations du SMSI concernant l'accès à l'information et au savoir (C3), le renforcement des capacités (C4) et les dimensions éthiques de la société de l'information (C10), et défend ainsi des avancées technologiques responsables et inclusives.</w:t>
      </w:r>
    </w:p>
    <w:p w14:paraId="3D87CB66" w14:textId="77777777" w:rsidR="0039632C" w:rsidRPr="00023B55" w:rsidRDefault="0039632C" w:rsidP="00C87007">
      <w:pPr>
        <w:pStyle w:val="Headingb"/>
        <w:jc w:val="both"/>
      </w:pPr>
      <w:r w:rsidRPr="00023B55">
        <w:t>Initiative "Tous unis pour des villes intelligentes et durables"</w:t>
      </w:r>
    </w:p>
    <w:p w14:paraId="1D92EDE2" w14:textId="77777777" w:rsidR="0039632C" w:rsidRPr="00023B55" w:rsidRDefault="0039632C" w:rsidP="00C87007">
      <w:pPr>
        <w:jc w:val="both"/>
      </w:pPr>
      <w:r w:rsidRPr="00023B55">
        <w:t>L'initiative "Tous unis pour des villes intelligentes et durables" (U4SSC), coordonnée par l'UIT, le PNUE et la Commission économique des Nations Unies pour l'Europe (CEE-ONU), soutenue par 19 institutions des Nations Unies, constitue un cadre mondial d'appui aux villes dans leur transformation numérique. Elle a pour objectif d'élaborer des lignes directrices en matière de politique générale et des indicateurs fondamentaux de performance (IFP) pour aider les villes à devenir plus intelligentes et plus durables, en harmonie avec les grandes orientations du SMSI relatives aux applications des TIC (C7), à la création d'un environnement propice (C6) et au renforcement des capacités (C4). L'initiative U4SSC contribue directement à l'ODD 11 (Villes et communautés durables) en favorisant l'innovation numérique dans les zones urbaines.</w:t>
      </w:r>
    </w:p>
    <w:p w14:paraId="28BCCB2C" w14:textId="77777777" w:rsidR="0039632C" w:rsidRPr="00023B55" w:rsidRDefault="0039632C" w:rsidP="00C87007">
      <w:pPr>
        <w:pStyle w:val="Headingb"/>
        <w:jc w:val="both"/>
      </w:pPr>
      <w:r w:rsidRPr="00023B55">
        <w:t>Autres exemples</w:t>
      </w:r>
    </w:p>
    <w:p w14:paraId="6DCB292E" w14:textId="77777777" w:rsidR="0039632C" w:rsidRPr="00023B55" w:rsidRDefault="0039632C" w:rsidP="00C87007">
      <w:pPr>
        <w:jc w:val="both"/>
      </w:pPr>
      <w:r w:rsidRPr="00023B55">
        <w:t>D'autres initiatives menées par l'UIT apportent également leur contribution à l'écosystème de collaboration qui soutient la mission du SMSI.</w:t>
      </w:r>
    </w:p>
    <w:p w14:paraId="25F7AD84" w14:textId="77777777" w:rsidR="0039632C" w:rsidRPr="00023B55" w:rsidRDefault="0039632C" w:rsidP="00C87007">
      <w:pPr>
        <w:jc w:val="both"/>
      </w:pPr>
      <w:r w:rsidRPr="00023B55">
        <w:t>Le Réseau de femmes de l'UIT et d'autres initiatives auxquelles l'UIT est étroitement associée, telles que l'initiative "International Gender Champions" à Genève et le partenariat EQUALS, visent à travailler avec toutes les parties prenantes en faveur de l'inclusion numérique des femmes.</w:t>
      </w:r>
    </w:p>
    <w:p w14:paraId="29C878B2" w14:textId="77777777" w:rsidR="0039632C" w:rsidRPr="00023B55" w:rsidRDefault="0039632C" w:rsidP="00C87007">
      <w:pPr>
        <w:jc w:val="both"/>
      </w:pPr>
      <w:r w:rsidRPr="00023B55">
        <w:br w:type="page"/>
      </w:r>
    </w:p>
    <w:p w14:paraId="0ACB130B" w14:textId="77777777" w:rsidR="0039632C" w:rsidRPr="00023B55" w:rsidRDefault="0039632C" w:rsidP="00C87007">
      <w:pPr>
        <w:pStyle w:val="Parttitle"/>
        <w:jc w:val="both"/>
        <w:rPr>
          <w:color w:val="0F4761"/>
          <w:sz w:val="32"/>
          <w:szCs w:val="32"/>
        </w:rPr>
      </w:pPr>
      <w:bookmarkStart w:id="28" w:name="_Toc200377679"/>
      <w:r w:rsidRPr="00023B55">
        <w:rPr>
          <w:color w:val="0F4761"/>
          <w:sz w:val="32"/>
          <w:szCs w:val="32"/>
        </w:rPr>
        <w:lastRenderedPageBreak/>
        <w:t>Partie 3 – Pourquoi le SMSI est-il important maintenant?</w:t>
      </w:r>
      <w:bookmarkEnd w:id="28"/>
    </w:p>
    <w:p w14:paraId="2BA64053" w14:textId="77777777" w:rsidR="0039632C" w:rsidRPr="00023B55" w:rsidRDefault="0039632C" w:rsidP="00C87007">
      <w:pPr>
        <w:jc w:val="both"/>
      </w:pPr>
      <w:r w:rsidRPr="00023B55">
        <w:t>Le SMSI demeure un cadre essentiel pour faire progresser le développement numérique et tirer parti des technologies numériques au service du développement durable. Dès le début, l'un des principaux objectifs a été de réduire la fracture numérique, en assurant un accès équitable aux technologies indépendamment de l'emplacement géographique, du sexe, du statut socio-économique ou des capacités.</w:t>
      </w:r>
    </w:p>
    <w:p w14:paraId="23FE73E4" w14:textId="77777777" w:rsidR="0039632C" w:rsidRPr="00023B55" w:rsidRDefault="0039632C" w:rsidP="00C87007">
      <w:pPr>
        <w:jc w:val="both"/>
      </w:pPr>
      <w:r w:rsidRPr="00023B55">
        <w:t>Malgré des progrès impressionnants, d'importantes disparités persistent aujourd'hui en ce qui concerne l'accès au numérique et son utilisation dans le monde. Pourtant, les projets menés par l'UIT à l'appui des grandes orientations du SMSI continuent de faire progresser la connectivité et l'inclusion numérique pour tous.</w:t>
      </w:r>
    </w:p>
    <w:p w14:paraId="73B0AD18" w14:textId="77777777" w:rsidR="0039632C" w:rsidRPr="00023B55" w:rsidRDefault="0039632C" w:rsidP="00C87007">
      <w:pPr>
        <w:jc w:val="both"/>
      </w:pPr>
      <w:r w:rsidRPr="00023B55">
        <w:t>Aujourd'hui, les technologies numériques sont essentielles pour éradiquer la pauvreté, améliorer l'éducation et les soins de santé, protéger notre environnement et atteindre les objectifs de développement durable des Nations Unies. Le SMSI contribue utilement à faire en sorte que les technologies aident à façonner un avenir meilleur pour l'humanité.</w:t>
      </w:r>
    </w:p>
    <w:p w14:paraId="5BED658E" w14:textId="77777777" w:rsidR="0039632C" w:rsidRPr="00023B55" w:rsidRDefault="0039632C" w:rsidP="00C87007">
      <w:pPr>
        <w:jc w:val="both"/>
      </w:pPr>
      <w:r w:rsidRPr="00023B55">
        <w:t>Le SMSI continue de réunir les gouvernements, le secteur privé, les organisations de la société civile, les organisations internationales et les établissements universitaires en vue de relever les défis complexes du développement numérique. Ce cadre de consultation robuste, inclusif et bien établi demeure donc indispensable dans le contexte de l'essor de l'IA, de l'IoT, des réseaux mobiles 5G et d'une couverture satellitaire inédite.</w:t>
      </w:r>
    </w:p>
    <w:p w14:paraId="3D5DF1E5" w14:textId="77777777" w:rsidR="0039632C" w:rsidRPr="00023B55" w:rsidRDefault="0039632C" w:rsidP="00C87007">
      <w:pPr>
        <w:jc w:val="both"/>
      </w:pPr>
      <w:r w:rsidRPr="00023B55">
        <w:t>Le Pacte numérique mondial adopté lors du Sommet de l'avenir des Nations Unies en 2024 fait écho aux principes de longue date du SMSI. Le nouveau Pacte, tout comme le SMSI, met l'accent sur la connectivité universelle, l'inclusion numérique et la collaboration multi-parties prenantes.</w:t>
      </w:r>
    </w:p>
    <w:p w14:paraId="5815BAF4" w14:textId="77777777" w:rsidR="0039632C" w:rsidRPr="00023B55" w:rsidRDefault="0039632C" w:rsidP="00C87007">
      <w:pPr>
        <w:jc w:val="both"/>
      </w:pPr>
      <w:r w:rsidRPr="00023B55">
        <w:t>Le SMSI, quant à lui, peut accélérer la mise en œuvre sur le terrain de ces objectifs louables, et contribuer ainsi à renforcer les efforts visant à bâtir un avenir numérique pour tous.</w:t>
      </w:r>
    </w:p>
    <w:p w14:paraId="54B1F789" w14:textId="77777777" w:rsidR="0039632C" w:rsidRPr="00023B55" w:rsidRDefault="0039632C" w:rsidP="00C87007">
      <w:pPr>
        <w:pStyle w:val="Heading1"/>
        <w:jc w:val="both"/>
      </w:pPr>
      <w:bookmarkStart w:id="29" w:name="_Toc200377680"/>
      <w:r w:rsidRPr="00023B55">
        <w:t>Un mécanisme actif et éprouvé</w:t>
      </w:r>
      <w:bookmarkEnd w:id="29"/>
    </w:p>
    <w:p w14:paraId="4A7214E4" w14:textId="77777777" w:rsidR="0039632C" w:rsidRPr="00023B55" w:rsidRDefault="0039632C" w:rsidP="00C87007">
      <w:pPr>
        <w:jc w:val="both"/>
      </w:pPr>
      <w:r w:rsidRPr="00023B55">
        <w:t>La plate-forme du SMSI reste un excellent outil pour façonner le paysage numérique mondial, en particulier parallèlement à la nouvelle définition de priorités bien connues du SMSI dans le Pacte numérique mondial. Le cadre restera souple et adaptable, et permettra de relever de nouveaux défis et de saisir les nouvelles occasions qui se présenteront. Par l'intermédiaire d'une collaboration et d'une innovation constantes, le SMSI veillera à ce que les technologies numériques contribuent de manière efficace au développement durable et à ce que personne ne soit laissé pour compte à l'ère numérique.</w:t>
      </w:r>
    </w:p>
    <w:p w14:paraId="15984BAB" w14:textId="77777777" w:rsidR="0039632C" w:rsidRPr="00023B55" w:rsidRDefault="0039632C" w:rsidP="00C87007">
      <w:pPr>
        <w:pStyle w:val="Headingb"/>
        <w:jc w:val="both"/>
      </w:pPr>
      <w:r w:rsidRPr="00023B55">
        <w:t>Un cadre existant, efficace et évolutif</w:t>
      </w:r>
    </w:p>
    <w:p w14:paraId="0E9B94A0" w14:textId="3D14464D" w:rsidR="0039632C" w:rsidRPr="00023B55" w:rsidRDefault="0039632C" w:rsidP="00C87007">
      <w:pPr>
        <w:jc w:val="both"/>
      </w:pPr>
      <w:r w:rsidRPr="00023B55">
        <w:t>Le processus résultant du SMSI offre un cadre robuste permettant de mettre les TIC au service du développement durable. Depuis sa création, le SMSI constitue un cadre permettant d'aborder les défis et les possibilités que présente l'ère numérique. Ce cadre repose sur une collaboration multi-parties prenantes associant les gouvernements, les entités du secteur privé, les organisations de la société civile, les organisations internationales et les établissements universitaires. Cette approche inclusive garantit la prise en compte de points de vue divers, et permet ainsi d'améliorer l'efficacité et la durabilité des initiatives liées aux TIC.</w:t>
      </w:r>
    </w:p>
    <w:p w14:paraId="01A165C4" w14:textId="77777777" w:rsidR="0039632C" w:rsidRPr="00023B55" w:rsidRDefault="0039632C" w:rsidP="00C87007">
      <w:pPr>
        <w:jc w:val="both"/>
      </w:pPr>
      <w:r w:rsidRPr="00023B55">
        <w:lastRenderedPageBreak/>
        <w:t>Le cadre du SMSI n'est pas statique; il évolue de manière à permettre de relever les défis qui se font jour et de tirer parti de nouvelles possibilités. Au fil des ans, le SMSI s'est adapté aux avancées technologiques telles que l'IA, l'IoT et les réseaux 5G. En actualisant constamment ses stratégies et ses plans d'action, le SMSI continue d'agir de façon pertinente et efficace en faveur de l'inclusion numérique, de la cybersécurité et du développement durable.</w:t>
      </w:r>
    </w:p>
    <w:p w14:paraId="27C9C70D" w14:textId="77777777" w:rsidR="0039632C" w:rsidRPr="00023B55" w:rsidRDefault="0039632C" w:rsidP="00C87007">
      <w:pPr>
        <w:pStyle w:val="Heading1"/>
        <w:jc w:val="both"/>
      </w:pPr>
      <w:bookmarkStart w:id="30" w:name="_Toc200377681"/>
      <w:r w:rsidRPr="00023B55">
        <w:t>Processus d'examen du SMSI+10</w:t>
      </w:r>
      <w:bookmarkEnd w:id="30"/>
    </w:p>
    <w:p w14:paraId="02E61611" w14:textId="77777777" w:rsidR="0039632C" w:rsidRPr="00023B55" w:rsidRDefault="0039632C" w:rsidP="00C87007">
      <w:pPr>
        <w:jc w:val="both"/>
      </w:pPr>
      <w:r w:rsidRPr="00023B55">
        <w:t>Aux termes de l'Agenda de Tunis pour la société de l'information de 2005 (paragraphe 111), il est demandé à l'Assemblée générale des Nations Unies de procéder à un examen d'ensemble de la mise en œuvre des conclusions du SMSI en 2015. Ce processus, connu sous le nom d'examen du SMSI+10, a été institué pour évaluer les progrès accomplis dans la mise en œuvre des résultats du SMSI et présenter la vision du SMSI pour l'après-2015.</w:t>
      </w:r>
    </w:p>
    <w:p w14:paraId="4FE94F12" w14:textId="77777777" w:rsidR="0039632C" w:rsidRPr="00023B55" w:rsidRDefault="0039632C" w:rsidP="00C87007">
      <w:pPr>
        <w:jc w:val="both"/>
      </w:pPr>
      <w:r w:rsidRPr="00023B55">
        <w:t xml:space="preserve">La </w:t>
      </w:r>
      <w:hyperlink r:id="rId287" w:history="1">
        <w:r w:rsidRPr="00023B55">
          <w:rPr>
            <w:rStyle w:val="Hyperlink"/>
            <w:rFonts w:eastAsia="Times New Roman" w:cs="Times New Roman"/>
            <w:szCs w:val="20"/>
          </w:rPr>
          <w:t>Résolution 68/302</w:t>
        </w:r>
      </w:hyperlink>
      <w:r w:rsidRPr="00023B55">
        <w:t xml:space="preserve"> de l'Assemblée générale des Nations Unies (adoptée en juillet 2014) définit les modalités du processus d'examen du SMSI+10. Il a été décidé, aux termes de ladite Résolution, de tenir une réunion de haut niveau en décembre 2015, laquelle serait précédée d'un processus préparatoire intergouvernemental prenant également en compte les apports de toutes les parties prenantes concernées. Conformément à ladite Résolution, le Président de l'Assemblée générale a nommé S. E. M. Jānis Mažeiks, Représentant permanent de la République de Lettonie, et S. E. Mme Lana Zaki Nusseibeh, Représentante permanente des Émirats arabes unis, en tant que cofacilitateurs chargés de mener le processus d'examen du SMSI+10. L'examen a abouti à l'adoption de la </w:t>
      </w:r>
      <w:hyperlink r:id="rId288" w:history="1">
        <w:r w:rsidRPr="00023B55">
          <w:rPr>
            <w:rStyle w:val="Hyperlink"/>
            <w:rFonts w:eastAsia="Times New Roman" w:cs="Times New Roman"/>
            <w:szCs w:val="20"/>
          </w:rPr>
          <w:t>Résolution A/RES/70/125</w:t>
        </w:r>
      </w:hyperlink>
      <w:r w:rsidRPr="00023B55">
        <w:t>, qui réaffirme l'engagement de toutes les parties prenantes en faveur du processus du SMSI, met en évidence les grandes orientations du SMSI en tant que cadre central pour le développement numérique, et prévoit l'alignement du processus du SMSI sur le Programme de développement durable à l'horizon 2030.</w:t>
      </w:r>
    </w:p>
    <w:p w14:paraId="448B5346" w14:textId="77777777" w:rsidR="0039632C" w:rsidRPr="00023B55" w:rsidRDefault="0039632C" w:rsidP="00C87007">
      <w:pPr>
        <w:jc w:val="both"/>
      </w:pPr>
      <w:r w:rsidRPr="00023B55">
        <w:t xml:space="preserve">Avant l'examen effectué par l'Assemblée générale des Nations Unies, la </w:t>
      </w:r>
      <w:hyperlink r:id="rId289" w:history="1">
        <w:r w:rsidRPr="00023B55">
          <w:rPr>
            <w:rStyle w:val="Hyperlink"/>
            <w:rFonts w:eastAsia="Times New Roman" w:cs="Times New Roman"/>
            <w:szCs w:val="20"/>
          </w:rPr>
          <w:t>Manifestation de haut niveau SMSI+10</w:t>
        </w:r>
      </w:hyperlink>
      <w:r w:rsidRPr="00023B55">
        <w:t>, organisée conjointement par l'UIT, l'UNESCO, la CNUCED et le PNUD, s'est déroulée du 10 au 13 juin 2014; des manifestations préalables ont également eu lieu le 9 juin à Genève. La manifestation avait pour but d'examiner les progrès accomplis dans la mise en œuvre des résultats du SMSI dans le cadre des mandats des institutions participantes, et de faire le point sur les réalisations des dix dernières années sur la base des rapports des parties prenantes du SMSI, y compris ceux soumis par les pays, les coordonnateurs des grandes orientations et d'autres parties prenantes.</w:t>
      </w:r>
    </w:p>
    <w:p w14:paraId="3006828A" w14:textId="77777777" w:rsidR="0039632C" w:rsidRPr="00023B55" w:rsidRDefault="0039632C" w:rsidP="00C87007">
      <w:pPr>
        <w:jc w:val="both"/>
      </w:pPr>
      <w:r w:rsidRPr="00023B55">
        <w:t xml:space="preserve">Cette manifestation de haut niveau a débouché sur deux documents faisant consensus élaborés dans le cadre d'une </w:t>
      </w:r>
      <w:hyperlink r:id="rId290" w:history="1">
        <w:r w:rsidRPr="00023B55">
          <w:rPr>
            <w:rStyle w:val="Hyperlink"/>
            <w:rFonts w:eastAsia="Times New Roman" w:cs="Times New Roman"/>
            <w:szCs w:val="20"/>
          </w:rPr>
          <w:t>plate-forme préparatoire multi-parties prenantes (MPP)</w:t>
        </w:r>
      </w:hyperlink>
      <w:r w:rsidRPr="00023B55">
        <w:t xml:space="preserve"> globale:</w:t>
      </w:r>
    </w:p>
    <w:p w14:paraId="04CAC75F" w14:textId="77777777" w:rsidR="0039632C" w:rsidRPr="00023B55" w:rsidRDefault="0039632C" w:rsidP="00C87007">
      <w:pPr>
        <w:pStyle w:val="enumlev1"/>
        <w:jc w:val="both"/>
      </w:pPr>
      <w:r w:rsidRPr="00023B55">
        <w:t>–</w:t>
      </w:r>
      <w:r w:rsidRPr="00023B55">
        <w:tab/>
      </w:r>
      <w:hyperlink r:id="rId291" w:anchor="high-level" w:history="1">
        <w:r w:rsidRPr="00023B55">
          <w:rPr>
            <w:rStyle w:val="Hyperlink"/>
            <w:rFonts w:eastAsia="Times New Roman" w:cs="Times New Roman"/>
            <w:szCs w:val="20"/>
          </w:rPr>
          <w:t>Déclaration du SMSI+10 sur la mise en œuvre des résultats du SMSI</w:t>
        </w:r>
      </w:hyperlink>
    </w:p>
    <w:p w14:paraId="724F35D1" w14:textId="77777777" w:rsidR="0039632C" w:rsidRPr="00023B55" w:rsidRDefault="0039632C" w:rsidP="00C87007">
      <w:pPr>
        <w:pStyle w:val="enumlev1"/>
        <w:jc w:val="both"/>
      </w:pPr>
      <w:r w:rsidRPr="00023B55">
        <w:t>–</w:t>
      </w:r>
      <w:r w:rsidRPr="00023B55">
        <w:tab/>
      </w:r>
      <w:hyperlink r:id="rId292" w:anchor="high-level" w:history="1">
        <w:r w:rsidRPr="00023B55">
          <w:rPr>
            <w:rStyle w:val="Hyperlink"/>
            <w:rFonts w:eastAsia="Times New Roman" w:cs="Times New Roman"/>
            <w:szCs w:val="20"/>
          </w:rPr>
          <w:t>Vision du SMSI+10 pour l'après-2015</w:t>
        </w:r>
      </w:hyperlink>
    </w:p>
    <w:p w14:paraId="63D07681" w14:textId="77777777" w:rsidR="0039632C" w:rsidRPr="00023B55" w:rsidRDefault="0039632C" w:rsidP="00F52608">
      <w:pPr>
        <w:pStyle w:val="Heading1"/>
      </w:pPr>
      <w:bookmarkStart w:id="31" w:name="_Toc200377682"/>
      <w:r w:rsidRPr="00023B55">
        <w:t>Travaux préparatoires en vue de l'examen d'ensemble de la mise en œuvre des résultats du SMSI: le SMSI+20 et l'après-2025</w:t>
      </w:r>
      <w:bookmarkEnd w:id="31"/>
    </w:p>
    <w:p w14:paraId="4F5F1C23" w14:textId="77777777" w:rsidR="0039632C" w:rsidRPr="00023B55" w:rsidRDefault="0039632C" w:rsidP="00C87007">
      <w:pPr>
        <w:jc w:val="both"/>
      </w:pPr>
      <w:r w:rsidRPr="00023B55">
        <w:t xml:space="preserve">Aux termes de sa </w:t>
      </w:r>
      <w:hyperlink r:id="rId293" w:history="1">
        <w:r w:rsidRPr="00023B55">
          <w:rPr>
            <w:rStyle w:val="Hyperlink"/>
            <w:rFonts w:eastAsia="Times New Roman" w:cs="Times New Roman"/>
            <w:szCs w:val="20"/>
          </w:rPr>
          <w:t>Résolution 70/125</w:t>
        </w:r>
      </w:hyperlink>
      <w:r w:rsidRPr="00023B55">
        <w:t xml:space="preserve">, l'Assemblée générale des Nations Unies est chargée d'organiser une réunion de haut niveau sur l'examen d'ensemble de la mise en œuvre des textes issus du Sommet mondial sur la société de l'information en 2025 (dénommé "SMSI+20"), à laquelle participeraient et contribueraient toutes les parties prenantes, y compris au stade des préparatifs, et qui serait l'occasion de faire le point sur les </w:t>
      </w:r>
      <w:r w:rsidRPr="00023B55">
        <w:lastRenderedPageBreak/>
        <w:t>progrès accomplis dans la mise en œuvre des résultats du Sommet mondial et de recenser les domaines dont il faut continuer de s'occuper et les problèmes qui se posent. Il est également recommandé que les conclusions de la réunion de haut niveau soient considérées comme une contribution à l'examen de la suite donnée au Programme de développement durable à l'horizon 2030. Le SMSI+20 donnera l'occasion de réfléchir à l'évolution du processus de mise en œuvre du SMSI et de l'analyser.</w:t>
      </w:r>
    </w:p>
    <w:p w14:paraId="0EC74C6D" w14:textId="77777777" w:rsidR="0039632C" w:rsidRPr="00023B55" w:rsidRDefault="0039632C" w:rsidP="00F52608">
      <w:pPr>
        <w:pStyle w:val="Headingb"/>
      </w:pPr>
      <w:r w:rsidRPr="00023B55">
        <w:t>Feuilles de route pour le SMSI+20</w:t>
      </w:r>
    </w:p>
    <w:p w14:paraId="0ECB9FAF" w14:textId="77777777" w:rsidR="0039632C" w:rsidRPr="00023B55" w:rsidRDefault="0039632C" w:rsidP="00C87007">
      <w:pPr>
        <w:pStyle w:val="enumlev1"/>
        <w:jc w:val="both"/>
      </w:pPr>
      <w:r w:rsidRPr="00023B55">
        <w:t>–</w:t>
      </w:r>
      <w:r w:rsidRPr="00023B55">
        <w:tab/>
      </w:r>
      <w:hyperlink r:id="rId294" w:history="1">
        <w:r w:rsidRPr="00023B55">
          <w:rPr>
            <w:rStyle w:val="Hyperlink"/>
            <w:rFonts w:eastAsia="Times New Roman" w:cs="Times New Roman"/>
            <w:szCs w:val="20"/>
          </w:rPr>
          <w:t>Sommet mondial sur la société de l'information (SMSI)+20: le SMSI après 2025 – Feuille de route pour le SMSI+20</w:t>
        </w:r>
      </w:hyperlink>
      <w:r w:rsidRPr="00023B55">
        <w:t>: décrit la Feuille de route du Secrétaire général sur le rôle de l'UIT dans le processus d'examen du SMSI+20 et dans ses préparatifs. Le document décrit le rôle moteur joué par l'UIT en matière de mobilisation des parties prenantes, d'évaluation des progrès accomplis et d'alignement des grandes orientations du SMSI avec le Programme de développement durable à l'horizon 2030. La feuille de route met l'accent sur des travaux préparatoires exhaustifs, notamment des activités détaillées, des manifestations et des mécanismes de rapport, tous visant à éclairer l'examen global que doit mener l'Assemblée générale des Nations Unies en 2025. Grâce à des efforts concertés, elle identifie les actions prioritaires à mettre en œuvre pour faire progresser le développement numérique au-delà de 2025 tout en encourageant les partenariats et le dialogue à l'échelle mondiale.</w:t>
      </w:r>
    </w:p>
    <w:p w14:paraId="34B9A4E3" w14:textId="77777777" w:rsidR="0039632C" w:rsidRPr="00023B55" w:rsidRDefault="0039632C" w:rsidP="00C87007">
      <w:pPr>
        <w:pStyle w:val="enumlev1"/>
        <w:jc w:val="both"/>
      </w:pPr>
      <w:r w:rsidRPr="00023B55">
        <w:t>–</w:t>
      </w:r>
      <w:r w:rsidRPr="00023B55">
        <w:tab/>
      </w:r>
      <w:hyperlink r:id="rId295" w:history="1">
        <w:r w:rsidRPr="00023B55">
          <w:rPr>
            <w:rStyle w:val="Hyperlink"/>
            <w:rFonts w:eastAsia="Times New Roman" w:cs="Times New Roman"/>
            <w:szCs w:val="20"/>
          </w:rPr>
          <w:t>Rapport de la Directrice générale sur la mise en œuvre des textes issus du Sommet mondial sur la société de l'information (SMSI)</w:t>
        </w:r>
      </w:hyperlink>
      <w:r w:rsidRPr="00023B55">
        <w:t>: vise à établir la feuille de route de l'UNESCO pour l'examen du SMSI+20.</w:t>
      </w:r>
    </w:p>
    <w:p w14:paraId="50F767AA" w14:textId="77777777" w:rsidR="0039632C" w:rsidRPr="00023B55" w:rsidRDefault="0039632C" w:rsidP="00C87007">
      <w:pPr>
        <w:pStyle w:val="enumlev1"/>
        <w:jc w:val="both"/>
      </w:pPr>
      <w:r w:rsidRPr="00023B55">
        <w:t>–</w:t>
      </w:r>
      <w:r w:rsidRPr="00023B55">
        <w:tab/>
      </w:r>
      <w:hyperlink r:id="rId296" w:history="1">
        <w:r w:rsidRPr="00023B55">
          <w:rPr>
            <w:rStyle w:val="Hyperlink"/>
            <w:rFonts w:eastAsia="Times New Roman" w:cs="Times New Roman"/>
            <w:szCs w:val="20"/>
          </w:rPr>
          <w:t>Feuille de route de la CSTD de la Conférence des Nations Unies sur le commerce et le développement pour l'examen du SMSI+20</w:t>
        </w:r>
      </w:hyperlink>
      <w:r w:rsidRPr="00023B55">
        <w:t>.</w:t>
      </w:r>
    </w:p>
    <w:p w14:paraId="3E50BE5F" w14:textId="77777777" w:rsidR="0039632C" w:rsidRPr="00023B55" w:rsidRDefault="0039632C" w:rsidP="00C87007">
      <w:pPr>
        <w:jc w:val="both"/>
      </w:pPr>
      <w:r w:rsidRPr="00023B55">
        <w:t xml:space="preserve">Lors de la </w:t>
      </w:r>
      <w:hyperlink r:id="rId297" w:history="1">
        <w:r w:rsidRPr="00023B55">
          <w:rPr>
            <w:rStyle w:val="Hyperlink"/>
            <w:rFonts w:eastAsia="Times New Roman" w:cs="Times New Roman"/>
            <w:szCs w:val="20"/>
          </w:rPr>
          <w:t>manifestation de haut niveau de 2024 du Forum SMSI+20</w:t>
        </w:r>
      </w:hyperlink>
      <w:r w:rsidRPr="00023B55">
        <w:t xml:space="preserve">, plusieurs dialogues et discussions multi-parties prenantes sur les étapes préliminaires du processus d'examen du SMSI+20 se sont tenus. Les sessions s'inscrivaient dans le cadre des </w:t>
      </w:r>
      <w:hyperlink r:id="rId298" w:history="1">
        <w:r w:rsidRPr="00023B55">
          <w:rPr>
            <w:rStyle w:val="Hyperlink"/>
            <w:rFonts w:eastAsia="Times New Roman" w:cs="Times New Roman"/>
            <w:szCs w:val="20"/>
          </w:rPr>
          <w:t>Processus de gouvernance numérique: SMSI, GDC/Volet spécial du Sommet de l'avenir</w:t>
        </w:r>
      </w:hyperlink>
      <w:r w:rsidRPr="00023B55">
        <w:t>. À l'issue de ces sessions, les participants en ont conclu qu'il était nécessaire d'éviter que les activités se chevauchent, tout en tenant compte des mécanismes existants et en reconnaissant qu'il restait encore beaucoup de travail à accomplir. Les parties prenantes ont réaffirmé l'importance du cadre multi-parties prenantes et mis en avant les principaux éléments du processus du SMSI, tels que le Forum du SMSI, le Forum sur la gouvernance d'Internet, le Groupe UNGIS, ou encore la plate-forme dressant l'inventaire des activités du SMSI.</w:t>
      </w:r>
    </w:p>
    <w:p w14:paraId="3AA425A4" w14:textId="77777777" w:rsidR="0039632C" w:rsidRPr="00023B55" w:rsidRDefault="0039632C" w:rsidP="00C87007">
      <w:pPr>
        <w:keepLines/>
        <w:jc w:val="both"/>
      </w:pPr>
      <w:r w:rsidRPr="00023B55">
        <w:t xml:space="preserve">Le Forum 2025 du SMSI, présenté comme la </w:t>
      </w:r>
      <w:hyperlink r:id="rId299" w:history="1">
        <w:r w:rsidRPr="00023B55">
          <w:rPr>
            <w:rStyle w:val="Hyperlink"/>
            <w:rFonts w:eastAsia="Times New Roman" w:cs="Times New Roman"/>
            <w:szCs w:val="20"/>
          </w:rPr>
          <w:t>manifestation de haut niveau de 2025 du SMSI+20</w:t>
        </w:r>
      </w:hyperlink>
      <w:r w:rsidRPr="00023B55">
        <w:t>, fêtera les vingt ans du processus du SMSI en mettant en avant ses réalisations et en recensant les possibilités et les défis liés à la mise en œuvre des grandes orientations du SMSI. La manifestation doit se tenir du 7 au 11 juillet 2025 à Genève (Suisse).</w:t>
      </w:r>
    </w:p>
    <w:p w14:paraId="4644EA55" w14:textId="77777777" w:rsidR="0039632C" w:rsidRPr="00023B55" w:rsidRDefault="0039632C" w:rsidP="00C87007">
      <w:pPr>
        <w:pStyle w:val="Headingb"/>
        <w:jc w:val="both"/>
      </w:pPr>
      <w:r w:rsidRPr="00023B55">
        <w:t>Processus préparatoire conjoint en vue du SMSI+20</w:t>
      </w:r>
    </w:p>
    <w:p w14:paraId="5CDE8BFB" w14:textId="77777777" w:rsidR="0039632C" w:rsidRPr="00023B55" w:rsidRDefault="0039632C" w:rsidP="00C87007">
      <w:pPr>
        <w:jc w:val="both"/>
      </w:pPr>
      <w:r w:rsidRPr="00023B55">
        <w:t xml:space="preserve">En vue de l'examen global du SMSI+20, un processus préparatoire conjoint a été établi: il réunira les principales entités des Nations Unies, notamment l'UIT, l'UNESCO, le PNUD, la CNUCED, le DAES de l'ONU et la CSTD, qui recevront l'appui des commissions régionales des Nations Unies. Cet effort coordonné a facilité l'identification des principales étapes menant à l'examen global du SMSI+20. Des réunions sont organisées régulièrement pour appuyer la planification collaborative et le dialogue, preuve de l'engagement commun en faveur du </w:t>
      </w:r>
      <w:r w:rsidRPr="00023B55">
        <w:lastRenderedPageBreak/>
        <w:t>processus préparatoire conjoint du SMSI+20. On se référera à l'échéancier ci</w:t>
      </w:r>
      <w:r w:rsidRPr="00023B55">
        <w:noBreakHyphen/>
        <w:t>dessous pour de plus amples détails.</w:t>
      </w:r>
    </w:p>
    <w:p w14:paraId="60ACF280" w14:textId="77777777" w:rsidR="0039632C" w:rsidRPr="00023B55" w:rsidRDefault="0039632C" w:rsidP="00C87007">
      <w:pPr>
        <w:pStyle w:val="Figure"/>
      </w:pPr>
      <w:r w:rsidRPr="00023B55">
        <w:drawing>
          <wp:inline distT="0" distB="0" distL="0" distR="0" wp14:anchorId="7E0CF127" wp14:editId="518C5962">
            <wp:extent cx="5891917" cy="3068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0"/>
                    <a:stretch>
                      <a:fillRect/>
                    </a:stretch>
                  </pic:blipFill>
                  <pic:spPr>
                    <a:xfrm>
                      <a:off x="0" y="0"/>
                      <a:ext cx="5911615" cy="3078653"/>
                    </a:xfrm>
                    <a:prstGeom prst="rect">
                      <a:avLst/>
                    </a:prstGeom>
                  </pic:spPr>
                </pic:pic>
              </a:graphicData>
            </a:graphic>
          </wp:inline>
        </w:drawing>
      </w:r>
    </w:p>
    <w:p w14:paraId="65DFFBEE" w14:textId="77777777" w:rsidR="0039632C" w:rsidRPr="00023B55" w:rsidRDefault="0039632C" w:rsidP="00C87007">
      <w:pPr>
        <w:pStyle w:val="Headingb"/>
        <w:jc w:val="both"/>
      </w:pPr>
      <w:r w:rsidRPr="00023B55">
        <w:t>Modalités du SMSI+20</w:t>
      </w:r>
    </w:p>
    <w:p w14:paraId="5CD0B4B9" w14:textId="77777777" w:rsidR="0039632C" w:rsidRPr="00023B55" w:rsidRDefault="0039632C" w:rsidP="00C87007">
      <w:pPr>
        <w:jc w:val="both"/>
      </w:pPr>
      <w:r w:rsidRPr="00023B55">
        <w:t>En janvier 2025, le Président de l'Assemblée générale des Nations Unies a nommé S. E. M. Erastus Lokaale, Représentant permanent de la République du Kenya, et S. E. M. Rytis Paulauskas, Représentant permanent de la République de Lituanie, en tant que cofacilitateurs des consultations intergouvernementales visant à établir définitivement les modalités de l'examen d'ensemble de la mise en œuvre des résultats du SMSI que doit mener l'Assemblée générale (</w:t>
      </w:r>
      <w:hyperlink r:id="rId301" w:history="1">
        <w:r w:rsidRPr="00023B55">
          <w:rPr>
            <w:rStyle w:val="Hyperlink"/>
            <w:rFonts w:eastAsia="Times New Roman" w:cs="Times New Roman"/>
            <w:szCs w:val="20"/>
          </w:rPr>
          <w:t>lettre datée du 20 janvier 2025</w:t>
        </w:r>
      </w:hyperlink>
      <w:r w:rsidRPr="00023B55">
        <w:t>).</w:t>
      </w:r>
    </w:p>
    <w:p w14:paraId="4DB20030" w14:textId="77777777" w:rsidR="0039632C" w:rsidRPr="00023B55" w:rsidRDefault="0039632C" w:rsidP="00C87007">
      <w:pPr>
        <w:jc w:val="both"/>
      </w:pPr>
      <w:r w:rsidRPr="00023B55">
        <w:t>La résolution sur les TIC au service du développement durable (</w:t>
      </w:r>
      <w:hyperlink r:id="rId302" w:history="1">
        <w:r w:rsidRPr="00023B55">
          <w:rPr>
            <w:rStyle w:val="Hyperlink"/>
            <w:rFonts w:eastAsia="Times New Roman" w:cs="Times New Roman"/>
            <w:szCs w:val="20"/>
          </w:rPr>
          <w:t>A/RES/79/194</w:t>
        </w:r>
      </w:hyperlink>
      <w:r w:rsidRPr="00023B55">
        <w:t>) indique que les modalités doivent être arrêtées au plus tard à la fin de mars 2025.</w:t>
      </w:r>
    </w:p>
    <w:p w14:paraId="40BE0941" w14:textId="77777777" w:rsidR="0039632C" w:rsidRPr="00023B55" w:rsidRDefault="0039632C" w:rsidP="00C87007">
      <w:pPr>
        <w:jc w:val="both"/>
      </w:pPr>
      <w:r w:rsidRPr="00023B55">
        <w:t xml:space="preserve">Le 4 février 2025, les cofacilitateurs ont présenté un calendrier des consultations intergouvernementales sur les modalités de l'examen d'ensemble de la mise en œuvre des résultats du SMSI que doit mener l'Assemblée générale et ont diffusé l'avant-projet des modalités devant être présenté le 14 février 2025 dans la salle de l'ECOSOC (voir les informations </w:t>
      </w:r>
      <w:hyperlink r:id="rId303" w:history="1">
        <w:r w:rsidRPr="00023B55">
          <w:rPr>
            <w:rStyle w:val="Hyperlink"/>
            <w:rFonts w:eastAsia="Times New Roman" w:cs="Times New Roman"/>
            <w:szCs w:val="20"/>
          </w:rPr>
          <w:t>ici</w:t>
        </w:r>
      </w:hyperlink>
      <w:r w:rsidRPr="00023B55">
        <w:t>).</w:t>
      </w:r>
    </w:p>
    <w:p w14:paraId="5575D7F5" w14:textId="77777777" w:rsidR="0039632C" w:rsidRPr="00023B55" w:rsidRDefault="0039632C" w:rsidP="00C87007">
      <w:pPr>
        <w:jc w:val="both"/>
      </w:pPr>
      <w:r w:rsidRPr="00023B55">
        <w:t>Il est décidé, aux termes de la résolution sur les modalités (</w:t>
      </w:r>
      <w:hyperlink r:id="rId304" w:history="1">
        <w:r w:rsidRPr="00023B55">
          <w:rPr>
            <w:rStyle w:val="Hyperlink"/>
            <w:rFonts w:eastAsia="Times New Roman" w:cs="Times New Roman"/>
            <w:szCs w:val="20"/>
          </w:rPr>
          <w:t>A/RES/79/277</w:t>
        </w:r>
      </w:hyperlink>
      <w:r w:rsidRPr="00023B55">
        <w:t>) adoptée en mars 2025, de convoquer une réunion de haut niveau de l'Assemblée générale, avec une participation au niveau le plus élevé possible, les 16 et 17 décembre 2025, conformément au Règlement intérieur de l'Assemblée générale.</w:t>
      </w:r>
    </w:p>
    <w:p w14:paraId="24EAA793" w14:textId="77777777" w:rsidR="0039632C" w:rsidRPr="00023B55" w:rsidRDefault="0039632C" w:rsidP="00C87007">
      <w:pPr>
        <w:jc w:val="both"/>
      </w:pPr>
      <w:r w:rsidRPr="00023B55">
        <w:t>Le 23 avril 2025, le Président de l'Assemblée générale des Nations Unies a nommé S. E. M. Ekitela Lokaale, Représentant permanent de la République du Kenya auprès des Nations Unies, et S. E. Mme Suela Janina, Représentante permanente de la République d'Albanie auprès des Nations Unies, en tant que cofacilitateurs pour diriger l'examen d'ensemble de la mise en œuvre des résultats du SMSI.</w:t>
      </w:r>
    </w:p>
    <w:p w14:paraId="592B7683" w14:textId="77777777" w:rsidR="0039632C" w:rsidRPr="00023B55" w:rsidRDefault="0039632C" w:rsidP="00C87007">
      <w:pPr>
        <w:pStyle w:val="Headingb"/>
        <w:jc w:val="both"/>
      </w:pPr>
      <w:r w:rsidRPr="00023B55">
        <w:lastRenderedPageBreak/>
        <w:t>Étapes, défis et nouvelles tendances au-delà de 2025 pour les grandes orientations du SMSI+20</w:t>
      </w:r>
    </w:p>
    <w:p w14:paraId="736E5DB2" w14:textId="77777777" w:rsidR="0039632C" w:rsidRPr="00023B55" w:rsidRDefault="0039632C" w:rsidP="00C87007">
      <w:pPr>
        <w:jc w:val="both"/>
      </w:pPr>
      <w:r w:rsidRPr="00023B55">
        <w:t xml:space="preserve">Les grandes orientations du SMSI constituent un cadre essentiel pour accélérer les progrès dans la réalisation des ODD. Elles portent sur onze domaines d'intervention, dans lesquels la technologie joue un rôle moteur important du développement durable. L'UIT, en collaboration avec d'autres coordonnateurs des grandes orientations du SMSI issus d'institutions des Nations Unies, a préparé des présentations mettant en lumière les principales étapes, les défis et les nouvelles tendances au-delà de 2025. Les présentations sont disponibles </w:t>
      </w:r>
      <w:hyperlink r:id="rId305" w:history="1">
        <w:r w:rsidRPr="00023B55">
          <w:rPr>
            <w:rStyle w:val="Hyperlink"/>
            <w:rFonts w:eastAsia="Times New Roman" w:cs="Times New Roman"/>
            <w:szCs w:val="20"/>
          </w:rPr>
          <w:t>ici</w:t>
        </w:r>
      </w:hyperlink>
      <w:r w:rsidRPr="00023B55">
        <w:t>.</w:t>
      </w:r>
    </w:p>
    <w:p w14:paraId="6C0D7B42" w14:textId="77777777" w:rsidR="0039632C" w:rsidRPr="00023B55" w:rsidRDefault="0039632C" w:rsidP="00C87007">
      <w:pPr>
        <w:pStyle w:val="Headingb"/>
        <w:jc w:val="both"/>
      </w:pPr>
      <w:r w:rsidRPr="00023B55">
        <w:t>Appel à contributions de l'UIT sur l'examen du SMSI+20</w:t>
      </w:r>
    </w:p>
    <w:p w14:paraId="5C3E8E15" w14:textId="77777777" w:rsidR="0039632C" w:rsidRPr="00023B55" w:rsidRDefault="0039632C" w:rsidP="00C87007">
      <w:pPr>
        <w:jc w:val="both"/>
      </w:pPr>
      <w:r w:rsidRPr="00023B55">
        <w:t xml:space="preserve">Conformément à la Résolution 1332 du Conseil de l'UIT, l'Union a lancé un </w:t>
      </w:r>
      <w:hyperlink r:id="rId306" w:history="1">
        <w:r w:rsidRPr="00023B55">
          <w:rPr>
            <w:rStyle w:val="Hyperlink"/>
            <w:rFonts w:eastAsia="Times New Roman" w:cs="Times New Roman"/>
            <w:szCs w:val="20"/>
          </w:rPr>
          <w:t>appel à contributions sur l'examen du SMSI+20</w:t>
        </w:r>
      </w:hyperlink>
      <w:r w:rsidRPr="00023B55">
        <w:t>. Les membres et les autres parties prenantes sont invités par le Président du GTC-SMSI/ODD à faire part de leurs vues sur les travaux de l'UIT dans le cadre de l'examen du SMSI+20, notamment à présenter des idées concernant l'examen des grandes orientations du SMSI.</w:t>
      </w:r>
    </w:p>
    <w:p w14:paraId="66DDA640" w14:textId="77777777" w:rsidR="0039632C" w:rsidRPr="00023B55" w:rsidRDefault="0039632C" w:rsidP="00C87007">
      <w:pPr>
        <w:jc w:val="both"/>
      </w:pPr>
      <w:r w:rsidRPr="00023B55">
        <w:t xml:space="preserve">Ce processus, facilité au moyen d'un formulaire en ligne et de réunions physiques, vise à recueillir des informations sur les réalisations et les difficultés du processus du SMSI, son alignement sur le Programme de développement durable à l'horizon 2030 et son adaptation aux nouvelles tendances. Sur 97 soumissions, 62 ont été publiées par approbation: </w:t>
      </w:r>
      <w:hyperlink r:id="rId307" w:history="1">
        <w:r w:rsidRPr="00023B55">
          <w:rPr>
            <w:rStyle w:val="Hyperlink"/>
            <w:rFonts w:eastAsia="Times New Roman" w:cs="Times New Roman"/>
            <w:szCs w:val="20"/>
          </w:rPr>
          <w:t>Appel à contributions du GTC-SMSI/ODD sur les suites données à l'examen du SMSI+20</w:t>
        </w:r>
      </w:hyperlink>
      <w:r w:rsidRPr="00023B55">
        <w:t>.</w:t>
      </w:r>
    </w:p>
    <w:p w14:paraId="603FD14C" w14:textId="77777777" w:rsidR="0039632C" w:rsidRPr="00023B55" w:rsidRDefault="0039632C" w:rsidP="00C87007">
      <w:pPr>
        <w:jc w:val="both"/>
      </w:pPr>
      <w:r w:rsidRPr="00023B55">
        <w:t>L'UIT lance un appel à contributions sur des manifestations parallèles du SMSI+20 organisées pendant le Forum sur la gouvernance d'Internet de 2025, et la Manifestation de haut niveau SMSI+20 de 2025 poursuivra ce dialogue sur l'examen du SMSI+20 avec toutes les parties prenantes.</w:t>
      </w:r>
    </w:p>
    <w:p w14:paraId="0B4D279B" w14:textId="77777777" w:rsidR="0039632C" w:rsidRPr="00023B55" w:rsidRDefault="0039632C" w:rsidP="00C87007">
      <w:pPr>
        <w:jc w:val="both"/>
      </w:pPr>
      <w:r w:rsidRPr="00023B55">
        <w:t xml:space="preserve">Le résumé de cet appel à contributions sera présenté par le Président du Groupe de travail du Conseil sur le SMSI et les ODD lors de l'examen d'ensemble du SMSI+20 mené par l'Assemblée générale des Nations Unies. En outre, la Secrétaire générale de l'UIT est invitée à prendre en compte les résultats de l'appel à contributions lorsqu'elle soumettra son rapport sur le SMSI+20 dans le cadre de l'examen d'ensemble de ce dernier, comme indiqué dans la </w:t>
      </w:r>
      <w:hyperlink r:id="rId308" w:history="1">
        <w:r w:rsidRPr="00023B55">
          <w:rPr>
            <w:rStyle w:val="Hyperlink"/>
            <w:rFonts w:eastAsia="Times New Roman" w:cs="Times New Roman"/>
            <w:szCs w:val="20"/>
          </w:rPr>
          <w:t>Résolution 140</w:t>
        </w:r>
      </w:hyperlink>
      <w:r w:rsidRPr="00023B55">
        <w:t xml:space="preserve"> (Rév. Bucarest, 2022) de la Conférence de plénipotentiaires de l'UIT.</w:t>
      </w:r>
    </w:p>
    <w:p w14:paraId="29F5145E" w14:textId="77777777" w:rsidR="0039632C" w:rsidRPr="00023B55" w:rsidRDefault="0039632C" w:rsidP="00C87007">
      <w:pPr>
        <w:pStyle w:val="Headingb"/>
        <w:jc w:val="both"/>
      </w:pPr>
      <w:r w:rsidRPr="00023B55">
        <w:t>Rapports sur les vingt ans de la mise en œuvre des résultats du SMSI</w:t>
      </w:r>
    </w:p>
    <w:p w14:paraId="3A1B1053" w14:textId="77777777" w:rsidR="0039632C" w:rsidRPr="00023B55" w:rsidRDefault="0039632C" w:rsidP="00C87007">
      <w:pPr>
        <w:jc w:val="both"/>
      </w:pPr>
      <w:r w:rsidRPr="00023B55">
        <w:t>Le Forum du SMSI de 2025, présenté comme la manifestation de haut niveau du SMSI+20 de 2025, facilitera le dialogue multi-parties prenantes et stimulera l'action en évaluant les réalisations, les principales tendances et les défis observés depuis la mise en œuvre du Plan d'action de Genève de 2003. Cette manifestation offrira également à la communauté internationale un cadre essentiel pour tirer parti des résultats du Sommet de l'avenir et renforcer la coopération numérique mondiale en faveur d'une vision renouvelée et tournée vers l'avenir. En amont de l'examen de l'Assemblée générale des Nations Unies pour les 20 ans du SMSI, la manifestation donnera l'occasion d'examiner les progrès accomplis dans la mise en œuvre des résultats du SMSI dans le cadre des mandats des institutions participantes, et de faire le point sur les réalisations obtenues ces 20 dernières années sur la base des rapports des parties prenantes du SMSI, y compris ceux soumis par les États Membres de l'UIT et d'autres parties prenantes.</w:t>
      </w:r>
    </w:p>
    <w:p w14:paraId="3B4E0024" w14:textId="77777777" w:rsidR="0039632C" w:rsidRPr="00023B55" w:rsidRDefault="0039632C" w:rsidP="00C87007">
      <w:pPr>
        <w:jc w:val="both"/>
      </w:pPr>
      <w:r w:rsidRPr="00023B55">
        <w:lastRenderedPageBreak/>
        <w:t>Toutes les parties prenantes du SMSI et les États Membres de l'UIT sont encouragés à soumettre des rapports sur les 20 ans de la mise en œuvre des résultats du SMSI sur la base des modèles correspondants ci-dessous:</w:t>
      </w:r>
    </w:p>
    <w:p w14:paraId="3A684390" w14:textId="77777777" w:rsidR="0039632C" w:rsidRPr="00023B55" w:rsidRDefault="0039632C" w:rsidP="00C87007">
      <w:pPr>
        <w:pStyle w:val="enumlev1"/>
        <w:jc w:val="both"/>
      </w:pPr>
      <w:r w:rsidRPr="00023B55">
        <w:t>–</w:t>
      </w:r>
      <w:r w:rsidRPr="00023B55">
        <w:tab/>
      </w:r>
      <w:hyperlink r:id="rId309" w:history="1">
        <w:r w:rsidRPr="00023B55">
          <w:rPr>
            <w:rStyle w:val="Hyperlink"/>
            <w:rFonts w:eastAsia="Times New Roman" w:cs="Times New Roman"/>
            <w:szCs w:val="20"/>
          </w:rPr>
          <w:t>Modèle de rapport sur 20 ans pour les pays</w:t>
        </w:r>
      </w:hyperlink>
    </w:p>
    <w:p w14:paraId="4CF4C706" w14:textId="77777777" w:rsidR="0039632C" w:rsidRPr="00023B55" w:rsidRDefault="0039632C" w:rsidP="00C87007">
      <w:pPr>
        <w:pStyle w:val="enumlev1"/>
        <w:jc w:val="both"/>
      </w:pPr>
      <w:r w:rsidRPr="00023B55">
        <w:t>–</w:t>
      </w:r>
      <w:r w:rsidRPr="00023B55">
        <w:tab/>
      </w:r>
      <w:hyperlink r:id="rId310" w:history="1">
        <w:r w:rsidRPr="00023B55">
          <w:rPr>
            <w:rStyle w:val="Hyperlink"/>
            <w:rFonts w:eastAsia="Times New Roman" w:cs="Times New Roman"/>
            <w:szCs w:val="20"/>
          </w:rPr>
          <w:t>Modèle de rapport sur 20 ans pour les parties prenantes du SMSI</w:t>
        </w:r>
      </w:hyperlink>
    </w:p>
    <w:p w14:paraId="6584179B" w14:textId="77777777" w:rsidR="0039632C" w:rsidRPr="00023B55" w:rsidRDefault="0039632C" w:rsidP="00C87007">
      <w:pPr>
        <w:pStyle w:val="Headingb"/>
        <w:jc w:val="both"/>
      </w:pPr>
      <w:r w:rsidRPr="00023B55">
        <w:t>Alignement sur d'autres processus de coopération numérique des Nations Unies</w:t>
      </w:r>
    </w:p>
    <w:p w14:paraId="178A7AC4" w14:textId="77777777" w:rsidR="0039632C" w:rsidRPr="00023B55" w:rsidRDefault="0039632C" w:rsidP="00C87007">
      <w:pPr>
        <w:jc w:val="both"/>
      </w:pPr>
      <w:r w:rsidRPr="00023B55">
        <w:t xml:space="preserve">Le 22 septembre 2024, les États membres ont adopté le Pacte pour l'avenir, qui englobe le Pacte numérique mondial. Aux termes du </w:t>
      </w:r>
      <w:hyperlink r:id="rId311" w:history="1">
        <w:r w:rsidRPr="00023B55">
          <w:rPr>
            <w:rStyle w:val="Hyperlink"/>
            <w:rFonts w:eastAsia="Times New Roman" w:cs="Times New Roman"/>
            <w:szCs w:val="20"/>
          </w:rPr>
          <w:t>paragraphe 71</w:t>
        </w:r>
      </w:hyperlink>
      <w:r w:rsidRPr="00023B55">
        <w:t xml:space="preserve"> de ce dernier, le Secrétaire général est prié de présenter aux États et aux autres parties prenantes, pour examen, un plan de mise en œuvre du Pacte. Ce plan tiendrait compte des contributions du système des Nations Unies et des autres parties prenantes concernées, et sera intégré dans le rapport du Secrétaire général sur les progrès accomplis dans la mise en œuvre et le suivi des résultats du SMSI aux niveaux régional et international, avant l'examen du SMSI+20. Le Pacte numérique mondial et l'examen du SMSI+20 sont étroitement alignés en ce qui concerne leur objectif commun de faire progresser la coopération numérique mondiale et de relever les défis en constante évolution de l'ère numérique.</w:t>
      </w:r>
    </w:p>
    <w:p w14:paraId="3694626F" w14:textId="77777777" w:rsidR="0039632C" w:rsidRPr="00023B55" w:rsidRDefault="0039632C" w:rsidP="00C87007">
      <w:pPr>
        <w:jc w:val="both"/>
      </w:pPr>
      <w:r w:rsidRPr="00023B55">
        <w:t xml:space="preserve">La 28ème session de la CSTD s'est tenue du 7 au 11 avril 2025. Cette session était consacrée à l'examen des progrès accomplis dans la mise en œuvre et le suivi des résultats du SMSI aux niveaux régional et international, et accordait une attention particulière à l'examen du SMSI+20. Au cours de la session, la Commission a adopté une résolution sur l'évaluation des progrès accomplis dans la mise en œuvre et le suivi des résultats du SMSI, sur la base de la Résolution </w:t>
      </w:r>
      <w:hyperlink r:id="rId312" w:history="1">
        <w:r w:rsidRPr="00023B55">
          <w:rPr>
            <w:rStyle w:val="Hyperlink"/>
            <w:rFonts w:eastAsia="Times New Roman" w:cs="Times New Roman"/>
            <w:szCs w:val="20"/>
          </w:rPr>
          <w:t>E/RES/2024/13</w:t>
        </w:r>
      </w:hyperlink>
      <w:r w:rsidRPr="00023B55">
        <w:t xml:space="preserve"> du Conseil économique et social (ECOSOC).</w:t>
      </w:r>
    </w:p>
    <w:p w14:paraId="7590FCC2" w14:textId="77777777" w:rsidR="0039632C" w:rsidRPr="00023B55" w:rsidRDefault="0039632C" w:rsidP="00C87007">
      <w:pPr>
        <w:pStyle w:val="Heading1"/>
        <w:jc w:val="both"/>
      </w:pPr>
      <w:bookmarkStart w:id="32" w:name="_Toc200377683"/>
      <w:r w:rsidRPr="00023B55">
        <w:t>Examen du SMSI+20: évaluation des résultats du SMSI à ce jour</w:t>
      </w:r>
      <w:bookmarkEnd w:id="32"/>
    </w:p>
    <w:p w14:paraId="563DA6C5" w14:textId="77777777" w:rsidR="0039632C" w:rsidRPr="00023B55" w:rsidRDefault="0039632C" w:rsidP="00C87007">
      <w:pPr>
        <w:jc w:val="both"/>
      </w:pPr>
      <w:r w:rsidRPr="00023B55">
        <w:t>Alors que le 20ème anniversaire du SMSI approche, il est indispensable d'évaluer les résultats obtenus jusqu'à présent. L'examen du SMSI+20, prévu les 16 et 17 décembre 2025, présentera une évaluation complète des progrès accomplis dans la mise en œuvre des résultats du SMSI. Cet examen s'accompagnera de contributions de toutes les parties prenantes, notamment de gouvernements, d'organisations internationales, d'entités du secteur privé et de la société civile. L'objectif est de recenser les réussites, les défis et les points à améliorer, et de veiller ainsi à ce que le SMSI continue d'agir en faveur d'une transformation numérique concrète.</w:t>
      </w:r>
    </w:p>
    <w:p w14:paraId="1633BCFE" w14:textId="77777777" w:rsidR="0039632C" w:rsidRPr="00023B55" w:rsidRDefault="0039632C" w:rsidP="00C87007">
      <w:pPr>
        <w:keepLines/>
        <w:jc w:val="both"/>
      </w:pPr>
      <w:r w:rsidRPr="00023B55">
        <w:t>L'examen mettra également en évidence les bonnes pratiques et les projets réussis, en donnant des informations précieuses pour les initiatives futures. En tirant les enseignements des expériences passées, le SMSI peut affiner ses stratégies et continuer à stimuler efficacement le développement numérique.</w:t>
      </w:r>
    </w:p>
    <w:p w14:paraId="59E6258D" w14:textId="77777777" w:rsidR="0039632C" w:rsidRPr="00023B55" w:rsidRDefault="0039632C" w:rsidP="00C87007">
      <w:pPr>
        <w:pStyle w:val="Heading1"/>
        <w:jc w:val="both"/>
      </w:pPr>
      <w:bookmarkStart w:id="33" w:name="_Toc200377684"/>
      <w:r w:rsidRPr="00023B55">
        <w:t>La coopération numérique future</w:t>
      </w:r>
      <w:bookmarkEnd w:id="33"/>
    </w:p>
    <w:p w14:paraId="6D3B84C9" w14:textId="77777777" w:rsidR="0039632C" w:rsidRPr="00023B55" w:rsidRDefault="0039632C" w:rsidP="00C87007">
      <w:pPr>
        <w:jc w:val="both"/>
      </w:pPr>
      <w:r w:rsidRPr="00023B55">
        <w:t>Le SMSI demeure un cadre essentiel pour la poursuite du développement numérique. Le processus qui découle du sommet initial en deux phases de 2003 et 2005 demeure la pierre angulaire des efforts menés à l'échelle mondiale dans le but d'exploiter le potentiel des technologies au service du développement durable. Il reste pertinent de par sa capacité à s'adapter aux défis et aux possibilités qui se font jour, qui garantit que personne n'est laissé pour compte à l'ère numérique.</w:t>
      </w:r>
    </w:p>
    <w:p w14:paraId="1F6208CF" w14:textId="77777777" w:rsidR="0039632C" w:rsidRPr="00023B55" w:rsidRDefault="0039632C" w:rsidP="00C87007">
      <w:pPr>
        <w:jc w:val="both"/>
      </w:pPr>
      <w:r w:rsidRPr="00023B55">
        <w:lastRenderedPageBreak/>
        <w:t>Au-delà de 2025, le SMSI peut continuer à stimuler la coopération et le développement numériques à l'échelle mondiale, en veillant à ce que les initiatives en faveur de la transformation numérique soient coordonnées et alignées sur les priorités mondiales.</w:t>
      </w:r>
    </w:p>
    <w:p w14:paraId="0EF8B55C" w14:textId="77777777" w:rsidR="0039632C" w:rsidRPr="00023B55" w:rsidRDefault="0039632C" w:rsidP="00C87007">
      <w:pPr>
        <w:jc w:val="both"/>
      </w:pPr>
      <w:r w:rsidRPr="00023B55">
        <w:t>Les principales priorités du SMSI au-delà de 2025 sont les suivantes:</w:t>
      </w:r>
    </w:p>
    <w:p w14:paraId="76523AD3" w14:textId="77777777" w:rsidR="0039632C" w:rsidRPr="00023B55" w:rsidRDefault="0039632C" w:rsidP="00C87007">
      <w:pPr>
        <w:pStyle w:val="enumlev1"/>
        <w:jc w:val="both"/>
      </w:pPr>
      <w:r w:rsidRPr="00023B55">
        <w:t>–</w:t>
      </w:r>
      <w:r w:rsidRPr="00023B55">
        <w:tab/>
      </w:r>
      <w:r w:rsidRPr="00023B55">
        <w:rPr>
          <w:b/>
          <w:bCs/>
        </w:rPr>
        <w:t>Connectivité universelle</w:t>
      </w:r>
      <w:r w:rsidRPr="00023B55">
        <w:t>: développer l'infrastructure des TIC pour faire en sorte que tout le monde ait accès à des services Internet financièrement abordables et fiables.</w:t>
      </w:r>
    </w:p>
    <w:p w14:paraId="4BA79787" w14:textId="77777777" w:rsidR="0039632C" w:rsidRPr="00023B55" w:rsidRDefault="0039632C" w:rsidP="00C87007">
      <w:pPr>
        <w:pStyle w:val="enumlev1"/>
        <w:jc w:val="both"/>
      </w:pPr>
      <w:r w:rsidRPr="00023B55">
        <w:t>–</w:t>
      </w:r>
      <w:r w:rsidRPr="00023B55">
        <w:tab/>
      </w:r>
      <w:r w:rsidRPr="00023B55">
        <w:rPr>
          <w:b/>
          <w:bCs/>
        </w:rPr>
        <w:t>Inclusion numérique</w:t>
      </w:r>
      <w:r w:rsidRPr="00023B55">
        <w:t>: promouvoir la maîtrise des outils numériques et l'acquisition de compétences, en particulier pour les communautés mal desservies et marginalisées.</w:t>
      </w:r>
    </w:p>
    <w:p w14:paraId="776CFF04" w14:textId="77777777" w:rsidR="0039632C" w:rsidRPr="00023B55" w:rsidRDefault="0039632C" w:rsidP="00C87007">
      <w:pPr>
        <w:pStyle w:val="enumlev1"/>
        <w:jc w:val="both"/>
      </w:pPr>
      <w:r w:rsidRPr="00023B55">
        <w:t>–</w:t>
      </w:r>
      <w:r w:rsidRPr="00023B55">
        <w:tab/>
      </w:r>
      <w:r w:rsidRPr="00023B55">
        <w:rPr>
          <w:b/>
          <w:bCs/>
        </w:rPr>
        <w:t>Cybersécurité</w:t>
      </w:r>
      <w:r w:rsidRPr="00023B55">
        <w:t>: améliorer les mesures de cybersécurité pour établir un climat de confiance dans l'utilisation des technologies numériques.</w:t>
      </w:r>
    </w:p>
    <w:p w14:paraId="2B8028A7" w14:textId="77777777" w:rsidR="0039632C" w:rsidRPr="00023B55" w:rsidRDefault="0039632C" w:rsidP="00C87007">
      <w:pPr>
        <w:pStyle w:val="enumlev1"/>
        <w:jc w:val="both"/>
      </w:pPr>
      <w:r w:rsidRPr="00023B55">
        <w:t>–</w:t>
      </w:r>
      <w:r w:rsidRPr="00023B55">
        <w:tab/>
      </w:r>
      <w:r w:rsidRPr="00023B55">
        <w:rPr>
          <w:b/>
          <w:bCs/>
        </w:rPr>
        <w:t>Développement durable</w:t>
      </w:r>
      <w:r w:rsidRPr="00023B55">
        <w:t>: tirer parti des TIC pour atteindre les ODD et promouvoir la durabilité environnementale.</w:t>
      </w:r>
    </w:p>
    <w:p w14:paraId="6EA44D3B" w14:textId="77777777" w:rsidR="0039632C" w:rsidRPr="00023B55" w:rsidRDefault="0039632C" w:rsidP="00C87007">
      <w:pPr>
        <w:jc w:val="both"/>
      </w:pPr>
      <w:r w:rsidRPr="00023B55">
        <w:t>Le Pacte numérique mondial, adopté lors du Sommet de l'avenir en 2024, est aligné étroitement sur les principes du SMSI. Le Pacte et le SMSI mettent tous les deux l'accent sur l'importance de la connectivité universelle, de l'inclusion numérique et de la collaboration multi-parties prenantes.</w:t>
      </w:r>
    </w:p>
    <w:p w14:paraId="3033C3F9" w14:textId="77777777" w:rsidR="0039632C" w:rsidRPr="00023B55" w:rsidRDefault="0039632C" w:rsidP="00C87007">
      <w:pPr>
        <w:jc w:val="both"/>
      </w:pPr>
      <w:r w:rsidRPr="00023B55">
        <w:t>Le processus du SMSI, qui présente plusieurs similitudes avec les priorités du Pacte numérique mondial, continuera de jouer un rôle déterminant dans le façonnement du paysage numérique mondial. Le cadre restera souple et adaptable, et permettra de relever de nouveaux défis et de saisir les nouvelles occasions qui se présenteront. Par l'intermédiaire d'une collaboration et d'une innovation constantes, le SMSI veillera à ce que les technologies numériques contribuent de manière efficace au développement durable et à ce que personne ne soit laissé pour compte à l'ère numérique.</w:t>
      </w:r>
    </w:p>
    <w:p w14:paraId="4CF204E4" w14:textId="77777777" w:rsidR="0039632C" w:rsidRPr="00023B55" w:rsidRDefault="0039632C" w:rsidP="00C87007">
      <w:pPr>
        <w:pStyle w:val="Heading1"/>
        <w:jc w:val="both"/>
      </w:pPr>
      <w:bookmarkStart w:id="34" w:name="_Toc200377685"/>
      <w:r w:rsidRPr="00023B55">
        <w:t>Réduire les fractures numériques</w:t>
      </w:r>
      <w:bookmarkEnd w:id="34"/>
    </w:p>
    <w:p w14:paraId="7BB28C12" w14:textId="77777777" w:rsidR="0039632C" w:rsidRPr="00023B55" w:rsidRDefault="0039632C" w:rsidP="00C87007">
      <w:pPr>
        <w:jc w:val="both"/>
      </w:pPr>
      <w:r w:rsidRPr="00023B55">
        <w:t>Le SMSI demeure essentiel pour réduire la fracture numérique, favoriser le développement durable et améliorer la connectivité mondiale, entre autres choses.</w:t>
      </w:r>
    </w:p>
    <w:p w14:paraId="0BB4884D" w14:textId="77777777" w:rsidR="0039632C" w:rsidRPr="00023B55" w:rsidRDefault="0039632C" w:rsidP="00C87007">
      <w:pPr>
        <w:jc w:val="both"/>
      </w:pPr>
      <w:r w:rsidRPr="00023B55">
        <w:t>Il a notamment pour objectif principal de réduire la fracture numérique, en veillant à ce que chacun ait accès aux TIC indépendamment de sa situation géographique, de son statut socioéconomique ou de son sexe. Malgré des progrès importants, des disparités persistent en ce qui concerne l'accès aux TIC et leur utilisation, en particulier dans les zones rurales et mal desservies. Les initiatives du SMSI continuent de jouer un rôle primordial dans la lutte contre ces disparités en défendant des politiques et des projets qui améliorent la connectivité et l'inclusion numérique.</w:t>
      </w:r>
    </w:p>
    <w:p w14:paraId="27DDABE5" w14:textId="77777777" w:rsidR="0039632C" w:rsidRPr="00023B55" w:rsidRDefault="0039632C" w:rsidP="00C87007">
      <w:pPr>
        <w:jc w:val="both"/>
      </w:pPr>
      <w:r w:rsidRPr="00023B55">
        <w:t>Les TIC sont essentielles au développement durable. Elles permettent de trouver des solutions innovantes aux défis mondiaux liés notamment à la pauvreté, à l'éducation, aux soins de santé et à la durabilité environnementale. Le SMSI offre un cadre permettant de tirer parti des TIC pour progresser dans la réalisation des ODD, et ainsi de garantir que les technologies numériques contribuent efficacement au développement durable. Le Tableau de correspondance SMSI-ODD, par exemple, établit une correspondance entre les contributions des grandes orientations du SMSI à la réalisation de certains ODD, et démontre ainsi le lien entre développement numérique et progrès durable.</w:t>
      </w:r>
    </w:p>
    <w:p w14:paraId="7E183353" w14:textId="77777777" w:rsidR="0039632C" w:rsidRPr="00023B55" w:rsidRDefault="0039632C" w:rsidP="00C87007">
      <w:pPr>
        <w:jc w:val="both"/>
      </w:pPr>
      <w:r w:rsidRPr="00023B55">
        <w:t xml:space="preserve">La connectivité mondiale a connu une croissance remarquable depuis la création du SMSI. Des milliards de personnes dans le monde ayant accès aux technologies mobiles et large bande, </w:t>
      </w:r>
      <w:r w:rsidRPr="00023B55">
        <w:lastRenderedPageBreak/>
        <w:t>l'utilisation de l'Internet a considérablement augmenté. Cependant, l'objectif consistant à parvenir à la connectivité universelle n'a pas encore été pleinement atteint. Le SMSI continue d'intensifier les efforts d'expansion de l'infrastructure des TIC, en particulier dans les régions isolées et mal desservies, par l'intermédiaire d'initiatives telles que le projet GIGA, qui vise à connecter chaque école à l'Internet.</w:t>
      </w:r>
    </w:p>
    <w:p w14:paraId="0175EDC5" w14:textId="77777777" w:rsidR="0039632C" w:rsidRPr="00023B55" w:rsidRDefault="0039632C" w:rsidP="00C87007">
      <w:pPr>
        <w:pStyle w:val="Headingb"/>
        <w:jc w:val="both"/>
      </w:pPr>
      <w:r w:rsidRPr="00023B55">
        <w:t>Favoriser la collaboration multi-parties prenantes</w:t>
      </w:r>
    </w:p>
    <w:p w14:paraId="242F405C" w14:textId="77777777" w:rsidR="0039632C" w:rsidRPr="00023B55" w:rsidRDefault="0039632C" w:rsidP="00C87007">
      <w:pPr>
        <w:jc w:val="both"/>
      </w:pPr>
      <w:r w:rsidRPr="00023B55">
        <w:t>Le SMSI a instauré un cadre multi-parties prenantes robuste qui réunit des gouvernements, des entités du secteur privé, des organisations de la société civile, des organisations internationales et des établissements universitaires. Cette approche inclusive est essentielle pour relever les défis complexes que présente le développement numérique. En encourageant la collaboration et le dialogue entre les diverses parties prenantes, le SMSI fait en sorte que les initiatives dans le domaine des TIC soient globales, inclusives et efficaces.</w:t>
      </w:r>
    </w:p>
    <w:p w14:paraId="43C4E031" w14:textId="77777777" w:rsidR="0039632C" w:rsidRPr="00023B55" w:rsidRDefault="0039632C" w:rsidP="00C87007">
      <w:pPr>
        <w:jc w:val="both"/>
      </w:pPr>
      <w:r w:rsidRPr="00023B55">
        <w:t>La coopération numérique mondiale reste essentielle pour la suite.</w:t>
      </w:r>
    </w:p>
    <w:p w14:paraId="72D983D0" w14:textId="77777777" w:rsidR="0039632C" w:rsidRPr="00023B55" w:rsidRDefault="0039632C" w:rsidP="00C87007">
      <w:pPr>
        <w:pStyle w:val="Headingb"/>
        <w:jc w:val="both"/>
      </w:pPr>
      <w:r w:rsidRPr="00023B55">
        <w:t>Examiner la question des technologies émergentes</w:t>
      </w:r>
    </w:p>
    <w:p w14:paraId="1DA2BA27" w14:textId="77777777" w:rsidR="0039632C" w:rsidRPr="00023B55" w:rsidRDefault="0039632C" w:rsidP="00C87007">
      <w:pPr>
        <w:jc w:val="both"/>
      </w:pPr>
      <w:r w:rsidRPr="00023B55">
        <w:t>L'évolution rapide de technologies telles que l'IA, l'IoT et les réseaux 5G présente à la fois des possibilités et des défis. Le SMSI constitue un cadre propice à l'examen des implications de ces technologies émergentes. Il promeut l'élaboration de lignes directrices éthiques, de cadres réglementaires et de bonnes pratiques permettant de s'assurer que les nouvelles technologies soient utilisées de manière responsable et profitent à l'ensemble de la société.</w:t>
      </w:r>
    </w:p>
    <w:p w14:paraId="06CC19C0" w14:textId="77777777" w:rsidR="0039632C" w:rsidRPr="00023B55" w:rsidRDefault="0039632C" w:rsidP="00C87007">
      <w:pPr>
        <w:pStyle w:val="Headingb"/>
        <w:jc w:val="both"/>
      </w:pPr>
      <w:r w:rsidRPr="00023B55">
        <w:t>Promouvoir la cybersécurité et la confiance</w:t>
      </w:r>
    </w:p>
    <w:p w14:paraId="5F049B56" w14:textId="77777777" w:rsidR="0039632C" w:rsidRPr="00023B55" w:rsidRDefault="0039632C" w:rsidP="00C87007">
      <w:pPr>
        <w:jc w:val="both"/>
      </w:pPr>
      <w:r w:rsidRPr="00023B55">
        <w:t>Le renforcement de l'intégration numérique dans tous les aspects de la vie nécessite que les pays et les organisations du monde entier garantissent la cybersécurité et instaurent un climat de confiance dans les systèmes numériques. Les initiatives du SMSI, telles que le Programme mondial de cybersécurité (GCA) et le programme de protection en ligne des enfants (COP), jouent un rôle essentiel dans la promotion de la sensibilisation à la cybersécurité, l'élaboration de normes internationales et l'appui aux stratégies nationales de cybersécurité.</w:t>
      </w:r>
    </w:p>
    <w:p w14:paraId="4EC8221C" w14:textId="77777777" w:rsidR="0039632C" w:rsidRPr="00023B55" w:rsidRDefault="0039632C" w:rsidP="00C87007">
      <w:pPr>
        <w:pStyle w:val="Headingb"/>
        <w:jc w:val="both"/>
      </w:pPr>
      <w:r w:rsidRPr="00023B55">
        <w:t>Encourager la maîtrise des outils numériques et le renforcement des compétences</w:t>
      </w:r>
    </w:p>
    <w:p w14:paraId="6ED16D47" w14:textId="77777777" w:rsidR="0039632C" w:rsidRPr="00023B55" w:rsidRDefault="0039632C" w:rsidP="00C87007">
      <w:pPr>
        <w:jc w:val="both"/>
      </w:pPr>
      <w:r w:rsidRPr="00023B55">
        <w:t>Pour les individus, il est essentiel de maîtriser les outils numériques et de disposer de compétences numériques pour pouvoir utiliser efficacement les TIC et participer à l'économie numérique. Le SMSI souligne l'importance du renforcement des capacités et de l'éducation, en proposant des programmes de formation et des ressources par l'intermédiaire de plates-formes telles que l'Académie de l'UIT et les centres de transformation numérique. Ces initiatives sont indispensables pour donner aux individus et aux communautés, en particulier des pays en développement, les moyens de tirer parti des avantages des technologies numériques.</w:t>
      </w:r>
    </w:p>
    <w:p w14:paraId="735A2637" w14:textId="77777777" w:rsidR="0039632C" w:rsidRPr="00023B55" w:rsidRDefault="0039632C" w:rsidP="00F52608">
      <w:pPr>
        <w:pStyle w:val="Headingb"/>
      </w:pPr>
      <w:r w:rsidRPr="00023B55">
        <w:t>Garantir la durabilité environnementale</w:t>
      </w:r>
    </w:p>
    <w:p w14:paraId="6478FBB2" w14:textId="77777777" w:rsidR="0039632C" w:rsidRPr="00023B55" w:rsidRDefault="0039632C" w:rsidP="00C87007">
      <w:pPr>
        <w:jc w:val="both"/>
      </w:pPr>
      <w:r w:rsidRPr="00023B55">
        <w:t>Les incidences environnementales des TIC constituent une nouvelle source de préoccupations à laquelle s'attaque le SMSI en menant des initiatives en faveur de pratiques durables dans le domaine des TIC. Il s'agit notamment de développer des technologies économes en énergie, d'assurer la gestion des déchets électroniques et de favoriser l'utilisation de sources d'énergie renouvelables. En intégrant les considérations environnementales dans le développement numérique, le SMSI contribue à un avenir plus durable et plus résilient.</w:t>
      </w:r>
    </w:p>
    <w:p w14:paraId="105CD547" w14:textId="77777777" w:rsidR="0039632C" w:rsidRPr="00023B55" w:rsidRDefault="0039632C" w:rsidP="00F52608">
      <w:pPr>
        <w:pStyle w:val="Headingb"/>
      </w:pPr>
      <w:r w:rsidRPr="00023B55">
        <w:lastRenderedPageBreak/>
        <w:t>Relever les défis mondiaux</w:t>
      </w:r>
    </w:p>
    <w:p w14:paraId="546EB0B3" w14:textId="77777777" w:rsidR="0039632C" w:rsidRPr="00023B55" w:rsidRDefault="0039632C" w:rsidP="00C87007">
      <w:pPr>
        <w:jc w:val="both"/>
      </w:pPr>
      <w:r w:rsidRPr="00023B55">
        <w:t>La pandémie de COVID-19 a mis en évidence le rôle essentiel des TIC dans le maintien des fonctions sociétales en temps de crise. Que ce soit pour permettre aux populations de travailler et d'étudier à distance, ou pour faciliter l'accès aux soins de santé et aux services essentiels, les technologies numériques se sont avérées indispensables. Cependant, la pandémie a également révélé d'importantes fractures numériques, soulignant ainsi la nécessité urgente d'une coopération numérique mondiale. Le SMSI est plus important que jamais pour relever ces défis, car il offre un cadre permettant aux parties prenantes de collaborer en vue de réduire la fracture numérique et de garantir que personne n'est laissé pour compte.</w:t>
      </w:r>
    </w:p>
    <w:p w14:paraId="357DADCD" w14:textId="77777777" w:rsidR="0039632C" w:rsidRPr="00023B55" w:rsidRDefault="0039632C" w:rsidP="00C87007">
      <w:pPr>
        <w:pStyle w:val="Headingb"/>
        <w:jc w:val="both"/>
      </w:pPr>
      <w:r w:rsidRPr="00023B55">
        <w:t>Promouvoir l'inclusion numérique</w:t>
      </w:r>
    </w:p>
    <w:p w14:paraId="31816518" w14:textId="77777777" w:rsidR="0039632C" w:rsidRPr="00023B55" w:rsidRDefault="0039632C" w:rsidP="00C87007">
      <w:pPr>
        <w:jc w:val="both"/>
      </w:pPr>
      <w:r w:rsidRPr="00023B55">
        <w:t>L'inclusion numérique est un principe fondamental du SMSI. Le processus insiste sur l'importance de veiller à ce que tous les individus, quels que soient leur statut socio</w:t>
      </w:r>
      <w:r w:rsidRPr="00023B55">
        <w:noBreakHyphen/>
        <w:t>économique, leur sexe ou leurs capacités, puissent tirer parti des technologies numériques. Des programmes tels que le Partenariat mondial EQUALS visent à réduire la fracture numérique entre les sexes en offrant aux femmes et aux filles une formation aux compétences numériques et des possibilités de mentorat et de réseautage. De même, les initiatives visant à améliorer la maîtrise des outils numériques et à renforcer les compétences sont essentielles pour donner aux individus et aux communautés les moyens de participer à l'économie numérique.</w:t>
      </w:r>
    </w:p>
    <w:p w14:paraId="4C101878" w14:textId="77777777" w:rsidR="0039632C" w:rsidRPr="00023B55" w:rsidRDefault="0039632C" w:rsidP="00C87007">
      <w:pPr>
        <w:pStyle w:val="Headingb"/>
        <w:jc w:val="both"/>
      </w:pPr>
      <w:r w:rsidRPr="00023B55">
        <w:t>Prochaines étapes</w:t>
      </w:r>
    </w:p>
    <w:p w14:paraId="208789C3" w14:textId="77777777" w:rsidR="0039632C" w:rsidRPr="00023B55" w:rsidRDefault="0039632C" w:rsidP="00C87007">
      <w:pPr>
        <w:jc w:val="both"/>
      </w:pPr>
      <w:r w:rsidRPr="00023B55">
        <w:t>Le SMSI, qui entre dans sa troisième décennie, est devenu plus important que jamais. Les progrès rapides des technologies et le recours croissant aux solutions numériques pour la vie quotidienne soulignent la nécessité d'un cadre numérique solide, inclusif et collaboratif. Le SMSI offre ce cadre, qui oriente les efforts déployés à l'échelle internationale pour exploiter le potentiel de la technologie au service du développement durable.</w:t>
      </w:r>
    </w:p>
    <w:p w14:paraId="0ABCD356" w14:textId="77777777" w:rsidR="0039632C" w:rsidRPr="00023B55" w:rsidRDefault="0039632C" w:rsidP="00C87007">
      <w:pPr>
        <w:jc w:val="both"/>
      </w:pPr>
      <w:r w:rsidRPr="00023B55">
        <w:t>À l'avenir, le processus du SMSI demeurera un mécanisme essentiel pour faire en sorte que les technologies numériques contribuent de manière efficace à la réalisation des objectifs de développement mondiaux et que personne ne soit laissé pour compte.</w:t>
      </w:r>
    </w:p>
    <w:p w14:paraId="09044763" w14:textId="77777777" w:rsidR="0039632C" w:rsidRPr="00023B55" w:rsidRDefault="0039632C" w:rsidP="00C87007">
      <w:pPr>
        <w:pStyle w:val="Heading1"/>
        <w:jc w:val="both"/>
      </w:pPr>
      <w:bookmarkStart w:id="35" w:name="_Toc200377686"/>
      <w:r w:rsidRPr="00023B55">
        <w:t>Enseignements du Sommet de l'avenir</w:t>
      </w:r>
      <w:bookmarkEnd w:id="35"/>
    </w:p>
    <w:p w14:paraId="04335CD6" w14:textId="049FB001" w:rsidR="0039632C" w:rsidRPr="00023B55" w:rsidRDefault="0039632C" w:rsidP="00C87007">
      <w:pPr>
        <w:jc w:val="both"/>
      </w:pPr>
      <w:r w:rsidRPr="00023B55">
        <w:t>Le Sommet de l'avenir, qui s'est tenu en septembre 2024, a offert une occasion importante de discuter de l'avenir de la coopération numérique mondiale. Les principaux enseignements du Sommet mettent l'accent sur la nécessité d'adopter des politiques numériques inclusives, l'importance de tirer parti des technologies émergentes et le rôle de la collaboration multi</w:t>
      </w:r>
      <w:r w:rsidRPr="00023B55">
        <w:noBreakHyphen/>
        <w:t>parties prenantes dans la réalisation des objectifs de développement durable. Les discussions ont mis en évidence le potentiel de transformation de l'IA, des technologies spatiales et de l'innovation numérique pour favoriser le développement durable et relever les défis mondiaux</w:t>
      </w:r>
      <w:r w:rsidR="00F30744" w:rsidRPr="00023B55">
        <w:t xml:space="preserve"> </w:t>
      </w:r>
      <w:hyperlink r:id="rId313" w:anchor="/fr" w:history="1">
        <w:r w:rsidRPr="00023B55">
          <w:rPr>
            <w:rStyle w:val="Hyperlink"/>
            <w:rFonts w:eastAsia="Times New Roman" w:cs="Times New Roman"/>
            <w:szCs w:val="20"/>
          </w:rPr>
          <w:t>[1]</w:t>
        </w:r>
      </w:hyperlink>
      <w:r w:rsidRPr="00023B55">
        <w:t>. Les participants au Sommet ont insisté sur la nécessité de créer des cadres de gouvernance qui garantissent une utilisation éthique et responsable de ces technologies, en s'alignant sur les objectifs plus larges du processus du SMSI.</w:t>
      </w:r>
    </w:p>
    <w:p w14:paraId="417D363D" w14:textId="77777777" w:rsidR="0039632C" w:rsidRPr="00023B55" w:rsidRDefault="0039632C" w:rsidP="00C87007">
      <w:pPr>
        <w:jc w:val="both"/>
      </w:pPr>
      <w:r w:rsidRPr="00023B55">
        <w:t xml:space="preserve">Au-delà de 2025, le SMSI et le développement numérique seront fondés sur les enseignements du Sommet de l'avenir, les objectifs du Pacte numérique mondial et la vision de l'édification d'un avenir numérique pour tous. En maintenant une approche axée sur l'être humain, le développement et l'inclusion, et en renforçant les structures existantes du SMSI de </w:t>
      </w:r>
      <w:r w:rsidRPr="00023B55">
        <w:lastRenderedPageBreak/>
        <w:t>manière complémentaire à la mise en œuvre du Pacte numérique mondial, le processus du SMSI peut continuer à favoriser un développement numérique durable et faire en sorte que les avantages des technologies numériques soient accessibles à tous les individus et à toutes les communautés.</w:t>
      </w:r>
    </w:p>
    <w:p w14:paraId="7B969A59" w14:textId="7D2FC843" w:rsidR="0039632C" w:rsidRPr="00023B55" w:rsidRDefault="0039632C" w:rsidP="00C87007">
      <w:pPr>
        <w:jc w:val="both"/>
      </w:pPr>
      <w:r w:rsidRPr="00023B55">
        <w:t>Les objectifs du Pacte numérique mondial comprennent la réduction des fractures numériques, le renforcement de l'inclusion dans l'économie numérique, et la promotion d'un espace numérique sûr et sécurisé et d'une gouvernance responsable des données</w:t>
      </w:r>
      <w:r w:rsidR="00F30744" w:rsidRPr="00023B55">
        <w:t xml:space="preserve"> </w:t>
      </w:r>
      <w:hyperlink r:id="rId314" w:anchor="/fr" w:history="1">
        <w:r w:rsidRPr="00023B55">
          <w:rPr>
            <w:rStyle w:val="Hyperlink"/>
            <w:rFonts w:eastAsia="Times New Roman" w:cs="Times New Roman"/>
            <w:szCs w:val="20"/>
          </w:rPr>
          <w:t>[2]</w:t>
        </w:r>
      </w:hyperlink>
      <w:r w:rsidRPr="00023B55">
        <w:t>. En s'alignant sur le Pacte numérique mondial, le SMSI peut mobiliser un soutien et des ressources plus larges dans le cadre de ses initiatives pour atteindre les objectifs de celles-ci. Le Pacte numérique mondial met l'accent sur la nécessité d'une connectivité universelle, d'une inclusion numérique et d'une utilisation éthique de la technologie, en veillant à ce que les efforts déployés en faveur du développement numérique contribuent efficacement à la réalisation des Objectifs de développement durable.</w:t>
      </w:r>
    </w:p>
    <w:p w14:paraId="5BAC4084" w14:textId="77777777" w:rsidR="0039632C" w:rsidRPr="00023B55" w:rsidRDefault="0039632C" w:rsidP="00C87007">
      <w:pPr>
        <w:pStyle w:val="Headingb"/>
        <w:jc w:val="both"/>
      </w:pPr>
      <w:r w:rsidRPr="00023B55">
        <w:t xml:space="preserve">De meilleures </w:t>
      </w:r>
      <w:proofErr w:type="gramStart"/>
      <w:r w:rsidRPr="00023B55">
        <w:t>perspectives d'avenir</w:t>
      </w:r>
      <w:proofErr w:type="gramEnd"/>
    </w:p>
    <w:p w14:paraId="7A33EF47" w14:textId="77777777" w:rsidR="0039632C" w:rsidRPr="00023B55" w:rsidRDefault="0039632C" w:rsidP="00C87007">
      <w:pPr>
        <w:jc w:val="both"/>
      </w:pPr>
      <w:r w:rsidRPr="00023B55">
        <w:t>La vision du SMSI pour 2025 et au-delà est un sujet central dans le débat sur le maintien d'une approche du développement numérique axée sur l'humain, le développement et l'inclusion. Cette vision orientera le processus du SMSI dans les années à venir et contribuera à garantir que les technologies numériques profitent à tous, en particulier aux communautés marginalisées et mal desservies.</w:t>
      </w:r>
    </w:p>
    <w:p w14:paraId="356F6324" w14:textId="77777777" w:rsidR="0039632C" w:rsidRPr="00023B55" w:rsidRDefault="0039632C" w:rsidP="00C87007">
      <w:pPr>
        <w:pStyle w:val="enumlev1"/>
        <w:jc w:val="both"/>
      </w:pPr>
      <w:r w:rsidRPr="00023B55">
        <w:t>–</w:t>
      </w:r>
      <w:r w:rsidRPr="00023B55">
        <w:tab/>
      </w:r>
      <w:r w:rsidRPr="00023B55">
        <w:rPr>
          <w:b/>
          <w:bCs/>
        </w:rPr>
        <w:t>Approche axée sur l'humain</w:t>
      </w:r>
      <w:r w:rsidRPr="00023B55">
        <w:t>: le processus du SMSI continuerait de donner la priorité aux besoins et aux aspirations des individus et veillerait ainsi à ce que les technologies numériques soient accessibles et profitent à tous. Cela implique notamment de promouvoir la maîtrise des outils numériques, de renforcer les compétences numériques et de faire en sorte que tout le monde puisse participer à l'économie numérique.</w:t>
      </w:r>
    </w:p>
    <w:p w14:paraId="0D3B28BC" w14:textId="77777777" w:rsidR="0039632C" w:rsidRPr="00023B55" w:rsidRDefault="0039632C" w:rsidP="00C87007">
      <w:pPr>
        <w:pStyle w:val="enumlev1"/>
        <w:jc w:val="both"/>
      </w:pPr>
      <w:r w:rsidRPr="00023B55">
        <w:t>–</w:t>
      </w:r>
      <w:r w:rsidRPr="00023B55">
        <w:tab/>
      </w:r>
      <w:r w:rsidRPr="00023B55">
        <w:rPr>
          <w:b/>
          <w:bCs/>
        </w:rPr>
        <w:t>Approche axée sur le développement</w:t>
      </w:r>
      <w:r w:rsidRPr="00023B55">
        <w:t>: les initiatives du SMSI seraient axées sur l'exploitation des technologies numériques au service du développement durable. Il s'agit d'aligner les activités en faveur du développement numérique sur les ODD, de promouvoir l'innovation et de favoriser la croissance économique.</w:t>
      </w:r>
    </w:p>
    <w:p w14:paraId="319660CE" w14:textId="77777777" w:rsidR="0039632C" w:rsidRPr="00023B55" w:rsidRDefault="0039632C" w:rsidP="00C87007">
      <w:pPr>
        <w:pStyle w:val="enumlev1"/>
        <w:jc w:val="both"/>
      </w:pPr>
      <w:r w:rsidRPr="00023B55">
        <w:t>–</w:t>
      </w:r>
      <w:r w:rsidRPr="00023B55">
        <w:tab/>
      </w:r>
      <w:r w:rsidRPr="00023B55">
        <w:rPr>
          <w:b/>
          <w:bCs/>
        </w:rPr>
        <w:t>Approche inclusive et multi-parties prenantes</w:t>
      </w:r>
      <w:r w:rsidRPr="00023B55">
        <w:t>: l'inclusion resterait un principe fondamental du processus du SMSI. Des efforts seraient déployés pour réduire la fracture numérique, promouvoir l'égalité hommes-femmes et veiller à ce que les technologies numériques soient accessibles à tout un chacun, indépendamment de son statut socioéconomique, de son sexe ou de ses capacités.</w:t>
      </w:r>
    </w:p>
    <w:p w14:paraId="710C94A0" w14:textId="77777777" w:rsidR="0039632C" w:rsidRPr="00023B55" w:rsidRDefault="0039632C" w:rsidP="00C87007">
      <w:pPr>
        <w:jc w:val="both"/>
      </w:pPr>
      <w:r w:rsidRPr="00023B55">
        <w:t>Le Forum du SMSI, la base de données sur l'inventaire des activités du SMSI et le Groupe UNGIS peuvent également renforcer la mise en œuvre du Pacte numérique mondial.</w:t>
      </w:r>
    </w:p>
    <w:p w14:paraId="0AAEBD82" w14:textId="77777777" w:rsidR="0039632C" w:rsidRPr="00023B55" w:rsidRDefault="0039632C" w:rsidP="00C87007">
      <w:pPr>
        <w:jc w:val="both"/>
      </w:pPr>
      <w:r w:rsidRPr="00023B55">
        <w:t>Ce dernier, à l'instar du SMSI, promeut une approche unifiée en ce qui concerne le développement numérique et renforce la coopération multi-parties prenantes. Les priorités du Pacte étant alignées sur les objectifs du SMSI, les initiatives numériques sont inclusives, durables et en phase avec les objectifs de développement mondiaux. En encourageant la collaboration entre les gouvernements, les entités du secteur privé, les organisations de la société civile et les organisations internationales, le Pacte renforce le modèle multi-parties prenantes qui est au cœur du processus du SMSI.</w:t>
      </w:r>
    </w:p>
    <w:p w14:paraId="6CA8CF9C" w14:textId="77777777" w:rsidR="0039632C" w:rsidRPr="00023B55" w:rsidRDefault="0039632C" w:rsidP="00C87007">
      <w:pPr>
        <w:jc w:val="both"/>
      </w:pPr>
      <w:r w:rsidRPr="00023B55">
        <w:t xml:space="preserve">Le Pacte souligne également l'importance des considérations éthiques dans le développement et le déploiement des technologies numériques. Il s'agit notamment de garantir la </w:t>
      </w:r>
      <w:r w:rsidRPr="00023B55">
        <w:lastRenderedPageBreak/>
        <w:t>confidentialité des données, de promouvoir la cybersécurité et de traiter les incidences éthiques des technologies émergentes telles que l'IA et l'IoT. En s'alignant sur le Pacte numérique mondial, le SMSI peut mobiliser un soutien et des ressources plus larges dans le cadre de ses initiatives pour relever ces défis et saisir les occasions de manière efficace.</w:t>
      </w:r>
    </w:p>
    <w:p w14:paraId="23317408" w14:textId="77777777" w:rsidR="0039632C" w:rsidRPr="00023B55" w:rsidRDefault="0039632C" w:rsidP="00C87007">
      <w:pPr>
        <w:pStyle w:val="Heading1"/>
        <w:jc w:val="both"/>
      </w:pPr>
      <w:bookmarkStart w:id="36" w:name="_Toc200377687"/>
      <w:r w:rsidRPr="00023B55">
        <w:t>Prochaines étapes</w:t>
      </w:r>
      <w:bookmarkEnd w:id="36"/>
    </w:p>
    <w:p w14:paraId="3B3D2129" w14:textId="77777777" w:rsidR="0039632C" w:rsidRPr="00023B55" w:rsidRDefault="0039632C" w:rsidP="00C87007">
      <w:pPr>
        <w:jc w:val="both"/>
      </w:pPr>
      <w:r w:rsidRPr="00023B55">
        <w:t>Il est essentiel que le processus du SMSI se poursuive au-delà de 2025 pour réduire la fracture numérique, faire progresser le développement durable, améliorer la qualité de la connectivité mondiale, promouvoir la maîtrise des outils numériques et les compétences numériques, garantir la cybersécurité et la confidentialité des données, favoriser l'innovation, promouvoir la collaboration multi-parties prenantes, s'attaquer à la question de la durabilité environnementale, soutenir la gouvernance mondiale et tirer parti des technologies numériques pour une croissance inclusive. En continuant à soutenir le processus du SMSI, le système des Nations Unies et les pays du monde entier peuvent bâtir un avenir numérique qui profite à tous.</w:t>
      </w:r>
    </w:p>
    <w:p w14:paraId="332DFBF6" w14:textId="77777777" w:rsidR="0039632C" w:rsidRPr="00023B55" w:rsidRDefault="0039632C" w:rsidP="00C87007">
      <w:pPr>
        <w:jc w:val="both"/>
      </w:pPr>
      <w:r w:rsidRPr="00023B55">
        <w:t>L'UIT est à l'avant-garde de la mise en œuvre des résultats du SMSI et contribue ainsi à accélérer les progrès dans le domaine du développement numérique à l'échelle mondiale.</w:t>
      </w:r>
    </w:p>
    <w:p w14:paraId="0627CC96" w14:textId="77777777" w:rsidR="0039632C" w:rsidRPr="00023B55" w:rsidRDefault="0039632C" w:rsidP="00C87007">
      <w:pPr>
        <w:pStyle w:val="Headingb"/>
        <w:jc w:val="both"/>
      </w:pPr>
      <w:r w:rsidRPr="00023B55">
        <w:t>Réaffirmation de la vision du SMSI+20</w:t>
      </w:r>
    </w:p>
    <w:p w14:paraId="3FE03D28" w14:textId="77777777" w:rsidR="0039632C" w:rsidRPr="00023B55" w:rsidRDefault="0039632C" w:rsidP="00C87007">
      <w:pPr>
        <w:keepNext/>
        <w:keepLines/>
        <w:jc w:val="both"/>
      </w:pPr>
      <w:r w:rsidRPr="00023B55">
        <w:t>La vision du SMSI+20 met l'accent sur une approche du développement numérique axée sur l'humain, le développement et l'inclusion. Elle a pour objectif de garantir que les technologies numériques profitent à tous, en particulier aux communautés marginalisées et mal desservies. Cette vision, axée sur l'inclusion et la durabilité, orientera le processus du SMSI au-delà de 2025, sera alignée sur les ODD et mettra à contribution les TIC pour réaliser le Programme de développement durable à l'horizon 2030.</w:t>
      </w:r>
    </w:p>
    <w:p w14:paraId="1896F6E2" w14:textId="77777777" w:rsidR="0039632C" w:rsidRPr="00023B55" w:rsidRDefault="0039632C" w:rsidP="00C87007">
      <w:pPr>
        <w:pStyle w:val="Heading1"/>
        <w:jc w:val="both"/>
      </w:pPr>
      <w:bookmarkStart w:id="37" w:name="_Toc200377688"/>
      <w:r w:rsidRPr="00023B55">
        <w:t>Appel à l'action lancé aux États Membres de l'UIT et aux parties prenantes</w:t>
      </w:r>
      <w:bookmarkEnd w:id="37"/>
    </w:p>
    <w:p w14:paraId="7289FD49" w14:textId="77777777" w:rsidR="0039632C" w:rsidRPr="00023B55" w:rsidRDefault="0039632C" w:rsidP="00C87007">
      <w:pPr>
        <w:jc w:val="both"/>
      </w:pPr>
      <w:r w:rsidRPr="00023B55">
        <w:t>Au-delà de 2025, les États Membres de l'UIT et les parties prenantes doivent continuer à soutenir et à faire avancer le processus du SMSI. Cet effort collectif est indispensable pour enrichir le processus d'ensemble et faire en sorte que les technologies numériques accélèrent la réalisation des ODD.</w:t>
      </w:r>
    </w:p>
    <w:p w14:paraId="32C6DAC6" w14:textId="77777777" w:rsidR="0039632C" w:rsidRPr="00023B55" w:rsidRDefault="0039632C" w:rsidP="00C87007">
      <w:pPr>
        <w:pStyle w:val="Headingb"/>
        <w:jc w:val="both"/>
      </w:pPr>
      <w:r w:rsidRPr="00023B55">
        <w:t>Faire en sorte que la technologie accélère la réalisation des ODD</w:t>
      </w:r>
    </w:p>
    <w:p w14:paraId="11C39E25" w14:textId="77777777" w:rsidR="0039632C" w:rsidRPr="00023B55" w:rsidRDefault="0039632C" w:rsidP="00C87007">
      <w:pPr>
        <w:jc w:val="both"/>
      </w:pPr>
      <w:r w:rsidRPr="00023B55">
        <w:t>La technologie constitue un outil puissant pour progresser sur la voie de la réalisation des ODD. Les initiatives du SMSI montrent comment les solutions numériques peuvent accélérer la réalisation de divers objectifs, allant de l'éducation aux soins de santé en passant par la croissance économique et la durabilité environnementale. Des projets comme l'IA au service du bien social mettent en valeur la capacité de la technologie à aider à relever les défis mondiaux et favoriser le développement durable.</w:t>
      </w:r>
    </w:p>
    <w:p w14:paraId="1896BE78" w14:textId="77777777" w:rsidR="0039632C" w:rsidRPr="00023B55" w:rsidRDefault="0039632C" w:rsidP="00C87007">
      <w:pPr>
        <w:jc w:val="both"/>
      </w:pPr>
      <w:r w:rsidRPr="00023B55">
        <w:t>En continuant à soutenir et à faire avancer le processus du SMSI, les États Membres de l'UIT et les parties prenantes peuvent bâtir un avenir numérique qui profite à tous. Ensemble, les technologies numériques peuvent être mises à profit pour réaliser les ODD et créer un monde plus inclusif et durable.</w:t>
      </w:r>
    </w:p>
    <w:p w14:paraId="6A15D0F1" w14:textId="77777777" w:rsidR="0039632C" w:rsidRPr="00023B55" w:rsidRDefault="0039632C" w:rsidP="00F52608">
      <w:pPr>
        <w:pStyle w:val="Headingb"/>
      </w:pPr>
      <w:r w:rsidRPr="00023B55">
        <w:lastRenderedPageBreak/>
        <w:t>Activités de l'UIT et du SMSI permettant d'atteindre les objectifs du Pacte numérique mondial</w:t>
      </w:r>
    </w:p>
    <w:p w14:paraId="61FD951A" w14:textId="77777777" w:rsidR="0039632C" w:rsidRPr="00023B55" w:rsidRDefault="0039632C" w:rsidP="00C87007">
      <w:pPr>
        <w:jc w:val="both"/>
      </w:pPr>
      <w:r w:rsidRPr="00023B55">
        <w:t>Le processus du SMSI et ses éléments, tels que les grandes orientations du SMSI, le Forum du SMSI et le Groupe UNGIS, constituent aujourd'hui un cadre permettant de mettre en œuvre l'engagement du Pacte à mobiliser la science, la technologie et l'innovation au profit des populations et de la planète, et de mettre l'accent sur le renforcement des capacités dans les pays en développement. Ces initiatives garantiront que les progrès accomplis contribueront à promouvoir les droits humains et à améliorer l'égalité hommes-femmes, et auront ainsi des répercussions positives sur la vie des femmes et des filles. Elles visent également à respecter et à intégrer les connaissances autochtones et traditionnelles. De plus, elles appuient la coopération internationale dans les domaines de la science, de la technologie et de l'innovation en vue d'édifier un avenir plus équitable et durable pour tous.</w:t>
      </w:r>
    </w:p>
    <w:p w14:paraId="584DE155" w14:textId="77777777" w:rsidR="0039632C" w:rsidRPr="00023B55" w:rsidRDefault="0039632C" w:rsidP="00C87007">
      <w:pPr>
        <w:jc w:val="both"/>
      </w:pPr>
      <w:r w:rsidRPr="00023B55">
        <w:t>Le processus du SMSI et le Pacte pour l'avenir présentent plusieurs similitudes importantes:</w:t>
      </w:r>
    </w:p>
    <w:p w14:paraId="3ECA6062" w14:textId="77777777" w:rsidR="0039632C" w:rsidRPr="00023B55" w:rsidRDefault="0039632C" w:rsidP="00C87007">
      <w:pPr>
        <w:pStyle w:val="enumlev1"/>
        <w:jc w:val="both"/>
      </w:pPr>
      <w:r w:rsidRPr="00023B55">
        <w:t>1)</w:t>
      </w:r>
      <w:r w:rsidRPr="00023B55">
        <w:tab/>
      </w:r>
      <w:r w:rsidRPr="00023B55">
        <w:rPr>
          <w:b/>
          <w:bCs/>
        </w:rPr>
        <w:t>Accent sur l'inclusion</w:t>
      </w:r>
      <w:r w:rsidRPr="00023B55">
        <w:t>: les deux initiatives insistent sur l'importance d'édifier une société inclusive dans laquelle tous les individus, quelle que soit leur origine, ont accès à la technologie et profitent de ses avantages.</w:t>
      </w:r>
    </w:p>
    <w:p w14:paraId="74E055A8" w14:textId="77777777" w:rsidR="0039632C" w:rsidRPr="00023B55" w:rsidRDefault="0039632C" w:rsidP="00C87007">
      <w:pPr>
        <w:pStyle w:val="enumlev1"/>
        <w:jc w:val="both"/>
      </w:pPr>
      <w:r w:rsidRPr="00023B55">
        <w:t>2)</w:t>
      </w:r>
      <w:r w:rsidRPr="00023B55">
        <w:tab/>
      </w:r>
      <w:r w:rsidRPr="00023B55">
        <w:rPr>
          <w:b/>
          <w:bCs/>
        </w:rPr>
        <w:t>Réduction de la fracture numérique</w:t>
      </w:r>
      <w:r w:rsidRPr="00023B55">
        <w:t>: les deux initiatives visent à combler le fossé entre les pays développés et les pays en développement en ce qui concerne l'accès aux TIC.</w:t>
      </w:r>
    </w:p>
    <w:p w14:paraId="5D4307DD" w14:textId="77777777" w:rsidR="0039632C" w:rsidRPr="00023B55" w:rsidRDefault="0039632C" w:rsidP="00C87007">
      <w:pPr>
        <w:pStyle w:val="enumlev1"/>
        <w:jc w:val="both"/>
      </w:pPr>
      <w:r w:rsidRPr="00023B55">
        <w:t>3)</w:t>
      </w:r>
      <w:r w:rsidRPr="00023B55">
        <w:tab/>
      </w:r>
      <w:r w:rsidRPr="00023B55">
        <w:rPr>
          <w:b/>
          <w:bCs/>
        </w:rPr>
        <w:t>Promotion de la coopération internationale</w:t>
      </w:r>
      <w:r w:rsidRPr="00023B55">
        <w:t>: les deux initiatives soulignent la nécessité d'une collaboration entre les gouvernements, le secteur privé et la société civile pour mettre la technologie au service du développement durable.</w:t>
      </w:r>
    </w:p>
    <w:p w14:paraId="6F91909C" w14:textId="77777777" w:rsidR="0039632C" w:rsidRPr="00023B55" w:rsidRDefault="0039632C" w:rsidP="00C87007">
      <w:pPr>
        <w:pStyle w:val="enumlev1"/>
        <w:jc w:val="both"/>
      </w:pPr>
      <w:r w:rsidRPr="00023B55">
        <w:t>4)</w:t>
      </w:r>
      <w:r w:rsidRPr="00023B55">
        <w:tab/>
      </w:r>
      <w:r w:rsidRPr="00023B55">
        <w:rPr>
          <w:b/>
          <w:bCs/>
        </w:rPr>
        <w:t>Alignement sur les politiques de développement durable</w:t>
      </w:r>
      <w:r w:rsidRPr="00023B55">
        <w:t>: les deux initiatives sont en phase avec les objectifs globaux du Programme de développement durable à l'horizon 2030 et reconnaissent le rôle de la technologie dans la réalisation de ces objectifs.</w:t>
      </w:r>
    </w:p>
    <w:p w14:paraId="3E659D05" w14:textId="77777777" w:rsidR="0039632C" w:rsidRPr="00023B55" w:rsidRDefault="0039632C" w:rsidP="00C87007">
      <w:pPr>
        <w:pStyle w:val="enumlev1"/>
        <w:jc w:val="both"/>
      </w:pPr>
      <w:r w:rsidRPr="00023B55">
        <w:t>5)</w:t>
      </w:r>
      <w:r w:rsidRPr="00023B55">
        <w:tab/>
      </w:r>
      <w:r w:rsidRPr="00023B55">
        <w:rPr>
          <w:b/>
          <w:bCs/>
        </w:rPr>
        <w:t>Renforcement des capacités</w:t>
      </w:r>
      <w:r w:rsidRPr="00023B55">
        <w:t>: les deux initiatives soulignent combien il est important de renforcer les capacités des pays, en particulier des pays en développement, pour leur permettre d'utiliser efficacement la technologie et l'innovation.</w:t>
      </w:r>
    </w:p>
    <w:p w14:paraId="5B459577" w14:textId="77777777" w:rsidR="0039632C" w:rsidRPr="00023B55" w:rsidRDefault="0039632C" w:rsidP="00C87007">
      <w:pPr>
        <w:pStyle w:val="enumlev1"/>
        <w:jc w:val="both"/>
      </w:pPr>
      <w:r w:rsidRPr="00023B55">
        <w:t>6)</w:t>
      </w:r>
      <w:r w:rsidRPr="00023B55">
        <w:tab/>
      </w:r>
      <w:r w:rsidRPr="00023B55">
        <w:rPr>
          <w:b/>
          <w:bCs/>
        </w:rPr>
        <w:t>Considérations relatives aux droits humains</w:t>
      </w:r>
      <w:r w:rsidRPr="00023B55">
        <w:t>: les deux initiatives plaident en faveur de la protection et de la promotion des droits humains dans le domaine technologique pour éviter ainsi que les progrès accentuent les inégalités existantes.</w:t>
      </w:r>
    </w:p>
    <w:p w14:paraId="1783EF78" w14:textId="77777777" w:rsidR="0039632C" w:rsidRPr="00C87007" w:rsidRDefault="0039632C" w:rsidP="00C87007">
      <w:pPr>
        <w:pStyle w:val="Figure"/>
      </w:pPr>
      <w:r w:rsidRPr="00C87007">
        <w:lastRenderedPageBreak/>
        <w:drawing>
          <wp:inline distT="0" distB="0" distL="0" distR="0" wp14:anchorId="104DD3F4" wp14:editId="40CADAF7">
            <wp:extent cx="5760085" cy="3881120"/>
            <wp:effectExtent l="0" t="0" r="0" b="5080"/>
            <wp:docPr id="2" name="Picture 2" descr="A char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art with text and images&#10;&#10;AI-generated content may be incorrect."/>
                    <pic:cNvPicPr/>
                  </pic:nvPicPr>
                  <pic:blipFill>
                    <a:blip r:embed="rId315"/>
                    <a:stretch>
                      <a:fillRect/>
                    </a:stretch>
                  </pic:blipFill>
                  <pic:spPr>
                    <a:xfrm>
                      <a:off x="0" y="0"/>
                      <a:ext cx="5760085" cy="3881120"/>
                    </a:xfrm>
                    <a:prstGeom prst="rect">
                      <a:avLst/>
                    </a:prstGeom>
                  </pic:spPr>
                </pic:pic>
              </a:graphicData>
            </a:graphic>
          </wp:inline>
        </w:drawing>
      </w:r>
    </w:p>
    <w:p w14:paraId="3B867E06" w14:textId="77777777" w:rsidR="0039632C" w:rsidRPr="00023B55" w:rsidRDefault="0039632C" w:rsidP="004D50E7">
      <w:pPr>
        <w:pStyle w:val="enumlev1"/>
        <w:jc w:val="both"/>
      </w:pPr>
      <w:r w:rsidRPr="00023B55">
        <w:t>7)</w:t>
      </w:r>
      <w:r w:rsidRPr="00023B55">
        <w:tab/>
      </w:r>
      <w:r w:rsidRPr="00023B55">
        <w:rPr>
          <w:b/>
          <w:bCs/>
        </w:rPr>
        <w:t>Innovation et partage des connaissances</w:t>
      </w:r>
      <w:r w:rsidRPr="00023B55">
        <w:t>: il est nécessaire de favoriser l'innovation et le partage des connaissances et des bonnes pratiques entre les pays afin d'intensifier le développement technologique.</w:t>
      </w:r>
    </w:p>
    <w:p w14:paraId="319D8532" w14:textId="77777777" w:rsidR="0039632C" w:rsidRPr="00023B55" w:rsidRDefault="0039632C" w:rsidP="004D50E7">
      <w:pPr>
        <w:pStyle w:val="enumlev1"/>
        <w:jc w:val="both"/>
      </w:pPr>
      <w:r w:rsidRPr="00023B55">
        <w:t>8)</w:t>
      </w:r>
      <w:r w:rsidRPr="00023B55">
        <w:tab/>
      </w:r>
      <w:r w:rsidRPr="00023B55">
        <w:rPr>
          <w:b/>
          <w:bCs/>
        </w:rPr>
        <w:t>Utilisation éthique de la technologie</w:t>
      </w:r>
      <w:r w:rsidRPr="00023B55">
        <w:t>: il importe de veiller à recourir à la science, à la technologie et à l'innovation de manière éthique et responsable pour qu'elles profitent à tous.</w:t>
      </w:r>
    </w:p>
    <w:p w14:paraId="030BA0EA" w14:textId="77777777" w:rsidR="0039632C" w:rsidRPr="00023B55" w:rsidRDefault="0039632C" w:rsidP="0039632C">
      <w:r w:rsidRPr="00023B55">
        <w:br w:type="page"/>
      </w:r>
    </w:p>
    <w:p w14:paraId="7028EB00" w14:textId="77777777" w:rsidR="0039632C" w:rsidRPr="00023B55" w:rsidRDefault="0039632C" w:rsidP="004D50E7">
      <w:pPr>
        <w:pStyle w:val="Heading1"/>
        <w:jc w:val="both"/>
      </w:pPr>
      <w:bookmarkStart w:id="38" w:name="_Toc200377689"/>
      <w:r w:rsidRPr="00023B55">
        <w:lastRenderedPageBreak/>
        <w:t>Ressources de l'UIT pour la mise en œuvre et le suivi des résultats du SMSI</w:t>
      </w:r>
      <w:bookmarkEnd w:id="38"/>
    </w:p>
    <w:p w14:paraId="6CCC4F78" w14:textId="77777777" w:rsidR="0039632C" w:rsidRPr="00023B55" w:rsidRDefault="0039632C" w:rsidP="004D50E7">
      <w:pPr>
        <w:pStyle w:val="enumlev1"/>
        <w:jc w:val="both"/>
      </w:pPr>
      <w:r w:rsidRPr="00023B55">
        <w:t>–</w:t>
      </w:r>
      <w:r w:rsidRPr="00023B55">
        <w:tab/>
      </w:r>
      <w:hyperlink r:id="rId316" w:anchor=":~:text=ITU%20Contribution%20to%20the%20WSIS%20Implementation,-ITU%20Contribution%20to&amp;text=Co%2Dfacilitator%20of%20Action%20Lines,on%20Measuring%20ICT%20for%20Measurement." w:history="1">
        <w:r w:rsidRPr="00023B55">
          <w:rPr>
            <w:rStyle w:val="Hyperlink"/>
            <w:rFonts w:eastAsia="Times New Roman" w:cs="Times New Roman"/>
            <w:szCs w:val="20"/>
          </w:rPr>
          <w:t>Portail de l'UIT pour le SMSI</w:t>
        </w:r>
      </w:hyperlink>
      <w:r w:rsidRPr="00023B55">
        <w:t>: donne un aperçu du rôle de l'UIT et des activités menées dans le cadre du Sommet mondial sur la société de l'information. Il devrait servir de répertoire principal pour les sites web et les ressources électroniques de l'UIT associées au SMSI.</w:t>
      </w:r>
    </w:p>
    <w:p w14:paraId="751191B9" w14:textId="77777777" w:rsidR="0039632C" w:rsidRPr="00023B55" w:rsidRDefault="0039632C" w:rsidP="004D50E7">
      <w:pPr>
        <w:pStyle w:val="enumlev1"/>
        <w:jc w:val="both"/>
      </w:pPr>
      <w:r w:rsidRPr="00023B55">
        <w:t>–</w:t>
      </w:r>
      <w:r w:rsidRPr="00023B55">
        <w:tab/>
      </w:r>
      <w:hyperlink r:id="rId317" w:history="1">
        <w:r w:rsidRPr="00023B55">
          <w:rPr>
            <w:rStyle w:val="Hyperlink"/>
            <w:rFonts w:eastAsia="Times New Roman" w:cs="Times New Roman"/>
            <w:szCs w:val="20"/>
          </w:rPr>
          <w:t>Portail du SMSI</w:t>
        </w:r>
      </w:hyperlink>
      <w:r w:rsidRPr="00023B55">
        <w:t>: sert de pôle central regroupant les informations, les activités et les ressources associées au SMSI, qui concernent notamment sa mise en œuvre, les actions de suivi, les forums et l'inventaire des activités, en remontant jusqu'à 2003.</w:t>
      </w:r>
    </w:p>
    <w:p w14:paraId="3E104C09" w14:textId="77777777" w:rsidR="0039632C" w:rsidRPr="00023B55" w:rsidRDefault="0039632C" w:rsidP="004D50E7">
      <w:pPr>
        <w:pStyle w:val="enumlev1"/>
        <w:jc w:val="both"/>
      </w:pPr>
      <w:r w:rsidRPr="00023B55">
        <w:t>–</w:t>
      </w:r>
      <w:r w:rsidRPr="00023B55">
        <w:tab/>
      </w:r>
      <w:hyperlink r:id="rId318" w:history="1">
        <w:r w:rsidRPr="00023B55">
          <w:rPr>
            <w:rStyle w:val="Hyperlink"/>
            <w:rFonts w:eastAsia="Times New Roman" w:cs="Times New Roman"/>
            <w:szCs w:val="20"/>
          </w:rPr>
          <w:t>Fonds d'affectation spéciale pour le SMSI</w:t>
        </w:r>
      </w:hyperlink>
      <w:r w:rsidRPr="00023B55">
        <w:t>: fonds d'affectation spéciale constitué à partir de contributions volontaires soutenant les activités liées au SMSI, y compris le Forum du SMSI et l'inventaire de ses activités. Les contributions des États Membres et des parties prenantes garantissent la pérennité des initiatives du SMSI.</w:t>
      </w:r>
    </w:p>
    <w:p w14:paraId="1241C96B" w14:textId="77777777" w:rsidR="0039632C" w:rsidRPr="00023B55" w:rsidRDefault="0039632C" w:rsidP="004D50E7">
      <w:pPr>
        <w:pStyle w:val="enumlev1"/>
        <w:jc w:val="both"/>
      </w:pPr>
      <w:r w:rsidRPr="00023B55">
        <w:t>–</w:t>
      </w:r>
      <w:r w:rsidRPr="00023B55">
        <w:tab/>
      </w:r>
      <w:hyperlink r:id="rId319" w:history="1">
        <w:r w:rsidRPr="00023B55">
          <w:rPr>
            <w:rStyle w:val="Hyperlink"/>
            <w:rFonts w:eastAsia="Times New Roman" w:cs="Times New Roman"/>
            <w:szCs w:val="20"/>
          </w:rPr>
          <w:t>Contribution de l'UIT à la mise en œuvre des résultats du SMSI</w:t>
        </w:r>
      </w:hyperlink>
      <w:r w:rsidRPr="00023B55">
        <w:t>: rapport annuel officiel de l'UIT sur la mise en œuvre des résultats du SMSI dans les trois Secteurs de l'Union (radiocommunications, normalisation, développement) et au sein du Secrétariat général.</w:t>
      </w:r>
    </w:p>
    <w:p w14:paraId="00D8C0AD" w14:textId="77777777" w:rsidR="0039632C" w:rsidRPr="00023B55" w:rsidRDefault="0039632C" w:rsidP="004D50E7">
      <w:pPr>
        <w:pStyle w:val="enumlev1"/>
        <w:jc w:val="both"/>
      </w:pPr>
      <w:r w:rsidRPr="00023B55">
        <w:t>–</w:t>
      </w:r>
      <w:r w:rsidRPr="00023B55">
        <w:tab/>
      </w:r>
      <w:hyperlink r:id="rId320" w:history="1">
        <w:r w:rsidRPr="00023B55">
          <w:rPr>
            <w:rStyle w:val="Hyperlink"/>
            <w:rFonts w:eastAsia="Times New Roman" w:cs="Times New Roman"/>
            <w:szCs w:val="20"/>
          </w:rPr>
          <w:t>Groupe UNGIS</w:t>
        </w:r>
      </w:hyperlink>
      <w:r w:rsidRPr="00023B55">
        <w:t>: important mécanisme interinstitutions des Nations Unies assurant la cohérence et la coordination des politiques dans les initiatives de développement numérique.</w:t>
      </w:r>
    </w:p>
    <w:p w14:paraId="1664662C" w14:textId="77777777" w:rsidR="0039632C" w:rsidRPr="00023B55" w:rsidRDefault="0039632C" w:rsidP="004D50E7">
      <w:pPr>
        <w:pStyle w:val="enumlev1"/>
        <w:jc w:val="both"/>
      </w:pPr>
      <w:r w:rsidRPr="00023B55">
        <w:t>–</w:t>
      </w:r>
      <w:r w:rsidRPr="00023B55">
        <w:tab/>
      </w:r>
      <w:hyperlink r:id="rId321" w:history="1">
        <w:r w:rsidRPr="00023B55">
          <w:rPr>
            <w:rStyle w:val="Hyperlink"/>
            <w:rFonts w:eastAsia="Times New Roman" w:cs="Times New Roman"/>
            <w:szCs w:val="20"/>
          </w:rPr>
          <w:t>Feuilles de route des grandes orientations du SMSI de l'UIT</w:t>
        </w:r>
      </w:hyperlink>
      <w:r w:rsidRPr="00023B55">
        <w:t>: fournissent des orientations stratégiques pour les grandes orientations du SMSI (comme les Grandes orientations C2 – Infrastructures et C4 – Renforcement des capacités) alignées sur les ODD, aidant ainsi les décideurs à suivre les progrès accomplis.</w:t>
      </w:r>
    </w:p>
    <w:p w14:paraId="24B057BD" w14:textId="77777777" w:rsidR="0039632C" w:rsidRPr="00023B55" w:rsidRDefault="0039632C" w:rsidP="004D50E7">
      <w:pPr>
        <w:pStyle w:val="enumlev1"/>
        <w:jc w:val="both"/>
      </w:pPr>
      <w:r w:rsidRPr="00023B55">
        <w:t>–</w:t>
      </w:r>
      <w:r w:rsidRPr="00023B55">
        <w:tab/>
      </w:r>
      <w:hyperlink r:id="rId322" w:history="1">
        <w:r w:rsidRPr="00023B55">
          <w:rPr>
            <w:rStyle w:val="Hyperlink"/>
            <w:rFonts w:eastAsia="Times New Roman" w:cs="Times New Roman"/>
            <w:szCs w:val="20"/>
          </w:rPr>
          <w:t>Examen du SMSI</w:t>
        </w:r>
      </w:hyperlink>
      <w:r w:rsidRPr="00023B55">
        <w:t>: évaluations périodiques de la mise en œuvre des résultats du SMSI, y compris les contributions au programme plus large de développement numérique des Nations Unies.</w:t>
      </w:r>
    </w:p>
    <w:p w14:paraId="1C22C404" w14:textId="77777777" w:rsidR="0039632C" w:rsidRPr="00023B55" w:rsidRDefault="0039632C" w:rsidP="004D50E7">
      <w:pPr>
        <w:pStyle w:val="enumlev1"/>
        <w:jc w:val="both"/>
      </w:pPr>
      <w:r w:rsidRPr="00023B55">
        <w:t>–</w:t>
      </w:r>
      <w:r w:rsidRPr="00023B55">
        <w:tab/>
      </w:r>
      <w:hyperlink r:id="rId323" w:history="1">
        <w:r w:rsidRPr="00023B55">
          <w:rPr>
            <w:rStyle w:val="Hyperlink"/>
            <w:rFonts w:eastAsia="Times New Roman" w:cs="Times New Roman"/>
            <w:szCs w:val="20"/>
          </w:rPr>
          <w:t>Manifestation de haut niveau SMSI+10</w:t>
        </w:r>
      </w:hyperlink>
      <w:r w:rsidRPr="00023B55">
        <w:t>: organisée en 2014 dans le but d'examiner la première décennie de mise en œuvre des résultats du SMSI et de fixer des priorités pour le développement continu des TIC.</w:t>
      </w:r>
    </w:p>
    <w:p w14:paraId="7CC6A12F" w14:textId="77777777" w:rsidR="0039632C" w:rsidRPr="00023B55" w:rsidRDefault="0039632C" w:rsidP="004D50E7">
      <w:pPr>
        <w:pStyle w:val="enumlev1"/>
        <w:jc w:val="both"/>
      </w:pPr>
      <w:r w:rsidRPr="00023B55">
        <w:t>–</w:t>
      </w:r>
      <w:r w:rsidRPr="00023B55">
        <w:tab/>
      </w:r>
      <w:hyperlink r:id="rId324" w:history="1">
        <w:r w:rsidRPr="00023B55">
          <w:rPr>
            <w:rStyle w:val="Hyperlink"/>
            <w:rFonts w:eastAsia="Times New Roman" w:cs="Times New Roman"/>
            <w:szCs w:val="20"/>
          </w:rPr>
          <w:t>Réunion de haut niveau de l'Assemblée générale des Nations Unies</w:t>
        </w:r>
      </w:hyperlink>
      <w:r w:rsidRPr="00023B55">
        <w:t>: discussions de haut niveau de l'Assemblée générale des Nations Unies sur les résultats du SMSI et leur pertinence pour les politiques numériques mondiales.</w:t>
      </w:r>
    </w:p>
    <w:p w14:paraId="6B227475" w14:textId="77777777" w:rsidR="0039632C" w:rsidRPr="00023B55" w:rsidRDefault="0039632C" w:rsidP="004D50E7">
      <w:pPr>
        <w:pStyle w:val="enumlev1"/>
        <w:jc w:val="both"/>
      </w:pPr>
      <w:r w:rsidRPr="00023B55">
        <w:t>–</w:t>
      </w:r>
      <w:r w:rsidRPr="00023B55">
        <w:tab/>
      </w:r>
      <w:hyperlink r:id="rId325" w:history="1">
        <w:r w:rsidRPr="00023B55">
          <w:rPr>
            <w:rStyle w:val="Hyperlink"/>
            <w:rFonts w:eastAsia="Times New Roman" w:cs="Times New Roman"/>
            <w:szCs w:val="20"/>
          </w:rPr>
          <w:t>Forum du SMSI</w:t>
        </w:r>
      </w:hyperlink>
      <w:r w:rsidRPr="00023B55">
        <w:t>: organisé chaque année, se présente comme une plate-forme mondiale de dialogue, de partage des connaissances et de collaboration multi-parties prenantes sur le développement numérique.</w:t>
      </w:r>
    </w:p>
    <w:p w14:paraId="23DA8FC9" w14:textId="77777777" w:rsidR="0039632C" w:rsidRPr="00023B55" w:rsidRDefault="0039632C" w:rsidP="004D50E7">
      <w:pPr>
        <w:pStyle w:val="enumlev1"/>
        <w:jc w:val="both"/>
      </w:pPr>
      <w:r w:rsidRPr="00023B55">
        <w:t>–</w:t>
      </w:r>
      <w:r w:rsidRPr="00023B55">
        <w:tab/>
      </w:r>
      <w:hyperlink r:id="rId326" w:history="1">
        <w:r w:rsidRPr="00023B55">
          <w:rPr>
            <w:rStyle w:val="Hyperlink"/>
            <w:rFonts w:eastAsia="Times New Roman" w:cs="Times New Roman"/>
            <w:szCs w:val="20"/>
          </w:rPr>
          <w:t>Inventaire des activités du SMSI</w:t>
        </w:r>
      </w:hyperlink>
      <w:r w:rsidRPr="00023B55">
        <w:t>: base de données de projets numériques menés dans le monde entier en phase avec les objectifs du SMSI, qui favorise ainsi le partage des bonnes pratiques et les partenariats.</w:t>
      </w:r>
    </w:p>
    <w:p w14:paraId="12CADF6C" w14:textId="77777777" w:rsidR="0039632C" w:rsidRPr="00023B55" w:rsidRDefault="0039632C" w:rsidP="004D50E7">
      <w:pPr>
        <w:pStyle w:val="enumlev1"/>
        <w:jc w:val="both"/>
      </w:pPr>
      <w:r w:rsidRPr="00023B55">
        <w:t>–</w:t>
      </w:r>
      <w:r w:rsidRPr="00023B55">
        <w:tab/>
      </w:r>
      <w:hyperlink r:id="rId327" w:history="1">
        <w:r w:rsidRPr="00023B55">
          <w:rPr>
            <w:rStyle w:val="Hyperlink"/>
            <w:rFonts w:eastAsia="Times New Roman" w:cs="Times New Roman"/>
            <w:szCs w:val="20"/>
          </w:rPr>
          <w:t>Prix du SMSI</w:t>
        </w:r>
      </w:hyperlink>
      <w:r w:rsidRPr="00023B55">
        <w:t>: prestigieux concours annuel qui récompense les projets dans le domaine des TIC qui contribuent au développement durable.</w:t>
      </w:r>
    </w:p>
    <w:p w14:paraId="0BE9FE11" w14:textId="77777777" w:rsidR="0039632C" w:rsidRPr="00023B55" w:rsidRDefault="0039632C" w:rsidP="004D50E7">
      <w:pPr>
        <w:pStyle w:val="enumlev1"/>
        <w:jc w:val="both"/>
      </w:pPr>
      <w:r w:rsidRPr="00023B55">
        <w:t>–</w:t>
      </w:r>
      <w:r w:rsidRPr="00023B55">
        <w:tab/>
      </w:r>
      <w:hyperlink r:id="rId328" w:history="1">
        <w:r w:rsidRPr="00023B55">
          <w:rPr>
            <w:rStyle w:val="Hyperlink"/>
            <w:rFonts w:eastAsia="Times New Roman" w:cs="Times New Roman"/>
            <w:szCs w:val="20"/>
          </w:rPr>
          <w:t>GTC SMSI/ODD</w:t>
        </w:r>
      </w:hyperlink>
      <w:r w:rsidRPr="00023B55">
        <w:t>: groupe interinstitutions de l'UIT garantissant que les grandes orientations du SMSI restent alignées sur les ODD des Nations Unies.</w:t>
      </w:r>
    </w:p>
    <w:p w14:paraId="2AC47EC2" w14:textId="77777777" w:rsidR="0039632C" w:rsidRPr="00023B55" w:rsidRDefault="0039632C" w:rsidP="004D50E7">
      <w:pPr>
        <w:pStyle w:val="enumlev1"/>
        <w:jc w:val="both"/>
      </w:pPr>
      <w:r w:rsidRPr="00023B55">
        <w:t>–</w:t>
      </w:r>
      <w:r w:rsidRPr="00023B55">
        <w:tab/>
      </w:r>
      <w:hyperlink r:id="rId329" w:history="1">
        <w:r w:rsidRPr="00023B55">
          <w:rPr>
            <w:rStyle w:val="Hyperlink"/>
            <w:rFonts w:eastAsia="Times New Roman" w:cs="Times New Roman"/>
            <w:szCs w:val="20"/>
          </w:rPr>
          <w:t>GTC-Internet</w:t>
        </w:r>
      </w:hyperlink>
      <w:r w:rsidRPr="00023B55">
        <w:t>: groupe de travail de l'UIT dont les travaux portent sur la gouvernance mondiale de l'Internet et les défis en matière de politique générale.</w:t>
      </w:r>
    </w:p>
    <w:p w14:paraId="4F3FB53D" w14:textId="77777777" w:rsidR="0039632C" w:rsidRPr="00023B55" w:rsidRDefault="0039632C" w:rsidP="004D50E7">
      <w:pPr>
        <w:pStyle w:val="enumlev1"/>
        <w:jc w:val="both"/>
      </w:pPr>
      <w:r w:rsidRPr="00023B55">
        <w:lastRenderedPageBreak/>
        <w:t>–</w:t>
      </w:r>
      <w:r w:rsidRPr="00023B55">
        <w:tab/>
      </w:r>
      <w:hyperlink r:id="rId330" w:history="1">
        <w:r w:rsidRPr="00023B55">
          <w:rPr>
            <w:rStyle w:val="Hyperlink"/>
            <w:rFonts w:eastAsia="Times New Roman" w:cs="Times New Roman"/>
            <w:szCs w:val="20"/>
          </w:rPr>
          <w:t>Partenariat sur la mesure des TIC au service du développement</w:t>
        </w:r>
      </w:hyperlink>
      <w:r w:rsidRPr="00023B55">
        <w:t>: initiative multi-parties prenantes visant à améliorer la collecte mondiale de données sur les TIC, dirigée par l'UIT, les institutions des Nations Unies et la Banque mondiale.</w:t>
      </w:r>
    </w:p>
    <w:p w14:paraId="5A18BA0D" w14:textId="77777777" w:rsidR="0039632C" w:rsidRPr="00023B55" w:rsidRDefault="0039632C" w:rsidP="004D50E7">
      <w:pPr>
        <w:pStyle w:val="enumlev1"/>
        <w:jc w:val="both"/>
      </w:pPr>
      <w:r w:rsidRPr="00023B55">
        <w:t>–</w:t>
      </w:r>
      <w:r w:rsidRPr="00023B55">
        <w:tab/>
      </w:r>
      <w:hyperlink r:id="rId331" w:history="1">
        <w:r w:rsidRPr="00023B55">
          <w:rPr>
            <w:rStyle w:val="Hyperlink"/>
            <w:rFonts w:eastAsia="Times New Roman" w:cs="Times New Roman"/>
            <w:szCs w:val="20"/>
          </w:rPr>
          <w:t>Statistiques sur les TIC</w:t>
        </w:r>
      </w:hyperlink>
      <w:r w:rsidRPr="00023B55">
        <w:t>: base de données mondiale de l'UIT sur la pénétration des TIC, les indicateurs de fracture numérique et les tendances émergentes.</w:t>
      </w:r>
    </w:p>
    <w:p w14:paraId="01A67D36" w14:textId="77777777" w:rsidR="0039632C" w:rsidRPr="00023B55" w:rsidRDefault="0039632C" w:rsidP="004D50E7">
      <w:pPr>
        <w:pStyle w:val="enumlev1"/>
        <w:jc w:val="both"/>
      </w:pPr>
      <w:r w:rsidRPr="00023B55">
        <w:t>–</w:t>
      </w:r>
      <w:r w:rsidRPr="00023B55">
        <w:tab/>
      </w:r>
      <w:hyperlink r:id="rId332" w:anchor="/fr" w:history="1">
        <w:r w:rsidRPr="00023B55">
          <w:rPr>
            <w:rStyle w:val="Hyperlink"/>
            <w:rFonts w:eastAsia="Times New Roman" w:cs="Times New Roman"/>
            <w:szCs w:val="20"/>
          </w:rPr>
          <w:t>Journée mondiale des télécommunications et de la société de l'information</w:t>
        </w:r>
      </w:hyperlink>
      <w:r w:rsidRPr="00023B55">
        <w:t>: célébrée chaque année le 17 mai pour souligner l'importance des technologies dans le développement mondial.</w:t>
      </w:r>
    </w:p>
    <w:p w14:paraId="6B1E3716" w14:textId="77777777" w:rsidR="0039632C" w:rsidRPr="00023B55" w:rsidRDefault="0039632C" w:rsidP="004D50E7">
      <w:pPr>
        <w:jc w:val="both"/>
      </w:pPr>
      <w:r w:rsidRPr="00023B55">
        <w:t>Autres sites web et ressources en ligne de l'UIT présentant un intérêt pour la mise en œuvre et le suivi des résultats du SMSI:</w:t>
      </w:r>
    </w:p>
    <w:p w14:paraId="01344939" w14:textId="77777777" w:rsidR="0039632C" w:rsidRPr="00023B55" w:rsidRDefault="0039632C" w:rsidP="004D50E7">
      <w:pPr>
        <w:pStyle w:val="enumlev1"/>
        <w:jc w:val="both"/>
      </w:pPr>
      <w:r w:rsidRPr="00023B55">
        <w:t>–</w:t>
      </w:r>
      <w:r w:rsidRPr="00023B55">
        <w:tab/>
      </w:r>
      <w:hyperlink r:id="rId333" w:history="1">
        <w:r w:rsidRPr="00023B55">
          <w:rPr>
            <w:rStyle w:val="Hyperlink"/>
            <w:rFonts w:eastAsia="Times New Roman" w:cs="Times New Roman"/>
            <w:szCs w:val="20"/>
          </w:rPr>
          <w:t>Publications de l'UIT</w:t>
        </w:r>
      </w:hyperlink>
      <w:r w:rsidRPr="00023B55">
        <w:t>: portail donnant accès à un large éventail de publications de l'UIT, dont des rapports, des manuels et des bases de données. Il permet d'effectuer des recherches, de commander des produits et de télécharger des contenus numériques.</w:t>
      </w:r>
    </w:p>
    <w:p w14:paraId="4DE9C2E2" w14:textId="77777777" w:rsidR="0039632C" w:rsidRPr="00023B55" w:rsidRDefault="0039632C" w:rsidP="004D50E7">
      <w:pPr>
        <w:pStyle w:val="enumlev1"/>
        <w:jc w:val="both"/>
      </w:pPr>
      <w:r w:rsidRPr="00023B55">
        <w:t>–</w:t>
      </w:r>
      <w:r w:rsidRPr="00023B55">
        <w:tab/>
      </w:r>
      <w:hyperlink r:id="rId334" w:anchor="/fr" w:history="1">
        <w:r w:rsidRPr="00023B55">
          <w:rPr>
            <w:rStyle w:val="Hyperlink"/>
            <w:rFonts w:eastAsia="Times New Roman" w:cs="Times New Roman"/>
            <w:szCs w:val="20"/>
          </w:rPr>
          <w:t>Plate-forme ITU Hub</w:t>
        </w:r>
      </w:hyperlink>
      <w:r w:rsidRPr="00023B55">
        <w:t>: offre un accès gratuit aux rapports, aux tendances, aux analyses et aux données dans les domaines des télécommunications et des TIC à l'échelle mondiale. Cela concerne des sujets tels que les compétences numériques, les déchets d'équipements électriques et électroniques, les satellites, la 5G et la fracture numérique.</w:t>
      </w:r>
    </w:p>
    <w:p w14:paraId="1BE63444" w14:textId="77777777" w:rsidR="0039632C" w:rsidRPr="00023B55" w:rsidRDefault="0039632C" w:rsidP="004D50E7">
      <w:pPr>
        <w:pStyle w:val="enumlev1"/>
        <w:jc w:val="both"/>
      </w:pPr>
      <w:r w:rsidRPr="00023B55">
        <w:t>–</w:t>
      </w:r>
      <w:r w:rsidRPr="00023B55">
        <w:tab/>
      </w:r>
      <w:hyperlink r:id="rId335" w:anchor="/fr" w:history="1">
        <w:r w:rsidRPr="00023B55">
          <w:rPr>
            <w:rStyle w:val="Hyperlink"/>
            <w:rFonts w:eastAsia="Times New Roman" w:cs="Times New Roman"/>
            <w:szCs w:val="20"/>
          </w:rPr>
          <w:t>Académie de l'UIT</w:t>
        </w:r>
      </w:hyperlink>
      <w:r w:rsidRPr="00023B55">
        <w:t>: donne accès à un large éventail de programmes de formation, de cours et de ressources destinés à renforcer les capacités dans le secteur des TIC.</w:t>
      </w:r>
    </w:p>
    <w:p w14:paraId="696FE3AD" w14:textId="77777777" w:rsidR="0039632C" w:rsidRPr="00023B55" w:rsidRDefault="0039632C" w:rsidP="004D50E7">
      <w:pPr>
        <w:pStyle w:val="enumlev1"/>
        <w:jc w:val="both"/>
      </w:pPr>
      <w:r w:rsidRPr="00023B55">
        <w:t>–</w:t>
      </w:r>
      <w:r w:rsidRPr="00023B55">
        <w:tab/>
      </w:r>
      <w:hyperlink r:id="rId336" w:history="1">
        <w:r w:rsidRPr="00023B55">
          <w:rPr>
            <w:rStyle w:val="Hyperlink"/>
            <w:rFonts w:eastAsia="Times New Roman" w:cs="Times New Roman"/>
            <w:szCs w:val="20"/>
          </w:rPr>
          <w:t>Transformation numérique pour des villes axées sur l'humain</w:t>
        </w:r>
      </w:hyperlink>
      <w:r w:rsidRPr="00023B55">
        <w:t>: fournir des informations sur la transformation numérique des villes et des communautés. L'objectif est de faciliter l'échange de connaissances, d'identifier les besoins politiques et d'élaborer des normes internationales pour soutenir les villes intelligentes axées sur l'humain.</w:t>
      </w:r>
    </w:p>
    <w:p w14:paraId="047E4EED" w14:textId="77777777" w:rsidR="0039632C" w:rsidRPr="00023B55" w:rsidRDefault="0039632C" w:rsidP="004D50E7">
      <w:pPr>
        <w:pStyle w:val="enumlev2"/>
        <w:jc w:val="both"/>
      </w:pPr>
      <w:r w:rsidRPr="00023B55">
        <w:t>•</w:t>
      </w:r>
      <w:r w:rsidRPr="00023B55">
        <w:tab/>
      </w:r>
      <w:hyperlink r:id="rId337" w:history="1">
        <w:r w:rsidRPr="00023B55">
          <w:rPr>
            <w:rStyle w:val="Hyperlink"/>
            <w:rFonts w:eastAsia="Times New Roman" w:cs="Times New Roman"/>
            <w:szCs w:val="20"/>
          </w:rPr>
          <w:t>Publications liées à la transformation numérique pour des villes et des communautés intelligentes axées sur l'humain</w:t>
        </w:r>
      </w:hyperlink>
    </w:p>
    <w:p w14:paraId="7CA67CDC" w14:textId="77777777" w:rsidR="0039632C" w:rsidRPr="00023B55" w:rsidRDefault="0039632C" w:rsidP="004D50E7">
      <w:pPr>
        <w:pStyle w:val="enumlev2"/>
        <w:jc w:val="both"/>
      </w:pPr>
      <w:r w:rsidRPr="00023B55">
        <w:t>•</w:t>
      </w:r>
      <w:r w:rsidRPr="00023B55">
        <w:tab/>
      </w:r>
      <w:hyperlink r:id="rId338" w:history="1">
        <w:r w:rsidRPr="00023B55">
          <w:rPr>
            <w:rStyle w:val="Hyperlink"/>
            <w:rFonts w:eastAsia="Times New Roman" w:cs="Times New Roman"/>
            <w:szCs w:val="20"/>
          </w:rPr>
          <w:t>Kit pratique sur la transformation numérique des villes et des communautés centrées sur la population</w:t>
        </w:r>
      </w:hyperlink>
    </w:p>
    <w:p w14:paraId="1A110EEB" w14:textId="77777777" w:rsidR="0039632C" w:rsidRPr="00023B55" w:rsidRDefault="0039632C" w:rsidP="004D50E7">
      <w:pPr>
        <w:pStyle w:val="enumlev2"/>
        <w:jc w:val="both"/>
      </w:pPr>
      <w:r w:rsidRPr="00023B55">
        <w:tab/>
      </w:r>
      <w:r w:rsidRPr="00023B55">
        <w:tab/>
        <w:t>Les ressources proposées dans le kit pratique comprennent des normes et orientations internationales, les études et projections les plus récentes ainsi que des rapports à la pointe sur divers thèmes d'actualité en rapport avec la transformation numérique des villes et des communautés.</w:t>
      </w:r>
    </w:p>
    <w:p w14:paraId="1B75FEC0" w14:textId="77777777" w:rsidR="0039632C" w:rsidRPr="00023B55" w:rsidRDefault="0039632C" w:rsidP="004D50E7">
      <w:pPr>
        <w:pStyle w:val="enumlev2"/>
        <w:jc w:val="both"/>
      </w:pPr>
      <w:r w:rsidRPr="00023B55">
        <w:t>•</w:t>
      </w:r>
      <w:r w:rsidRPr="00023B55">
        <w:tab/>
      </w:r>
      <w:hyperlink r:id="rId339" w:history="1">
        <w:r w:rsidRPr="00023B55">
          <w:rPr>
            <w:rStyle w:val="Hyperlink"/>
            <w:rFonts w:eastAsia="Times New Roman" w:cs="Times New Roman"/>
            <w:szCs w:val="20"/>
          </w:rPr>
          <w:t>Centre de ressources sur la transformation numérique</w:t>
        </w:r>
      </w:hyperlink>
    </w:p>
    <w:p w14:paraId="18BADA21" w14:textId="77777777" w:rsidR="0039632C" w:rsidRPr="00023B55" w:rsidRDefault="0039632C" w:rsidP="004D50E7">
      <w:pPr>
        <w:pStyle w:val="enumlev2"/>
        <w:jc w:val="both"/>
      </w:pPr>
      <w:r w:rsidRPr="00023B55">
        <w:tab/>
      </w:r>
      <w:r w:rsidRPr="00023B55">
        <w:tab/>
        <w:t>Le centre de ressources sur la transformation numérique propose un large éventail de publications de qualité sur divers sujets liés à la transformation numérique, notamment les villes durables intelligentes, les mesures prises par les villes pour lutter contre le COVID-19, l'infrastructure publique numérique, l'IA, l'IoT, la chaîne de blocs et les jumeaux numériques, entre autres choses.</w:t>
      </w:r>
    </w:p>
    <w:p w14:paraId="534ED750" w14:textId="77777777" w:rsidR="0039632C" w:rsidRPr="00023B55" w:rsidRDefault="0039632C" w:rsidP="004D50E7">
      <w:pPr>
        <w:pStyle w:val="enumlev1"/>
        <w:keepLines/>
        <w:jc w:val="both"/>
      </w:pPr>
      <w:r w:rsidRPr="00023B55">
        <w:t>–</w:t>
      </w:r>
      <w:r w:rsidRPr="00023B55">
        <w:tab/>
      </w:r>
      <w:hyperlink r:id="rId340" w:anchor="/fr" w:history="1">
        <w:r w:rsidRPr="00023B55">
          <w:rPr>
            <w:rStyle w:val="Hyperlink"/>
            <w:rFonts w:eastAsia="Times New Roman" w:cs="Times New Roman"/>
            <w:szCs w:val="20"/>
          </w:rPr>
          <w:t>Initiative "Tous unis pour des villes intelligentes et durables" (U4SSC)</w:t>
        </w:r>
      </w:hyperlink>
      <w:r w:rsidRPr="00023B55">
        <w:t>: plate-forme mondiale soutenue par 19 institutions des Nations Unies. L'initiative U4SSC constitue un cadre international permettant d'échanger des connaissances et de promouvoir des partenariats dans le but d'autonomiser les villes et les communautés dans la réalisation des ODD des Nations Unies.</w:t>
      </w:r>
    </w:p>
    <w:p w14:paraId="12A7022A" w14:textId="77777777" w:rsidR="0039632C" w:rsidRPr="00023B55" w:rsidRDefault="0039632C" w:rsidP="004D50E7">
      <w:pPr>
        <w:pStyle w:val="enumlev2"/>
        <w:jc w:val="both"/>
      </w:pPr>
      <w:r w:rsidRPr="00023B55">
        <w:t>•</w:t>
      </w:r>
      <w:r w:rsidRPr="00023B55">
        <w:tab/>
      </w:r>
      <w:hyperlink r:id="rId341" w:anchor="/fr" w:history="1">
        <w:r w:rsidRPr="00023B55">
          <w:rPr>
            <w:rStyle w:val="Hyperlink"/>
            <w:rFonts w:eastAsia="Times New Roman" w:cs="Times New Roman"/>
            <w:szCs w:val="20"/>
          </w:rPr>
          <w:t>Publications de l'initiative U4SSC</w:t>
        </w:r>
      </w:hyperlink>
    </w:p>
    <w:p w14:paraId="2C0AC087" w14:textId="77777777" w:rsidR="0039632C" w:rsidRPr="00023B55" w:rsidRDefault="0039632C" w:rsidP="004D50E7">
      <w:pPr>
        <w:pStyle w:val="enumlev2"/>
        <w:jc w:val="both"/>
      </w:pPr>
      <w:r w:rsidRPr="00023B55">
        <w:lastRenderedPageBreak/>
        <w:t>•</w:t>
      </w:r>
      <w:r w:rsidRPr="00023B55">
        <w:tab/>
      </w:r>
      <w:hyperlink r:id="rId342" w:anchor="/fr" w:history="1">
        <w:r w:rsidRPr="00023B55">
          <w:rPr>
            <w:rStyle w:val="Hyperlink"/>
            <w:rFonts w:eastAsia="Times New Roman" w:cs="Times New Roman"/>
            <w:szCs w:val="20"/>
          </w:rPr>
          <w:t>Projet relatif aux indicateurs fondamentaux de performance de l'initiative U4SSC</w:t>
        </w:r>
      </w:hyperlink>
    </w:p>
    <w:p w14:paraId="3388C885" w14:textId="77777777" w:rsidR="0039632C" w:rsidRPr="00023B55" w:rsidRDefault="0039632C" w:rsidP="004D50E7">
      <w:pPr>
        <w:pStyle w:val="enumlev2"/>
        <w:jc w:val="both"/>
      </w:pPr>
      <w:r w:rsidRPr="00023B55">
        <w:tab/>
      </w:r>
      <w:r w:rsidRPr="00023B55">
        <w:tab/>
        <w:t>La page web des indicateurs fondamentaux de performance de l'initiative U4SSC met à disposition des directives détaillées, une méthodologie et des études de cas pour aider les villes à atteindre les objectifs de développement durable des Nations Unies, en particulier l'ODD 11 (Villes et communautés durables).</w:t>
      </w:r>
    </w:p>
    <w:p w14:paraId="2181691D" w14:textId="77777777" w:rsidR="0039632C" w:rsidRPr="00023B55" w:rsidRDefault="0039632C" w:rsidP="004D50E7">
      <w:pPr>
        <w:pStyle w:val="enumlev2"/>
        <w:jc w:val="both"/>
      </w:pPr>
      <w:r w:rsidRPr="00023B55">
        <w:t>•</w:t>
      </w:r>
      <w:r w:rsidRPr="00023B55">
        <w:tab/>
      </w:r>
      <w:hyperlink r:id="rId343" w:anchor="/fr" w:history="1">
        <w:r w:rsidRPr="00023B55">
          <w:rPr>
            <w:rStyle w:val="Hyperlink"/>
            <w:rFonts w:eastAsia="Times New Roman" w:cs="Times New Roman"/>
            <w:szCs w:val="20"/>
          </w:rPr>
          <w:t>Rapports sur la mise en œuvre des indicateurs fondamentaux de performance de l'initiative U4SSC</w:t>
        </w:r>
      </w:hyperlink>
    </w:p>
    <w:p w14:paraId="7CAA4C5B" w14:textId="77777777" w:rsidR="0039632C" w:rsidRPr="00023B55" w:rsidRDefault="0039632C" w:rsidP="004D50E7">
      <w:pPr>
        <w:pStyle w:val="enumlev1"/>
        <w:jc w:val="both"/>
      </w:pPr>
      <w:r w:rsidRPr="00023B55">
        <w:t>–</w:t>
      </w:r>
      <w:r w:rsidRPr="00023B55">
        <w:tab/>
      </w:r>
      <w:hyperlink r:id="rId344" w:history="1">
        <w:r w:rsidRPr="00023B55">
          <w:rPr>
            <w:rStyle w:val="Hyperlink"/>
            <w:rFonts w:eastAsia="Times New Roman" w:cs="Times New Roman"/>
            <w:szCs w:val="20"/>
          </w:rPr>
          <w:t>Métavers et mondes virtuels fondés sur l'IA</w:t>
        </w:r>
      </w:hyperlink>
      <w:r w:rsidRPr="00023B55">
        <w:t>: fourniture d'informations sur les activités de l'UIT en ce qui concerne le métavers et les mondes virtuels fondés sur l'IA.</w:t>
      </w:r>
    </w:p>
    <w:p w14:paraId="2C40428F" w14:textId="77777777" w:rsidR="0039632C" w:rsidRPr="00023B55" w:rsidRDefault="0039632C" w:rsidP="004D50E7">
      <w:pPr>
        <w:pStyle w:val="enumlev2"/>
        <w:jc w:val="both"/>
      </w:pPr>
      <w:r w:rsidRPr="00023B55">
        <w:t>•</w:t>
      </w:r>
      <w:r w:rsidRPr="00023B55">
        <w:tab/>
      </w:r>
      <w:hyperlink r:id="rId345" w:history="1">
        <w:r w:rsidRPr="00023B55">
          <w:rPr>
            <w:rStyle w:val="Hyperlink"/>
            <w:rFonts w:eastAsia="Times New Roman" w:cs="Times New Roman"/>
            <w:szCs w:val="20"/>
          </w:rPr>
          <w:t>Initiative mondiale sur les mondes virtuels et l'IA – À la découverte des métavilles</w:t>
        </w:r>
      </w:hyperlink>
      <w:r w:rsidRPr="00023B55">
        <w:t>: tribune mondiale pour l'avènement de mondes virtuels fondés sur l'IA ouverts, interopérables et innovants qui pourront être utilisés en toute sécurité et en toute confiance par les personnes, les entreprises et les services publics.</w:t>
      </w:r>
    </w:p>
    <w:p w14:paraId="38463966" w14:textId="77777777" w:rsidR="0039632C" w:rsidRPr="00023B55" w:rsidRDefault="0039632C" w:rsidP="004D50E7">
      <w:pPr>
        <w:pStyle w:val="enumlev2"/>
        <w:jc w:val="both"/>
      </w:pPr>
      <w:r w:rsidRPr="00023B55">
        <w:t>•</w:t>
      </w:r>
      <w:r w:rsidRPr="00023B55">
        <w:tab/>
      </w:r>
      <w:hyperlink r:id="rId346" w:history="1">
        <w:r w:rsidRPr="00023B55">
          <w:rPr>
            <w:rStyle w:val="Hyperlink"/>
            <w:rFonts w:eastAsia="Times New Roman" w:cs="Times New Roman"/>
            <w:szCs w:val="20"/>
          </w:rPr>
          <w:t>Publications sur le métavers et les mondes virtuels fondés sur l'IA</w:t>
        </w:r>
      </w:hyperlink>
    </w:p>
    <w:p w14:paraId="7914C289" w14:textId="77777777" w:rsidR="0039632C" w:rsidRPr="00023B55" w:rsidRDefault="0039632C" w:rsidP="004D50E7">
      <w:pPr>
        <w:pStyle w:val="enumlev1"/>
        <w:jc w:val="both"/>
      </w:pPr>
      <w:r w:rsidRPr="00023B55">
        <w:t>–</w:t>
      </w:r>
      <w:r w:rsidRPr="00023B55">
        <w:tab/>
      </w:r>
      <w:hyperlink r:id="rId347" w:anchor="/fr" w:history="1">
        <w:r w:rsidRPr="00023B55">
          <w:rPr>
            <w:rStyle w:val="Hyperlink"/>
            <w:rFonts w:eastAsia="Times New Roman" w:cs="Times New Roman"/>
            <w:szCs w:val="20"/>
          </w:rPr>
          <w:t>L'IA au service du bien social</w:t>
        </w:r>
      </w:hyperlink>
      <w:r w:rsidRPr="00023B55">
        <w:t>: plate-forme fonctionnant toute l'année et fournissant des informations sur les activités de l'UIT dans le domaine de l'IA, dont le Sommet mondial sur l'intelligence artificielle au service du bien social, les normes relatives à l'IA et la gouvernance de l'IA.</w:t>
      </w:r>
    </w:p>
    <w:p w14:paraId="2C7802B9" w14:textId="77777777" w:rsidR="0039632C" w:rsidRPr="00023B55" w:rsidRDefault="0039632C" w:rsidP="004D50E7">
      <w:pPr>
        <w:pStyle w:val="enumlev1"/>
        <w:jc w:val="both"/>
      </w:pPr>
      <w:r w:rsidRPr="00023B55">
        <w:t>–</w:t>
      </w:r>
      <w:r w:rsidRPr="00023B55">
        <w:tab/>
      </w:r>
      <w:hyperlink r:id="rId348" w:anchor="/fr" w:history="1">
        <w:r w:rsidRPr="00023B55">
          <w:rPr>
            <w:rStyle w:val="Hyperlink"/>
            <w:rFonts w:eastAsia="Times New Roman" w:cs="Times New Roman"/>
            <w:szCs w:val="20"/>
          </w:rPr>
          <w:t>Organe consultatif international pour la résilience des câbles sous-marins</w:t>
        </w:r>
      </w:hyperlink>
      <w:r w:rsidRPr="00023B55">
        <w:t>: promeut le dialogue et la collaboration sur les moyens d'améliorer la résilience des infrastructures sous-marines vitales qui alimentent les communications mondiales et l'économie numérique.</w:t>
      </w:r>
    </w:p>
    <w:p w14:paraId="1BFE2FB1" w14:textId="77777777" w:rsidR="007412AE" w:rsidRPr="00023B55" w:rsidRDefault="007412AE" w:rsidP="0039632C">
      <w:pPr>
        <w:pStyle w:val="enumlev1"/>
      </w:pPr>
    </w:p>
    <w:p w14:paraId="130D3DEA" w14:textId="77777777" w:rsidR="0039632C" w:rsidRPr="00023B55" w:rsidRDefault="0039632C" w:rsidP="0039632C">
      <w:pPr>
        <w:jc w:val="center"/>
      </w:pPr>
      <w:r w:rsidRPr="00023B55">
        <w:t>______________</w:t>
      </w:r>
    </w:p>
    <w:sectPr w:rsidR="0039632C" w:rsidRPr="00023B55" w:rsidSect="00EE2EFD">
      <w:headerReference w:type="even" r:id="rId349"/>
      <w:footerReference w:type="even" r:id="rId350"/>
      <w:footerReference w:type="default" r:id="rId351"/>
      <w:headerReference w:type="first" r:id="rId352"/>
      <w:footerReference w:type="first" r:id="rId353"/>
      <w:pgSz w:w="11907" w:h="16840" w:code="9"/>
      <w:pgMar w:top="1304" w:right="1418" w:bottom="1304"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9190" w14:textId="77777777" w:rsidR="00D91F62" w:rsidRDefault="00D91F62">
      <w:r>
        <w:separator/>
      </w:r>
    </w:p>
  </w:endnote>
  <w:endnote w:type="continuationSeparator" w:id="0">
    <w:p w14:paraId="1ECFDD80" w14:textId="77777777" w:rsidR="00D91F62" w:rsidRDefault="00D9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9A12" w14:textId="75BA3F40" w:rsidR="00732045" w:rsidRDefault="00D91F62">
    <w:pPr>
      <w:pStyle w:val="Footer"/>
    </w:pPr>
    <w:fldSimple w:instr=" FILENAME \p \* MERGEFORMAT ">
      <w:r>
        <w:t>Document1</w:t>
      </w:r>
    </w:fldSimple>
    <w:r w:rsidR="00732045">
      <w:tab/>
    </w:r>
    <w:r w:rsidR="002F1B76">
      <w:fldChar w:fldCharType="begin"/>
    </w:r>
    <w:r w:rsidR="00732045">
      <w:instrText xml:space="preserve"> savedate \@ dd.MM.yy </w:instrText>
    </w:r>
    <w:r w:rsidR="002F1B76">
      <w:fldChar w:fldCharType="separate"/>
    </w:r>
    <w:r w:rsidR="00D85AF1">
      <w:t>10.06.25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5F7AE31" w14:textId="77777777" w:rsidTr="00E31DCE">
      <w:trPr>
        <w:jc w:val="center"/>
      </w:trPr>
      <w:tc>
        <w:tcPr>
          <w:tcW w:w="1803" w:type="dxa"/>
          <w:vAlign w:val="center"/>
        </w:tcPr>
        <w:p w14:paraId="19367A52" w14:textId="71B5BB9D" w:rsidR="00A51849" w:rsidRDefault="00B207AE" w:rsidP="00A51849">
          <w:pPr>
            <w:pStyle w:val="Header"/>
            <w:jc w:val="left"/>
            <w:rPr>
              <w:noProof/>
            </w:rPr>
          </w:pPr>
          <w:r>
            <w:rPr>
              <w:noProof/>
            </w:rPr>
            <w:t>2501235</w:t>
          </w:r>
        </w:p>
      </w:tc>
      <w:tc>
        <w:tcPr>
          <w:tcW w:w="8261" w:type="dxa"/>
        </w:tcPr>
        <w:p w14:paraId="59FF65F8" w14:textId="247924D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207AE">
            <w:rPr>
              <w:bCs/>
            </w:rPr>
            <w:t>61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9E25222"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97EAEB6" w14:textId="77777777" w:rsidTr="00E31DCE">
      <w:trPr>
        <w:jc w:val="center"/>
      </w:trPr>
      <w:tc>
        <w:tcPr>
          <w:tcW w:w="1803" w:type="dxa"/>
          <w:vAlign w:val="center"/>
        </w:tcPr>
        <w:p w14:paraId="7964FF7F"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32AAB215" w14:textId="31CB3E81"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E2EFD">
            <w:rPr>
              <w:bCs/>
            </w:rPr>
            <w:t>61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C016936"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FCBC1" w14:textId="77777777" w:rsidR="00D91F62" w:rsidRDefault="00D91F62">
      <w:r>
        <w:t>____________________</w:t>
      </w:r>
    </w:p>
  </w:footnote>
  <w:footnote w:type="continuationSeparator" w:id="0">
    <w:p w14:paraId="3B0F43B1" w14:textId="77777777" w:rsidR="00D91F62" w:rsidRDefault="00D91F62">
      <w:r>
        <w:continuationSeparator/>
      </w:r>
    </w:p>
  </w:footnote>
  <w:footnote w:id="1">
    <w:p w14:paraId="6CA46764" w14:textId="6930545B" w:rsidR="007056E1" w:rsidRDefault="007056E1">
      <w:pPr>
        <w:pStyle w:val="FootnoteText"/>
      </w:pPr>
      <w:r>
        <w:rPr>
          <w:rStyle w:val="FootnoteReference"/>
        </w:rPr>
        <w:footnoteRef/>
      </w:r>
      <w:r>
        <w:tab/>
      </w:r>
      <w:hyperlink r:id="rId1" w:history="1">
        <w:r w:rsidRPr="007056E1">
          <w:rPr>
            <w:rStyle w:val="Hyperlink"/>
            <w:rFonts w:eastAsia="Times New Roman" w:cs="Times New Roman"/>
            <w:szCs w:val="20"/>
          </w:rPr>
          <w:t>WSIS20ForumHighLevelEvent2024-ChairsSummary.pdf</w:t>
        </w:r>
      </w:hyperlink>
      <w:r w:rsidRPr="007056E1">
        <w:t>.</w:t>
      </w:r>
    </w:p>
  </w:footnote>
  <w:footnote w:id="2">
    <w:p w14:paraId="200638CF" w14:textId="7CADC3A2" w:rsidR="002801AE" w:rsidRDefault="002801AE">
      <w:pPr>
        <w:pStyle w:val="FootnoteText"/>
      </w:pPr>
      <w:r>
        <w:rPr>
          <w:rStyle w:val="FootnoteReference"/>
        </w:rPr>
        <w:footnoteRef/>
      </w:r>
      <w:r>
        <w:tab/>
      </w:r>
      <w:hyperlink r:id="rId2" w:history="1">
        <w:r w:rsidR="00AA6348">
          <w:rPr>
            <w:rStyle w:val="Hyperlink"/>
            <w:rFonts w:eastAsia="Times New Roman" w:cs="Times New Roman"/>
            <w:szCs w:val="20"/>
          </w:rPr>
          <w:t>Mesurer le développement numérique – Faits et chiffres 2024</w:t>
        </w:r>
      </w:hyperlink>
      <w:r w:rsidR="002B764B">
        <w:t>.</w:t>
      </w:r>
    </w:p>
  </w:footnote>
  <w:footnote w:id="3">
    <w:p w14:paraId="4CB90541" w14:textId="5C2AC31E" w:rsidR="00D10818" w:rsidRDefault="00D10818">
      <w:pPr>
        <w:pStyle w:val="FootnoteText"/>
      </w:pPr>
      <w:r>
        <w:rPr>
          <w:rStyle w:val="FootnoteReference"/>
        </w:rPr>
        <w:footnoteRef/>
      </w:r>
      <w:r>
        <w:tab/>
      </w:r>
      <w:r w:rsidR="004D1511" w:rsidRPr="00EB51DA">
        <w:t>Ibid.</w:t>
      </w:r>
    </w:p>
  </w:footnote>
  <w:footnote w:id="4">
    <w:p w14:paraId="10B5E580" w14:textId="77777777" w:rsidR="007412AE" w:rsidRDefault="007412AE" w:rsidP="007412AE">
      <w:pPr>
        <w:pStyle w:val="FootnoteText"/>
      </w:pPr>
      <w:r>
        <w:rPr>
          <w:rStyle w:val="FootnoteReference"/>
        </w:rPr>
        <w:footnoteRef/>
      </w:r>
      <w:r>
        <w:tab/>
      </w:r>
      <w:r w:rsidRPr="00D20D7E">
        <w:t>Résolution 73 (Minneapolis, 1998) de la Conférence de plénipotentiaires de l'UIT</w:t>
      </w:r>
      <w:r>
        <w:t>.</w:t>
      </w:r>
    </w:p>
  </w:footnote>
  <w:footnote w:id="5">
    <w:p w14:paraId="2D321F44" w14:textId="77777777" w:rsidR="007412AE" w:rsidRDefault="007412AE" w:rsidP="007412AE">
      <w:pPr>
        <w:pStyle w:val="FootnoteText"/>
      </w:pPr>
      <w:r>
        <w:rPr>
          <w:rStyle w:val="FootnoteReference"/>
        </w:rPr>
        <w:footnoteRef/>
      </w:r>
      <w:r>
        <w:tab/>
      </w:r>
      <w:r w:rsidRPr="00D20D7E">
        <w:t>Résolution 56/183 (2001) de l'Assemblée générale des Nations Unies</w:t>
      </w:r>
      <w:r>
        <w:t>.</w:t>
      </w:r>
    </w:p>
  </w:footnote>
  <w:footnote w:id="6">
    <w:p w14:paraId="76E63D48" w14:textId="77777777" w:rsidR="007412AE" w:rsidRDefault="007412AE" w:rsidP="007412AE">
      <w:pPr>
        <w:pStyle w:val="FootnoteText"/>
      </w:pPr>
      <w:r>
        <w:rPr>
          <w:rStyle w:val="FootnoteReference"/>
        </w:rPr>
        <w:footnoteRef/>
      </w:r>
      <w:r>
        <w:tab/>
      </w:r>
      <w:r w:rsidRPr="00D20D7E">
        <w:t>Genève (Suisse), 10-12 décembre 2003</w:t>
      </w:r>
      <w:r>
        <w:t>.</w:t>
      </w:r>
    </w:p>
  </w:footnote>
  <w:footnote w:id="7">
    <w:p w14:paraId="79C9DB3A" w14:textId="77777777" w:rsidR="007412AE" w:rsidRDefault="007412AE" w:rsidP="007412AE">
      <w:pPr>
        <w:pStyle w:val="FootnoteText"/>
      </w:pPr>
      <w:r>
        <w:rPr>
          <w:rStyle w:val="FootnoteReference"/>
        </w:rPr>
        <w:footnoteRef/>
      </w:r>
      <w:r>
        <w:tab/>
      </w:r>
      <w:r w:rsidRPr="00D20D7E">
        <w:t>Tunis (Tunisie), 16-18 novembre 2005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F01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D0C3ED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6055BE72" w14:textId="77777777" w:rsidTr="00D37B53">
      <w:trPr>
        <w:trHeight w:val="1104"/>
        <w:jc w:val="center"/>
      </w:trPr>
      <w:tc>
        <w:tcPr>
          <w:tcW w:w="5317" w:type="dxa"/>
          <w:vAlign w:val="center"/>
        </w:tcPr>
        <w:p w14:paraId="15874A19"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21E9B55E" wp14:editId="1DDFAE7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0232578F" w14:textId="77777777" w:rsidR="00524E8D" w:rsidRDefault="00524E8D" w:rsidP="00A51849">
          <w:pPr>
            <w:pStyle w:val="Header"/>
            <w:jc w:val="right"/>
            <w:rPr>
              <w:rFonts w:ascii="Arial" w:hAnsi="Arial" w:cs="Arial"/>
              <w:b/>
              <w:bCs/>
              <w:color w:val="009CD6"/>
              <w:szCs w:val="18"/>
            </w:rPr>
          </w:pPr>
        </w:p>
      </w:tc>
    </w:tr>
  </w:tbl>
  <w:p w14:paraId="54780FC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933EFFB" wp14:editId="488A3C3C">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C243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96D9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A2FA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A2E7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B6B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C67B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42E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46B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FE5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4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C6B4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A2292"/>
    <w:multiLevelType w:val="multilevel"/>
    <w:tmpl w:val="0D329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3B340F"/>
    <w:multiLevelType w:val="multilevel"/>
    <w:tmpl w:val="9E02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A3444"/>
    <w:multiLevelType w:val="multilevel"/>
    <w:tmpl w:val="B4A0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D54A8"/>
    <w:multiLevelType w:val="multilevel"/>
    <w:tmpl w:val="F79A9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B261E"/>
    <w:multiLevelType w:val="multilevel"/>
    <w:tmpl w:val="E812B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05BB"/>
    <w:multiLevelType w:val="multilevel"/>
    <w:tmpl w:val="1E92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67376"/>
    <w:multiLevelType w:val="multilevel"/>
    <w:tmpl w:val="A44ED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57321"/>
    <w:multiLevelType w:val="hybridMultilevel"/>
    <w:tmpl w:val="0E203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1F0741"/>
    <w:multiLevelType w:val="multilevel"/>
    <w:tmpl w:val="067AD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16946"/>
    <w:multiLevelType w:val="multilevel"/>
    <w:tmpl w:val="03762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27260"/>
    <w:multiLevelType w:val="multilevel"/>
    <w:tmpl w:val="4C7C9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F6704"/>
    <w:multiLevelType w:val="hybridMultilevel"/>
    <w:tmpl w:val="BBBE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F4862"/>
    <w:multiLevelType w:val="multilevel"/>
    <w:tmpl w:val="26FC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13FA"/>
    <w:multiLevelType w:val="multilevel"/>
    <w:tmpl w:val="0AC46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2290A"/>
    <w:multiLevelType w:val="multilevel"/>
    <w:tmpl w:val="4358E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4177949">
    <w:abstractNumId w:val="9"/>
  </w:num>
  <w:num w:numId="2" w16cid:durableId="586500231">
    <w:abstractNumId w:val="7"/>
  </w:num>
  <w:num w:numId="3" w16cid:durableId="1075739724">
    <w:abstractNumId w:val="6"/>
  </w:num>
  <w:num w:numId="4" w16cid:durableId="1267889020">
    <w:abstractNumId w:val="5"/>
  </w:num>
  <w:num w:numId="5" w16cid:durableId="1124734022">
    <w:abstractNumId w:val="4"/>
  </w:num>
  <w:num w:numId="6" w16cid:durableId="960381443">
    <w:abstractNumId w:val="8"/>
  </w:num>
  <w:num w:numId="7" w16cid:durableId="1753311997">
    <w:abstractNumId w:val="3"/>
  </w:num>
  <w:num w:numId="8" w16cid:durableId="245891914">
    <w:abstractNumId w:val="2"/>
  </w:num>
  <w:num w:numId="9" w16cid:durableId="859314033">
    <w:abstractNumId w:val="1"/>
  </w:num>
  <w:num w:numId="10" w16cid:durableId="1996180308">
    <w:abstractNumId w:val="0"/>
  </w:num>
  <w:num w:numId="11" w16cid:durableId="645356698">
    <w:abstractNumId w:val="11"/>
  </w:num>
  <w:num w:numId="12" w16cid:durableId="1123302968">
    <w:abstractNumId w:val="21"/>
  </w:num>
  <w:num w:numId="13" w16cid:durableId="1355766472">
    <w:abstractNumId w:val="17"/>
  </w:num>
  <w:num w:numId="14" w16cid:durableId="1934820354">
    <w:abstractNumId w:val="24"/>
  </w:num>
  <w:num w:numId="15" w16cid:durableId="1989431479">
    <w:abstractNumId w:val="16"/>
  </w:num>
  <w:num w:numId="16" w16cid:durableId="828447118">
    <w:abstractNumId w:val="18"/>
  </w:num>
  <w:num w:numId="17" w16cid:durableId="110827191">
    <w:abstractNumId w:val="20"/>
  </w:num>
  <w:num w:numId="18" w16cid:durableId="722170616">
    <w:abstractNumId w:val="13"/>
  </w:num>
  <w:num w:numId="19" w16cid:durableId="1452817591">
    <w:abstractNumId w:val="12"/>
  </w:num>
  <w:num w:numId="20" w16cid:durableId="62610995">
    <w:abstractNumId w:val="14"/>
  </w:num>
  <w:num w:numId="21" w16cid:durableId="658584435">
    <w:abstractNumId w:val="19"/>
  </w:num>
  <w:num w:numId="22" w16cid:durableId="24333599">
    <w:abstractNumId w:val="15"/>
  </w:num>
  <w:num w:numId="23" w16cid:durableId="1925843947">
    <w:abstractNumId w:val="22"/>
  </w:num>
  <w:num w:numId="24" w16cid:durableId="1714381536">
    <w:abstractNumId w:val="10"/>
  </w:num>
  <w:num w:numId="25" w16cid:durableId="17249396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F62"/>
    <w:rsid w:val="00012D4D"/>
    <w:rsid w:val="0001737A"/>
    <w:rsid w:val="00023B55"/>
    <w:rsid w:val="00026564"/>
    <w:rsid w:val="00055ED4"/>
    <w:rsid w:val="000607F9"/>
    <w:rsid w:val="00064A0F"/>
    <w:rsid w:val="00076A2C"/>
    <w:rsid w:val="000B5884"/>
    <w:rsid w:val="000B5FDA"/>
    <w:rsid w:val="000D0D0A"/>
    <w:rsid w:val="000D2255"/>
    <w:rsid w:val="00100E75"/>
    <w:rsid w:val="00103163"/>
    <w:rsid w:val="00105D9B"/>
    <w:rsid w:val="00106B19"/>
    <w:rsid w:val="001133EF"/>
    <w:rsid w:val="00115D93"/>
    <w:rsid w:val="001247A8"/>
    <w:rsid w:val="001257AC"/>
    <w:rsid w:val="001370B2"/>
    <w:rsid w:val="001378C0"/>
    <w:rsid w:val="0014379F"/>
    <w:rsid w:val="00147F2C"/>
    <w:rsid w:val="00177D99"/>
    <w:rsid w:val="001858FA"/>
    <w:rsid w:val="0018694A"/>
    <w:rsid w:val="00191DD3"/>
    <w:rsid w:val="001A3287"/>
    <w:rsid w:val="001A6508"/>
    <w:rsid w:val="001B3B7D"/>
    <w:rsid w:val="001C2210"/>
    <w:rsid w:val="001D4C31"/>
    <w:rsid w:val="001E4CE5"/>
    <w:rsid w:val="001E4D21"/>
    <w:rsid w:val="001E7A22"/>
    <w:rsid w:val="001F3741"/>
    <w:rsid w:val="001F3EAE"/>
    <w:rsid w:val="00207CD1"/>
    <w:rsid w:val="00211184"/>
    <w:rsid w:val="002111C0"/>
    <w:rsid w:val="00226657"/>
    <w:rsid w:val="0023010A"/>
    <w:rsid w:val="0023054D"/>
    <w:rsid w:val="00232E25"/>
    <w:rsid w:val="00233CD2"/>
    <w:rsid w:val="002477A2"/>
    <w:rsid w:val="002521E1"/>
    <w:rsid w:val="00255A91"/>
    <w:rsid w:val="00263A51"/>
    <w:rsid w:val="00264AAE"/>
    <w:rsid w:val="00267E02"/>
    <w:rsid w:val="002734F2"/>
    <w:rsid w:val="002764F6"/>
    <w:rsid w:val="002801AE"/>
    <w:rsid w:val="00286553"/>
    <w:rsid w:val="002A5D44"/>
    <w:rsid w:val="002B764B"/>
    <w:rsid w:val="002C3F32"/>
    <w:rsid w:val="002C4E3D"/>
    <w:rsid w:val="002D5591"/>
    <w:rsid w:val="002E0BC4"/>
    <w:rsid w:val="002F1B76"/>
    <w:rsid w:val="00305328"/>
    <w:rsid w:val="003150D9"/>
    <w:rsid w:val="0032189C"/>
    <w:rsid w:val="003222ED"/>
    <w:rsid w:val="00323F53"/>
    <w:rsid w:val="0033568E"/>
    <w:rsid w:val="00355FF5"/>
    <w:rsid w:val="00361350"/>
    <w:rsid w:val="00363C50"/>
    <w:rsid w:val="0037507F"/>
    <w:rsid w:val="00387221"/>
    <w:rsid w:val="003954E3"/>
    <w:rsid w:val="0039632C"/>
    <w:rsid w:val="003C1147"/>
    <w:rsid w:val="003C3FAE"/>
    <w:rsid w:val="003D235B"/>
    <w:rsid w:val="003E3339"/>
    <w:rsid w:val="003F0492"/>
    <w:rsid w:val="003F0A0F"/>
    <w:rsid w:val="004038CB"/>
    <w:rsid w:val="0040546F"/>
    <w:rsid w:val="00406538"/>
    <w:rsid w:val="004148AC"/>
    <w:rsid w:val="00414989"/>
    <w:rsid w:val="004177BD"/>
    <w:rsid w:val="0042404A"/>
    <w:rsid w:val="00426C12"/>
    <w:rsid w:val="00431082"/>
    <w:rsid w:val="004458F5"/>
    <w:rsid w:val="0044618F"/>
    <w:rsid w:val="00457235"/>
    <w:rsid w:val="00466604"/>
    <w:rsid w:val="0046769A"/>
    <w:rsid w:val="00474A7C"/>
    <w:rsid w:val="00475FB3"/>
    <w:rsid w:val="004847B9"/>
    <w:rsid w:val="0049037C"/>
    <w:rsid w:val="00492D15"/>
    <w:rsid w:val="004948C0"/>
    <w:rsid w:val="004A50BD"/>
    <w:rsid w:val="004B074D"/>
    <w:rsid w:val="004B3A37"/>
    <w:rsid w:val="004B7639"/>
    <w:rsid w:val="004C37A9"/>
    <w:rsid w:val="004D1511"/>
    <w:rsid w:val="004D1D50"/>
    <w:rsid w:val="004D2EE0"/>
    <w:rsid w:val="004D50E7"/>
    <w:rsid w:val="004E130A"/>
    <w:rsid w:val="004E5556"/>
    <w:rsid w:val="004F259E"/>
    <w:rsid w:val="00511F1D"/>
    <w:rsid w:val="00520F36"/>
    <w:rsid w:val="00524E8D"/>
    <w:rsid w:val="00526B4D"/>
    <w:rsid w:val="00533516"/>
    <w:rsid w:val="00534E13"/>
    <w:rsid w:val="00540615"/>
    <w:rsid w:val="00540A6D"/>
    <w:rsid w:val="00566679"/>
    <w:rsid w:val="00571DF8"/>
    <w:rsid w:val="00571EEA"/>
    <w:rsid w:val="00575417"/>
    <w:rsid w:val="005768E1"/>
    <w:rsid w:val="00585D89"/>
    <w:rsid w:val="00592423"/>
    <w:rsid w:val="00593DDC"/>
    <w:rsid w:val="005B1099"/>
    <w:rsid w:val="005B1938"/>
    <w:rsid w:val="005B285A"/>
    <w:rsid w:val="005B594B"/>
    <w:rsid w:val="005C3890"/>
    <w:rsid w:val="005D2362"/>
    <w:rsid w:val="005E163B"/>
    <w:rsid w:val="005F7BFE"/>
    <w:rsid w:val="00600017"/>
    <w:rsid w:val="00612239"/>
    <w:rsid w:val="00612CC5"/>
    <w:rsid w:val="0062107F"/>
    <w:rsid w:val="006235CA"/>
    <w:rsid w:val="0062366E"/>
    <w:rsid w:val="00651C0D"/>
    <w:rsid w:val="006643AB"/>
    <w:rsid w:val="00670869"/>
    <w:rsid w:val="00681CE0"/>
    <w:rsid w:val="00683425"/>
    <w:rsid w:val="00684A3B"/>
    <w:rsid w:val="0068745B"/>
    <w:rsid w:val="0069223C"/>
    <w:rsid w:val="00693E2A"/>
    <w:rsid w:val="006948A5"/>
    <w:rsid w:val="006A11AE"/>
    <w:rsid w:val="006B2652"/>
    <w:rsid w:val="006B35C1"/>
    <w:rsid w:val="006C196F"/>
    <w:rsid w:val="006D62AC"/>
    <w:rsid w:val="006E1F81"/>
    <w:rsid w:val="006F0A53"/>
    <w:rsid w:val="006F47CB"/>
    <w:rsid w:val="007056E1"/>
    <w:rsid w:val="007210CD"/>
    <w:rsid w:val="007269D9"/>
    <w:rsid w:val="00732045"/>
    <w:rsid w:val="0073275D"/>
    <w:rsid w:val="007369DB"/>
    <w:rsid w:val="007412AE"/>
    <w:rsid w:val="00746C3A"/>
    <w:rsid w:val="0077110E"/>
    <w:rsid w:val="007956C2"/>
    <w:rsid w:val="007A187E"/>
    <w:rsid w:val="007C29CD"/>
    <w:rsid w:val="007C72C2"/>
    <w:rsid w:val="007D4436"/>
    <w:rsid w:val="007F257A"/>
    <w:rsid w:val="007F3665"/>
    <w:rsid w:val="00800037"/>
    <w:rsid w:val="008034AD"/>
    <w:rsid w:val="008137E4"/>
    <w:rsid w:val="00815A4F"/>
    <w:rsid w:val="0082299A"/>
    <w:rsid w:val="0083391C"/>
    <w:rsid w:val="00842678"/>
    <w:rsid w:val="00857FB5"/>
    <w:rsid w:val="00861D73"/>
    <w:rsid w:val="00862B49"/>
    <w:rsid w:val="00882919"/>
    <w:rsid w:val="00895DFD"/>
    <w:rsid w:val="0089710D"/>
    <w:rsid w:val="00897553"/>
    <w:rsid w:val="008A0098"/>
    <w:rsid w:val="008A4E87"/>
    <w:rsid w:val="008B1373"/>
    <w:rsid w:val="008C73D3"/>
    <w:rsid w:val="008D76E6"/>
    <w:rsid w:val="009036DB"/>
    <w:rsid w:val="00914093"/>
    <w:rsid w:val="00916172"/>
    <w:rsid w:val="0092392D"/>
    <w:rsid w:val="00924CAB"/>
    <w:rsid w:val="0093234A"/>
    <w:rsid w:val="00956A78"/>
    <w:rsid w:val="0097363B"/>
    <w:rsid w:val="00973F53"/>
    <w:rsid w:val="0098696C"/>
    <w:rsid w:val="009A6BAA"/>
    <w:rsid w:val="009C307F"/>
    <w:rsid w:val="009C353C"/>
    <w:rsid w:val="009D6221"/>
    <w:rsid w:val="009E19ED"/>
    <w:rsid w:val="009F0FB8"/>
    <w:rsid w:val="00A2113E"/>
    <w:rsid w:val="00A21EC4"/>
    <w:rsid w:val="00A23A51"/>
    <w:rsid w:val="00A24607"/>
    <w:rsid w:val="00A25CD3"/>
    <w:rsid w:val="00A26584"/>
    <w:rsid w:val="00A27143"/>
    <w:rsid w:val="00A375F5"/>
    <w:rsid w:val="00A51849"/>
    <w:rsid w:val="00A52CA3"/>
    <w:rsid w:val="00A56C32"/>
    <w:rsid w:val="00A614C0"/>
    <w:rsid w:val="00A662E5"/>
    <w:rsid w:val="00A709FE"/>
    <w:rsid w:val="00A73C60"/>
    <w:rsid w:val="00A82767"/>
    <w:rsid w:val="00A94483"/>
    <w:rsid w:val="00AA332F"/>
    <w:rsid w:val="00AA6348"/>
    <w:rsid w:val="00AA7BBB"/>
    <w:rsid w:val="00AB64A8"/>
    <w:rsid w:val="00AC0266"/>
    <w:rsid w:val="00AC2E05"/>
    <w:rsid w:val="00AD24EC"/>
    <w:rsid w:val="00B207AE"/>
    <w:rsid w:val="00B27B00"/>
    <w:rsid w:val="00B309F9"/>
    <w:rsid w:val="00B32B60"/>
    <w:rsid w:val="00B41EB3"/>
    <w:rsid w:val="00B51005"/>
    <w:rsid w:val="00B61619"/>
    <w:rsid w:val="00B855EB"/>
    <w:rsid w:val="00B94741"/>
    <w:rsid w:val="00B94F4A"/>
    <w:rsid w:val="00BA42FD"/>
    <w:rsid w:val="00BB4545"/>
    <w:rsid w:val="00BD0F79"/>
    <w:rsid w:val="00BD5873"/>
    <w:rsid w:val="00BE4962"/>
    <w:rsid w:val="00BF4B60"/>
    <w:rsid w:val="00C049D7"/>
    <w:rsid w:val="00C04BE3"/>
    <w:rsid w:val="00C04C73"/>
    <w:rsid w:val="00C0728A"/>
    <w:rsid w:val="00C25D29"/>
    <w:rsid w:val="00C27A7C"/>
    <w:rsid w:val="00C42437"/>
    <w:rsid w:val="00C473A1"/>
    <w:rsid w:val="00C540A5"/>
    <w:rsid w:val="00C77817"/>
    <w:rsid w:val="00C839FE"/>
    <w:rsid w:val="00C87007"/>
    <w:rsid w:val="00C9185D"/>
    <w:rsid w:val="00CA08ED"/>
    <w:rsid w:val="00CA2CBD"/>
    <w:rsid w:val="00CC3312"/>
    <w:rsid w:val="00CC6EAA"/>
    <w:rsid w:val="00CD46A4"/>
    <w:rsid w:val="00CE4D8F"/>
    <w:rsid w:val="00CF183B"/>
    <w:rsid w:val="00CF5024"/>
    <w:rsid w:val="00D07E4D"/>
    <w:rsid w:val="00D10818"/>
    <w:rsid w:val="00D14D87"/>
    <w:rsid w:val="00D20D7E"/>
    <w:rsid w:val="00D216BB"/>
    <w:rsid w:val="00D31906"/>
    <w:rsid w:val="00D375CD"/>
    <w:rsid w:val="00D37B53"/>
    <w:rsid w:val="00D553A2"/>
    <w:rsid w:val="00D714B9"/>
    <w:rsid w:val="00D72F49"/>
    <w:rsid w:val="00D774D3"/>
    <w:rsid w:val="00D810CA"/>
    <w:rsid w:val="00D85AF1"/>
    <w:rsid w:val="00D904E8"/>
    <w:rsid w:val="00D91F62"/>
    <w:rsid w:val="00D93E69"/>
    <w:rsid w:val="00DA08C3"/>
    <w:rsid w:val="00DB4747"/>
    <w:rsid w:val="00DB5A3E"/>
    <w:rsid w:val="00DC22AA"/>
    <w:rsid w:val="00DD0509"/>
    <w:rsid w:val="00DD1A99"/>
    <w:rsid w:val="00DD381F"/>
    <w:rsid w:val="00DD4538"/>
    <w:rsid w:val="00DD47E4"/>
    <w:rsid w:val="00DE45A1"/>
    <w:rsid w:val="00DF74DD"/>
    <w:rsid w:val="00E25AD0"/>
    <w:rsid w:val="00E34C85"/>
    <w:rsid w:val="00E4428F"/>
    <w:rsid w:val="00E47427"/>
    <w:rsid w:val="00E5250D"/>
    <w:rsid w:val="00E66781"/>
    <w:rsid w:val="00E73975"/>
    <w:rsid w:val="00E92CB5"/>
    <w:rsid w:val="00E93668"/>
    <w:rsid w:val="00E95647"/>
    <w:rsid w:val="00EB51DA"/>
    <w:rsid w:val="00EB6350"/>
    <w:rsid w:val="00EC31E8"/>
    <w:rsid w:val="00EE2934"/>
    <w:rsid w:val="00EE2EFD"/>
    <w:rsid w:val="00F15B57"/>
    <w:rsid w:val="00F17C7D"/>
    <w:rsid w:val="00F30744"/>
    <w:rsid w:val="00F35EF4"/>
    <w:rsid w:val="00F37FE5"/>
    <w:rsid w:val="00F427DB"/>
    <w:rsid w:val="00F430AB"/>
    <w:rsid w:val="00F5076F"/>
    <w:rsid w:val="00F52608"/>
    <w:rsid w:val="00F55320"/>
    <w:rsid w:val="00F61BE2"/>
    <w:rsid w:val="00F75F9D"/>
    <w:rsid w:val="00FA0148"/>
    <w:rsid w:val="00FA5EB1"/>
    <w:rsid w:val="00FA7439"/>
    <w:rsid w:val="00FC0D6A"/>
    <w:rsid w:val="00FC4EC0"/>
    <w:rsid w:val="00FC6D7D"/>
    <w:rsid w:val="00FD06F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8ECFDB3"/>
  <w15:docId w15:val="{5ADF3861-A18E-4B43-A532-3B276AB4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F52608"/>
    <w:pPr>
      <w:keepNext/>
      <w:keepLines/>
      <w:spacing w:before="24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C87007"/>
    <w:pPr>
      <w:keepLines/>
      <w:tabs>
        <w:tab w:val="left" w:pos="256"/>
      </w:tabs>
      <w:ind w:left="256" w:hanging="256"/>
    </w:pPr>
    <w:rPr>
      <w:sz w:val="22"/>
    </w:rPr>
  </w:style>
  <w:style w:type="paragraph" w:styleId="NormalIndent">
    <w:name w:val="Normal Indent"/>
    <w:basedOn w:val="Normal"/>
    <w:rsid w:val="00732045"/>
    <w:pPr>
      <w:ind w:left="567"/>
    </w:pPr>
  </w:style>
  <w:style w:type="paragraph" w:customStyle="1" w:styleId="enumlev1">
    <w:name w:val="enumlev1"/>
    <w:basedOn w:val="Normal"/>
    <w:rsid w:val="00F52608"/>
    <w:pPr>
      <w:spacing w:before="80"/>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C87007"/>
    <w:pPr>
      <w:spacing w:after="240"/>
      <w:jc w:val="center"/>
    </w:pPr>
    <w:rPr>
      <w:noProof/>
    </w:r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paragraph" w:styleId="ListParagraph">
    <w:name w:val="List Paragraph"/>
    <w:basedOn w:val="Normal"/>
    <w:link w:val="ListParagraphChar"/>
    <w:uiPriority w:val="34"/>
    <w:qFormat/>
    <w:rsid w:val="00AC2E05"/>
    <w:pPr>
      <w:ind w:left="720"/>
      <w:contextualSpacing/>
    </w:pPr>
    <w:rPr>
      <w:lang w:val="en-GB"/>
    </w:rPr>
  </w:style>
  <w:style w:type="character" w:customStyle="1" w:styleId="ListParagraphChar">
    <w:name w:val="List Paragraph Char"/>
    <w:basedOn w:val="DefaultParagraphFont"/>
    <w:link w:val="ListParagraph"/>
    <w:uiPriority w:val="34"/>
    <w:locked/>
    <w:rsid w:val="00AC2E05"/>
    <w:rPr>
      <w:rFonts w:ascii="Calibri" w:hAnsi="Calibri"/>
      <w:sz w:val="24"/>
      <w:lang w:val="en-GB" w:eastAsia="en-US"/>
    </w:rPr>
  </w:style>
  <w:style w:type="table" w:styleId="GridTable1Light">
    <w:name w:val="Grid Table 1 Light"/>
    <w:basedOn w:val="TableNormal"/>
    <w:uiPriority w:val="46"/>
    <w:rsid w:val="00026564"/>
    <w:rPr>
      <w:rFonts w:asciiTheme="minorHAnsi" w:eastAsiaTheme="minorHAnsi" w:hAnsiTheme="minorHAnsi" w:cstheme="minorBidi"/>
      <w:kern w:val="2"/>
      <w:sz w:val="24"/>
      <w:szCs w:val="24"/>
      <w:lang w:val="en-GB" w:eastAsia="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323F53"/>
    <w:rPr>
      <w:sz w:val="16"/>
      <w:szCs w:val="16"/>
    </w:rPr>
  </w:style>
  <w:style w:type="paragraph" w:styleId="CommentText">
    <w:name w:val="annotation text"/>
    <w:basedOn w:val="Normal"/>
    <w:link w:val="CommentTextChar"/>
    <w:semiHidden/>
    <w:unhideWhenUsed/>
    <w:rsid w:val="00323F53"/>
    <w:rPr>
      <w:sz w:val="20"/>
    </w:rPr>
  </w:style>
  <w:style w:type="character" w:customStyle="1" w:styleId="CommentTextChar">
    <w:name w:val="Comment Text Char"/>
    <w:basedOn w:val="DefaultParagraphFont"/>
    <w:link w:val="CommentText"/>
    <w:semiHidden/>
    <w:rsid w:val="00323F53"/>
    <w:rPr>
      <w:rFonts w:ascii="Calibri" w:hAnsi="Calibri"/>
      <w:lang w:val="fr-FR" w:eastAsia="en-US"/>
    </w:rPr>
  </w:style>
  <w:style w:type="paragraph" w:styleId="CommentSubject">
    <w:name w:val="annotation subject"/>
    <w:basedOn w:val="CommentText"/>
    <w:next w:val="CommentText"/>
    <w:link w:val="CommentSubjectChar"/>
    <w:semiHidden/>
    <w:unhideWhenUsed/>
    <w:rsid w:val="00323F53"/>
    <w:rPr>
      <w:b/>
      <w:bCs/>
    </w:rPr>
  </w:style>
  <w:style w:type="character" w:customStyle="1" w:styleId="CommentSubjectChar">
    <w:name w:val="Comment Subject Char"/>
    <w:basedOn w:val="CommentTextChar"/>
    <w:link w:val="CommentSubject"/>
    <w:semiHidden/>
    <w:rsid w:val="00323F53"/>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wsis/forum/2024/Files/outcomes/draft/WSISStocktakingSuccessStories2024_Draft.pdf" TargetMode="External"/><Relationship Id="rId299" Type="http://schemas.openxmlformats.org/officeDocument/2006/relationships/hyperlink" Target="https://www.itu.int/net4/wsis/forum/2025/fr" TargetMode="External"/><Relationship Id="rId21" Type="http://schemas.openxmlformats.org/officeDocument/2006/relationships/hyperlink" Target="https://www.itu.int/md/S23-CL-C-0120/fr" TargetMode="External"/><Relationship Id="rId63" Type="http://schemas.openxmlformats.org/officeDocument/2006/relationships/hyperlink" Target="https://www.itu.int/en/ITU-T/studygroups/2025-2028/Pages/default.aspx" TargetMode="External"/><Relationship Id="rId159" Type="http://schemas.openxmlformats.org/officeDocument/2006/relationships/hyperlink" Target="https://www.itu.int/net4/wsis/stocktaking/Prizes/2025" TargetMode="External"/><Relationship Id="rId324" Type="http://schemas.openxmlformats.org/officeDocument/2006/relationships/hyperlink" Target="https://www.itu.int/en/itu-wsis/Pages/Overall-Review.aspx" TargetMode="External"/><Relationship Id="rId170" Type="http://schemas.openxmlformats.org/officeDocument/2006/relationships/hyperlink" Target="https://www.itu.int/net4/wsis/stocktaking/Prizes/2014/Winners" TargetMode="External"/><Relationship Id="rId226" Type="http://schemas.openxmlformats.org/officeDocument/2006/relationships/hyperlink" Target="https://www.itu.int/dms_pubrec/itu-r/rec/m/R-REC-M.2160-0-202311-I!!PDF-E.pdf" TargetMode="External"/><Relationship Id="rId268" Type="http://schemas.openxmlformats.org/officeDocument/2006/relationships/hyperlink" Target="https://www.itu.int/en/ITU-D/Statistics/Pages/publications/default.aspx" TargetMode="External"/><Relationship Id="rId32" Type="http://schemas.openxmlformats.org/officeDocument/2006/relationships/hyperlink" Target="https://www.un.org/sites/un2.un.org/files/sotf-pact_for_the_future_adopted.pdf" TargetMode="External"/><Relationship Id="rId74" Type="http://schemas.openxmlformats.org/officeDocument/2006/relationships/hyperlink" Target="https://www.itu.int/en/itu-wsis/Documents/ITUContribution/2022_ITU_Contribution_to_WSIS-Implementation-v20221202.pdf" TargetMode="External"/><Relationship Id="rId128" Type="http://schemas.openxmlformats.org/officeDocument/2006/relationships/hyperlink" Target="https://www.itu.int/net4/wsis/forum/2019/Files/Outcomes/DRAFT-WSISStocktakingSuccessStories2019-en.pdf" TargetMode="External"/><Relationship Id="rId335" Type="http://schemas.openxmlformats.org/officeDocument/2006/relationships/hyperlink" Target="https://academy.itu.int/" TargetMode="External"/><Relationship Id="rId5" Type="http://schemas.openxmlformats.org/officeDocument/2006/relationships/webSettings" Target="webSettings.xml"/><Relationship Id="rId181" Type="http://schemas.openxmlformats.org/officeDocument/2006/relationships/hyperlink" Target="https://aiforgood.itu.int/" TargetMode="External"/><Relationship Id="rId237" Type="http://schemas.openxmlformats.org/officeDocument/2006/relationships/hyperlink" Target="https://www.itu.int/en/ITU-T/focusgroups/Pages/default.aspx" TargetMode="External"/><Relationship Id="rId279" Type="http://schemas.openxmlformats.org/officeDocument/2006/relationships/hyperlink" Target="https://www.itu.int/itu-d/meetings/statistics/umc2030/" TargetMode="External"/><Relationship Id="rId43" Type="http://schemas.openxmlformats.org/officeDocument/2006/relationships/hyperlink" Target="https://www.itu.int/net/wsis/documents/doc_multi.asp?lang=fr?&amp;id=1161|1160" TargetMode="External"/><Relationship Id="rId139" Type="http://schemas.openxmlformats.org/officeDocument/2006/relationships/hyperlink" Target="https://www.itu.int/pub/S-POL-WSIS.REP-2013/fr" TargetMode="External"/><Relationship Id="rId290" Type="http://schemas.openxmlformats.org/officeDocument/2006/relationships/hyperlink" Target="https://www.itu.int/net/wsis/review/mpp/" TargetMode="External"/><Relationship Id="rId304" Type="http://schemas.openxmlformats.org/officeDocument/2006/relationships/hyperlink" Target="https://docs.un.org/fr/A/RES/79/277" TargetMode="External"/><Relationship Id="rId346" Type="http://schemas.openxmlformats.org/officeDocument/2006/relationships/hyperlink" Target="https://www.itu.int/metaverse/publications/" TargetMode="External"/><Relationship Id="rId85" Type="http://schemas.openxmlformats.org/officeDocument/2006/relationships/hyperlink" Target="https://www.itu.int/en/itu-wsis/Documents/ITUContribution/2011_ITU_Contribution_to_WSIS-Implementation.pdf" TargetMode="External"/><Relationship Id="rId150" Type="http://schemas.openxmlformats.org/officeDocument/2006/relationships/hyperlink" Target="https://www.itu.int/net4/wsis/stocktaking/Content/doc/reports/2022/WSISStocktaking2022_Region_CIS.pdf" TargetMode="External"/><Relationship Id="rId192" Type="http://schemas.openxmlformats.org/officeDocument/2006/relationships/hyperlink" Target="https://www.itu.int/hub/publication/D-IND-ICT_MDD-2024-4/" TargetMode="External"/><Relationship Id="rId206" Type="http://schemas.openxmlformats.org/officeDocument/2006/relationships/hyperlink" Target="https://www.itu.int/en/council/Documents/basic-texts-2023/RES-140-f.pdf" TargetMode="External"/><Relationship Id="rId248" Type="http://schemas.openxmlformats.org/officeDocument/2006/relationships/hyperlink" Target="https://www.itu.int/en/ITU-D/Cybersecurity/Pages/Council/CD630/Global-Cybersecurity-Knowledgebase.aspx" TargetMode="External"/><Relationship Id="rId12" Type="http://schemas.openxmlformats.org/officeDocument/2006/relationships/hyperlink" Target="https://docs.un.org/fr/A/RES/71/212" TargetMode="External"/><Relationship Id="rId108" Type="http://schemas.openxmlformats.org/officeDocument/2006/relationships/hyperlink" Target="https://www.itu.int/net4/wsis/forum/2015/" TargetMode="External"/><Relationship Id="rId315" Type="http://schemas.openxmlformats.org/officeDocument/2006/relationships/image" Target="media/image2.png"/><Relationship Id="rId54" Type="http://schemas.openxmlformats.org/officeDocument/2006/relationships/hyperlink" Target="https://academy.itu.int/itu-d/projects-activities/digital-transformation-centres-initiative" TargetMode="External"/><Relationship Id="rId96" Type="http://schemas.openxmlformats.org/officeDocument/2006/relationships/hyperlink" Target="https://www.itu.int/net4/wsis/forum/2024/fr/Home/HealthyAgeing" TargetMode="External"/><Relationship Id="rId161" Type="http://schemas.openxmlformats.org/officeDocument/2006/relationships/hyperlink" Target="https://www.itu.int/net4/wsis/stocktaking/Prizes/2023/Winners" TargetMode="External"/><Relationship Id="rId217" Type="http://schemas.openxmlformats.org/officeDocument/2006/relationships/hyperlink" Target="https://www.itu.int/md/S23-CL-C-0120/fr" TargetMode="External"/><Relationship Id="rId259" Type="http://schemas.openxmlformats.org/officeDocument/2006/relationships/hyperlink" Target="https://www.itu.int/net4/wsis/forum/2024/Files/outcomes/draft/WSISStocktakingReport2024_Draft.pdf" TargetMode="External"/><Relationship Id="rId23" Type="http://schemas.openxmlformats.org/officeDocument/2006/relationships/hyperlink" Target="https://www.itu.int/pub/T-RES-T.75-2022/fr" TargetMode="External"/><Relationship Id="rId119" Type="http://schemas.openxmlformats.org/officeDocument/2006/relationships/hyperlink" Target="https://www.itu.int/net4/wsis/stocktaking/Content/doc/reports/2023/WSISStocktaking2023Report2.0.pdf" TargetMode="External"/><Relationship Id="rId270" Type="http://schemas.openxmlformats.org/officeDocument/2006/relationships/hyperlink" Target="https://www.itu.int/en/ITU-D/Statistics/Pages/events/default.aspx" TargetMode="External"/><Relationship Id="rId326" Type="http://schemas.openxmlformats.org/officeDocument/2006/relationships/hyperlink" Target="https://www.itu.int/net4/wsis/stocktaking" TargetMode="External"/><Relationship Id="rId65" Type="http://schemas.openxmlformats.org/officeDocument/2006/relationships/hyperlink" Target="https://unsceb.org/inter-agency-working-group-artificial-intelligence" TargetMode="External"/><Relationship Id="rId130" Type="http://schemas.openxmlformats.org/officeDocument/2006/relationships/hyperlink" Target="https://www.itu.int/pub/S-POL-WSIS.SUCC_STORIES-2018/fr" TargetMode="External"/><Relationship Id="rId172" Type="http://schemas.openxmlformats.org/officeDocument/2006/relationships/hyperlink" Target="https://www.itu.int/net4/wsis/stocktaking/Prizes/2012/Winners" TargetMode="External"/><Relationship Id="rId228" Type="http://schemas.openxmlformats.org/officeDocument/2006/relationships/hyperlink" Target="https://www.itu.int/net4/wsis/forum/2024/Files/actionlines/WSISActionLineC4-ITU.pdf" TargetMode="External"/><Relationship Id="rId281" Type="http://schemas.openxmlformats.org/officeDocument/2006/relationships/hyperlink" Target="https://docs.un.org/fr/A/RES/78/265" TargetMode="External"/><Relationship Id="rId337" Type="http://schemas.openxmlformats.org/officeDocument/2006/relationships/hyperlink" Target="https://www.itu.int/cities/publications/" TargetMode="External"/><Relationship Id="rId34" Type="http://schemas.openxmlformats.org/officeDocument/2006/relationships/hyperlink" Target="https://www.itu.int/md/S25-CWGWSIS42-C-0013/fr" TargetMode="External"/><Relationship Id="rId76" Type="http://schemas.openxmlformats.org/officeDocument/2006/relationships/hyperlink" Target="https://www.itu.int/en/itu-wsis/Documents/ITUContribution/2020_ITU_Contribution_to_WSIS-Implementation-20201207.pdf" TargetMode="External"/><Relationship Id="rId141" Type="http://schemas.openxmlformats.org/officeDocument/2006/relationships/hyperlink" Target="https://www.itu.int/pub/S-POL-WSIS.REP-2012/fr" TargetMode="External"/><Relationship Id="rId7" Type="http://schemas.openxmlformats.org/officeDocument/2006/relationships/endnotes" Target="endnotes.xml"/><Relationship Id="rId183" Type="http://schemas.openxmlformats.org/officeDocument/2006/relationships/hyperlink" Target="https://www.itu.int/fr/ITU-D/Initiatives/GIGA/Pages/default.aspx" TargetMode="External"/><Relationship Id="rId239" Type="http://schemas.openxmlformats.org/officeDocument/2006/relationships/hyperlink" Target="https://www.itu.int/en/ITU-R/study-groups/rsg5/rwp5d/imt-2020/Pages/default.aspx" TargetMode="External"/><Relationship Id="rId250" Type="http://schemas.openxmlformats.org/officeDocument/2006/relationships/hyperlink" Target="https://www.itu.int/en/history/Pages/GSRConferences.aspx?conf=4.447" TargetMode="External"/><Relationship Id="rId292" Type="http://schemas.openxmlformats.org/officeDocument/2006/relationships/hyperlink" Target="https://www.itu.int/net/wsis/implementation/2014/forum/dam/documents.html" TargetMode="External"/><Relationship Id="rId306" Type="http://schemas.openxmlformats.org/officeDocument/2006/relationships/hyperlink" Target="https://forms.office.com/pages/responsepage.aspx?id=12TkI-YEh0uRPCS9iSGf06qtDlMBPuBNoa2AwRocnE1UOUYxTDI4N0FPVzZYRzJZV1VQSDJTVjEyMS4u&amp;route=shorturl" TargetMode="External"/><Relationship Id="rId45" Type="http://schemas.openxmlformats.org/officeDocument/2006/relationships/hyperlink" Target="https://www.itu.int/net/wsis/documents/doc_multi.asp?lang=fr?&amp;id=2266|2267" TargetMode="External"/><Relationship Id="rId87" Type="http://schemas.openxmlformats.org/officeDocument/2006/relationships/hyperlink" Target="https://www.itu.int/pub/T-RES-T.75-2022/fr" TargetMode="External"/><Relationship Id="rId110" Type="http://schemas.openxmlformats.org/officeDocument/2006/relationships/hyperlink" Target="https://www.itu.int/net/wsis/implementation/2013/forum/" TargetMode="External"/><Relationship Id="rId348" Type="http://schemas.openxmlformats.org/officeDocument/2006/relationships/hyperlink" Target="https://www.itu.int/digital-resilience/submarine-cables/advisory-body/" TargetMode="External"/><Relationship Id="rId152" Type="http://schemas.openxmlformats.org/officeDocument/2006/relationships/hyperlink" Target="https://www.itu.int/pub/S-POL-WSIS.REP_REG_AFR-2016/fr" TargetMode="External"/><Relationship Id="rId194" Type="http://schemas.openxmlformats.org/officeDocument/2006/relationships/hyperlink" Target="https://maps.giga.global/map" TargetMode="External"/><Relationship Id="rId208" Type="http://schemas.openxmlformats.org/officeDocument/2006/relationships/hyperlink" Target="https://www.itu.int/en/council/Documents/basic-texts-2023/RES-071-F.pdf" TargetMode="External"/><Relationship Id="rId261" Type="http://schemas.openxmlformats.org/officeDocument/2006/relationships/hyperlink" Target="https://www.itu.int/md/S24-CL-C-0141/fr" TargetMode="External"/><Relationship Id="rId14" Type="http://schemas.openxmlformats.org/officeDocument/2006/relationships/hyperlink" Target="https://docs.un.org/fr/A/RES/70/684" TargetMode="External"/><Relationship Id="rId56" Type="http://schemas.openxmlformats.org/officeDocument/2006/relationships/hyperlink" Target="https://www.itu.int/en/ITU-D/Cybersecurity/Pages/Skills-Development/Her-CyberTracks.aspx" TargetMode="External"/><Relationship Id="rId317" Type="http://schemas.openxmlformats.org/officeDocument/2006/relationships/hyperlink" Target="https://www.itu.int/net/wsis/" TargetMode="External"/><Relationship Id="rId98" Type="http://schemas.openxmlformats.org/officeDocument/2006/relationships/hyperlink" Target="https://www.itu.int/net4/wsis/forum/2024/fr/Agenda/Session/530" TargetMode="External"/><Relationship Id="rId121" Type="http://schemas.openxmlformats.org/officeDocument/2006/relationships/hyperlink" Target="https://www.itu.int/net4/wsis/stocktaking/Content/doc/reports/2022/WSISStocktaking2022Report.pdf" TargetMode="External"/><Relationship Id="rId163" Type="http://schemas.openxmlformats.org/officeDocument/2006/relationships/hyperlink" Target="https://www.itu.int/net4/wsis/stocktaking/Prizes/2021/Winners" TargetMode="External"/><Relationship Id="rId219" Type="http://schemas.openxmlformats.org/officeDocument/2006/relationships/hyperlink" Target="https://www.itu.int/pub/T-RES-T.75-2022/fr" TargetMode="External"/><Relationship Id="rId230" Type="http://schemas.openxmlformats.org/officeDocument/2006/relationships/hyperlink" Target="https://academy.itu.int/itu-d/projects-activities/digital-transformation-centres-initiative" TargetMode="External"/><Relationship Id="rId251" Type="http://schemas.openxmlformats.org/officeDocument/2006/relationships/hyperlink" Target="https://academy.itu.int/training-courses/full-catalogue/global-digital-regulation-training" TargetMode="External"/><Relationship Id="rId25" Type="http://schemas.openxmlformats.org/officeDocument/2006/relationships/hyperlink" Target="https://www.itu.int/net/wsis/implementation/2014/forum/inc/doc/outcome/362828V2F.pdf" TargetMode="External"/><Relationship Id="rId46" Type="http://schemas.openxmlformats.org/officeDocument/2006/relationships/hyperlink" Target="https://www.itu.int/net/wsis/documents/doc_multi.asp?lang=fr?&amp;id=2266|2267" TargetMode="External"/><Relationship Id="rId67" Type="http://schemas.openxmlformats.org/officeDocument/2006/relationships/hyperlink" Target="https://www.itu.int/net4/wsis/forum/2024/fr" TargetMode="External"/><Relationship Id="rId272" Type="http://schemas.openxmlformats.org/officeDocument/2006/relationships/hyperlink" Target="https://www.itu.int/en/ITU-D/Statistics/Pages/capacitydev/default.aspx" TargetMode="External"/><Relationship Id="rId293" Type="http://schemas.openxmlformats.org/officeDocument/2006/relationships/hyperlink" Target="https://docs.un.org/fr/A/RES/70/125" TargetMode="External"/><Relationship Id="rId307" Type="http://schemas.openxmlformats.org/officeDocument/2006/relationships/hyperlink" Target="https://www.itu.int/en/itu-wsis/Pages/CWG-WSIS%26SDG_Call_for_Inputs_2025.aspx" TargetMode="External"/><Relationship Id="rId328" Type="http://schemas.openxmlformats.org/officeDocument/2006/relationships/hyperlink" Target="https://www.itu.int/en/council/cwg-wsis/Pages/default.aspx" TargetMode="External"/><Relationship Id="rId349" Type="http://schemas.openxmlformats.org/officeDocument/2006/relationships/header" Target="header1.xml"/><Relationship Id="rId88" Type="http://schemas.openxmlformats.org/officeDocument/2006/relationships/hyperlink" Target="https://www.itu.int/pub/R-RES-R.61-2-2019/fr" TargetMode="External"/><Relationship Id="rId111" Type="http://schemas.openxmlformats.org/officeDocument/2006/relationships/hyperlink" Target="https://www.itu.int/ibs/WSIS/201205forum/" TargetMode="External"/><Relationship Id="rId132" Type="http://schemas.openxmlformats.org/officeDocument/2006/relationships/hyperlink" Target="https://www.itu.int/pub/S-POL-WSIS.SUCC_STORIES-2017/fr" TargetMode="External"/><Relationship Id="rId153" Type="http://schemas.openxmlformats.org/officeDocument/2006/relationships/hyperlink" Target="https://www.itu.int/pub/S-POL-WSIS.REP_REG_AM-2016/fr" TargetMode="External"/><Relationship Id="rId174" Type="http://schemas.openxmlformats.org/officeDocument/2006/relationships/hyperlink" Target="https://www.itu.int/en/council/cwg-internet/Pages/default.aspx" TargetMode="External"/><Relationship Id="rId195" Type="http://schemas.openxmlformats.org/officeDocument/2006/relationships/hyperlink" Target="https://librarymap.ifla.org/map/Metric/Number-of-libraries/LibraryType/Public-Libraries/Weight/Totals-by-Country" TargetMode="External"/><Relationship Id="rId209" Type="http://schemas.openxmlformats.org/officeDocument/2006/relationships/hyperlink" Target="https://docs.un.org/fr/A/RES/70/125" TargetMode="External"/><Relationship Id="rId220" Type="http://schemas.openxmlformats.org/officeDocument/2006/relationships/hyperlink" Target="https://www.itu.int/pub/R-RES-R.61-2-2019/fr" TargetMode="External"/><Relationship Id="rId241" Type="http://schemas.openxmlformats.org/officeDocument/2006/relationships/hyperlink" Target="https://www.itu.int/net4/ITU-D/CDS/sg/rgqlist.asp?lg=2&amp;sp=2014&amp;rgq=D14-SG02-RGQ03.2&amp;stg=2" TargetMode="External"/><Relationship Id="rId15" Type="http://schemas.openxmlformats.org/officeDocument/2006/relationships/hyperlink" Target="https://docs.un.org/fr/A/RES/73/218" TargetMode="External"/><Relationship Id="rId36" Type="http://schemas.openxmlformats.org/officeDocument/2006/relationships/hyperlink" Target="https://www.itu.int/net/wsis/index-p1.html" TargetMode="External"/><Relationship Id="rId57" Type="http://schemas.openxmlformats.org/officeDocument/2006/relationships/hyperlink" Target="https://academy.itu.int/itu-d/projects-activities/digital-transformation-centres-initiative" TargetMode="External"/><Relationship Id="rId262" Type="http://schemas.openxmlformats.org/officeDocument/2006/relationships/hyperlink" Target="https://www.itu.int/net4/wsis/forum/2025/fr" TargetMode="External"/><Relationship Id="rId283" Type="http://schemas.openxmlformats.org/officeDocument/2006/relationships/hyperlink" Target="https://aiforgood.itu.int/summit24/programme/" TargetMode="External"/><Relationship Id="rId318" Type="http://schemas.openxmlformats.org/officeDocument/2006/relationships/hyperlink" Target="https://www.itu.int/en/itu-wsis/Pages/WSIS-Fund-in-Trust.aspx" TargetMode="External"/><Relationship Id="rId339" Type="http://schemas.openxmlformats.org/officeDocument/2006/relationships/hyperlink" Target="https://www.itu.int/cities/dt-resource-hub/" TargetMode="External"/><Relationship Id="rId78" Type="http://schemas.openxmlformats.org/officeDocument/2006/relationships/hyperlink" Target="https://www.itu.int/en/itu-wsis/Documents/ITUContribution/2018_ITU_Contribution_to_WSIS-Implementation.pdf" TargetMode="External"/><Relationship Id="rId99" Type="http://schemas.openxmlformats.org/officeDocument/2006/relationships/hyperlink" Target="https://www.itu.int/net4/wsis/forum/2024/fr/Agenda/Session/416" TargetMode="External"/><Relationship Id="rId101" Type="http://schemas.openxmlformats.org/officeDocument/2006/relationships/hyperlink" Target="https://www.itu.int/net4/wsis/forum/2022/fr" TargetMode="External"/><Relationship Id="rId122" Type="http://schemas.openxmlformats.org/officeDocument/2006/relationships/hyperlink" Target="https://www.itu.int/net4/wsis/stocktaking/Content/doc/reports/2022/WSISStocktakingSuccessStories2022.pdf" TargetMode="External"/><Relationship Id="rId143" Type="http://schemas.openxmlformats.org/officeDocument/2006/relationships/hyperlink" Target="https://www.itu.int/pub/S-POL-WSIS.REP-2010/fr" TargetMode="External"/><Relationship Id="rId164" Type="http://schemas.openxmlformats.org/officeDocument/2006/relationships/hyperlink" Target="https://www.itu.int/net4/wsis/stocktaking/Prizes/2020/Winners" TargetMode="External"/><Relationship Id="rId185" Type="http://schemas.openxmlformats.org/officeDocument/2006/relationships/hyperlink" Target="https://www.itu.int/net4/wsis/sdg/" TargetMode="External"/><Relationship Id="rId350" Type="http://schemas.openxmlformats.org/officeDocument/2006/relationships/footer" Target="footer1.xml"/><Relationship Id="rId9" Type="http://schemas.openxmlformats.org/officeDocument/2006/relationships/hyperlink" Target="https://docs.un.org/fr/A/RES/70/125" TargetMode="External"/><Relationship Id="rId210" Type="http://schemas.openxmlformats.org/officeDocument/2006/relationships/hyperlink" Target="https://docs.un.org/fr/E/RES/2024/13" TargetMode="External"/><Relationship Id="rId26" Type="http://schemas.openxmlformats.org/officeDocument/2006/relationships/hyperlink" Target="https://www.itu.int/net/wsis/implementation/2014/forum/inc/doc/outcome/362828V2F.pdf" TargetMode="External"/><Relationship Id="rId231" Type="http://schemas.openxmlformats.org/officeDocument/2006/relationships/hyperlink" Target="https://ituint-my.sharepoint.com/personal/neil_macdonald_itu_int/Documents/Microsoft%20Copilot%20Chat%20Files/WSIS+20%20report%20draft%20+%20reporting.docx?web=1" TargetMode="External"/><Relationship Id="rId252" Type="http://schemas.openxmlformats.org/officeDocument/2006/relationships/hyperlink" Target="https://www.itu.int/fr/ITU-R/seminars/Pages/default.aspx" TargetMode="External"/><Relationship Id="rId273" Type="http://schemas.openxmlformats.org/officeDocument/2006/relationships/hyperlink" Target="https://www.itu.int/fr/ITU-D/Statistics/Pages/bigdata/default.aspx" TargetMode="External"/><Relationship Id="rId294" Type="http://schemas.openxmlformats.org/officeDocument/2006/relationships/hyperlink" Target="https://www.itu.int/net4/wsis/ungis/content/upload/doc/roadmaps/ITU-WSIS20-Roadmap.pdf" TargetMode="External"/><Relationship Id="rId308" Type="http://schemas.openxmlformats.org/officeDocument/2006/relationships/hyperlink" Target="https://www.itu.int/en/council/Documents/basic-texts-2023/RES-140-f.pdf" TargetMode="External"/><Relationship Id="rId329" Type="http://schemas.openxmlformats.org/officeDocument/2006/relationships/hyperlink" Target="https://www.itu.int/en/council/cwg-internet/Pages/default.aspx" TargetMode="External"/><Relationship Id="rId47" Type="http://schemas.openxmlformats.org/officeDocument/2006/relationships/hyperlink" Target="https://www.intgovforum.org/fr" TargetMode="External"/><Relationship Id="rId68" Type="http://schemas.openxmlformats.org/officeDocument/2006/relationships/hyperlink" Target="https://www.itu.int/net/wsis/index-fr.html" TargetMode="External"/><Relationship Id="rId89" Type="http://schemas.openxmlformats.org/officeDocument/2006/relationships/hyperlink" Target="https://www.itu.int/en/itu-wsis/Pages/Contribution.aspx" TargetMode="External"/><Relationship Id="rId112" Type="http://schemas.openxmlformats.org/officeDocument/2006/relationships/hyperlink" Target="https://www.itu.int/ibs/WSIS/201105forum/index.html" TargetMode="External"/><Relationship Id="rId133" Type="http://schemas.openxmlformats.org/officeDocument/2006/relationships/hyperlink" Target="https://www.itu.int/pub/S-POL-WSIS.REP-2016/fr" TargetMode="External"/><Relationship Id="rId154" Type="http://schemas.openxmlformats.org/officeDocument/2006/relationships/hyperlink" Target="https://www.itu.int/pub/S-POL-WSIS.REP_REG_ARB-2016/fr" TargetMode="External"/><Relationship Id="rId175" Type="http://schemas.openxmlformats.org/officeDocument/2006/relationships/hyperlink" Target="https://www.itu.int/en/council/cwg-internet/Pages/open-consultations.aspx" TargetMode="External"/><Relationship Id="rId340" Type="http://schemas.openxmlformats.org/officeDocument/2006/relationships/hyperlink" Target="https://u4ssc.itu.int/" TargetMode="External"/><Relationship Id="rId196" Type="http://schemas.openxmlformats.org/officeDocument/2006/relationships/hyperlink" Target="https://www.upu.int/fr/union-postale-universelle/activites/services-numeriques/connect-post" TargetMode="External"/><Relationship Id="rId200" Type="http://schemas.openxmlformats.org/officeDocument/2006/relationships/hyperlink" Target="https://s41721.pcdn.co/wp-content/uploads/2021/06/S-GEN-UNACT-2023-PDF-E-Exec-Summ.pdf" TargetMode="External"/><Relationship Id="rId16" Type="http://schemas.openxmlformats.org/officeDocument/2006/relationships/hyperlink" Target="https://docs.un.org/fr/E/RES/2024/13" TargetMode="External"/><Relationship Id="rId221" Type="http://schemas.openxmlformats.org/officeDocument/2006/relationships/hyperlink" Target="https://www.itu.int/en/itu-wsis/Documents/WSIS+10Report.pdf" TargetMode="External"/><Relationship Id="rId242" Type="http://schemas.openxmlformats.org/officeDocument/2006/relationships/hyperlink" Target="https://ncsguide.org/" TargetMode="External"/><Relationship Id="rId263" Type="http://schemas.openxmlformats.org/officeDocument/2006/relationships/hyperlink" Target="https://unstats.un.org/UNSDWebsite/statcom/session_55/documents/2024-29-ICT-F.pdf" TargetMode="External"/><Relationship Id="rId284" Type="http://schemas.openxmlformats.org/officeDocument/2006/relationships/hyperlink" Target="https://www.broadbandcommission.org/advocacy-targets/" TargetMode="External"/><Relationship Id="rId319" Type="http://schemas.openxmlformats.org/officeDocument/2006/relationships/hyperlink" Target="https://www.itu.int/en/itu-wsis/Pages/Contribution.aspx" TargetMode="External"/><Relationship Id="rId37" Type="http://schemas.openxmlformats.org/officeDocument/2006/relationships/hyperlink" Target="https://www.itu.int/net/wsis/tunis/index.html" TargetMode="External"/><Relationship Id="rId58" Type="http://schemas.openxmlformats.org/officeDocument/2006/relationships/hyperlink" Target="https://www.itu.int/en/action/cybersecurity/pages/gca.aspx" TargetMode="External"/><Relationship Id="rId79" Type="http://schemas.openxmlformats.org/officeDocument/2006/relationships/hyperlink" Target="https://www.itu.int/en/itu-wsis/Documents/ITUContribution/2017_ITU_Contribution_to_WSIS-Implementation.pdf" TargetMode="External"/><Relationship Id="rId102" Type="http://schemas.openxmlformats.org/officeDocument/2006/relationships/hyperlink" Target="https://www.itu.int/net4/wsis/forum/2021/fr" TargetMode="External"/><Relationship Id="rId123" Type="http://schemas.openxmlformats.org/officeDocument/2006/relationships/hyperlink" Target="https://www.itu.int/net4/wsis/forum/2021/Files/outcomes/draft/WSISStocktakingReport2021.pdf" TargetMode="External"/><Relationship Id="rId144" Type="http://schemas.openxmlformats.org/officeDocument/2006/relationships/hyperlink" Target="https://www.itu.int/pub/S-POL-WSIS.REP-2008/fr" TargetMode="External"/><Relationship Id="rId330" Type="http://schemas.openxmlformats.org/officeDocument/2006/relationships/hyperlink" Target="https://www.itu.int/fr/ITU-D/Statistics/Pages/intlcoop/partnership/default.aspx" TargetMode="External"/><Relationship Id="rId90" Type="http://schemas.openxmlformats.org/officeDocument/2006/relationships/hyperlink" Target="https://www.itu.int/en/itu-wsis/Pages/Roadmaps.aspx" TargetMode="External"/><Relationship Id="rId165" Type="http://schemas.openxmlformats.org/officeDocument/2006/relationships/hyperlink" Target="https://www.itu.int/net4/wsis/stocktaking/Prizes/2019/Winners" TargetMode="External"/><Relationship Id="rId186" Type="http://schemas.openxmlformats.org/officeDocument/2006/relationships/hyperlink" Target="https://www.itu.int/initiatives/sdgdigital2024/award/about/" TargetMode="External"/><Relationship Id="rId351" Type="http://schemas.openxmlformats.org/officeDocument/2006/relationships/footer" Target="footer2.xml"/><Relationship Id="rId211" Type="http://schemas.openxmlformats.org/officeDocument/2006/relationships/hyperlink" Target="https://www.itu.int/en/council/Documents/basic-texts/RES-140-F.pdf" TargetMode="External"/><Relationship Id="rId232" Type="http://schemas.openxmlformats.org/officeDocument/2006/relationships/hyperlink" Target="https://aiforgood.itu.int/ai-skills-coalition/" TargetMode="External"/><Relationship Id="rId253" Type="http://schemas.openxmlformats.org/officeDocument/2006/relationships/hyperlink" Target="https://www.itu.int/fr/ITU-R/seminars/Pages/default.aspx" TargetMode="External"/><Relationship Id="rId274" Type="http://schemas.openxmlformats.org/officeDocument/2006/relationships/hyperlink" Target="https://www.itu.int/en/ITU-D/Statistics/Pages/expertgroups.aspx" TargetMode="External"/><Relationship Id="rId295" Type="http://schemas.openxmlformats.org/officeDocument/2006/relationships/hyperlink" Target="https://unesdoc.unesco.org/ark:/48223/pf0000379370" TargetMode="External"/><Relationship Id="rId309" Type="http://schemas.openxmlformats.org/officeDocument/2006/relationships/hyperlink" Target="https://www.itu.int/net/wsis/review/inc/docs/reports/20-Year-CountryReportingTemplate.pdf" TargetMode="External"/><Relationship Id="rId27" Type="http://schemas.openxmlformats.org/officeDocument/2006/relationships/hyperlink" Target="https://www.itu.int/en/ITU-D/Statistics/Documents/publications/wsisreview2014/WSIS2014_review.pdf" TargetMode="External"/><Relationship Id="rId48" Type="http://schemas.openxmlformats.org/officeDocument/2006/relationships/hyperlink" Target="https://www.itu.int/net4/wsis/forum/2025/fr" TargetMode="External"/><Relationship Id="rId69" Type="http://schemas.openxmlformats.org/officeDocument/2006/relationships/hyperlink" Target="https://www.itu.int/fr/ITU-D/Statistics/Pages/intlcoop/partnership/default.aspx" TargetMode="External"/><Relationship Id="rId113" Type="http://schemas.openxmlformats.org/officeDocument/2006/relationships/hyperlink" Target="https://www.itu.int/net/wsis/implementation/2010/forum/geneva/index.html" TargetMode="External"/><Relationship Id="rId134" Type="http://schemas.openxmlformats.org/officeDocument/2006/relationships/hyperlink" Target="https://www.itu.int/pub/S-POL-WSIS.SUCC_STORIES-2016/fr" TargetMode="External"/><Relationship Id="rId320" Type="http://schemas.openxmlformats.org/officeDocument/2006/relationships/hyperlink" Target="https://www.itu.int/net4/wsis/ungis/" TargetMode="External"/><Relationship Id="rId80" Type="http://schemas.openxmlformats.org/officeDocument/2006/relationships/hyperlink" Target="https://www.itu.int/en/itu-wsis/Documents/ITUContribution/2016_ITU_Contribution_to-WSIS-Implementation.pdf" TargetMode="External"/><Relationship Id="rId155" Type="http://schemas.openxmlformats.org/officeDocument/2006/relationships/hyperlink" Target="https://www.itu.int/pub/S-POL-WSIS.REP_REG_AP-2016/fr" TargetMode="External"/><Relationship Id="rId176" Type="http://schemas.openxmlformats.org/officeDocument/2006/relationships/hyperlink" Target="https://www.itu.int/en/council/cwg-internet/Pages/default.aspx" TargetMode="External"/><Relationship Id="rId197" Type="http://schemas.openxmlformats.org/officeDocument/2006/relationships/hyperlink" Target="https://desapublications.un.org/publications/un-e-government-survey-2024" TargetMode="External"/><Relationship Id="rId341" Type="http://schemas.openxmlformats.org/officeDocument/2006/relationships/hyperlink" Target="https://u4ssc.itu.int/publications/" TargetMode="External"/><Relationship Id="rId201" Type="http://schemas.openxmlformats.org/officeDocument/2006/relationships/hyperlink" Target="https://www.itu.int/md/S22-CL-INF-0008/en" TargetMode="External"/><Relationship Id="rId222" Type="http://schemas.openxmlformats.org/officeDocument/2006/relationships/hyperlink" Target="https://www.itu.int/pub/D-RES-D.30-2022/fr" TargetMode="External"/><Relationship Id="rId243"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264" Type="http://schemas.openxmlformats.org/officeDocument/2006/relationships/hyperlink" Target="https://academy.itu.int/training-courses/full-catalogue/measuring-digital-development-telecommunicationict-indicators-0" TargetMode="External"/><Relationship Id="rId285" Type="http://schemas.openxmlformats.org/officeDocument/2006/relationships/hyperlink" Target="https://broadbandcommission.org/state-of-broadband-archive/" TargetMode="External"/><Relationship Id="rId17" Type="http://schemas.openxmlformats.org/officeDocument/2006/relationships/hyperlink" Target="https://www.itu.int/en/council/Documents/basic-texts-2023/RES-140-f.pdf" TargetMode="External"/><Relationship Id="rId38" Type="http://schemas.openxmlformats.org/officeDocument/2006/relationships/hyperlink" Target="https://www.itu.int/net/wsis/stocktaking/help-action-lines.html" TargetMode="External"/><Relationship Id="rId59" Type="http://schemas.openxmlformats.org/officeDocument/2006/relationships/hyperlink" Target="https://www.itu.int/en/ITU-D/Cybersecurity/Pages/national-CIRT.aspx" TargetMode="External"/><Relationship Id="rId103" Type="http://schemas.openxmlformats.org/officeDocument/2006/relationships/hyperlink" Target="https://www.itu.int/net4/wsis/forum/2020/fr" TargetMode="External"/><Relationship Id="rId124" Type="http://schemas.openxmlformats.org/officeDocument/2006/relationships/hyperlink" Target="https://www.itu.int/net4/wsis/forum/2021/Files/outcomes/draft/WSISStocktakingReport2021.pdf" TargetMode="External"/><Relationship Id="rId310" Type="http://schemas.openxmlformats.org/officeDocument/2006/relationships/hyperlink" Target="https://www.itu.int/net/wsis/review/inc/docs/reports/20-Year-StakeholderReportingTemplate.pdf" TargetMode="External"/><Relationship Id="rId70" Type="http://schemas.openxmlformats.org/officeDocument/2006/relationships/hyperlink" Target="https://www.itu.int/en/council/cwg-wsis/Pages/default.aspx" TargetMode="External"/><Relationship Id="rId91" Type="http://schemas.openxmlformats.org/officeDocument/2006/relationships/hyperlink" Target="https://www.itu.int/en/itu-wsis/Documents/Roadmaps/WSIS-AL-Roadmaps_2023_DRAFT-20241010.pdf" TargetMode="External"/><Relationship Id="rId145" Type="http://schemas.openxmlformats.org/officeDocument/2006/relationships/hyperlink" Target="https://www.itu.int/pub/S-POL-WSIS.REP-2005/fr" TargetMode="External"/><Relationship Id="rId166" Type="http://schemas.openxmlformats.org/officeDocument/2006/relationships/hyperlink" Target="https://www.itu.int/net4/wsis/stocktaking/Prizes/2018/Winners" TargetMode="External"/><Relationship Id="rId187" Type="http://schemas.openxmlformats.org/officeDocument/2006/relationships/hyperlink" Target="https://www.itu.int/en/sustainable-world/Documents/Fast-forward_progress_report_414709%20FINAL.pdf?source=post_page---------------------------" TargetMode="External"/><Relationship Id="rId331" Type="http://schemas.openxmlformats.org/officeDocument/2006/relationships/hyperlink" Target="https://www.itu.int/itu-d/sites/statistics/fr/" TargetMode="External"/><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https://www.itu.int/net/wsis/docs/background/resolutions/pp06-plen6.html" TargetMode="External"/><Relationship Id="rId233" Type="http://schemas.openxmlformats.org/officeDocument/2006/relationships/hyperlink" Target="https://www.itu.int/net4/wsis/forum/2024/Files/actionlines/WSISActionLineC5-ITU.pdf" TargetMode="External"/><Relationship Id="rId254" Type="http://schemas.openxmlformats.org/officeDocument/2006/relationships/hyperlink" Target="https://www.broadbandcommission.org/advocacy-targets/" TargetMode="External"/><Relationship Id="rId28" Type="http://schemas.openxmlformats.org/officeDocument/2006/relationships/hyperlink" Target="https://www.itu.int/en/itu-wsis/Documents/WSIS+10Report.pdf" TargetMode="External"/><Relationship Id="rId49" Type="http://schemas.openxmlformats.org/officeDocument/2006/relationships/hyperlink" Target="https://www.itu.int/net/wsis/review/2015.html" TargetMode="External"/><Relationship Id="rId114" Type="http://schemas.openxmlformats.org/officeDocument/2006/relationships/hyperlink" Target="https://www.itu.int/ibs/WSIS/200905forum/index.html" TargetMode="External"/><Relationship Id="rId275" Type="http://schemas.openxmlformats.org/officeDocument/2006/relationships/hyperlink" Target="https://www.itu.int/en/ITU-D/Statistics/Pages/ICTprices/default.aspx" TargetMode="External"/><Relationship Id="rId296" Type="http://schemas.openxmlformats.org/officeDocument/2006/relationships/hyperlink" Target="https://unctad.org/system/files/non-official-document/ecn162023_roadmap_p05_CSTDChair_en.pdf" TargetMode="External"/><Relationship Id="rId300" Type="http://schemas.openxmlformats.org/officeDocument/2006/relationships/image" Target="media/image1.png"/><Relationship Id="rId60" Type="http://schemas.openxmlformats.org/officeDocument/2006/relationships/hyperlink" Target="https://www.itu.int/en/ITU-D/Cybersecurity/pages/global-cybersecurity-index.aspx" TargetMode="External"/><Relationship Id="rId81" Type="http://schemas.openxmlformats.org/officeDocument/2006/relationships/hyperlink" Target="https://www.itu.int/en/itu-wsis/Documents/ITUContribution/2015_ITU_Contribution_to-WSIS-Implementation.pdf" TargetMode="External"/><Relationship Id="rId135" Type="http://schemas.openxmlformats.org/officeDocument/2006/relationships/hyperlink" Target="https://www.itu.int/pub/S-POL-WSIS.REP-2015/fr" TargetMode="External"/><Relationship Id="rId156" Type="http://schemas.openxmlformats.org/officeDocument/2006/relationships/hyperlink" Target="https://www.itu.int/pub/S-POL-WSIS.REP_REG_CIS-2016/fr" TargetMode="External"/><Relationship Id="rId177" Type="http://schemas.openxmlformats.org/officeDocument/2006/relationships/hyperlink" Target="https://www.itu.int/en/action/internet/Pages/default.aspx" TargetMode="External"/><Relationship Id="rId198" Type="http://schemas.openxmlformats.org/officeDocument/2006/relationships/hyperlink" Target="https://uis.unesco.org/sites/default/files/documents/measuring-linguistic-diversity-on-the-internet-ict-2005-en_0.pdf" TargetMode="External"/><Relationship Id="rId321" Type="http://schemas.openxmlformats.org/officeDocument/2006/relationships/hyperlink" Target="https://www.itu.int/en/itu-wsis/Pages/Roadmaps.aspx" TargetMode="External"/><Relationship Id="rId342" Type="http://schemas.openxmlformats.org/officeDocument/2006/relationships/hyperlink" Target="https://u4ssc.itu.int/u4ssc-kpi/" TargetMode="External"/><Relationship Id="rId202" Type="http://schemas.openxmlformats.org/officeDocument/2006/relationships/hyperlink" Target="https://www.itu.int/net/wsis/index-fr.html" TargetMode="External"/><Relationship Id="rId223" Type="http://schemas.openxmlformats.org/officeDocument/2006/relationships/hyperlink" Target="https://www.itu.int/dms_pub/itu-t/opb/res/T-RES-T.75-2022-PDF-F.pdf" TargetMode="External"/><Relationship Id="rId244" Type="http://schemas.openxmlformats.org/officeDocument/2006/relationships/hyperlink" Target="https://www.itu.int/en/ITU-D/Cybersecurity/Pages/Women-in-Cyber/Women-in-Cyber-Mentorship-Programme.aspx" TargetMode="External"/><Relationship Id="rId18" Type="http://schemas.openxmlformats.org/officeDocument/2006/relationships/hyperlink" Target="https://www.itu.int/en/council/cwg-wsis/Documents/Resolution172-PP10.pdf" TargetMode="External"/><Relationship Id="rId39" Type="http://schemas.openxmlformats.org/officeDocument/2006/relationships/hyperlink" Target="https://www.itu.int/dms_pub/itu-s/opb/conf/S-CONF-ACTF-1998-PDF-F.pdf" TargetMode="External"/><Relationship Id="rId265" Type="http://schemas.openxmlformats.org/officeDocument/2006/relationships/hyperlink" Target="https://www.itu.int/itu-d/sites/statistics/fr/" TargetMode="External"/><Relationship Id="rId286" Type="http://schemas.openxmlformats.org/officeDocument/2006/relationships/hyperlink" Target="https://www.broadbandcommission.org/advocacy-targets/" TargetMode="External"/><Relationship Id="rId50" Type="http://schemas.openxmlformats.org/officeDocument/2006/relationships/hyperlink" Target="https://www.itu.int/hub/membership/" TargetMode="External"/><Relationship Id="rId104" Type="http://schemas.openxmlformats.org/officeDocument/2006/relationships/hyperlink" Target="https://www.itu.int/net4/wsis/forum/2019/fr" TargetMode="External"/><Relationship Id="rId125" Type="http://schemas.openxmlformats.org/officeDocument/2006/relationships/hyperlink" Target="https://www.itu.int/net4/wsis/forum/2020/Files/outcomes/draft/GlobalWSISStocktakingReport2020_DRAFT.pdf" TargetMode="External"/><Relationship Id="rId146" Type="http://schemas.openxmlformats.org/officeDocument/2006/relationships/hyperlink" Target="https://www.itu.int/net4/wsis/stocktaking/Content/doc/reports/2022/WSISStocktaking2022_Region_Africa.pdf" TargetMode="External"/><Relationship Id="rId167" Type="http://schemas.openxmlformats.org/officeDocument/2006/relationships/hyperlink" Target="https://www.itu.int/net4/wsis/stocktaking/Prizes/2017/Winners" TargetMode="External"/><Relationship Id="rId188" Type="http://schemas.openxmlformats.org/officeDocument/2006/relationships/hyperlink" Target="https://www.itu.int/en/sustainable-world/Pages/report-hlpf-2017.aspx" TargetMode="External"/><Relationship Id="rId311" Type="http://schemas.openxmlformats.org/officeDocument/2006/relationships/hyperlink" Target="https://publicadministration.desa.un.org/fr/node/2836" TargetMode="External"/><Relationship Id="rId332" Type="http://schemas.openxmlformats.org/officeDocument/2006/relationships/hyperlink" Target="https://www.itu.int/wtisd/" TargetMode="External"/><Relationship Id="rId353" Type="http://schemas.openxmlformats.org/officeDocument/2006/relationships/footer" Target="footer3.xml"/><Relationship Id="rId71" Type="http://schemas.openxmlformats.org/officeDocument/2006/relationships/hyperlink" Target="https://www.itu.int/en/itu-wsis/Pages/Contribution.aspx" TargetMode="External"/><Relationship Id="rId92" Type="http://schemas.openxmlformats.org/officeDocument/2006/relationships/hyperlink" Target="https://www.itu.int/en/itu-wsis/Documents/Roadmaps/WSIS-AL-Roadmaps_2019_DRAFT-20190919.pdf" TargetMode="External"/><Relationship Id="rId213" Type="http://schemas.openxmlformats.org/officeDocument/2006/relationships/hyperlink" Target="https://www.itu.int/en/council/Documents/basic-texts-2023/RES-140-f.pdf" TargetMode="External"/><Relationship Id="rId234" Type="http://schemas.openxmlformats.org/officeDocument/2006/relationships/hyperlink" Target="https://www.itu.int/en/ITU-D/Cybersecurity/Pages/legislation.aspx" TargetMode="External"/><Relationship Id="rId2" Type="http://schemas.openxmlformats.org/officeDocument/2006/relationships/numbering" Target="numbering.xml"/><Relationship Id="rId29" Type="http://schemas.openxmlformats.org/officeDocument/2006/relationships/hyperlink" Target="https://www.itu.int/en/itu-wsis/Documents/WSIS+10Report.pdf" TargetMode="External"/><Relationship Id="rId255" Type="http://schemas.openxmlformats.org/officeDocument/2006/relationships/hyperlink" Target="https://www.itu.int/net4/wsis/forum/2024/Files/outcomes/draft/WSIS20ForumHighLevelEvent2024-ChairsSummary.pdf" TargetMode="External"/><Relationship Id="rId276" Type="http://schemas.openxmlformats.org/officeDocument/2006/relationships/hyperlink" Target="https://www.itu.int/en/ITU-D/Statistics/Pages/facts/default.aspx" TargetMode="External"/><Relationship Id="rId297" Type="http://schemas.openxmlformats.org/officeDocument/2006/relationships/hyperlink" Target="https://www.itu.int/net4/wsis/forum/2024/fr" TargetMode="External"/><Relationship Id="rId40" Type="http://schemas.openxmlformats.org/officeDocument/2006/relationships/hyperlink" Target="chrome-extension://efaidnbmnnnibpcajpcglclefindmkaj/https:/www.itu.int/net/wsis/docs/background/resolutions/56_183_unga_2002.pdf" TargetMode="External"/><Relationship Id="rId115" Type="http://schemas.openxmlformats.org/officeDocument/2006/relationships/hyperlink" Target="https://www.itu.int/net4/wsis/stocktaking" TargetMode="External"/><Relationship Id="rId136" Type="http://schemas.openxmlformats.org/officeDocument/2006/relationships/hyperlink" Target="https://www.itu.int/pub/S-POL-WSIS.SUCC_STORIES-2015/fr" TargetMode="External"/><Relationship Id="rId157" Type="http://schemas.openxmlformats.org/officeDocument/2006/relationships/hyperlink" Target="https://www.itu.int/pub/S-POL-WSIS.REP_REG_EUR-2016/fr" TargetMode="External"/><Relationship Id="rId178" Type="http://schemas.openxmlformats.org/officeDocument/2006/relationships/hyperlink" Target="https://www.broadbandcommission.org/advocacy-targets/" TargetMode="External"/><Relationship Id="rId301" Type="http://schemas.openxmlformats.org/officeDocument/2006/relationships/hyperlink" Target="https://www.un.org/pga/79/2025/01/20/letter-from-president-general-assembly-on-wsis-co-facilitator-appointment/" TargetMode="External"/><Relationship Id="rId322" Type="http://schemas.openxmlformats.org/officeDocument/2006/relationships/hyperlink" Target="https://www.itu.int/net/wsis/review/2025.html" TargetMode="External"/><Relationship Id="rId343" Type="http://schemas.openxmlformats.org/officeDocument/2006/relationships/hyperlink" Target="https://u4ssc.itu.int/u4ssc-kpis-report/" TargetMode="External"/><Relationship Id="rId61" Type="http://schemas.openxmlformats.org/officeDocument/2006/relationships/hyperlink" Target="https://www.itu.int/en/ITU-D/Digital-Inclusion/Pages/Reports_and_Resources.aspx" TargetMode="External"/><Relationship Id="rId82" Type="http://schemas.openxmlformats.org/officeDocument/2006/relationships/hyperlink" Target="https://www.itu.int/en/itu-wsis/Documents/ITUContribution/2014_ITU_Contribution_to_WSIS-Implementation.pdf" TargetMode="External"/><Relationship Id="rId199" Type="http://schemas.openxmlformats.org/officeDocument/2006/relationships/hyperlink" Target="https://www.unesco.org/fr" TargetMode="External"/><Relationship Id="rId203" Type="http://schemas.openxmlformats.org/officeDocument/2006/relationships/hyperlink" Target="https://www.itu.int/en/council/cwg-wsis/Pages/default.aspx" TargetMode="External"/><Relationship Id="rId19" Type="http://schemas.openxmlformats.org/officeDocument/2006/relationships/hyperlink" Target="https://www.itu.int/en/council/Documents/basic-texts-2023/RES-071-F.pdf" TargetMode="External"/><Relationship Id="rId224" Type="http://schemas.openxmlformats.org/officeDocument/2006/relationships/hyperlink" Target="https://www.itu.int/oth/R0C0A000010/fr" TargetMode="External"/><Relationship Id="rId245" Type="http://schemas.openxmlformats.org/officeDocument/2006/relationships/hyperlink" Target="https://www.itu.int/en/ITU-D/Cybersecurity/Pages/Cyber4Good/Cyber4Good.aspx" TargetMode="External"/><Relationship Id="rId266" Type="http://schemas.openxmlformats.org/officeDocument/2006/relationships/hyperlink" Target="https://datahub.itu.int/" TargetMode="External"/><Relationship Id="rId287" Type="http://schemas.openxmlformats.org/officeDocument/2006/relationships/hyperlink" Target="https://docs.un.org/fr/A/RES/68/302" TargetMode="External"/><Relationship Id="rId30" Type="http://schemas.openxmlformats.org/officeDocument/2006/relationships/hyperlink" Target="https://www.itu.int/md/S22-CWGWSIS38-C-0014/fr" TargetMode="External"/><Relationship Id="rId105" Type="http://schemas.openxmlformats.org/officeDocument/2006/relationships/hyperlink" Target="https://www.itu.int/net4/wsis/forum/2018/" TargetMode="External"/><Relationship Id="rId126" Type="http://schemas.openxmlformats.org/officeDocument/2006/relationships/hyperlink" Target="https://www.itu.int/net4/wsis/forum/2020/Files/outcomes/draft/WSISStocktakingSuccessStories2020_DRAFT.pdf" TargetMode="External"/><Relationship Id="rId147" Type="http://schemas.openxmlformats.org/officeDocument/2006/relationships/hyperlink" Target="https://www.itu.int/net4/wsis/stocktaking/Content/doc/reports/2022/WSISStocktaking2022_Region_Americas.pdf" TargetMode="External"/><Relationship Id="rId168" Type="http://schemas.openxmlformats.org/officeDocument/2006/relationships/hyperlink" Target="https://www.itu.int/net4/wsis/stocktaking/Prizes/2016/Winners" TargetMode="External"/><Relationship Id="rId312" Type="http://schemas.openxmlformats.org/officeDocument/2006/relationships/hyperlink" Target="https://docs.un.org/fr/E/RES/2024/13" TargetMode="External"/><Relationship Id="rId333" Type="http://schemas.openxmlformats.org/officeDocument/2006/relationships/hyperlink" Target="https://www.itu.int/fr/publications/Pages/default.aspx" TargetMode="External"/><Relationship Id="rId354" Type="http://schemas.openxmlformats.org/officeDocument/2006/relationships/fontTable" Target="fontTable.xml"/><Relationship Id="rId51" Type="http://schemas.openxmlformats.org/officeDocument/2006/relationships/hyperlink" Target="https://www.itu.int/net4/wsis/sdg/" TargetMode="External"/><Relationship Id="rId72" Type="http://schemas.openxmlformats.org/officeDocument/2006/relationships/hyperlink" Target="https://www.itu.int/en/itu-wsis/Documents/ITUContribution/2024_ITU_Contribution_to_WSIS-Implementation-DRAFT-20241031.pdf" TargetMode="External"/><Relationship Id="rId93" Type="http://schemas.openxmlformats.org/officeDocument/2006/relationships/hyperlink" Target="https://www.itu.int/en/itu-wsis/Documents/Roadmaps/WSIS-AL-Roadmaps_2017.pdf" TargetMode="External"/><Relationship Id="rId189" Type="http://schemas.openxmlformats.org/officeDocument/2006/relationships/hyperlink" Target="https://www.itu.int/en/mediacentre/backgrounders/Pages/connect-2030-agenda.aspx" TargetMode="External"/><Relationship Id="rId3" Type="http://schemas.openxmlformats.org/officeDocument/2006/relationships/styles" Target="styles.xml"/><Relationship Id="rId214" Type="http://schemas.openxmlformats.org/officeDocument/2006/relationships/hyperlink" Target="https://www.itu.int/en/council/cwg-wsis/Documents/Resolution172-PP10.pdf" TargetMode="External"/><Relationship Id="rId235" Type="http://schemas.openxmlformats.org/officeDocument/2006/relationships/hyperlink" Target="https://www.itu.int/en/ITU-T/studygroups/2025-2028/Pages/default.aspx" TargetMode="External"/><Relationship Id="rId256" Type="http://schemas.openxmlformats.org/officeDocument/2006/relationships/hyperlink" Target="https://www.itu.int/net4/wsis/forum/2024/Files/outcomes/draft/WSIS20ForumHighLevelEvent2024-ChairsSummary.pdf" TargetMode="External"/><Relationship Id="rId277" Type="http://schemas.openxmlformats.org/officeDocument/2006/relationships/hyperlink" Target="https://www.itu.int/en/ITU-D/Statistics/Pages/IDI/default.aspx" TargetMode="External"/><Relationship Id="rId298" Type="http://schemas.openxmlformats.org/officeDocument/2006/relationships/hyperlink" Target="https://www.itu.int/net4/wsis/forum/2024/fr/Agenda/SpecialTrack/29" TargetMode="External"/><Relationship Id="rId116" Type="http://schemas.openxmlformats.org/officeDocument/2006/relationships/hyperlink" Target="https://www.itu.int/net4/wsis/forum/2024/Files/outcomes/draft/WSISStocktakingReport2024_Draft.pdf" TargetMode="External"/><Relationship Id="rId137" Type="http://schemas.openxmlformats.org/officeDocument/2006/relationships/hyperlink" Target="https://www.itu.int/pub/S-POL-WSIS.REP-2014/fr" TargetMode="External"/><Relationship Id="rId158" Type="http://schemas.openxmlformats.org/officeDocument/2006/relationships/hyperlink" Target="https://www.itu.int/net4/wsis/stocktaking/Prizes/2025" TargetMode="External"/><Relationship Id="rId302" Type="http://schemas.openxmlformats.org/officeDocument/2006/relationships/hyperlink" Target="https://docs.un.org/fr/A/RES/79/194" TargetMode="External"/><Relationship Id="rId323" Type="http://schemas.openxmlformats.org/officeDocument/2006/relationships/hyperlink" Target="https://www.itu.int/net/wsis/implementation/2014/forum/" TargetMode="External"/><Relationship Id="rId344" Type="http://schemas.openxmlformats.org/officeDocument/2006/relationships/hyperlink" Target="https://www.itu.int/metaverse/" TargetMode="External"/><Relationship Id="rId20" Type="http://schemas.openxmlformats.org/officeDocument/2006/relationships/hyperlink" Target="https://www.itu.int/md/S24-CL-C-0141/fr" TargetMode="External"/><Relationship Id="rId41" Type="http://schemas.openxmlformats.org/officeDocument/2006/relationships/hyperlink" Target="https://www.itu.int/net/wsis/basic/roles.html" TargetMode="External"/><Relationship Id="rId62" Type="http://schemas.openxmlformats.org/officeDocument/2006/relationships/hyperlink" Target="https://www.itu.int/itu-d/sites/ict-applications/fr/" TargetMode="External"/><Relationship Id="rId83" Type="http://schemas.openxmlformats.org/officeDocument/2006/relationships/hyperlink" Target="https://www.itu.int/en/itu-wsis/Documents/ITUContribution/2013_ITU_Contribution_to-WSIS-Implementation.pdf" TargetMode="External"/><Relationship Id="rId179" Type="http://schemas.openxmlformats.org/officeDocument/2006/relationships/hyperlink" Target="https://www.itu.int/fr/ITU-R/Conferences/WRC/Pages/default.aspx" TargetMode="External"/><Relationship Id="rId190" Type="http://schemas.openxmlformats.org/officeDocument/2006/relationships/hyperlink" Target="https://www.itu.int/en/ITU-D/Cybersecurity/Pages/Cyber4Good/Cyber4Good.aspx" TargetMode="External"/><Relationship Id="rId204" Type="http://schemas.openxmlformats.org/officeDocument/2006/relationships/hyperlink" Target="https://council.itu.int/2025/en/" TargetMode="External"/><Relationship Id="rId225" Type="http://schemas.openxmlformats.org/officeDocument/2006/relationships/hyperlink" Target="https://www.broadbandcommission.org/recommendations/" TargetMode="External"/><Relationship Id="rId246" Type="http://schemas.openxmlformats.org/officeDocument/2006/relationships/hyperlink" Target="https://www.itu.int/en/ITU-D/Cybersecurity/Pages/global-partnership.aspx" TargetMode="External"/><Relationship Id="rId267" Type="http://schemas.openxmlformats.org/officeDocument/2006/relationships/hyperlink" Target="https://www.itu.int/en/ITU-D/Statistics/Pages/stat/default.aspx" TargetMode="External"/><Relationship Id="rId288" Type="http://schemas.openxmlformats.org/officeDocument/2006/relationships/hyperlink" Target="https://docs.un.org/fr/A/RES/70/125" TargetMode="External"/><Relationship Id="rId106" Type="http://schemas.openxmlformats.org/officeDocument/2006/relationships/hyperlink" Target="https://www.itu.int/net4/wsis/forum/2017/" TargetMode="External"/><Relationship Id="rId127" Type="http://schemas.openxmlformats.org/officeDocument/2006/relationships/hyperlink" Target="https://www.itu.int/net4/wsis/forum/2019/Files/Outcomes/DRAFT-WSISStocktakingReport2019-en.pdf" TargetMode="External"/><Relationship Id="rId313" Type="http://schemas.openxmlformats.org/officeDocument/2006/relationships/hyperlink" Target="https://aiforgood.itu.int/harnessing-ai-and-space-technologies-for-a-sustainable-inclusive-future-key-takeaways-from-global-discussions-at-unga-and-beyond/" TargetMode="External"/><Relationship Id="rId10" Type="http://schemas.openxmlformats.org/officeDocument/2006/relationships/hyperlink" Target="https://docs.un.org/fr/A/RES/70/1" TargetMode="External"/><Relationship Id="rId31" Type="http://schemas.openxmlformats.org/officeDocument/2006/relationships/hyperlink" Target="https://www.itu.int/dms_pub/itu-s/md/22/cl/c/S22-CL-C-0059!!MSW-F.docx" TargetMode="External"/><Relationship Id="rId52" Type="http://schemas.openxmlformats.org/officeDocument/2006/relationships/hyperlink" Target="https://www.itu.int/en/itu-wsis/Pages/Roadmaps.aspx" TargetMode="External"/><Relationship Id="rId73" Type="http://schemas.openxmlformats.org/officeDocument/2006/relationships/hyperlink" Target="https://www.itu.int/en/itu-wsis/Documents/ITUContribution/2023_ITU_Contribution_to_WSIS-Implementation-DRAFT-20231020.pdf" TargetMode="External"/><Relationship Id="rId94" Type="http://schemas.openxmlformats.org/officeDocument/2006/relationships/hyperlink" Target="https://www.itu.int/en/itu-wsis/Documents/Roadmaps/WSIS-AL-Roadmaps_2016-Update_E.v1.1.pdf" TargetMode="External"/><Relationship Id="rId148" Type="http://schemas.openxmlformats.org/officeDocument/2006/relationships/hyperlink" Target="https://www.itu.int/net4/wsis/stocktaking/Content/doc/reports/2022/WSISStocktaking2022_Region_ArabStates.pdf" TargetMode="External"/><Relationship Id="rId169" Type="http://schemas.openxmlformats.org/officeDocument/2006/relationships/hyperlink" Target="https://www.itu.int/net4/wsis/stocktaking/Prizes/2015/Winners" TargetMode="External"/><Relationship Id="rId334" Type="http://schemas.openxmlformats.org/officeDocument/2006/relationships/hyperlink" Target="https://www.itu.int/hub/pubs/" TargetMode="External"/><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www.sdg-digital.org/" TargetMode="External"/><Relationship Id="rId215" Type="http://schemas.openxmlformats.org/officeDocument/2006/relationships/hyperlink" Target="https://www.itu.int/en/council/Documents/basic-texts-2023/RES-071-F.pdf" TargetMode="External"/><Relationship Id="rId236" Type="http://schemas.openxmlformats.org/officeDocument/2006/relationships/hyperlink" Target="https://www.itu.int/en/ITU-T/publications/Pages/recs.aspx" TargetMode="External"/><Relationship Id="rId257" Type="http://schemas.openxmlformats.org/officeDocument/2006/relationships/hyperlink" Target="https://www.itu.int/net4/wsis/forum/2024/Files/outcomes/draft/WSIS20ForumHighLevelEvent-OutcomeDocument_DRAFT.pdf" TargetMode="External"/><Relationship Id="rId278" Type="http://schemas.openxmlformats.org/officeDocument/2006/relationships/hyperlink" Target="https://www.itu.int/en/ITU-D/Statistics/Pages/SDGs-ITU-ICT-indicators.aspx" TargetMode="External"/><Relationship Id="rId303" Type="http://schemas.openxmlformats.org/officeDocument/2006/relationships/hyperlink" Target="https://www.un.org/pga/79/2025/02/07/letter-from-president-general-assembly-on-world-summit-on-the-information-society-zero-draft/" TargetMode="External"/><Relationship Id="rId42" Type="http://schemas.openxmlformats.org/officeDocument/2006/relationships/hyperlink" Target="https://www.itu.int/net4/wsis/stocktaking" TargetMode="External"/><Relationship Id="rId84" Type="http://schemas.openxmlformats.org/officeDocument/2006/relationships/hyperlink" Target="https://www.itu.int/en/itu-wsis/Documents/ITUContribution/2012_ITU_Contribution_to_WSIS-Implementation.pdf" TargetMode="External"/><Relationship Id="rId138" Type="http://schemas.openxmlformats.org/officeDocument/2006/relationships/hyperlink" Target="https://www.itu.int/pub/S-POL-WSIS.SUCC_STORIES-2014/fr" TargetMode="External"/><Relationship Id="rId345" Type="http://schemas.openxmlformats.org/officeDocument/2006/relationships/hyperlink" Target="https://www.itu.int/metaverse/virtual-worlds/" TargetMode="External"/><Relationship Id="rId191" Type="http://schemas.openxmlformats.org/officeDocument/2006/relationships/hyperlink" Target="https://www.itu.int/en/ITU-D/Cybersecurity/Pages/global-cybersecurity-index.aspx" TargetMode="External"/><Relationship Id="rId205" Type="http://schemas.openxmlformats.org/officeDocument/2006/relationships/hyperlink" Target="https://www.itu.int/en/history/Pages/PlenipotentiaryConferences.aspx?conf=4.7" TargetMode="External"/><Relationship Id="rId247" Type="http://schemas.openxmlformats.org/officeDocument/2006/relationships/hyperlink" Target="https://www.itu.int/md/S23-CL-C-0124/fr" TargetMode="External"/><Relationship Id="rId107" Type="http://schemas.openxmlformats.org/officeDocument/2006/relationships/hyperlink" Target="https://www.itu.int/net4/wsis/forum/2016/" TargetMode="External"/><Relationship Id="rId289" Type="http://schemas.openxmlformats.org/officeDocument/2006/relationships/hyperlink" Target="https://www.itu.int/net/wsis/implementation/2014/forum/" TargetMode="External"/><Relationship Id="rId11" Type="http://schemas.openxmlformats.org/officeDocument/2006/relationships/hyperlink" Target="https://docs.un.org/fr/A/RES/77/150" TargetMode="External"/><Relationship Id="rId53" Type="http://schemas.openxmlformats.org/officeDocument/2006/relationships/hyperlink" Target="https://www.itu.int/net4/wsis/stocktaking/Prizes/2025" TargetMode="External"/><Relationship Id="rId149" Type="http://schemas.openxmlformats.org/officeDocument/2006/relationships/hyperlink" Target="https://www.itu.int/net4/wsis/stocktaking/Content/doc/reports/2022/WSISStocktaking2022_Region_AsiaPacific.pdf" TargetMode="External"/><Relationship Id="rId314" Type="http://schemas.openxmlformats.org/officeDocument/2006/relationships/hyperlink" Target="https://www.itu.int/hub/2024/05/what-is-the-future-of-global-digital-cooperation/" TargetMode="External"/><Relationship Id="rId95" Type="http://schemas.openxmlformats.org/officeDocument/2006/relationships/hyperlink" Target="https://www.itu.int/net4/wsis/forum/2024/fr" TargetMode="External"/><Relationship Id="rId160" Type="http://schemas.openxmlformats.org/officeDocument/2006/relationships/hyperlink" Target="https://www.itu.int/net4/wsis/stocktaking/Prizes/2024/Winners" TargetMode="External"/><Relationship Id="rId216" Type="http://schemas.openxmlformats.org/officeDocument/2006/relationships/hyperlink" Target="https://www.itu.int/md/S24-CL-C-0141/fr" TargetMode="External"/><Relationship Id="rId258" Type="http://schemas.openxmlformats.org/officeDocument/2006/relationships/hyperlink" Target="https://www.itu.int/net4/wsis/forum/2024/Files/outcomes/draft/WSIS20ForumHighLevelEvent2024-OutcomesAndExecutiveBrief_DRAFT.pdf" TargetMode="External"/><Relationship Id="rId22" Type="http://schemas.openxmlformats.org/officeDocument/2006/relationships/hyperlink" Target="https://www.itu.int/dms_pub/itu-d/opb/tdc/D-TDC-WTDC-2022-PDF-F.pdf" TargetMode="External"/><Relationship Id="rId64" Type="http://schemas.openxmlformats.org/officeDocument/2006/relationships/hyperlink" Target="https://www.itu.int/fr/ITU-R/Pages/default.aspx" TargetMode="External"/><Relationship Id="rId118" Type="http://schemas.openxmlformats.org/officeDocument/2006/relationships/hyperlink" Target="https://www.itu.int/net4/wsis/forum/2024/Files/outcomes/draft/WSISStocktakingSpecialReport_ROKTimeline.pdf" TargetMode="External"/><Relationship Id="rId325" Type="http://schemas.openxmlformats.org/officeDocument/2006/relationships/hyperlink" Target="https://www.itu.int/net4/wsis/forum/2025/fr" TargetMode="External"/><Relationship Id="rId171" Type="http://schemas.openxmlformats.org/officeDocument/2006/relationships/hyperlink" Target="https://www.itu.int/net4/wsis/stocktaking/Prizes/2013/Winners" TargetMode="External"/><Relationship Id="rId227" Type="http://schemas.openxmlformats.org/officeDocument/2006/relationships/hyperlink" Target="https://www.itu.int/net4/wsis/forum/2024/Files/actionlines/WSISActionLineC2-ITU.pdf" TargetMode="External"/><Relationship Id="rId269" Type="http://schemas.openxmlformats.org/officeDocument/2006/relationships/hyperlink" Target="https://www.itu.int/en/ITU-D/Statistics/Pages/definitions/default.aspx" TargetMode="External"/><Relationship Id="rId33" Type="http://schemas.openxmlformats.org/officeDocument/2006/relationships/hyperlink" Target="https://www.itu.int/dms_pub/itu-s/md/24/cwgwsis41/c/S24-CWGWSIS41-C-0017!!MSW-E.docx" TargetMode="External"/><Relationship Id="rId129" Type="http://schemas.openxmlformats.org/officeDocument/2006/relationships/hyperlink" Target="https://www.itu.int/pub/S-POL-WSIS.REP-2018/fr" TargetMode="External"/><Relationship Id="rId280" Type="http://schemas.openxmlformats.org/officeDocument/2006/relationships/hyperlink" Target="https://www.itu.int/en/council/Documents/basic-texts-2023/RES-214-F.pdf" TargetMode="External"/><Relationship Id="rId336" Type="http://schemas.openxmlformats.org/officeDocument/2006/relationships/hyperlink" Target="https://www.itu.int/cities/" TargetMode="External"/><Relationship Id="rId75" Type="http://schemas.openxmlformats.org/officeDocument/2006/relationships/hyperlink" Target="https://www.itu.int/en/itu-wsis/Documents/ITUContribution/2021_ITU_Contribution_to_WSIS-Implementation-20211025.pdf" TargetMode="External"/><Relationship Id="rId140" Type="http://schemas.openxmlformats.org/officeDocument/2006/relationships/hyperlink" Target="https://www.itu.int/pub/S-POL-WSIS.SUCC_STORIES-2013/fr" TargetMode="External"/><Relationship Id="rId182" Type="http://schemas.openxmlformats.org/officeDocument/2006/relationships/hyperlink" Target="https://www.itu.int/en/sustainable-world/Documents/Fast-forward_progress_report_414709%20FINAL.pdf?source=post_page---------------------------" TargetMode="External"/><Relationship Id="rId6" Type="http://schemas.openxmlformats.org/officeDocument/2006/relationships/footnotes" Target="footnotes.xml"/><Relationship Id="rId238" Type="http://schemas.openxmlformats.org/officeDocument/2006/relationships/hyperlink" Target="https://www.itu.int/pub/R-REC/fr" TargetMode="External"/><Relationship Id="rId291" Type="http://schemas.openxmlformats.org/officeDocument/2006/relationships/hyperlink" Target="https://www.itu.int/net/wsis/implementation/2014/forum/dam/documents.html" TargetMode="External"/><Relationship Id="rId305" Type="http://schemas.openxmlformats.org/officeDocument/2006/relationships/hyperlink" Target="https://www.itu.int/net4/wsis/forum/2024/fr/Home/About" TargetMode="External"/><Relationship Id="rId347" Type="http://schemas.openxmlformats.org/officeDocument/2006/relationships/hyperlink" Target="https://aiforgood.itu.int/" TargetMode="External"/><Relationship Id="rId44" Type="http://schemas.openxmlformats.org/officeDocument/2006/relationships/hyperlink" Target="https://www.itu.int/net/wsis/documents/doc_multi.asp?lang=fr?&amp;id=1161|1160" TargetMode="External"/><Relationship Id="rId86" Type="http://schemas.openxmlformats.org/officeDocument/2006/relationships/hyperlink" Target="https://www.itu.int/dms_pub/itu-d/opb/tdc/D-TDC-WTDC-2022-PDF-F.pdf" TargetMode="External"/><Relationship Id="rId151" Type="http://schemas.openxmlformats.org/officeDocument/2006/relationships/hyperlink" Target="https://www.itu.int/net4/wsis/stocktaking/Content/doc/reports/2022/WSISStocktaking2022_Region_Europe.pdf" TargetMode="External"/><Relationship Id="rId193" Type="http://schemas.openxmlformats.org/officeDocument/2006/relationships/hyperlink" Target="https://www.broadbandcommission.org/publication/state-of-broadband-2024/" TargetMode="External"/><Relationship Id="rId207" Type="http://schemas.openxmlformats.org/officeDocument/2006/relationships/hyperlink" Target="https://www.itu.int/en/council/cwg-wsis/Documents/Resolution172-PP10.pdf" TargetMode="External"/><Relationship Id="rId249" Type="http://schemas.openxmlformats.org/officeDocument/2006/relationships/hyperlink" Target="https://www.itu.int/net4/wsis/forum/2024/Files/actionlines/WSISActionLineC6-ITU.pdf" TargetMode="External"/><Relationship Id="rId13" Type="http://schemas.openxmlformats.org/officeDocument/2006/relationships/hyperlink" Target="https://docs.un.org/fr/A/RES/70/299" TargetMode="External"/><Relationship Id="rId109" Type="http://schemas.openxmlformats.org/officeDocument/2006/relationships/hyperlink" Target="https://www.itu.int/net/wsis/implementation/2014/forum/" TargetMode="External"/><Relationship Id="rId260" Type="http://schemas.openxmlformats.org/officeDocument/2006/relationships/hyperlink" Target="https://www.itu.int/net4/wsis/forum/2024/Files/outcomes/draft/WSISStocktakingSuccessStories2024_Draft.pdf" TargetMode="External"/><Relationship Id="rId316" Type="http://schemas.openxmlformats.org/officeDocument/2006/relationships/hyperlink" Target="https://www.itu.int/en/itu-wsis/Pages/default.aspx" TargetMode="External"/><Relationship Id="rId55" Type="http://schemas.openxmlformats.org/officeDocument/2006/relationships/hyperlink" Target="https://www.equalsintech.org/" TargetMode="External"/><Relationship Id="rId97" Type="http://schemas.openxmlformats.org/officeDocument/2006/relationships/hyperlink" Target="https://www.itu.int/net4/wsis/forum/2024/fr/Home/DigitalServiceDesign" TargetMode="External"/><Relationship Id="rId120" Type="http://schemas.openxmlformats.org/officeDocument/2006/relationships/hyperlink" Target="https://www.itu.int/net4/wsis/stocktaking/Content/doc/reports/2023/WSISStocktakingSuccessStories2023-Draft.pdf" TargetMode="External"/><Relationship Id="rId162" Type="http://schemas.openxmlformats.org/officeDocument/2006/relationships/hyperlink" Target="https://www.itu.int/net4/wsis/stocktaking/Prizes/2022/Winners" TargetMode="External"/><Relationship Id="rId218" Type="http://schemas.openxmlformats.org/officeDocument/2006/relationships/hyperlink" Target="https://www.itu.int/dms_pub/itu-d/opb/tdc/D-TDC-WTDC-2022-PDF-F.pdf" TargetMode="External"/><Relationship Id="rId271" Type="http://schemas.openxmlformats.org/officeDocument/2006/relationships/hyperlink" Target="https://www.itu.int/en/ITU-D/Statistics/Pages/intlcoop/default.aspx" TargetMode="External"/><Relationship Id="rId24" Type="http://schemas.openxmlformats.org/officeDocument/2006/relationships/hyperlink" Target="https://www.itu.int/pub/R-RES-R.61/fr" TargetMode="External"/><Relationship Id="rId66" Type="http://schemas.openxmlformats.org/officeDocument/2006/relationships/hyperlink" Target="https://aiforgood.itu.int/" TargetMode="External"/><Relationship Id="rId131" Type="http://schemas.openxmlformats.org/officeDocument/2006/relationships/hyperlink" Target="https://www.itu.int/pub/S-POL-WSIS.REP-2017/fr" TargetMode="External"/><Relationship Id="rId327" Type="http://schemas.openxmlformats.org/officeDocument/2006/relationships/hyperlink" Target="https://www.itu.int/net4/wsis/stocktaking/Prizes/2025" TargetMode="External"/><Relationship Id="rId173" Type="http://schemas.openxmlformats.org/officeDocument/2006/relationships/hyperlink" Target="https://www.itu.int/fr/ITU-D/Statistics/Pages/intlcoop/partnership/default.aspx" TargetMode="External"/><Relationship Id="rId229" Type="http://schemas.openxmlformats.org/officeDocument/2006/relationships/hyperlink" Target="https://www.itu.int/en/itu-wsis/Pages/Roadmaps.aspx" TargetMode="External"/><Relationship Id="rId240" Type="http://schemas.openxmlformats.org/officeDocument/2006/relationships/hyperlink" Target="https://www.itu.int/en/ITU-D/Cybersecurity/Pages/cyberdrills.aspx" TargetMode="External"/><Relationship Id="rId35" Type="http://schemas.openxmlformats.org/officeDocument/2006/relationships/hyperlink" Target="https://www.itu.int/net/wsis/review/2025.html" TargetMode="External"/><Relationship Id="rId77" Type="http://schemas.openxmlformats.org/officeDocument/2006/relationships/hyperlink" Target="https://www.itu.int/en/itu-wsis/Documents/ITUContribution/2019_ITU_Contribution_to_WSIS-Implementation-20200716.pdf" TargetMode="External"/><Relationship Id="rId100" Type="http://schemas.openxmlformats.org/officeDocument/2006/relationships/hyperlink" Target="https://www.itu.int/net4/wsis/forum/2023/fr" TargetMode="External"/><Relationship Id="rId282" Type="http://schemas.openxmlformats.org/officeDocument/2006/relationships/hyperlink" Target="https://docs.un.org/fr/A/RES/78/311" TargetMode="External"/><Relationship Id="rId338" Type="http://schemas.openxmlformats.org/officeDocument/2006/relationships/hyperlink" Target="https://toolkit-dt4c.itu.int/" TargetMode="External"/><Relationship Id="rId8" Type="http://schemas.openxmlformats.org/officeDocument/2006/relationships/hyperlink" Target="https://www.itu.int/en/council/cwg-wsis/Pages/default.aspx" TargetMode="External"/><Relationship Id="rId142" Type="http://schemas.openxmlformats.org/officeDocument/2006/relationships/hyperlink" Target="https://www.itu.int/pub/S-POL-WSIS.SUCC_STORIES-2012/fr" TargetMode="External"/><Relationship Id="rId184" Type="http://schemas.openxmlformats.org/officeDocument/2006/relationships/hyperlink" Target="https://docs.un.org/fr/A/RES/70/125"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Statistics/pages/facts/default.aspx" TargetMode="External"/><Relationship Id="rId1" Type="http://schemas.openxmlformats.org/officeDocument/2006/relationships/hyperlink" Target="https://www.itu.int/net4/wsis/forum/2024/Files/outcomes/draft/WSIS20ForumHighLevelEvent2024-ChairsSummar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947E-829D-4FF3-AD54-2AB4B356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PF_Council25.dotx</Template>
  <TotalTime>3</TotalTime>
  <Pages>98</Pages>
  <Words>48319</Words>
  <Characters>273972</Characters>
  <Application>Microsoft Office Word</Application>
  <DocSecurity>0</DocSecurity>
  <Lines>4981</Lines>
  <Paragraphs>1485</Paragraphs>
  <ScaleCrop>false</ScaleCrop>
  <HeadingPairs>
    <vt:vector size="2" baseType="variant">
      <vt:variant>
        <vt:lpstr>Title</vt:lpstr>
      </vt:variant>
      <vt:variant>
        <vt:i4>1</vt:i4>
      </vt:variant>
    </vt:vector>
  </HeadingPairs>
  <TitlesOfParts>
    <vt:vector size="1" baseType="lpstr">
      <vt:lpstr>Rapport sur le SMSI+20 sur la contribution de l'UIT à la mise en œuvre et au suivi des résultats du SMSI et son rôle dans la réalisation des ODD</vt:lpstr>
    </vt:vector>
  </TitlesOfParts>
  <Manager>Secrétariat général - Pool</Manager>
  <Company>Union internationale des télécommunications (UIT)</Company>
  <LinksUpToDate>false</LinksUpToDate>
  <CharactersWithSpaces>320806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SMSI+20 sur la contribution de l'UIT à la mise en œuvre et au suivi des résultats du SMSI et son rôle dans la réalisation des ODD</dc:title>
  <dc:subject>Conseil 2025 de l'UIT</dc:subject>
  <cp:keywords>C2025, C25, Council-25</cp:keywords>
  <dc:description/>
  <cp:lastPrinted>2000-07-18T08:55:00Z</cp:lastPrinted>
  <dcterms:created xsi:type="dcterms:W3CDTF">2025-06-11T14:12:00Z</dcterms:created>
  <dcterms:modified xsi:type="dcterms:W3CDTF">2025-06-11T14:13:00Z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