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779B3" w14:paraId="3E1C2769" w14:textId="77777777" w:rsidTr="68EF33E5">
        <w:trPr>
          <w:cantSplit/>
          <w:trHeight w:val="23"/>
        </w:trPr>
        <w:tc>
          <w:tcPr>
            <w:tcW w:w="3969" w:type="dxa"/>
            <w:vMerge w:val="restart"/>
            <w:tcMar>
              <w:left w:w="0" w:type="dxa"/>
            </w:tcMar>
          </w:tcPr>
          <w:p w14:paraId="7147B863" w14:textId="33CC7FED" w:rsidR="00AD3606" w:rsidRPr="009779B3"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9779B3">
              <w:rPr>
                <w:b/>
              </w:rPr>
              <w:t xml:space="preserve">Agenda item: </w:t>
            </w:r>
            <w:r w:rsidR="00B4714F" w:rsidRPr="009779B3">
              <w:rPr>
                <w:b/>
              </w:rPr>
              <w:t>ADM 3</w:t>
            </w:r>
          </w:p>
        </w:tc>
        <w:tc>
          <w:tcPr>
            <w:tcW w:w="5245" w:type="dxa"/>
          </w:tcPr>
          <w:p w14:paraId="6779937E" w14:textId="661D18B4" w:rsidR="00AD3606" w:rsidRPr="009779B3" w:rsidRDefault="00AD3606" w:rsidP="00472BAD">
            <w:pPr>
              <w:tabs>
                <w:tab w:val="left" w:pos="851"/>
              </w:tabs>
              <w:spacing w:before="0" w:line="240" w:lineRule="atLeast"/>
              <w:jc w:val="right"/>
              <w:rPr>
                <w:b/>
              </w:rPr>
            </w:pPr>
            <w:r w:rsidRPr="009779B3">
              <w:rPr>
                <w:b/>
              </w:rPr>
              <w:t>Document C2</w:t>
            </w:r>
            <w:r w:rsidR="00BF1FDE" w:rsidRPr="009779B3">
              <w:rPr>
                <w:b/>
              </w:rPr>
              <w:t>5</w:t>
            </w:r>
            <w:r w:rsidRPr="009779B3">
              <w:rPr>
                <w:b/>
              </w:rPr>
              <w:t>/</w:t>
            </w:r>
            <w:r w:rsidR="00B4714F" w:rsidRPr="009779B3">
              <w:rPr>
                <w:b/>
              </w:rPr>
              <w:t>60</w:t>
            </w:r>
            <w:r w:rsidRPr="009779B3">
              <w:rPr>
                <w:b/>
              </w:rPr>
              <w:t>-E</w:t>
            </w:r>
          </w:p>
        </w:tc>
      </w:tr>
      <w:tr w:rsidR="00AD3606" w:rsidRPr="009779B3" w14:paraId="3E3F9DA5" w14:textId="77777777" w:rsidTr="68EF33E5">
        <w:trPr>
          <w:cantSplit/>
        </w:trPr>
        <w:tc>
          <w:tcPr>
            <w:tcW w:w="3969" w:type="dxa"/>
            <w:vMerge/>
          </w:tcPr>
          <w:p w14:paraId="5920AA6E" w14:textId="77777777" w:rsidR="00AD3606" w:rsidRPr="009779B3"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6EEB8050" w:rsidR="00AD3606" w:rsidRPr="009779B3" w:rsidRDefault="00294838" w:rsidP="00AD3606">
            <w:pPr>
              <w:tabs>
                <w:tab w:val="left" w:pos="851"/>
              </w:tabs>
              <w:spacing w:before="0"/>
              <w:jc w:val="right"/>
              <w:rPr>
                <w:b/>
              </w:rPr>
            </w:pPr>
            <w:r>
              <w:rPr>
                <w:b/>
              </w:rPr>
              <w:t>1</w:t>
            </w:r>
            <w:r w:rsidR="00BD2294">
              <w:rPr>
                <w:b/>
              </w:rPr>
              <w:t>9</w:t>
            </w:r>
            <w:r w:rsidRPr="009779B3">
              <w:rPr>
                <w:b/>
              </w:rPr>
              <w:t xml:space="preserve"> </w:t>
            </w:r>
            <w:r w:rsidR="00B4714F" w:rsidRPr="009779B3">
              <w:rPr>
                <w:b/>
              </w:rPr>
              <w:t>May 2025</w:t>
            </w:r>
          </w:p>
        </w:tc>
      </w:tr>
      <w:tr w:rsidR="00AD3606" w:rsidRPr="009779B3" w14:paraId="75730376" w14:textId="77777777" w:rsidTr="68EF33E5">
        <w:trPr>
          <w:cantSplit/>
          <w:trHeight w:val="23"/>
        </w:trPr>
        <w:tc>
          <w:tcPr>
            <w:tcW w:w="3969" w:type="dxa"/>
            <w:vMerge/>
          </w:tcPr>
          <w:p w14:paraId="298F937E" w14:textId="77777777" w:rsidR="00AD3606" w:rsidRPr="009779B3"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9779B3" w:rsidRDefault="00AD3606" w:rsidP="00AD3606">
            <w:pPr>
              <w:tabs>
                <w:tab w:val="left" w:pos="851"/>
              </w:tabs>
              <w:spacing w:before="0" w:line="240" w:lineRule="atLeast"/>
              <w:jc w:val="right"/>
              <w:rPr>
                <w:b/>
              </w:rPr>
            </w:pPr>
            <w:r w:rsidRPr="009779B3">
              <w:rPr>
                <w:b/>
              </w:rPr>
              <w:t>Original: English</w:t>
            </w:r>
          </w:p>
        </w:tc>
      </w:tr>
      <w:tr w:rsidR="00472BAD" w:rsidRPr="009779B3" w14:paraId="14DA91C4" w14:textId="77777777" w:rsidTr="68EF33E5">
        <w:trPr>
          <w:cantSplit/>
          <w:trHeight w:val="23"/>
        </w:trPr>
        <w:tc>
          <w:tcPr>
            <w:tcW w:w="3969" w:type="dxa"/>
          </w:tcPr>
          <w:p w14:paraId="5858B25D" w14:textId="77777777" w:rsidR="00472BAD" w:rsidRPr="009779B3" w:rsidRDefault="00472BAD" w:rsidP="00AD3606">
            <w:pPr>
              <w:tabs>
                <w:tab w:val="left" w:pos="851"/>
              </w:tabs>
              <w:spacing w:line="240" w:lineRule="atLeast"/>
              <w:rPr>
                <w:b/>
              </w:rPr>
            </w:pPr>
          </w:p>
        </w:tc>
        <w:tc>
          <w:tcPr>
            <w:tcW w:w="5245" w:type="dxa"/>
          </w:tcPr>
          <w:p w14:paraId="5DBF7439" w14:textId="77777777" w:rsidR="00472BAD" w:rsidRPr="009779B3" w:rsidRDefault="00472BAD" w:rsidP="00AD3606">
            <w:pPr>
              <w:tabs>
                <w:tab w:val="left" w:pos="851"/>
              </w:tabs>
              <w:spacing w:before="0" w:line="240" w:lineRule="atLeast"/>
              <w:jc w:val="right"/>
              <w:rPr>
                <w:b/>
              </w:rPr>
            </w:pPr>
          </w:p>
        </w:tc>
      </w:tr>
      <w:tr w:rsidR="00AD3606" w:rsidRPr="009779B3" w14:paraId="2481FF59" w14:textId="77777777" w:rsidTr="68EF33E5">
        <w:trPr>
          <w:cantSplit/>
        </w:trPr>
        <w:tc>
          <w:tcPr>
            <w:tcW w:w="9214" w:type="dxa"/>
            <w:gridSpan w:val="2"/>
            <w:tcMar>
              <w:left w:w="0" w:type="dxa"/>
            </w:tcMar>
          </w:tcPr>
          <w:p w14:paraId="2016C4A0" w14:textId="2706D14C" w:rsidR="00AD3606" w:rsidRPr="009779B3" w:rsidRDefault="1FE50AAE" w:rsidP="000F7289">
            <w:pPr>
              <w:pStyle w:val="Source"/>
              <w:framePr w:hSpace="0" w:wrap="auto" w:vAnchor="margin" w:hAnchor="text" w:xAlign="left" w:yAlign="inline"/>
            </w:pPr>
            <w:bookmarkStart w:id="8" w:name="dsource"/>
            <w:bookmarkEnd w:id="7"/>
            <w:r w:rsidRPr="009779B3">
              <w:t xml:space="preserve">Report by the </w:t>
            </w:r>
            <w:r w:rsidR="6CBA42A8" w:rsidRPr="009779B3">
              <w:t>Secretar</w:t>
            </w:r>
            <w:r w:rsidR="005815C7" w:rsidRPr="009779B3">
              <w:t>y-Genera</w:t>
            </w:r>
            <w:r w:rsidR="662D3D46" w:rsidRPr="009779B3">
              <w:t>l</w:t>
            </w:r>
          </w:p>
        </w:tc>
      </w:tr>
      <w:tr w:rsidR="00AD3606" w:rsidRPr="009779B3" w14:paraId="3A759762" w14:textId="77777777" w:rsidTr="68EF33E5">
        <w:trPr>
          <w:cantSplit/>
        </w:trPr>
        <w:tc>
          <w:tcPr>
            <w:tcW w:w="9214" w:type="dxa"/>
            <w:gridSpan w:val="2"/>
            <w:tcMar>
              <w:left w:w="0" w:type="dxa"/>
            </w:tcMar>
          </w:tcPr>
          <w:p w14:paraId="2A2DCF47" w14:textId="458EEFA9" w:rsidR="00AD3606" w:rsidRPr="009779B3" w:rsidRDefault="005815C7" w:rsidP="000F7289">
            <w:pPr>
              <w:pStyle w:val="Subtitle"/>
              <w:framePr w:hSpace="0" w:wrap="auto" w:xAlign="left" w:yAlign="inline"/>
            </w:pPr>
            <w:bookmarkStart w:id="9" w:name="dtitle1" w:colFirst="0" w:colLast="0"/>
            <w:bookmarkEnd w:id="8"/>
            <w:r w:rsidRPr="009779B3">
              <w:t>BUSINESS CONTINUITY MODALITIES FOR ITU MEETINGS 2028-2029</w:t>
            </w:r>
          </w:p>
        </w:tc>
      </w:tr>
      <w:tr w:rsidR="00AD3606" w:rsidRPr="009779B3" w14:paraId="72B25568" w14:textId="77777777" w:rsidTr="68EF33E5">
        <w:trPr>
          <w:cantSplit/>
        </w:trPr>
        <w:tc>
          <w:tcPr>
            <w:tcW w:w="9214" w:type="dxa"/>
            <w:gridSpan w:val="2"/>
            <w:tcBorders>
              <w:top w:val="single" w:sz="4" w:space="0" w:color="auto"/>
              <w:bottom w:val="single" w:sz="4" w:space="0" w:color="auto"/>
            </w:tcBorders>
            <w:tcMar>
              <w:left w:w="0" w:type="dxa"/>
            </w:tcMar>
          </w:tcPr>
          <w:p w14:paraId="4C3D541B" w14:textId="1024FD2F" w:rsidR="00AD3606" w:rsidRPr="009779B3" w:rsidRDefault="00F16BAB" w:rsidP="00F16BAB">
            <w:pPr>
              <w:spacing w:before="160"/>
              <w:rPr>
                <w:b/>
                <w:bCs/>
                <w:sz w:val="26"/>
                <w:szCs w:val="26"/>
              </w:rPr>
            </w:pPr>
            <w:r w:rsidRPr="009779B3">
              <w:rPr>
                <w:b/>
                <w:bCs/>
                <w:sz w:val="26"/>
                <w:szCs w:val="26"/>
              </w:rPr>
              <w:t>Purpose</w:t>
            </w:r>
          </w:p>
          <w:p w14:paraId="0D63A8ED" w14:textId="441E43F9" w:rsidR="00DD505B" w:rsidRPr="009779B3" w:rsidRDefault="008052F6" w:rsidP="005815C7">
            <w:pPr>
              <w:jc w:val="both"/>
              <w:rPr>
                <w:szCs w:val="24"/>
              </w:rPr>
            </w:pPr>
            <w:r w:rsidRPr="009779B3">
              <w:rPr>
                <w:szCs w:val="24"/>
              </w:rPr>
              <w:t>This report is submitted at the request of the Chair of the Council Working Group on financial and human resources</w:t>
            </w:r>
            <w:r w:rsidR="00782008" w:rsidRPr="009779B3">
              <w:rPr>
                <w:szCs w:val="24"/>
              </w:rPr>
              <w:t xml:space="preserve"> (CWG-FHR) following</w:t>
            </w:r>
            <w:r w:rsidR="008F219C" w:rsidRPr="009779B3">
              <w:rPr>
                <w:szCs w:val="24"/>
              </w:rPr>
              <w:t xml:space="preserve"> the</w:t>
            </w:r>
            <w:r w:rsidR="00782008" w:rsidRPr="009779B3">
              <w:rPr>
                <w:szCs w:val="24"/>
              </w:rPr>
              <w:t xml:space="preserve"> presentation of an initial document on business continuity modalities for ITU meetings during the construction period of the new </w:t>
            </w:r>
            <w:proofErr w:type="spellStart"/>
            <w:r w:rsidR="00782008" w:rsidRPr="009779B3">
              <w:rPr>
                <w:szCs w:val="24"/>
              </w:rPr>
              <w:t>Varembé</w:t>
            </w:r>
            <w:proofErr w:type="spellEnd"/>
            <w:r w:rsidR="00782008" w:rsidRPr="009779B3">
              <w:rPr>
                <w:szCs w:val="24"/>
              </w:rPr>
              <w:t xml:space="preserve"> building</w:t>
            </w:r>
            <w:r w:rsidR="00490C6D" w:rsidRPr="009779B3">
              <w:rPr>
                <w:szCs w:val="24"/>
              </w:rPr>
              <w:t xml:space="preserve"> in 2028</w:t>
            </w:r>
            <w:r w:rsidR="00C10F98" w:rsidRPr="009779B3">
              <w:rPr>
                <w:szCs w:val="24"/>
              </w:rPr>
              <w:t xml:space="preserve"> (and potentially in </w:t>
            </w:r>
            <w:r w:rsidR="00490C6D" w:rsidRPr="009779B3">
              <w:rPr>
                <w:szCs w:val="24"/>
              </w:rPr>
              <w:t>2029</w:t>
            </w:r>
            <w:r w:rsidR="00C10F98" w:rsidRPr="009779B3">
              <w:rPr>
                <w:szCs w:val="24"/>
              </w:rPr>
              <w:t>)</w:t>
            </w:r>
            <w:r w:rsidR="00782008" w:rsidRPr="009779B3">
              <w:rPr>
                <w:szCs w:val="24"/>
              </w:rPr>
              <w:t xml:space="preserve"> </w:t>
            </w:r>
            <w:r w:rsidR="008F219C" w:rsidRPr="009779B3">
              <w:rPr>
                <w:szCs w:val="24"/>
              </w:rPr>
              <w:t xml:space="preserve">at the twentieth meeting of CWG-FHR (Document </w:t>
            </w:r>
            <w:hyperlink r:id="rId11" w:history="1">
              <w:r w:rsidR="008F219C" w:rsidRPr="009779B3">
                <w:rPr>
                  <w:rStyle w:val="Hyperlink"/>
                  <w:szCs w:val="24"/>
                </w:rPr>
                <w:t>CWG</w:t>
              </w:r>
              <w:r w:rsidR="00A53888" w:rsidRPr="009779B3">
                <w:rPr>
                  <w:rStyle w:val="Hyperlink"/>
                  <w:szCs w:val="24"/>
                </w:rPr>
                <w:t>-</w:t>
              </w:r>
              <w:r w:rsidR="008F219C" w:rsidRPr="009779B3">
                <w:rPr>
                  <w:rStyle w:val="Hyperlink"/>
                  <w:szCs w:val="24"/>
                </w:rPr>
                <w:t>FHR</w:t>
              </w:r>
              <w:r w:rsidR="00A53888" w:rsidRPr="009779B3">
                <w:rPr>
                  <w:rStyle w:val="Hyperlink"/>
                  <w:szCs w:val="24"/>
                </w:rPr>
                <w:t>-</w:t>
              </w:r>
              <w:r w:rsidR="008F219C" w:rsidRPr="009779B3">
                <w:rPr>
                  <w:rStyle w:val="Hyperlink"/>
                  <w:szCs w:val="24"/>
                </w:rPr>
                <w:t>20/9</w:t>
              </w:r>
            </w:hyperlink>
            <w:r w:rsidR="008F219C" w:rsidRPr="009779B3">
              <w:rPr>
                <w:szCs w:val="24"/>
              </w:rPr>
              <w:t>)</w:t>
            </w:r>
            <w:r w:rsidR="000156C6" w:rsidRPr="009779B3">
              <w:rPr>
                <w:szCs w:val="24"/>
              </w:rPr>
              <w:t>.</w:t>
            </w:r>
          </w:p>
          <w:p w14:paraId="65170481" w14:textId="66E313A7" w:rsidR="005815C7" w:rsidRPr="009779B3" w:rsidRDefault="780F1B27" w:rsidP="005815C7">
            <w:pPr>
              <w:jc w:val="both"/>
              <w:rPr>
                <w:szCs w:val="24"/>
              </w:rPr>
            </w:pPr>
            <w:r w:rsidRPr="009779B3">
              <w:rPr>
                <w:szCs w:val="24"/>
              </w:rPr>
              <w:t xml:space="preserve">At that meeting, </w:t>
            </w:r>
            <w:r w:rsidR="2129F8C0" w:rsidRPr="009779B3">
              <w:rPr>
                <w:szCs w:val="24"/>
              </w:rPr>
              <w:t>further information</w:t>
            </w:r>
            <w:r w:rsidR="63815A9B" w:rsidRPr="009779B3">
              <w:rPr>
                <w:szCs w:val="24"/>
              </w:rPr>
              <w:t xml:space="preserve"> was requested on all available options, </w:t>
            </w:r>
            <w:r w:rsidR="32EB0892" w:rsidRPr="009779B3">
              <w:rPr>
                <w:szCs w:val="24"/>
              </w:rPr>
              <w:t xml:space="preserve">including </w:t>
            </w:r>
            <w:r w:rsidR="2129F8C0" w:rsidRPr="009779B3">
              <w:rPr>
                <w:szCs w:val="24"/>
              </w:rPr>
              <w:t xml:space="preserve">a mapping of ITU meetings in terms of modality and </w:t>
            </w:r>
            <w:r w:rsidR="29FA16A0" w:rsidRPr="009779B3">
              <w:rPr>
                <w:szCs w:val="24"/>
              </w:rPr>
              <w:t xml:space="preserve">the feasibility of </w:t>
            </w:r>
            <w:r w:rsidR="2129F8C0" w:rsidRPr="009779B3">
              <w:rPr>
                <w:szCs w:val="24"/>
              </w:rPr>
              <w:t>using the conference facilities of other international organizations in Geneva</w:t>
            </w:r>
            <w:r w:rsidR="05E696B4" w:rsidRPr="009779B3">
              <w:rPr>
                <w:szCs w:val="24"/>
              </w:rPr>
              <w:t xml:space="preserve"> (Document </w:t>
            </w:r>
            <w:hyperlink r:id="rId12">
              <w:r w:rsidR="05E696B4" w:rsidRPr="009779B3">
                <w:rPr>
                  <w:rStyle w:val="Hyperlink"/>
                  <w:szCs w:val="24"/>
                </w:rPr>
                <w:t>CWG</w:t>
              </w:r>
              <w:r w:rsidR="00A53888" w:rsidRPr="009779B3">
                <w:rPr>
                  <w:rStyle w:val="Hyperlink"/>
                  <w:szCs w:val="24"/>
                </w:rPr>
                <w:t>-</w:t>
              </w:r>
              <w:r w:rsidR="05E696B4" w:rsidRPr="009779B3">
                <w:rPr>
                  <w:rStyle w:val="Hyperlink"/>
                  <w:szCs w:val="24"/>
                </w:rPr>
                <w:t>FHR</w:t>
              </w:r>
              <w:r w:rsidR="00A53888" w:rsidRPr="009779B3">
                <w:rPr>
                  <w:rStyle w:val="Hyperlink"/>
                  <w:szCs w:val="24"/>
                </w:rPr>
                <w:t>-</w:t>
              </w:r>
              <w:r w:rsidR="05E696B4" w:rsidRPr="009779B3">
                <w:rPr>
                  <w:rStyle w:val="Hyperlink"/>
                  <w:szCs w:val="24"/>
                </w:rPr>
                <w:t>20/</w:t>
              </w:r>
              <w:r w:rsidR="3DF1607D" w:rsidRPr="009779B3">
                <w:rPr>
                  <w:rStyle w:val="Hyperlink"/>
                  <w:szCs w:val="24"/>
                </w:rPr>
                <w:t>32</w:t>
              </w:r>
            </w:hyperlink>
            <w:r w:rsidR="3DF1607D" w:rsidRPr="009779B3">
              <w:rPr>
                <w:szCs w:val="24"/>
              </w:rPr>
              <w:t>)</w:t>
            </w:r>
            <w:r w:rsidR="65E90180" w:rsidRPr="009779B3">
              <w:rPr>
                <w:szCs w:val="24"/>
              </w:rPr>
              <w:t xml:space="preserve">. </w:t>
            </w:r>
            <w:r w:rsidR="6DA5BA1E" w:rsidRPr="009779B3">
              <w:rPr>
                <w:szCs w:val="24"/>
              </w:rPr>
              <w:t>Th</w:t>
            </w:r>
            <w:r w:rsidR="217F4F97" w:rsidRPr="009779B3">
              <w:rPr>
                <w:szCs w:val="24"/>
              </w:rPr>
              <w:t xml:space="preserve">is report aims </w:t>
            </w:r>
            <w:r w:rsidR="00A53888" w:rsidRPr="009779B3">
              <w:rPr>
                <w:szCs w:val="24"/>
              </w:rPr>
              <w:t xml:space="preserve">to enable the </w:t>
            </w:r>
            <w:r w:rsidR="217F4F97" w:rsidRPr="009779B3">
              <w:rPr>
                <w:szCs w:val="24"/>
              </w:rPr>
              <w:t>Council to provide clear guidance for the way forward on business continuity for meetings, including the acceptability of different modalities</w:t>
            </w:r>
            <w:r w:rsidR="63815A9B" w:rsidRPr="009779B3">
              <w:rPr>
                <w:rFonts w:asciiTheme="minorHAnsi" w:hAnsiTheme="minorHAnsi" w:cstheme="minorBidi"/>
                <w:szCs w:val="24"/>
              </w:rPr>
              <w:t xml:space="preserve">, noting that the </w:t>
            </w:r>
            <w:proofErr w:type="spellStart"/>
            <w:r w:rsidR="63815A9B" w:rsidRPr="009779B3">
              <w:rPr>
                <w:rFonts w:asciiTheme="minorHAnsi" w:hAnsiTheme="minorHAnsi" w:cstheme="minorBidi"/>
                <w:szCs w:val="24"/>
              </w:rPr>
              <w:t>Palexpo</w:t>
            </w:r>
            <w:proofErr w:type="spellEnd"/>
            <w:r w:rsidR="63815A9B" w:rsidRPr="009779B3">
              <w:rPr>
                <w:rFonts w:asciiTheme="minorHAnsi" w:hAnsiTheme="minorHAnsi" w:cstheme="minorBidi"/>
                <w:szCs w:val="24"/>
              </w:rPr>
              <w:t xml:space="preserve"> option </w:t>
            </w:r>
            <w:r w:rsidR="217F4F97" w:rsidRPr="009779B3">
              <w:rPr>
                <w:rFonts w:asciiTheme="minorHAnsi" w:hAnsiTheme="minorHAnsi" w:cstheme="minorBidi"/>
                <w:szCs w:val="24"/>
              </w:rPr>
              <w:t xml:space="preserve">requires financial commitment by </w:t>
            </w:r>
            <w:r w:rsidR="63815A9B" w:rsidRPr="009779B3">
              <w:rPr>
                <w:rFonts w:asciiTheme="minorHAnsi" w:hAnsiTheme="minorHAnsi" w:cstheme="minorBidi"/>
                <w:szCs w:val="24"/>
              </w:rPr>
              <w:t>the end of 2025</w:t>
            </w:r>
            <w:r w:rsidR="00B24623" w:rsidRPr="009779B3">
              <w:rPr>
                <w:rFonts w:asciiTheme="minorHAnsi" w:hAnsiTheme="minorHAnsi" w:cstheme="minorBidi"/>
                <w:szCs w:val="24"/>
              </w:rPr>
              <w:t>.</w:t>
            </w:r>
          </w:p>
          <w:p w14:paraId="4288AA6F" w14:textId="77777777" w:rsidR="00AD3606" w:rsidRPr="009779B3" w:rsidRDefault="00AD3606" w:rsidP="00F16BAB">
            <w:pPr>
              <w:spacing w:before="160"/>
              <w:rPr>
                <w:b/>
                <w:bCs/>
                <w:sz w:val="26"/>
                <w:szCs w:val="26"/>
              </w:rPr>
            </w:pPr>
            <w:r w:rsidRPr="009779B3">
              <w:rPr>
                <w:b/>
                <w:bCs/>
                <w:sz w:val="26"/>
                <w:szCs w:val="26"/>
              </w:rPr>
              <w:t>Action required</w:t>
            </w:r>
            <w:r w:rsidR="00F16BAB" w:rsidRPr="009779B3">
              <w:rPr>
                <w:b/>
                <w:bCs/>
                <w:sz w:val="26"/>
                <w:szCs w:val="26"/>
              </w:rPr>
              <w:t xml:space="preserve"> by the Council</w:t>
            </w:r>
          </w:p>
          <w:p w14:paraId="0FFF2D9B" w14:textId="4A2BF139" w:rsidR="00722551" w:rsidRPr="009779B3" w:rsidRDefault="00C23E7F" w:rsidP="00722551">
            <w:pPr>
              <w:rPr>
                <w:rFonts w:asciiTheme="minorHAnsi" w:hAnsiTheme="minorHAnsi" w:cstheme="minorBidi"/>
              </w:rPr>
            </w:pPr>
            <w:r w:rsidRPr="009779B3">
              <w:rPr>
                <w:rFonts w:asciiTheme="minorHAnsi" w:hAnsiTheme="minorHAnsi" w:cstheme="minorBidi"/>
              </w:rPr>
              <w:t xml:space="preserve">The Council is invited to </w:t>
            </w:r>
            <w:r w:rsidR="0049357C" w:rsidRPr="009779B3">
              <w:rPr>
                <w:rFonts w:asciiTheme="minorHAnsi" w:hAnsiTheme="minorHAnsi" w:cstheme="minorBidi"/>
                <w:b/>
                <w:bCs/>
              </w:rPr>
              <w:t>consider</w:t>
            </w:r>
            <w:r w:rsidRPr="009779B3">
              <w:rPr>
                <w:rFonts w:asciiTheme="minorHAnsi" w:hAnsiTheme="minorHAnsi" w:cstheme="minorBidi"/>
              </w:rPr>
              <w:t xml:space="preserve"> the report</w:t>
            </w:r>
            <w:r w:rsidR="00782008" w:rsidRPr="009779B3">
              <w:rPr>
                <w:rFonts w:asciiTheme="minorHAnsi" w:hAnsiTheme="minorHAnsi" w:cstheme="minorBidi"/>
              </w:rPr>
              <w:t xml:space="preserve"> and </w:t>
            </w:r>
            <w:r w:rsidR="00D7795A" w:rsidRPr="009779B3">
              <w:rPr>
                <w:rFonts w:asciiTheme="minorHAnsi" w:hAnsiTheme="minorHAnsi" w:cstheme="minorBidi"/>
                <w:b/>
                <w:bCs/>
              </w:rPr>
              <w:t>provide</w:t>
            </w:r>
            <w:r w:rsidR="00D7795A" w:rsidRPr="009779B3">
              <w:rPr>
                <w:rFonts w:asciiTheme="minorHAnsi" w:hAnsiTheme="minorHAnsi" w:cstheme="minorBidi"/>
              </w:rPr>
              <w:t xml:space="preserve"> </w:t>
            </w:r>
            <w:r w:rsidR="00D7795A" w:rsidRPr="009779B3">
              <w:rPr>
                <w:rFonts w:asciiTheme="minorHAnsi" w:hAnsiTheme="minorHAnsi" w:cstheme="minorBidi"/>
                <w:b/>
                <w:bCs/>
              </w:rPr>
              <w:t>guidance</w:t>
            </w:r>
            <w:r w:rsidR="00D7795A" w:rsidRPr="009779B3">
              <w:rPr>
                <w:rFonts w:asciiTheme="minorHAnsi" w:hAnsiTheme="minorHAnsi" w:cstheme="minorBidi"/>
              </w:rPr>
              <w:t xml:space="preserve"> on</w:t>
            </w:r>
            <w:r w:rsidR="6FB94D70" w:rsidRPr="009779B3">
              <w:rPr>
                <w:rFonts w:asciiTheme="minorHAnsi" w:hAnsiTheme="minorHAnsi" w:cstheme="minorBidi"/>
              </w:rPr>
              <w:t xml:space="preserve"> the way forward</w:t>
            </w:r>
            <w:r w:rsidR="00B4714F" w:rsidRPr="009779B3">
              <w:rPr>
                <w:rFonts w:asciiTheme="minorHAnsi" w:hAnsiTheme="minorHAnsi" w:cstheme="minorBidi"/>
              </w:rPr>
              <w:t>.</w:t>
            </w:r>
          </w:p>
          <w:p w14:paraId="4B855F83" w14:textId="4A2009FC" w:rsidR="00722551" w:rsidRDefault="00722551" w:rsidP="00DB2074">
            <w:pPr>
              <w:tabs>
                <w:tab w:val="clear" w:pos="567"/>
                <w:tab w:val="clear" w:pos="1134"/>
                <w:tab w:val="clear" w:pos="2268"/>
                <w:tab w:val="clear" w:pos="2835"/>
              </w:tabs>
              <w:rPr>
                <w:b/>
                <w:bCs/>
                <w:sz w:val="26"/>
                <w:szCs w:val="26"/>
              </w:rPr>
            </w:pPr>
            <w:r w:rsidRPr="009779B3">
              <w:rPr>
                <w:b/>
                <w:bCs/>
                <w:sz w:val="26"/>
                <w:szCs w:val="26"/>
              </w:rPr>
              <w:t>Relevant link</w:t>
            </w:r>
            <w:r w:rsidR="004B25A1" w:rsidRPr="009779B3">
              <w:rPr>
                <w:b/>
                <w:bCs/>
                <w:sz w:val="26"/>
                <w:szCs w:val="26"/>
              </w:rPr>
              <w:t>(s)</w:t>
            </w:r>
            <w:r w:rsidRPr="009779B3">
              <w:rPr>
                <w:b/>
                <w:bCs/>
                <w:sz w:val="26"/>
                <w:szCs w:val="26"/>
              </w:rPr>
              <w:t xml:space="preserve"> with the Strategic Plan</w:t>
            </w:r>
          </w:p>
          <w:p w14:paraId="469E12A4" w14:textId="34460876" w:rsidR="00B16707" w:rsidRPr="00294838" w:rsidRDefault="00B16707" w:rsidP="00DB2074">
            <w:pPr>
              <w:tabs>
                <w:tab w:val="clear" w:pos="567"/>
                <w:tab w:val="clear" w:pos="1134"/>
                <w:tab w:val="clear" w:pos="2268"/>
                <w:tab w:val="clear" w:pos="2835"/>
              </w:tabs>
              <w:rPr>
                <w:szCs w:val="24"/>
              </w:rPr>
            </w:pPr>
            <w:r w:rsidRPr="00294838">
              <w:rPr>
                <w:szCs w:val="24"/>
              </w:rPr>
              <w:t>Convening platforms.</w:t>
            </w:r>
          </w:p>
          <w:p w14:paraId="6A77059B" w14:textId="270D1307" w:rsidR="00722551" w:rsidRPr="00DC776B" w:rsidRDefault="00722551" w:rsidP="00722551">
            <w:pPr>
              <w:spacing w:before="160"/>
              <w:rPr>
                <w:b/>
                <w:bCs/>
                <w:sz w:val="26"/>
                <w:szCs w:val="26"/>
              </w:rPr>
            </w:pPr>
            <w:r w:rsidRPr="00DC776B">
              <w:rPr>
                <w:b/>
                <w:bCs/>
                <w:sz w:val="26"/>
                <w:szCs w:val="26"/>
              </w:rPr>
              <w:t>Financial implications</w:t>
            </w:r>
          </w:p>
          <w:p w14:paraId="08939791" w14:textId="1E033788" w:rsidR="00C0458D" w:rsidRPr="009779B3" w:rsidRDefault="009268BB">
            <w:r w:rsidRPr="00DC776B">
              <w:t>All</w:t>
            </w:r>
            <w:r w:rsidR="008F54AB" w:rsidRPr="00DC776B">
              <w:t xml:space="preserve"> business continuity</w:t>
            </w:r>
            <w:r w:rsidRPr="00DC776B">
              <w:t xml:space="preserve"> options</w:t>
            </w:r>
            <w:r w:rsidR="00B24623" w:rsidRPr="00DC776B">
              <w:t xml:space="preserve"> in Geneva</w:t>
            </w:r>
            <w:r w:rsidRPr="00DC776B">
              <w:t xml:space="preserve"> </w:t>
            </w:r>
            <w:r w:rsidR="00B24623" w:rsidRPr="00DC776B">
              <w:t>require funding</w:t>
            </w:r>
            <w:r w:rsidR="008F54AB" w:rsidRPr="00DC776B">
              <w:t xml:space="preserve"> which </w:t>
            </w:r>
            <w:r w:rsidR="00B24623" w:rsidRPr="00DC776B">
              <w:t>is</w:t>
            </w:r>
            <w:r w:rsidR="008F54AB" w:rsidRPr="00DC776B">
              <w:t xml:space="preserve"> not covered by current </w:t>
            </w:r>
            <w:r w:rsidR="00363F6C" w:rsidRPr="00DC776B">
              <w:t>financial</w:t>
            </w:r>
            <w:r w:rsidR="004E259A" w:rsidRPr="00DC776B">
              <w:t xml:space="preserve"> plans. </w:t>
            </w:r>
            <w:r w:rsidR="00DB2074" w:rsidRPr="00DC776B">
              <w:t>E</w:t>
            </w:r>
            <w:r w:rsidR="0094046D" w:rsidRPr="00DC776B">
              <w:t>stimated costs for holding</w:t>
            </w:r>
            <w:r w:rsidR="00DB2074" w:rsidRPr="00DC776B">
              <w:t xml:space="preserve"> all </w:t>
            </w:r>
            <w:r w:rsidR="0094046D" w:rsidRPr="00DC776B">
              <w:t xml:space="preserve">ITU meetings in 2028 </w:t>
            </w:r>
            <w:r w:rsidR="004E259A" w:rsidRPr="00DC776B">
              <w:t xml:space="preserve">include </w:t>
            </w:r>
            <w:r w:rsidR="00904AED">
              <w:t>CHF </w:t>
            </w:r>
            <w:r w:rsidR="004E259A" w:rsidRPr="00DC776B">
              <w:t>4.6</w:t>
            </w:r>
            <w:r w:rsidR="00B4714F" w:rsidRPr="00DC776B">
              <w:t> </w:t>
            </w:r>
            <w:r w:rsidR="004E259A" w:rsidRPr="00DC776B">
              <w:t xml:space="preserve">M for </w:t>
            </w:r>
            <w:proofErr w:type="spellStart"/>
            <w:r w:rsidR="004E259A" w:rsidRPr="00DC776B">
              <w:t>Palexpo</w:t>
            </w:r>
            <w:proofErr w:type="spellEnd"/>
            <w:r w:rsidR="004E259A" w:rsidRPr="00DC776B">
              <w:t>, Geneva</w:t>
            </w:r>
            <w:r w:rsidR="00B24623" w:rsidRPr="00DC776B">
              <w:t xml:space="preserve">. </w:t>
            </w:r>
          </w:p>
          <w:p w14:paraId="212A584A" w14:textId="77777777" w:rsidR="00AD3606" w:rsidRPr="009779B3" w:rsidRDefault="00AD3606" w:rsidP="00F16BAB">
            <w:pPr>
              <w:spacing w:before="160"/>
              <w:rPr>
                <w:b/>
                <w:bCs/>
                <w:sz w:val="26"/>
                <w:szCs w:val="26"/>
              </w:rPr>
            </w:pPr>
            <w:r w:rsidRPr="009779B3">
              <w:rPr>
                <w:b/>
                <w:bCs/>
                <w:sz w:val="26"/>
                <w:szCs w:val="26"/>
              </w:rPr>
              <w:t>References</w:t>
            </w:r>
          </w:p>
          <w:p w14:paraId="7089D4B7" w14:textId="3115283C" w:rsidR="00AD3606" w:rsidRPr="009779B3" w:rsidRDefault="00B4714F" w:rsidP="00F16BAB">
            <w:pPr>
              <w:spacing w:after="160"/>
              <w:rPr>
                <w:i/>
                <w:iCs/>
                <w:sz w:val="22"/>
                <w:szCs w:val="22"/>
              </w:rPr>
            </w:pPr>
            <w:r w:rsidRPr="009779B3">
              <w:rPr>
                <w:i/>
                <w:iCs/>
                <w:sz w:val="22"/>
                <w:szCs w:val="22"/>
              </w:rPr>
              <w:t xml:space="preserve">Document </w:t>
            </w:r>
            <w:hyperlink r:id="rId13" w:history="1">
              <w:r w:rsidR="005815C7" w:rsidRPr="009779B3">
                <w:rPr>
                  <w:rStyle w:val="Hyperlink"/>
                  <w:i/>
                  <w:iCs/>
                  <w:sz w:val="22"/>
                  <w:szCs w:val="22"/>
                </w:rPr>
                <w:t>CWG</w:t>
              </w:r>
              <w:r w:rsidRPr="009779B3">
                <w:rPr>
                  <w:rStyle w:val="Hyperlink"/>
                  <w:i/>
                  <w:iCs/>
                  <w:sz w:val="22"/>
                  <w:szCs w:val="22"/>
                </w:rPr>
                <w:t>-</w:t>
              </w:r>
              <w:r w:rsidR="005815C7" w:rsidRPr="009779B3">
                <w:rPr>
                  <w:rStyle w:val="Hyperlink"/>
                  <w:i/>
                  <w:iCs/>
                  <w:sz w:val="22"/>
                  <w:szCs w:val="22"/>
                </w:rPr>
                <w:t>FHR</w:t>
              </w:r>
              <w:r w:rsidRPr="009779B3">
                <w:rPr>
                  <w:rStyle w:val="Hyperlink"/>
                  <w:i/>
                  <w:iCs/>
                  <w:sz w:val="22"/>
                  <w:szCs w:val="22"/>
                </w:rPr>
                <w:t>-</w:t>
              </w:r>
              <w:r w:rsidR="005815C7" w:rsidRPr="009779B3">
                <w:rPr>
                  <w:rStyle w:val="Hyperlink"/>
                  <w:i/>
                  <w:iCs/>
                  <w:sz w:val="22"/>
                  <w:szCs w:val="22"/>
                </w:rPr>
                <w:t>20/9</w:t>
              </w:r>
            </w:hyperlink>
            <w:r w:rsidR="005815C7" w:rsidRPr="009779B3">
              <w:rPr>
                <w:i/>
                <w:iCs/>
                <w:sz w:val="22"/>
                <w:szCs w:val="22"/>
              </w:rPr>
              <w:t>;</w:t>
            </w:r>
            <w:r w:rsidRPr="009779B3">
              <w:rPr>
                <w:i/>
                <w:iCs/>
                <w:sz w:val="22"/>
                <w:szCs w:val="22"/>
              </w:rPr>
              <w:t xml:space="preserve"> Council</w:t>
            </w:r>
            <w:r w:rsidR="005815C7" w:rsidRPr="009779B3">
              <w:rPr>
                <w:i/>
                <w:iCs/>
                <w:sz w:val="22"/>
                <w:szCs w:val="22"/>
              </w:rPr>
              <w:t xml:space="preserve"> Decision </w:t>
            </w:r>
            <w:hyperlink r:id="rId14" w:history="1">
              <w:r w:rsidR="005815C7" w:rsidRPr="009779B3">
                <w:rPr>
                  <w:rStyle w:val="Hyperlink"/>
                  <w:i/>
                  <w:iCs/>
                  <w:sz w:val="22"/>
                  <w:szCs w:val="22"/>
                </w:rPr>
                <w:t>640 (C24)</w:t>
              </w:r>
            </w:hyperlink>
            <w:r w:rsidR="005815C7" w:rsidRPr="009779B3">
              <w:rPr>
                <w:i/>
                <w:iCs/>
                <w:sz w:val="22"/>
                <w:szCs w:val="22"/>
              </w:rPr>
              <w:t xml:space="preserve">; </w:t>
            </w:r>
            <w:hyperlink r:id="rId15" w:history="1">
              <w:r w:rsidR="005815C7" w:rsidRPr="009779B3">
                <w:rPr>
                  <w:rStyle w:val="Hyperlink"/>
                  <w:i/>
                  <w:iCs/>
                  <w:sz w:val="22"/>
                  <w:szCs w:val="22"/>
                </w:rPr>
                <w:t xml:space="preserve">Summary </w:t>
              </w:r>
              <w:r w:rsidR="00A53888" w:rsidRPr="009779B3">
                <w:rPr>
                  <w:rStyle w:val="Hyperlink"/>
                  <w:i/>
                  <w:iCs/>
                  <w:sz w:val="22"/>
                  <w:szCs w:val="22"/>
                </w:rPr>
                <w:t xml:space="preserve">Report </w:t>
              </w:r>
              <w:r w:rsidR="005815C7" w:rsidRPr="009779B3">
                <w:rPr>
                  <w:rStyle w:val="Hyperlink"/>
                  <w:i/>
                  <w:iCs/>
                  <w:sz w:val="22"/>
                  <w:szCs w:val="22"/>
                </w:rPr>
                <w:t>of the 20</w:t>
              </w:r>
              <w:r w:rsidR="005815C7" w:rsidRPr="009779B3">
                <w:rPr>
                  <w:rStyle w:val="Hyperlink"/>
                  <w:i/>
                  <w:iCs/>
                  <w:sz w:val="22"/>
                  <w:szCs w:val="22"/>
                  <w:vertAlign w:val="superscript"/>
                </w:rPr>
                <w:t>th</w:t>
              </w:r>
              <w:r w:rsidR="005815C7" w:rsidRPr="009779B3">
                <w:rPr>
                  <w:rStyle w:val="Hyperlink"/>
                  <w:i/>
                  <w:iCs/>
                  <w:sz w:val="22"/>
                  <w:szCs w:val="22"/>
                </w:rPr>
                <w:t xml:space="preserve"> meeting of CWG</w:t>
              </w:r>
              <w:r w:rsidR="00A53888" w:rsidRPr="009779B3">
                <w:rPr>
                  <w:rStyle w:val="Hyperlink"/>
                  <w:i/>
                  <w:iCs/>
                  <w:sz w:val="22"/>
                  <w:szCs w:val="22"/>
                </w:rPr>
                <w:noBreakHyphen/>
              </w:r>
              <w:r w:rsidR="005815C7" w:rsidRPr="009779B3">
                <w:rPr>
                  <w:rStyle w:val="Hyperlink"/>
                  <w:i/>
                  <w:iCs/>
                  <w:sz w:val="22"/>
                  <w:szCs w:val="22"/>
                </w:rPr>
                <w:t>FHR</w:t>
              </w:r>
            </w:hyperlink>
          </w:p>
        </w:tc>
      </w:tr>
    </w:tbl>
    <w:p w14:paraId="3E836A65" w14:textId="77777777" w:rsidR="00E227F3" w:rsidRPr="009779B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2958905" w14:textId="77777777" w:rsidR="0090147A" w:rsidRPr="009779B3"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9779B3">
        <w:br w:type="page"/>
      </w:r>
    </w:p>
    <w:bookmarkEnd w:id="5"/>
    <w:bookmarkEnd w:id="10"/>
    <w:p w14:paraId="634598BB" w14:textId="628973CC" w:rsidR="00C23E7F" w:rsidRPr="009779B3" w:rsidRDefault="00A53888" w:rsidP="00A53888">
      <w:pPr>
        <w:pStyle w:val="Heading1"/>
        <w:rPr>
          <w:rFonts w:eastAsia="Calibri"/>
        </w:rPr>
      </w:pPr>
      <w:r w:rsidRPr="009779B3">
        <w:rPr>
          <w:rFonts w:eastAsia="Calibri"/>
        </w:rPr>
        <w:lastRenderedPageBreak/>
        <w:t>1</w:t>
      </w:r>
      <w:r w:rsidRPr="009779B3">
        <w:rPr>
          <w:rFonts w:eastAsia="Calibri"/>
        </w:rPr>
        <w:tab/>
      </w:r>
      <w:r w:rsidR="0012333E" w:rsidRPr="009779B3">
        <w:rPr>
          <w:rFonts w:eastAsia="SimSun"/>
        </w:rPr>
        <w:t>Executive summary</w:t>
      </w:r>
    </w:p>
    <w:p w14:paraId="1464C232" w14:textId="7C97A469" w:rsidR="00355A93" w:rsidRPr="009779B3" w:rsidRDefault="00355A93" w:rsidP="00A53888">
      <w:pPr>
        <w:jc w:val="both"/>
      </w:pPr>
      <w:r>
        <w:t xml:space="preserve">Based on current </w:t>
      </w:r>
      <w:r w:rsidR="00B24623">
        <w:t xml:space="preserve">budget </w:t>
      </w:r>
      <w:r>
        <w:t>estimates</w:t>
      </w:r>
      <w:r w:rsidR="314325FF">
        <w:t xml:space="preserve"> and </w:t>
      </w:r>
      <w:r w:rsidR="030755D3">
        <w:t>proposal</w:t>
      </w:r>
      <w:r w:rsidR="07D8273E">
        <w:t>s</w:t>
      </w:r>
      <w:r w:rsidR="314325FF">
        <w:t xml:space="preserve"> for the level of the contributory unit </w:t>
      </w:r>
      <w:r w:rsidR="314325FF" w:rsidRPr="00BD2294">
        <w:t>(</w:t>
      </w:r>
      <w:hyperlink r:id="rId16" w:history="1">
        <w:r w:rsidR="314325FF" w:rsidRPr="00BD2294">
          <w:rPr>
            <w:rStyle w:val="Hyperlink"/>
          </w:rPr>
          <w:t>C25</w:t>
        </w:r>
        <w:r w:rsidR="52D96ACA" w:rsidRPr="00BD2294">
          <w:rPr>
            <w:rStyle w:val="Hyperlink"/>
          </w:rPr>
          <w:t>/54</w:t>
        </w:r>
      </w:hyperlink>
      <w:r w:rsidR="52D96ACA" w:rsidRPr="00BD2294">
        <w:t>)</w:t>
      </w:r>
      <w:r w:rsidRPr="00BD2294">
        <w:t>,</w:t>
      </w:r>
      <w:r>
        <w:t xml:space="preserve"> no </w:t>
      </w:r>
      <w:r w:rsidR="32C8E884">
        <w:t xml:space="preserve">additional </w:t>
      </w:r>
      <w:r>
        <w:t xml:space="preserve">funds </w:t>
      </w:r>
      <w:r w:rsidR="155937D8">
        <w:t xml:space="preserve">at present </w:t>
      </w:r>
      <w:r>
        <w:t xml:space="preserve">are </w:t>
      </w:r>
      <w:r w:rsidR="5ACFEE0C">
        <w:t xml:space="preserve">expected to be </w:t>
      </w:r>
      <w:r>
        <w:t>available within the financial plan</w:t>
      </w:r>
      <w:r w:rsidR="00B24623">
        <w:t xml:space="preserve"> 2028-2031</w:t>
      </w:r>
      <w:r>
        <w:t xml:space="preserve"> to </w:t>
      </w:r>
      <w:r w:rsidR="209B6050">
        <w:t>enable</w:t>
      </w:r>
      <w:r>
        <w:t xml:space="preserve"> ITU meetings to be held in </w:t>
      </w:r>
      <w:proofErr w:type="spellStart"/>
      <w:r>
        <w:t>Palexpo</w:t>
      </w:r>
      <w:proofErr w:type="spellEnd"/>
      <w:r>
        <w:t xml:space="preserve"> facilities in 2028</w:t>
      </w:r>
      <w:r w:rsidR="00B24623">
        <w:t xml:space="preserve"> and 2029</w:t>
      </w:r>
      <w:r>
        <w:t>.</w:t>
      </w:r>
      <w:r w:rsidR="0066504A">
        <w:t xml:space="preserve"> </w:t>
      </w:r>
      <w:r>
        <w:t xml:space="preserve">The contract with </w:t>
      </w:r>
      <w:proofErr w:type="spellStart"/>
      <w:r>
        <w:t>Palexpo</w:t>
      </w:r>
      <w:proofErr w:type="spellEnd"/>
      <w:r>
        <w:t xml:space="preserve"> at the preferential rates set out in this document must be signed by 31</w:t>
      </w:r>
      <w:r w:rsidR="00BD2294">
        <w:t> </w:t>
      </w:r>
      <w:r>
        <w:t>December 2025.</w:t>
      </w:r>
      <w:r w:rsidR="007F5695">
        <w:t xml:space="preserve"> </w:t>
      </w:r>
      <w:r w:rsidR="322E242B">
        <w:t xml:space="preserve">While some </w:t>
      </w:r>
      <w:r w:rsidR="1B7BAE4E">
        <w:t>m</w:t>
      </w:r>
      <w:r w:rsidR="007F5695">
        <w:t>eetings may be held on an ad hoc basis in Geneva in a variety of potential venues</w:t>
      </w:r>
      <w:r w:rsidR="3AADE9A0">
        <w:t xml:space="preserve">, there </w:t>
      </w:r>
      <w:r w:rsidR="007F5695">
        <w:t xml:space="preserve">availability </w:t>
      </w:r>
      <w:r w:rsidR="6B273C10">
        <w:t xml:space="preserve">cannot be guaranteed </w:t>
      </w:r>
      <w:r w:rsidR="007F5695">
        <w:t>earlier than six months in advance</w:t>
      </w:r>
      <w:r w:rsidR="00B24623">
        <w:t xml:space="preserve">. </w:t>
      </w:r>
      <w:r w:rsidR="688802F7">
        <w:t xml:space="preserve">In addition, </w:t>
      </w:r>
      <w:r w:rsidR="244868D5">
        <w:t>a</w:t>
      </w:r>
      <w:r w:rsidR="00B24623">
        <w:t xml:space="preserve"> budget allocation w</w:t>
      </w:r>
      <w:r w:rsidR="1040DAEA">
        <w:t>ould</w:t>
      </w:r>
      <w:r w:rsidR="00B24623">
        <w:t xml:space="preserve"> also be necessary for the reservation of rooms and services </w:t>
      </w:r>
      <w:r w:rsidR="7AC7674C">
        <w:t>on</w:t>
      </w:r>
      <w:r w:rsidR="00B24623">
        <w:t xml:space="preserve"> an ad</w:t>
      </w:r>
      <w:r w:rsidR="00DB2074">
        <w:t xml:space="preserve"> </w:t>
      </w:r>
      <w:r w:rsidR="00B24623">
        <w:t>hoc basis</w:t>
      </w:r>
      <w:r w:rsidR="00DB2074">
        <w:t xml:space="preserve">. </w:t>
      </w:r>
      <w:r w:rsidR="25CA6E2A">
        <w:t>N</w:t>
      </w:r>
      <w:r w:rsidR="007F5695">
        <w:t xml:space="preserve">o estimates of rental costs </w:t>
      </w:r>
      <w:r w:rsidR="00B24623">
        <w:t xml:space="preserve">are </w:t>
      </w:r>
      <w:r w:rsidR="007F5695">
        <w:t>available at this stage.</w:t>
      </w:r>
    </w:p>
    <w:p w14:paraId="64903D28" w14:textId="7EA4D9DE" w:rsidR="007F5695" w:rsidRPr="009779B3" w:rsidRDefault="007F5695" w:rsidP="00A53888">
      <w:pPr>
        <w:jc w:val="both"/>
      </w:pPr>
      <w:r>
        <w:t xml:space="preserve">Alternative options include the ITU Meetings Hub proposal, which </w:t>
      </w:r>
      <w:r w:rsidR="2DFD49E6">
        <w:t xml:space="preserve">would </w:t>
      </w:r>
      <w:r>
        <w:t>require Council confirmation</w:t>
      </w:r>
      <w:r w:rsidR="00DB2074">
        <w:t>,</w:t>
      </w:r>
      <w:r>
        <w:t xml:space="preserve"> and holding fully virtual meetings for an exceptional period, requiring further Council guidance.</w:t>
      </w:r>
    </w:p>
    <w:p w14:paraId="79687157" w14:textId="4D5BE190" w:rsidR="007F5695" w:rsidRPr="009779B3" w:rsidRDefault="04F318F5" w:rsidP="00A53888">
      <w:pPr>
        <w:jc w:val="both"/>
      </w:pPr>
      <w:r>
        <w:t xml:space="preserve">As the building project progresses, the secretariat will be able to more accurately estimate the limitations of the use of </w:t>
      </w:r>
      <w:r w:rsidR="133A1028">
        <w:t xml:space="preserve">ITU headquarter premises for meetings, including </w:t>
      </w:r>
      <w:r w:rsidR="5019F2D4">
        <w:t xml:space="preserve">more exact </w:t>
      </w:r>
      <w:r w:rsidR="1FC2ED95">
        <w:t xml:space="preserve">details of the </w:t>
      </w:r>
      <w:r w:rsidR="133A1028">
        <w:t xml:space="preserve">periods </w:t>
      </w:r>
      <w:r w:rsidR="77CC73DD">
        <w:t>when</w:t>
      </w:r>
      <w:r w:rsidR="00BB0C8C">
        <w:t xml:space="preserve"> </w:t>
      </w:r>
      <w:r w:rsidR="65F64C65">
        <w:t>the ITU headquarter premises</w:t>
      </w:r>
      <w:r w:rsidR="133A1028">
        <w:t xml:space="preserve"> </w:t>
      </w:r>
      <w:r w:rsidR="37EF5223">
        <w:t>will be unavailable</w:t>
      </w:r>
      <w:r w:rsidR="133A1028">
        <w:t xml:space="preserve"> and </w:t>
      </w:r>
      <w:r w:rsidR="04BB70C9">
        <w:t xml:space="preserve">of the </w:t>
      </w:r>
      <w:r w:rsidR="133A1028">
        <w:t>dis</w:t>
      </w:r>
      <w:r w:rsidR="6056E5B9">
        <w:t>turbances</w:t>
      </w:r>
      <w:r w:rsidR="133A1028">
        <w:t xml:space="preserve"> that may need to be accepted </w:t>
      </w:r>
      <w:r w:rsidR="2552FE8E">
        <w:t xml:space="preserve">if </w:t>
      </w:r>
      <w:r w:rsidR="133A1028">
        <w:t xml:space="preserve">meetings </w:t>
      </w:r>
      <w:r w:rsidR="3DDB719A">
        <w:t xml:space="preserve">are held there during the period of construction </w:t>
      </w:r>
      <w:r w:rsidR="358ABBAC">
        <w:t xml:space="preserve">of the New </w:t>
      </w:r>
      <w:proofErr w:type="spellStart"/>
      <w:r w:rsidR="358ABBAC">
        <w:t>Varemb</w:t>
      </w:r>
      <w:r w:rsidR="00BB0C8C">
        <w:t>é</w:t>
      </w:r>
      <w:proofErr w:type="spellEnd"/>
      <w:r w:rsidR="358ABBAC">
        <w:t xml:space="preserve"> building</w:t>
      </w:r>
      <w:r w:rsidR="3DDB719A">
        <w:t>.</w:t>
      </w:r>
    </w:p>
    <w:p w14:paraId="00E89B5E" w14:textId="42C6E778" w:rsidR="00355A93" w:rsidRPr="009779B3" w:rsidRDefault="007F5695" w:rsidP="00A53888">
      <w:pPr>
        <w:jc w:val="both"/>
      </w:pPr>
      <w:r>
        <w:t>The secretariat will develop a detailed business continuity plan</w:t>
      </w:r>
      <w:r w:rsidR="009779B3">
        <w:t>,</w:t>
      </w:r>
      <w:r w:rsidR="00A209A5">
        <w:t xml:space="preserve"> including costs</w:t>
      </w:r>
      <w:r>
        <w:t xml:space="preserve"> based on the preference</w:t>
      </w:r>
      <w:r w:rsidR="7A6D3A4D">
        <w:t>s</w:t>
      </w:r>
      <w:r>
        <w:t xml:space="preserve"> identified and guidance provided by this Council.</w:t>
      </w:r>
    </w:p>
    <w:p w14:paraId="3D497FE1" w14:textId="26D70309" w:rsidR="00F577EA" w:rsidRPr="009779B3" w:rsidRDefault="00A53888" w:rsidP="00A53888">
      <w:pPr>
        <w:pStyle w:val="Heading1"/>
        <w:rPr>
          <w:rFonts w:eastAsia="Calibri"/>
        </w:rPr>
      </w:pPr>
      <w:r w:rsidRPr="009779B3">
        <w:rPr>
          <w:rFonts w:eastAsia="Calibri"/>
        </w:rPr>
        <w:t>2</w:t>
      </w:r>
      <w:r w:rsidRPr="009779B3">
        <w:rPr>
          <w:rFonts w:eastAsia="Calibri"/>
        </w:rPr>
        <w:tab/>
      </w:r>
      <w:r w:rsidR="00F577EA" w:rsidRPr="009779B3">
        <w:rPr>
          <w:rFonts w:eastAsia="SimSun"/>
        </w:rPr>
        <w:t xml:space="preserve">Background </w:t>
      </w:r>
    </w:p>
    <w:p w14:paraId="750FE235" w14:textId="0091211A" w:rsidR="00B16F1A" w:rsidRPr="009779B3" w:rsidRDefault="00B16F1A" w:rsidP="00A53888">
      <w:pPr>
        <w:jc w:val="both"/>
        <w:rPr>
          <w:rFonts w:eastAsia="SimSun"/>
        </w:rPr>
      </w:pPr>
      <w:r w:rsidRPr="009779B3">
        <w:rPr>
          <w:rFonts w:eastAsia="SimSun"/>
        </w:rPr>
        <w:t>Approximately 60 to 65 meetings are held each year in ITU headquarters, supplemented by additional capacity in CICG/CCV. These meetings comprise technical meetings for all sectors, Advisory Group meetings, Council</w:t>
      </w:r>
      <w:r w:rsidR="00A317DC">
        <w:rPr>
          <w:rFonts w:eastAsia="SimSun"/>
        </w:rPr>
        <w:t>,</w:t>
      </w:r>
      <w:r w:rsidRPr="009779B3">
        <w:rPr>
          <w:rFonts w:eastAsia="SimSun"/>
        </w:rPr>
        <w:t xml:space="preserve"> and Council Working Groups</w:t>
      </w:r>
      <w:r w:rsidR="49F895E6" w:rsidRPr="009779B3">
        <w:rPr>
          <w:rFonts w:eastAsia="SimSun"/>
        </w:rPr>
        <w:t>.</w:t>
      </w:r>
      <w:r w:rsidRPr="009779B3">
        <w:rPr>
          <w:rFonts w:eastAsia="SimSun"/>
        </w:rPr>
        <w:t xml:space="preserve"> </w:t>
      </w:r>
    </w:p>
    <w:p w14:paraId="653CD090" w14:textId="3BA8A7C7" w:rsidR="00C92737" w:rsidRPr="009779B3" w:rsidRDefault="00C92737" w:rsidP="00A53888">
      <w:pPr>
        <w:pStyle w:val="Headingi"/>
        <w:rPr>
          <w:rFonts w:eastAsia="SimSun"/>
        </w:rPr>
      </w:pPr>
      <w:r w:rsidRPr="009779B3">
        <w:rPr>
          <w:rFonts w:eastAsia="SimSun"/>
        </w:rPr>
        <w:t>New building project</w:t>
      </w:r>
    </w:p>
    <w:p w14:paraId="4F599AF7" w14:textId="7715A743" w:rsidR="00006C2B" w:rsidRPr="009779B3" w:rsidRDefault="00630BC2" w:rsidP="00A53888">
      <w:pPr>
        <w:jc w:val="both"/>
        <w:rPr>
          <w:rFonts w:eastAsia="SimSun"/>
        </w:rPr>
      </w:pPr>
      <w:r w:rsidRPr="009779B3">
        <w:rPr>
          <w:rFonts w:eastAsia="SimSun"/>
        </w:rPr>
        <w:t xml:space="preserve">The project milestones set out in Decision 640 on the new </w:t>
      </w:r>
      <w:proofErr w:type="spellStart"/>
      <w:r w:rsidRPr="009779B3">
        <w:rPr>
          <w:rFonts w:eastAsia="SimSun"/>
        </w:rPr>
        <w:t>Varemb</w:t>
      </w:r>
      <w:r w:rsidR="003D0CA9" w:rsidRPr="009779B3">
        <w:rPr>
          <w:rFonts w:eastAsia="SimSun"/>
        </w:rPr>
        <w:t>é</w:t>
      </w:r>
      <w:proofErr w:type="spellEnd"/>
      <w:r w:rsidRPr="009779B3">
        <w:rPr>
          <w:rFonts w:eastAsia="SimSun"/>
        </w:rPr>
        <w:t xml:space="preserve"> building project establish 2028 as the initial year for the execution of the project. </w:t>
      </w:r>
      <w:r w:rsidR="003037FB" w:rsidRPr="009779B3">
        <w:rPr>
          <w:rFonts w:eastAsia="SimSun"/>
        </w:rPr>
        <w:t xml:space="preserve">Provided that all activities continue </w:t>
      </w:r>
      <w:r w:rsidR="003D0CA9" w:rsidRPr="009779B3">
        <w:rPr>
          <w:rFonts w:eastAsia="SimSun"/>
        </w:rPr>
        <w:t>in accordance with the</w:t>
      </w:r>
      <w:r w:rsidR="003037FB" w:rsidRPr="009779B3">
        <w:rPr>
          <w:rFonts w:eastAsia="SimSun"/>
        </w:rPr>
        <w:t xml:space="preserve"> schedule, </w:t>
      </w:r>
      <w:r w:rsidR="002E741C" w:rsidRPr="009779B3">
        <w:rPr>
          <w:rFonts w:eastAsia="SimSun"/>
        </w:rPr>
        <w:t xml:space="preserve">ITU meeting rooms will remain available until the end of 2027. In 2028 </w:t>
      </w:r>
      <w:r w:rsidR="3702513A" w:rsidRPr="009779B3">
        <w:rPr>
          <w:rFonts w:eastAsia="SimSun"/>
        </w:rPr>
        <w:t>(</w:t>
      </w:r>
      <w:r w:rsidR="7171D9E2" w:rsidRPr="009779B3">
        <w:rPr>
          <w:rFonts w:eastAsia="SimSun"/>
        </w:rPr>
        <w:t xml:space="preserve">and </w:t>
      </w:r>
      <w:r w:rsidR="6A8A1B4F" w:rsidRPr="009779B3">
        <w:rPr>
          <w:rFonts w:eastAsia="SimSun"/>
        </w:rPr>
        <w:t>po</w:t>
      </w:r>
      <w:r w:rsidR="2E33E39F" w:rsidRPr="009779B3">
        <w:rPr>
          <w:rFonts w:eastAsia="SimSun"/>
        </w:rPr>
        <w:t xml:space="preserve">tentially in </w:t>
      </w:r>
      <w:r w:rsidR="002E741C" w:rsidRPr="009779B3">
        <w:rPr>
          <w:rFonts w:eastAsia="SimSun"/>
        </w:rPr>
        <w:t>2029</w:t>
      </w:r>
      <w:r w:rsidR="1B463AF2" w:rsidRPr="009779B3">
        <w:rPr>
          <w:rFonts w:eastAsia="SimSun"/>
        </w:rPr>
        <w:t>)</w:t>
      </w:r>
      <w:r w:rsidR="002E741C" w:rsidRPr="009779B3">
        <w:rPr>
          <w:rFonts w:eastAsia="SimSun"/>
        </w:rPr>
        <w:t xml:space="preserve">, however, meeting rooms in the Tower, Montbrillant and </w:t>
      </w:r>
      <w:proofErr w:type="spellStart"/>
      <w:r w:rsidR="002E741C" w:rsidRPr="009779B3">
        <w:rPr>
          <w:rFonts w:eastAsia="SimSun"/>
        </w:rPr>
        <w:t>Varemb</w:t>
      </w:r>
      <w:r w:rsidR="003D0CA9" w:rsidRPr="009779B3">
        <w:rPr>
          <w:rFonts w:eastAsia="SimSun"/>
        </w:rPr>
        <w:t>é</w:t>
      </w:r>
      <w:proofErr w:type="spellEnd"/>
      <w:r w:rsidR="003D0CA9" w:rsidRPr="009779B3">
        <w:rPr>
          <w:rFonts w:eastAsia="SimSun"/>
        </w:rPr>
        <w:t xml:space="preserve"> </w:t>
      </w:r>
      <w:r w:rsidR="00AB077C" w:rsidRPr="009779B3">
        <w:rPr>
          <w:rFonts w:eastAsia="SimSun"/>
        </w:rPr>
        <w:t xml:space="preserve">may </w:t>
      </w:r>
      <w:r w:rsidR="002E741C" w:rsidRPr="009779B3">
        <w:rPr>
          <w:rFonts w:eastAsia="SimSun"/>
        </w:rPr>
        <w:t xml:space="preserve">not be available due to construction work. As the construction schedule cannot be </w:t>
      </w:r>
      <w:r w:rsidR="405B36B7" w:rsidRPr="009779B3">
        <w:rPr>
          <w:rFonts w:eastAsia="SimSun"/>
        </w:rPr>
        <w:t>confirmed</w:t>
      </w:r>
      <w:r w:rsidR="002E741C" w:rsidRPr="009779B3">
        <w:rPr>
          <w:rFonts w:eastAsia="SimSun"/>
        </w:rPr>
        <w:t xml:space="preserve"> before finalization of planning (mid-2026), it should be assumed that these meeting rooms </w:t>
      </w:r>
      <w:r w:rsidR="00A209A5" w:rsidRPr="009779B3">
        <w:rPr>
          <w:rFonts w:eastAsia="SimSun"/>
        </w:rPr>
        <w:t xml:space="preserve">may </w:t>
      </w:r>
      <w:r w:rsidR="002E741C" w:rsidRPr="009779B3">
        <w:rPr>
          <w:rFonts w:eastAsia="SimSun"/>
        </w:rPr>
        <w:t>remain unavailable throughout 2029.</w:t>
      </w:r>
      <w:r w:rsidR="003037FB" w:rsidRPr="009779B3">
        <w:rPr>
          <w:rFonts w:eastAsia="SimSun"/>
        </w:rPr>
        <w:t xml:space="preserve"> </w:t>
      </w:r>
    </w:p>
    <w:p w14:paraId="6412D802" w14:textId="0DA5B823" w:rsidR="00F762D9" w:rsidRPr="009779B3" w:rsidRDefault="00006C2B" w:rsidP="00A53888">
      <w:pPr>
        <w:pStyle w:val="Headingi"/>
        <w:rPr>
          <w:rFonts w:eastAsia="SimSun"/>
        </w:rPr>
      </w:pPr>
      <w:r w:rsidRPr="009779B3">
        <w:rPr>
          <w:rFonts w:eastAsia="SimSun"/>
        </w:rPr>
        <w:t>CICG</w:t>
      </w:r>
    </w:p>
    <w:p w14:paraId="443C4E07" w14:textId="098AE2EC" w:rsidR="002E741C" w:rsidRPr="009779B3" w:rsidRDefault="00C14549" w:rsidP="00A53888">
      <w:pPr>
        <w:jc w:val="both"/>
      </w:pPr>
      <w:r w:rsidRPr="009779B3">
        <w:t xml:space="preserve">CICG will be unavailable for use throughout 2028 </w:t>
      </w:r>
      <w:r w:rsidR="652B6BBC" w:rsidRPr="009779B3">
        <w:t xml:space="preserve">due to renovation work currently planned to begin in 2028 </w:t>
      </w:r>
      <w:r w:rsidRPr="009779B3">
        <w:t>and will have limited availability at best in 2029.</w:t>
      </w:r>
      <w:r w:rsidR="00314E46" w:rsidRPr="009779B3">
        <w:t xml:space="preserve"> </w:t>
      </w:r>
    </w:p>
    <w:p w14:paraId="319CD321" w14:textId="05B03741" w:rsidR="006150BA" w:rsidRPr="009779B3" w:rsidRDefault="00C92737" w:rsidP="00A53888">
      <w:pPr>
        <w:jc w:val="both"/>
      </w:pPr>
      <w:r>
        <w:t xml:space="preserve">ITU has previously benefited from the host </w:t>
      </w:r>
      <w:r w:rsidR="009779B3">
        <w:t>country</w:t>
      </w:r>
      <w:r w:rsidR="00AA56A8">
        <w:t>’</w:t>
      </w:r>
      <w:r w:rsidR="009779B3">
        <w:t>s</w:t>
      </w:r>
      <w:r>
        <w:t xml:space="preserve"> financial subsidy</w:t>
      </w:r>
      <w:r w:rsidR="009779B3">
        <w:t>,</w:t>
      </w:r>
      <w:r>
        <w:t xml:space="preserve"> allowing </w:t>
      </w:r>
      <w:r w:rsidR="00E44F9F">
        <w:t xml:space="preserve">international organizations to rent meeting space at CICG free of charge. However, </w:t>
      </w:r>
      <w:r w:rsidR="00077425">
        <w:t xml:space="preserve">ITU was informed in March 2025 that </w:t>
      </w:r>
      <w:r w:rsidR="00E44F9F">
        <w:t>rental fees</w:t>
      </w:r>
      <w:r w:rsidR="152BAACC">
        <w:t xml:space="preserve"> at a reduced rate</w:t>
      </w:r>
      <w:r w:rsidR="00E44F9F">
        <w:t xml:space="preserve"> will now be </w:t>
      </w:r>
      <w:r w:rsidR="00ED1ED5">
        <w:t xml:space="preserve">charged for all new bookings at CICG with immediate effect. </w:t>
      </w:r>
      <w:r w:rsidR="006C7716">
        <w:t xml:space="preserve">Meeting spaces will be charged a rental fee on a sliding scale from </w:t>
      </w:r>
      <w:r w:rsidR="4A75A19E">
        <w:t>5</w:t>
      </w:r>
      <w:r w:rsidR="009779B3">
        <w:t> per cent</w:t>
      </w:r>
      <w:r w:rsidR="006C7716">
        <w:t xml:space="preserve"> to </w:t>
      </w:r>
      <w:r w:rsidR="16DC85AA">
        <w:t>20</w:t>
      </w:r>
      <w:r w:rsidR="009779B3">
        <w:t xml:space="preserve"> per cent</w:t>
      </w:r>
      <w:r w:rsidR="00DE1A9A">
        <w:t xml:space="preserve"> of the total rental cost, in addition to a fixed cost amount and a percentage of the fixed technical services in rooms rented.</w:t>
      </w:r>
    </w:p>
    <w:p w14:paraId="69CF1824" w14:textId="622126F0" w:rsidR="75840BCB" w:rsidRPr="008A66B2" w:rsidRDefault="106515FE" w:rsidP="75840BCB">
      <w:pPr>
        <w:jc w:val="both"/>
        <w:rPr>
          <w:rFonts w:eastAsia="Calibri" w:cs="Calibri"/>
          <w:szCs w:val="24"/>
        </w:rPr>
      </w:pPr>
      <w:r w:rsidRPr="008A66B2">
        <w:rPr>
          <w:rFonts w:eastAsia="Segoe UI" w:cs="Calibri"/>
          <w:szCs w:val="24"/>
        </w:rPr>
        <w:lastRenderedPageBreak/>
        <w:t>Given the large number of meetings per year, holding all ITU technical meetings on an ad hoc basis in different host countries is not feasible at an operational or logistical level at this scale.</w:t>
      </w:r>
    </w:p>
    <w:p w14:paraId="41071D0B" w14:textId="188DCA72" w:rsidR="00C51963" w:rsidRPr="009779B3" w:rsidRDefault="00897257" w:rsidP="00A53888">
      <w:pPr>
        <w:pStyle w:val="Heading1"/>
      </w:pPr>
      <w:r w:rsidRPr="009779B3">
        <w:t>3</w:t>
      </w:r>
      <w:r w:rsidR="00A53888" w:rsidRPr="009779B3">
        <w:tab/>
      </w:r>
      <w:r w:rsidR="00C51963" w:rsidRPr="009779B3">
        <w:t>Mapping of ITU meetings</w:t>
      </w:r>
    </w:p>
    <w:p w14:paraId="61DA3898" w14:textId="300F4693" w:rsidR="00272AC0" w:rsidRPr="009779B3" w:rsidRDefault="00272AC0" w:rsidP="00A53888">
      <w:pPr>
        <w:jc w:val="both"/>
      </w:pPr>
      <w:r w:rsidRPr="009779B3">
        <w:t xml:space="preserve">Approximately 60 to 65 technical meetings are held at ITU headquarters each year. The number and nature of meetings </w:t>
      </w:r>
      <w:r w:rsidR="008D0793">
        <w:t>vary across sectors</w:t>
      </w:r>
      <w:r w:rsidRPr="009779B3">
        <w:t xml:space="preserve"> and </w:t>
      </w:r>
      <w:r w:rsidR="008D0793">
        <w:t>departments but follow</w:t>
      </w:r>
      <w:r w:rsidRPr="009779B3">
        <w:t xml:space="preserve"> a broad </w:t>
      </w:r>
      <w:r w:rsidR="51C6EF9B" w:rsidRPr="009779B3">
        <w:t>four-y</w:t>
      </w:r>
      <w:r w:rsidRPr="009779B3">
        <w:t xml:space="preserve">ear cycle dependent on </w:t>
      </w:r>
      <w:r w:rsidR="00E36169" w:rsidRPr="009779B3">
        <w:t xml:space="preserve">the timing of </w:t>
      </w:r>
      <w:r w:rsidRPr="009779B3">
        <w:t>major conferences or assembl</w:t>
      </w:r>
      <w:r w:rsidR="00412062" w:rsidRPr="009779B3">
        <w:t>i</w:t>
      </w:r>
      <w:r w:rsidRPr="009779B3">
        <w:t>es (PP, WRC, WTSA, WTDC)</w:t>
      </w:r>
      <w:r w:rsidR="00412062" w:rsidRPr="009779B3">
        <w:t>.</w:t>
      </w:r>
    </w:p>
    <w:p w14:paraId="0C764717" w14:textId="6015674A" w:rsidR="001613A0" w:rsidRPr="009779B3" w:rsidRDefault="001613A0" w:rsidP="00A53888">
      <w:pPr>
        <w:jc w:val="both"/>
      </w:pPr>
      <w:r>
        <w:t xml:space="preserve">A detailed analysis of these meetings, undertaken at the request of CWG-FHR, looked at </w:t>
      </w:r>
      <w:r w:rsidR="008D0793">
        <w:t xml:space="preserve">the number and size of rooms, technical requirements, the </w:t>
      </w:r>
      <w:r w:rsidR="7F9F0D27">
        <w:t xml:space="preserve">typical </w:t>
      </w:r>
      <w:r w:rsidR="008D0793">
        <w:t>number of participants, meeting modalities,</w:t>
      </w:r>
      <w:r>
        <w:t xml:space="preserve"> and any specific additional requirements. The list of meetings expected to be held in</w:t>
      </w:r>
      <w:r w:rsidR="00EB744E">
        <w:t xml:space="preserve"> </w:t>
      </w:r>
      <w:r>
        <w:t>2028, based on 2024 data, is available a</w:t>
      </w:r>
      <w:r w:rsidR="00492770">
        <w:t xml:space="preserve">s part of the information for potential ITU Meetings Hub hosts </w:t>
      </w:r>
      <w:hyperlink r:id="rId17">
        <w:r w:rsidR="00492770" w:rsidRPr="05ADD439">
          <w:rPr>
            <w:rStyle w:val="Hyperlink"/>
          </w:rPr>
          <w:t>here</w:t>
        </w:r>
      </w:hyperlink>
      <w:r w:rsidR="00492770">
        <w:t>.</w:t>
      </w:r>
    </w:p>
    <w:p w14:paraId="4C088537" w14:textId="114AD87C" w:rsidR="00492770" w:rsidRPr="009779B3" w:rsidRDefault="4AFBD153" w:rsidP="00A53888">
      <w:pPr>
        <w:jc w:val="both"/>
      </w:pPr>
      <w:r w:rsidRPr="009779B3">
        <w:t>M</w:t>
      </w:r>
      <w:r w:rsidR="00492770" w:rsidRPr="009779B3">
        <w:t xml:space="preserve">eetings in this list </w:t>
      </w:r>
      <w:r w:rsidR="6FE22C70" w:rsidRPr="009779B3">
        <w:t>include many that are statutory</w:t>
      </w:r>
      <w:r w:rsidR="00492770" w:rsidRPr="009779B3">
        <w:t>, that is,</w:t>
      </w:r>
      <w:r w:rsidR="606F1AB7" w:rsidRPr="009779B3">
        <w:t xml:space="preserve"> mandated by sector </w:t>
      </w:r>
      <w:r w:rsidR="00896083" w:rsidRPr="009779B3">
        <w:t>constitutional documents</w:t>
      </w:r>
      <w:r w:rsidR="008D0793">
        <w:t>, with decision-making functions in some cases,</w:t>
      </w:r>
      <w:r w:rsidR="00814E2C" w:rsidRPr="009779B3">
        <w:t xml:space="preserve"> </w:t>
      </w:r>
      <w:r w:rsidR="0068097C" w:rsidRPr="009779B3">
        <w:t>a</w:t>
      </w:r>
      <w:r w:rsidR="40DE38BB" w:rsidRPr="009779B3">
        <w:t>s well as</w:t>
      </w:r>
      <w:r w:rsidR="2B0CC965" w:rsidRPr="009779B3">
        <w:t xml:space="preserve"> strategically important in</w:t>
      </w:r>
      <w:r w:rsidR="0068097C" w:rsidRPr="009779B3">
        <w:t xml:space="preserve"> feeding into assemblies or conferences. </w:t>
      </w:r>
      <w:r w:rsidR="00C24B51" w:rsidRPr="009779B3">
        <w:t>Meetings such as ITU-T Focus Groups</w:t>
      </w:r>
      <w:r w:rsidR="00207896" w:rsidRPr="009779B3">
        <w:t xml:space="preserve"> and workshops</w:t>
      </w:r>
      <w:r w:rsidR="00C24B51" w:rsidRPr="009779B3">
        <w:t xml:space="preserve"> or the ITU-R Space </w:t>
      </w:r>
      <w:r w:rsidR="006E1E87" w:rsidRPr="009779B3">
        <w:t>Sustainability Forum</w:t>
      </w:r>
      <w:r w:rsidR="409388C9" w:rsidRPr="009779B3">
        <w:t xml:space="preserve"> are not included</w:t>
      </w:r>
      <w:r w:rsidR="006E1E87" w:rsidRPr="009779B3">
        <w:t>.</w:t>
      </w:r>
    </w:p>
    <w:p w14:paraId="69454258" w14:textId="608B4136" w:rsidR="003363E8" w:rsidRPr="009779B3" w:rsidRDefault="7421B46F" w:rsidP="00A53888">
      <w:pPr>
        <w:jc w:val="both"/>
      </w:pPr>
      <w:r>
        <w:t xml:space="preserve">It should be noted that the </w:t>
      </w:r>
      <w:r w:rsidR="00FF2383">
        <w:t>next WTSA will take place in 2028, all ITU-T meetings</w:t>
      </w:r>
      <w:r w:rsidR="008D0793">
        <w:t>, including TSAG,</w:t>
      </w:r>
      <w:r w:rsidR="00FF2383">
        <w:t xml:space="preserve"> will be held in the first </w:t>
      </w:r>
      <w:r w:rsidR="00576C89">
        <w:t xml:space="preserve">eight months </w:t>
      </w:r>
      <w:r w:rsidR="00FF2383">
        <w:t xml:space="preserve">of the year in preparation. </w:t>
      </w:r>
    </w:p>
    <w:p w14:paraId="4D5A7D8B" w14:textId="2FF10410" w:rsidR="00FF2383" w:rsidRPr="009779B3" w:rsidRDefault="25A9E4CC" w:rsidP="00A53888">
      <w:pPr>
        <w:jc w:val="both"/>
      </w:pPr>
      <w:r>
        <w:t>Furthermore, i</w:t>
      </w:r>
      <w:r w:rsidR="00FF2383">
        <w:t xml:space="preserve">n accordance with </w:t>
      </w:r>
      <w:r w:rsidR="002954F5">
        <w:t xml:space="preserve">the Rules of Procedure of </w:t>
      </w:r>
      <w:r w:rsidR="008D0793">
        <w:t xml:space="preserve">the Council and Article 4.51 of the Convention, the </w:t>
      </w:r>
      <w:r w:rsidR="00CA2E11">
        <w:t>ITU Council must be held physically once a year in Geneva.</w:t>
      </w:r>
    </w:p>
    <w:p w14:paraId="23A0A31E" w14:textId="0BBBE34A" w:rsidR="00C51963" w:rsidRPr="009779B3" w:rsidRDefault="00897257" w:rsidP="00A53888">
      <w:pPr>
        <w:pStyle w:val="Heading1"/>
      </w:pPr>
      <w:r w:rsidRPr="009779B3">
        <w:t>4</w:t>
      </w:r>
      <w:r w:rsidR="00A53888" w:rsidRPr="009779B3">
        <w:tab/>
      </w:r>
      <w:r w:rsidR="00272AC0" w:rsidRPr="009779B3">
        <w:t>Business continuity modalities</w:t>
      </w:r>
    </w:p>
    <w:p w14:paraId="3382D19F" w14:textId="55CD5BB1" w:rsidR="005B3B79" w:rsidRPr="009779B3" w:rsidRDefault="004D3290" w:rsidP="008A66B2">
      <w:pPr>
        <w:jc w:val="both"/>
      </w:pPr>
      <w:r>
        <w:t>The following</w:t>
      </w:r>
      <w:r w:rsidR="554E0A74">
        <w:t xml:space="preserve"> possible</w:t>
      </w:r>
      <w:r>
        <w:t xml:space="preserve"> modalities for holding ITU meetings in 2028 and 2029 have been identified</w:t>
      </w:r>
      <w:r w:rsidR="008D0793">
        <w:t>.</w:t>
      </w:r>
    </w:p>
    <w:p w14:paraId="568C2F0A" w14:textId="44A09A8D" w:rsidR="00272AC0" w:rsidRPr="009779B3" w:rsidRDefault="00897257" w:rsidP="00A53888">
      <w:pPr>
        <w:pStyle w:val="Heading2"/>
      </w:pPr>
      <w:r w:rsidRPr="009779B3">
        <w:t>4</w:t>
      </w:r>
      <w:r w:rsidR="00272AC0" w:rsidRPr="009779B3">
        <w:t>.1</w:t>
      </w:r>
      <w:r w:rsidR="00A53888" w:rsidRPr="009779B3">
        <w:tab/>
      </w:r>
      <w:r w:rsidR="00272AC0" w:rsidRPr="009779B3">
        <w:t>Holding meetings in Geneva</w:t>
      </w:r>
    </w:p>
    <w:p w14:paraId="5C86F1B1" w14:textId="0F74DE62" w:rsidR="00272AC0" w:rsidRPr="009779B3" w:rsidRDefault="00272AC0" w:rsidP="00A53888">
      <w:pPr>
        <w:pStyle w:val="Headingb"/>
      </w:pPr>
      <w:proofErr w:type="spellStart"/>
      <w:r w:rsidRPr="009779B3">
        <w:t>Pal</w:t>
      </w:r>
      <w:r w:rsidR="00ED1ED5" w:rsidRPr="009779B3">
        <w:t>e</w:t>
      </w:r>
      <w:r w:rsidRPr="009779B3">
        <w:t>xpo</w:t>
      </w:r>
      <w:proofErr w:type="spellEnd"/>
    </w:p>
    <w:p w14:paraId="2611F343" w14:textId="5ABB9B6C" w:rsidR="00E05E18" w:rsidRPr="009779B3" w:rsidRDefault="00E05E18" w:rsidP="00A53888">
      <w:pPr>
        <w:jc w:val="both"/>
      </w:pPr>
      <w:r>
        <w:t>The</w:t>
      </w:r>
      <w:r w:rsidRPr="05ADD439">
        <w:rPr>
          <w:i/>
          <w:iCs/>
        </w:rPr>
        <w:t xml:space="preserve"> </w:t>
      </w:r>
      <w:r>
        <w:t xml:space="preserve">newly extended </w:t>
      </w:r>
      <w:proofErr w:type="spellStart"/>
      <w:r>
        <w:t>Palexpo</w:t>
      </w:r>
      <w:proofErr w:type="spellEnd"/>
      <w:r>
        <w:t xml:space="preserve"> conference centre offers the most </w:t>
      </w:r>
      <w:r w:rsidR="00A209A5">
        <w:t xml:space="preserve">practical </w:t>
      </w:r>
      <w:r>
        <w:t xml:space="preserve">alternative to hold </w:t>
      </w:r>
      <w:r w:rsidR="001C9755">
        <w:t xml:space="preserve">the majority of </w:t>
      </w:r>
      <w:r>
        <w:t xml:space="preserve">ITU meetings </w:t>
      </w:r>
      <w:r w:rsidR="162FFD63">
        <w:t>in</w:t>
      </w:r>
      <w:r>
        <w:t xml:space="preserve"> </w:t>
      </w:r>
      <w:r w:rsidR="00A209A5">
        <w:t xml:space="preserve">one location in </w:t>
      </w:r>
      <w:r>
        <w:t>Geneva in 2028</w:t>
      </w:r>
      <w:r w:rsidR="00896083">
        <w:t xml:space="preserve"> (and</w:t>
      </w:r>
      <w:r w:rsidR="19129BAF">
        <w:t xml:space="preserve"> </w:t>
      </w:r>
      <w:r>
        <w:t>2029</w:t>
      </w:r>
      <w:r w:rsidR="00896083">
        <w:t xml:space="preserve"> if necessary)</w:t>
      </w:r>
      <w:r>
        <w:t>.</w:t>
      </w:r>
    </w:p>
    <w:p w14:paraId="19AE221D" w14:textId="7D492F5F" w:rsidR="00E05E18" w:rsidRPr="009779B3" w:rsidRDefault="00E05E18" w:rsidP="00A53888">
      <w:pPr>
        <w:jc w:val="both"/>
      </w:pPr>
      <w:proofErr w:type="spellStart"/>
      <w:r>
        <w:t>Palexpo</w:t>
      </w:r>
      <w:proofErr w:type="spellEnd"/>
      <w:r>
        <w:t xml:space="preserve"> ha</w:t>
      </w:r>
      <w:r w:rsidR="3845C2DA">
        <w:t>s</w:t>
      </w:r>
      <w:r>
        <w:t xml:space="preserve"> provided a quote of </w:t>
      </w:r>
      <w:r w:rsidR="001910E5">
        <w:t>CHF 558 </w:t>
      </w:r>
      <w:r>
        <w:t xml:space="preserve">980 for the rental of 12 meeting rooms on an exclusive basis, managed autonomously by ITU, for a period of 12 months.  Additional rooms </w:t>
      </w:r>
      <w:r w:rsidR="3D50C5E0">
        <w:t xml:space="preserve">will be required and </w:t>
      </w:r>
      <w:r>
        <w:t xml:space="preserve">may be rented, subject to availability, with a discount of 40% on standard costs. </w:t>
      </w:r>
    </w:p>
    <w:p w14:paraId="485F8508" w14:textId="1AD22110" w:rsidR="00E05E18" w:rsidRPr="009779B3" w:rsidRDefault="00E05E18" w:rsidP="00A53888">
      <w:pPr>
        <w:jc w:val="both"/>
      </w:pPr>
      <w:r>
        <w:t xml:space="preserve">Additional costs </w:t>
      </w:r>
      <w:r w:rsidR="1B0783D3">
        <w:t>w</w:t>
      </w:r>
      <w:r w:rsidR="01E849BA">
        <w:t>ould</w:t>
      </w:r>
      <w:r w:rsidR="1B0783D3">
        <w:t xml:space="preserve"> be incurred for</w:t>
      </w:r>
      <w:r>
        <w:t xml:space="preserve"> technical services, security, cleaning</w:t>
      </w:r>
      <w:r w:rsidR="00D80DA0">
        <w:t>,</w:t>
      </w:r>
      <w:r>
        <w:t xml:space="preserve"> and any change to room set up (from classroom to boardroom style, for example). Indicative costs for cleaning services provided by </w:t>
      </w:r>
      <w:proofErr w:type="spellStart"/>
      <w:r>
        <w:t>Palexpo</w:t>
      </w:r>
      <w:proofErr w:type="spellEnd"/>
      <w:r>
        <w:t xml:space="preserve"> are </w:t>
      </w:r>
      <w:r w:rsidR="001910E5">
        <w:t>CHF </w:t>
      </w:r>
      <w:r>
        <w:t xml:space="preserve">260 per day; cleaning services may be outsourced if required. Security services are costed at </w:t>
      </w:r>
      <w:r w:rsidR="001910E5">
        <w:t>CHF </w:t>
      </w:r>
      <w:r>
        <w:t xml:space="preserve">58 per hour and must be provided by one of </w:t>
      </w:r>
      <w:proofErr w:type="spellStart"/>
      <w:r>
        <w:t>Palexpo</w:t>
      </w:r>
      <w:r w:rsidR="00AA56A8">
        <w:t>’</w:t>
      </w:r>
      <w:r>
        <w:t>s</w:t>
      </w:r>
      <w:proofErr w:type="spellEnd"/>
      <w:r>
        <w:t xml:space="preserve"> three official partners. These costings are based on 2024 rates and are indicative only.</w:t>
      </w:r>
    </w:p>
    <w:p w14:paraId="137F5D39" w14:textId="1642D405" w:rsidR="00E05E18" w:rsidRPr="009779B3" w:rsidRDefault="00E05E18" w:rsidP="00A53888">
      <w:pPr>
        <w:pStyle w:val="Tabletitle"/>
      </w:pPr>
      <w:r w:rsidRPr="009779B3">
        <w:lastRenderedPageBreak/>
        <w:t xml:space="preserve">Indicative costs of hosting all meetings in </w:t>
      </w:r>
      <w:proofErr w:type="spellStart"/>
      <w:r w:rsidRPr="009779B3">
        <w:t>Palexpo</w:t>
      </w:r>
      <w:proofErr w:type="spellEnd"/>
      <w:r w:rsidRPr="009779B3">
        <w:t xml:space="preserve"> for one year</w:t>
      </w:r>
    </w:p>
    <w:tbl>
      <w:tblPr>
        <w:tblStyle w:val="TableGrid"/>
        <w:tblW w:w="0" w:type="auto"/>
        <w:jc w:val="center"/>
        <w:tblLook w:val="04A0" w:firstRow="1" w:lastRow="0" w:firstColumn="1" w:lastColumn="0" w:noHBand="0" w:noVBand="1"/>
      </w:tblPr>
      <w:tblGrid>
        <w:gridCol w:w="4815"/>
        <w:gridCol w:w="1989"/>
      </w:tblGrid>
      <w:tr w:rsidR="00E05E18" w:rsidRPr="009779B3" w14:paraId="1B01CD0D" w14:textId="77777777" w:rsidTr="00DB538F">
        <w:trPr>
          <w:jc w:val="center"/>
        </w:trPr>
        <w:tc>
          <w:tcPr>
            <w:tcW w:w="4815" w:type="dxa"/>
          </w:tcPr>
          <w:p w14:paraId="559F459A" w14:textId="77777777" w:rsidR="00E05E18" w:rsidRPr="009779B3" w:rsidRDefault="00E05E18" w:rsidP="00DB538F">
            <w:pPr>
              <w:pStyle w:val="Tablehead"/>
            </w:pPr>
            <w:r w:rsidRPr="009779B3">
              <w:t>Item</w:t>
            </w:r>
          </w:p>
        </w:tc>
        <w:tc>
          <w:tcPr>
            <w:tcW w:w="1989" w:type="dxa"/>
          </w:tcPr>
          <w:p w14:paraId="5A3E16E9" w14:textId="77777777" w:rsidR="00E05E18" w:rsidRPr="009779B3" w:rsidRDefault="00E05E18" w:rsidP="00DB538F">
            <w:pPr>
              <w:pStyle w:val="Tablehead"/>
            </w:pPr>
            <w:r w:rsidRPr="009779B3">
              <w:t>Cost (CHF)/year</w:t>
            </w:r>
          </w:p>
        </w:tc>
      </w:tr>
      <w:tr w:rsidR="00E05E18" w:rsidRPr="009779B3" w14:paraId="2A63149D" w14:textId="77777777" w:rsidTr="00DB538F">
        <w:trPr>
          <w:jc w:val="center"/>
        </w:trPr>
        <w:tc>
          <w:tcPr>
            <w:tcW w:w="4815" w:type="dxa"/>
          </w:tcPr>
          <w:p w14:paraId="2F242E7C" w14:textId="77777777" w:rsidR="00E05E18" w:rsidRPr="009779B3" w:rsidRDefault="00E05E18" w:rsidP="00A53888">
            <w:pPr>
              <w:pStyle w:val="Tabletext"/>
            </w:pPr>
            <w:r w:rsidRPr="009779B3">
              <w:t>Rental (12 meeting rooms)</w:t>
            </w:r>
          </w:p>
        </w:tc>
        <w:tc>
          <w:tcPr>
            <w:tcW w:w="1989" w:type="dxa"/>
          </w:tcPr>
          <w:p w14:paraId="1A181ED2" w14:textId="77777777" w:rsidR="00E05E18" w:rsidRPr="009779B3" w:rsidRDefault="00E05E18" w:rsidP="00DB538F">
            <w:pPr>
              <w:pStyle w:val="Tabletext"/>
              <w:jc w:val="center"/>
            </w:pPr>
            <w:r w:rsidRPr="009779B3">
              <w:t>558 980</w:t>
            </w:r>
          </w:p>
        </w:tc>
      </w:tr>
      <w:tr w:rsidR="00E05E18" w:rsidRPr="009779B3" w14:paraId="61DD9C22" w14:textId="77777777" w:rsidTr="00DB538F">
        <w:trPr>
          <w:jc w:val="center"/>
        </w:trPr>
        <w:tc>
          <w:tcPr>
            <w:tcW w:w="4815" w:type="dxa"/>
          </w:tcPr>
          <w:p w14:paraId="361A98F6" w14:textId="452C7DE1" w:rsidR="00E05E18" w:rsidRPr="009779B3" w:rsidRDefault="00E05E18" w:rsidP="00A53888">
            <w:pPr>
              <w:pStyle w:val="Tabletext"/>
            </w:pPr>
            <w:r w:rsidRPr="009779B3">
              <w:t>Rental for additional rooms</w:t>
            </w:r>
            <w:r w:rsidR="00CC3751" w:rsidRPr="009779B3">
              <w:t xml:space="preserve"> (subject to availability)</w:t>
            </w:r>
          </w:p>
        </w:tc>
        <w:tc>
          <w:tcPr>
            <w:tcW w:w="1989" w:type="dxa"/>
          </w:tcPr>
          <w:p w14:paraId="356AEB9C" w14:textId="037A23A0" w:rsidR="00E05E18" w:rsidRPr="009779B3" w:rsidRDefault="00E05E18" w:rsidP="00DB538F">
            <w:pPr>
              <w:pStyle w:val="Tabletext"/>
              <w:jc w:val="center"/>
            </w:pPr>
            <w:r w:rsidRPr="009779B3">
              <w:t>5</w:t>
            </w:r>
            <w:r w:rsidR="00A90294" w:rsidRPr="009779B3">
              <w:t>0</w:t>
            </w:r>
            <w:r w:rsidRPr="009779B3">
              <w:t>0 000</w:t>
            </w:r>
          </w:p>
        </w:tc>
      </w:tr>
      <w:tr w:rsidR="00E05E18" w:rsidRPr="009779B3" w14:paraId="7DD78A41" w14:textId="77777777" w:rsidTr="00DB538F">
        <w:trPr>
          <w:jc w:val="center"/>
        </w:trPr>
        <w:tc>
          <w:tcPr>
            <w:tcW w:w="4815" w:type="dxa"/>
          </w:tcPr>
          <w:p w14:paraId="0DBBA3BD" w14:textId="77777777" w:rsidR="00E05E18" w:rsidRPr="009779B3" w:rsidRDefault="00E05E18" w:rsidP="00A53888">
            <w:pPr>
              <w:pStyle w:val="Tabletext"/>
            </w:pPr>
            <w:r w:rsidRPr="009779B3">
              <w:t>Technical services &amp; room set-up</w:t>
            </w:r>
          </w:p>
        </w:tc>
        <w:tc>
          <w:tcPr>
            <w:tcW w:w="1989" w:type="dxa"/>
          </w:tcPr>
          <w:p w14:paraId="728545E6" w14:textId="77777777" w:rsidR="00E05E18" w:rsidRPr="009779B3" w:rsidRDefault="00E05E18" w:rsidP="00DB538F">
            <w:pPr>
              <w:pStyle w:val="Tabletext"/>
              <w:jc w:val="center"/>
            </w:pPr>
            <w:r w:rsidRPr="009779B3">
              <w:t>3 000 000</w:t>
            </w:r>
          </w:p>
        </w:tc>
      </w:tr>
      <w:tr w:rsidR="00E05E18" w:rsidRPr="009779B3" w14:paraId="2E600535" w14:textId="77777777" w:rsidTr="00DB538F">
        <w:trPr>
          <w:jc w:val="center"/>
        </w:trPr>
        <w:tc>
          <w:tcPr>
            <w:tcW w:w="4815" w:type="dxa"/>
          </w:tcPr>
          <w:p w14:paraId="50DFC9A3" w14:textId="77777777" w:rsidR="00E05E18" w:rsidRPr="009779B3" w:rsidRDefault="00E05E18" w:rsidP="00A53888">
            <w:pPr>
              <w:pStyle w:val="Tabletext"/>
            </w:pPr>
            <w:r w:rsidRPr="009779B3">
              <w:t>Security</w:t>
            </w:r>
          </w:p>
        </w:tc>
        <w:tc>
          <w:tcPr>
            <w:tcW w:w="1989" w:type="dxa"/>
          </w:tcPr>
          <w:p w14:paraId="34474CF4" w14:textId="7FB558C2" w:rsidR="00E05E18" w:rsidRPr="009779B3" w:rsidRDefault="00A209A5" w:rsidP="00DB538F">
            <w:pPr>
              <w:pStyle w:val="Tabletext"/>
              <w:jc w:val="center"/>
            </w:pPr>
            <w:r w:rsidRPr="009779B3">
              <w:t>5</w:t>
            </w:r>
            <w:r w:rsidR="00E05E18" w:rsidRPr="009779B3">
              <w:t>00 000</w:t>
            </w:r>
          </w:p>
        </w:tc>
      </w:tr>
      <w:tr w:rsidR="00E05E18" w:rsidRPr="009779B3" w14:paraId="266D208F" w14:textId="77777777" w:rsidTr="00DB538F">
        <w:trPr>
          <w:jc w:val="center"/>
        </w:trPr>
        <w:tc>
          <w:tcPr>
            <w:tcW w:w="4815" w:type="dxa"/>
          </w:tcPr>
          <w:p w14:paraId="34B4908E" w14:textId="77777777" w:rsidR="00E05E18" w:rsidRPr="009779B3" w:rsidRDefault="00E05E18" w:rsidP="00A53888">
            <w:pPr>
              <w:pStyle w:val="Tabletext"/>
            </w:pPr>
            <w:r w:rsidRPr="009779B3">
              <w:t>Cleaning</w:t>
            </w:r>
          </w:p>
        </w:tc>
        <w:tc>
          <w:tcPr>
            <w:tcW w:w="1989" w:type="dxa"/>
          </w:tcPr>
          <w:p w14:paraId="0E1A6A4F" w14:textId="77777777" w:rsidR="00E05E18" w:rsidRPr="009779B3" w:rsidRDefault="00E05E18" w:rsidP="00DB538F">
            <w:pPr>
              <w:pStyle w:val="Tabletext"/>
              <w:jc w:val="center"/>
            </w:pPr>
            <w:r w:rsidRPr="009779B3">
              <w:t>60 000</w:t>
            </w:r>
          </w:p>
        </w:tc>
      </w:tr>
      <w:tr w:rsidR="00E05E18" w:rsidRPr="009779B3" w14:paraId="6DFDD7A1" w14:textId="77777777" w:rsidTr="00DB538F">
        <w:trPr>
          <w:jc w:val="center"/>
        </w:trPr>
        <w:tc>
          <w:tcPr>
            <w:tcW w:w="4815" w:type="dxa"/>
          </w:tcPr>
          <w:p w14:paraId="4386C8D8" w14:textId="77777777" w:rsidR="00E05E18" w:rsidRPr="009779B3" w:rsidRDefault="00E05E18" w:rsidP="008D0793">
            <w:pPr>
              <w:pStyle w:val="Tabletext"/>
              <w:jc w:val="right"/>
              <w:rPr>
                <w:b/>
                <w:bCs/>
              </w:rPr>
            </w:pPr>
            <w:r w:rsidRPr="009779B3">
              <w:rPr>
                <w:b/>
                <w:bCs/>
              </w:rPr>
              <w:t>Total</w:t>
            </w:r>
          </w:p>
        </w:tc>
        <w:tc>
          <w:tcPr>
            <w:tcW w:w="1989" w:type="dxa"/>
          </w:tcPr>
          <w:p w14:paraId="24D3D778" w14:textId="6B1B0E0C" w:rsidR="00E05E18" w:rsidRPr="009779B3" w:rsidRDefault="00E05E18" w:rsidP="00DB538F">
            <w:pPr>
              <w:pStyle w:val="Tabletext"/>
              <w:jc w:val="center"/>
              <w:rPr>
                <w:b/>
                <w:bCs/>
              </w:rPr>
            </w:pPr>
            <w:r w:rsidRPr="009779B3">
              <w:rPr>
                <w:b/>
                <w:bCs/>
              </w:rPr>
              <w:t xml:space="preserve">4 </w:t>
            </w:r>
            <w:r w:rsidR="00A90294" w:rsidRPr="009779B3">
              <w:rPr>
                <w:b/>
                <w:bCs/>
              </w:rPr>
              <w:t>61</w:t>
            </w:r>
            <w:r w:rsidRPr="009779B3">
              <w:rPr>
                <w:b/>
                <w:bCs/>
              </w:rPr>
              <w:t>8 980</w:t>
            </w:r>
          </w:p>
        </w:tc>
      </w:tr>
    </w:tbl>
    <w:p w14:paraId="3E462ECE" w14:textId="77777777" w:rsidR="00E05E18" w:rsidRPr="009779B3" w:rsidRDefault="00E05E18" w:rsidP="00E05E18">
      <w:pPr>
        <w:pStyle w:val="Tabletext"/>
      </w:pPr>
    </w:p>
    <w:p w14:paraId="54243029" w14:textId="6AEF1A58" w:rsidR="319B42F9" w:rsidRPr="009779B3" w:rsidRDefault="319B42F9" w:rsidP="00A53888">
      <w:pPr>
        <w:pStyle w:val="Headingb"/>
      </w:pPr>
      <w:r w:rsidRPr="009779B3">
        <w:t>Terms and conditions</w:t>
      </w:r>
    </w:p>
    <w:p w14:paraId="4E77CD21" w14:textId="77777777" w:rsidR="008D0793" w:rsidRDefault="00E05E18" w:rsidP="00DB538F">
      <w:pPr>
        <w:jc w:val="both"/>
      </w:pPr>
      <w:proofErr w:type="spellStart"/>
      <w:r w:rsidRPr="009779B3">
        <w:t>Palexpo</w:t>
      </w:r>
      <w:proofErr w:type="spellEnd"/>
      <w:r w:rsidRPr="009779B3">
        <w:t xml:space="preserve"> requires any contract for 2028 to be signed by 31 December 2025 at the latest</w:t>
      </w:r>
      <w:r w:rsidR="008D0793">
        <w:t>,</w:t>
      </w:r>
      <w:r w:rsidRPr="009779B3">
        <w:t xml:space="preserve"> and for 2029, by 31 December 2026 at the latest.</w:t>
      </w:r>
      <w:r w:rsidR="16F4D702" w:rsidRPr="009779B3">
        <w:t xml:space="preserve"> Cancellation costs of 100</w:t>
      </w:r>
      <w:r w:rsidR="008D0793">
        <w:t xml:space="preserve"> per cent</w:t>
      </w:r>
      <w:r w:rsidR="16F4D702" w:rsidRPr="009779B3">
        <w:t xml:space="preserve"> apply after the date of signature.</w:t>
      </w:r>
    </w:p>
    <w:p w14:paraId="44F6B1AE" w14:textId="4F2CD40B" w:rsidR="00272AC0" w:rsidRPr="009779B3" w:rsidRDefault="00272AC0" w:rsidP="00A53888">
      <w:pPr>
        <w:pStyle w:val="Headingb"/>
      </w:pPr>
      <w:r w:rsidRPr="009779B3">
        <w:t>Other international agencies</w:t>
      </w:r>
      <w:r w:rsidR="7D0D08B8" w:rsidRPr="009779B3">
        <w:t xml:space="preserve"> as venues</w:t>
      </w:r>
    </w:p>
    <w:p w14:paraId="13290140" w14:textId="0764A369" w:rsidR="00ED1ED5" w:rsidRPr="009779B3" w:rsidRDefault="00DC69AF" w:rsidP="00DB538F">
      <w:pPr>
        <w:jc w:val="both"/>
      </w:pPr>
      <w:r w:rsidRPr="009779B3">
        <w:t>There is increased pressure on meeting spaces in international Geneva</w:t>
      </w:r>
      <w:r w:rsidR="00990EF7" w:rsidRPr="009779B3">
        <w:t xml:space="preserve"> in the period </w:t>
      </w:r>
      <w:r w:rsidR="46A0E71B" w:rsidRPr="009779B3">
        <w:t xml:space="preserve">up </w:t>
      </w:r>
      <w:r w:rsidR="00990EF7" w:rsidRPr="009779B3">
        <w:t xml:space="preserve">to 2030 as several major construction projects are taking place in parallel, demand is very high and </w:t>
      </w:r>
      <w:r w:rsidR="00442A66" w:rsidRPr="009779B3">
        <w:t>very few meeting rooms are available for external use.</w:t>
      </w:r>
    </w:p>
    <w:p w14:paraId="665235EF" w14:textId="42B3D966" w:rsidR="00184152" w:rsidRPr="009779B3" w:rsidRDefault="00880D54" w:rsidP="00DB538F">
      <w:pPr>
        <w:jc w:val="both"/>
      </w:pPr>
      <w:r w:rsidRPr="009779B3">
        <w:t>In general,</w:t>
      </w:r>
      <w:r w:rsidR="462A203D" w:rsidRPr="009779B3">
        <w:t xml:space="preserve"> other international agencies do not accept external reservations for meeting spaces or can only make rooms available on a limited ad hoc basis at short notice. It</w:t>
      </w:r>
      <w:r w:rsidRPr="009779B3">
        <w:t xml:space="preserve"> is difficult to make use of facilities in other international </w:t>
      </w:r>
      <w:r w:rsidR="00002C0E" w:rsidRPr="009779B3">
        <w:t>agencies</w:t>
      </w:r>
      <w:r w:rsidRPr="009779B3">
        <w:t xml:space="preserve"> within Geneva given </w:t>
      </w:r>
      <w:r w:rsidR="63D33FBB" w:rsidRPr="009779B3">
        <w:t xml:space="preserve">the lead time needed for delegates to plan their attendance, </w:t>
      </w:r>
      <w:r w:rsidR="5DF4ADAF" w:rsidRPr="009779B3">
        <w:t>security requirements linked to d</w:t>
      </w:r>
      <w:r w:rsidRPr="009779B3">
        <w:t>ifferences in membership</w:t>
      </w:r>
      <w:r w:rsidR="00002C0E" w:rsidRPr="009779B3">
        <w:t xml:space="preserve"> between organizations,</w:t>
      </w:r>
      <w:r w:rsidR="003F41FC" w:rsidRPr="009779B3">
        <w:t xml:space="preserve"> and differences in infrastructure and services offered. </w:t>
      </w:r>
    </w:p>
    <w:p w14:paraId="212DB5B3" w14:textId="1BF902B2" w:rsidR="00786EE8" w:rsidRPr="009779B3" w:rsidRDefault="00786EE8" w:rsidP="00DB538F">
      <w:pPr>
        <w:jc w:val="both"/>
      </w:pPr>
      <w:r w:rsidRPr="009779B3">
        <w:t>WHO and UNOG may have a limited number of rooms available for rent in 2028 on an ad hoc basis. Confirmation of availability can be provided at a maximum of six months in advance of meetings.</w:t>
      </w:r>
    </w:p>
    <w:p w14:paraId="560B66F9" w14:textId="67CF8686" w:rsidR="00184152" w:rsidRPr="009779B3" w:rsidRDefault="00184152" w:rsidP="00A53888">
      <w:pPr>
        <w:pStyle w:val="Headingb"/>
      </w:pPr>
      <w:r w:rsidRPr="009779B3">
        <w:t>UNOG</w:t>
      </w:r>
    </w:p>
    <w:p w14:paraId="7BB9D5BC" w14:textId="72692DD6" w:rsidR="00880D54" w:rsidRPr="009779B3" w:rsidRDefault="004144A0" w:rsidP="00DB538F">
      <w:pPr>
        <w:jc w:val="both"/>
      </w:pPr>
      <w:r w:rsidRPr="009779B3">
        <w:t>As part of the ongoing renovation of its conference facilities, t</w:t>
      </w:r>
      <w:r w:rsidR="00184152" w:rsidRPr="009779B3">
        <w:t xml:space="preserve">he United Nations Office </w:t>
      </w:r>
      <w:r w:rsidR="00052D87" w:rsidRPr="009779B3">
        <w:t>at Geneva (UNOG)</w:t>
      </w:r>
      <w:r w:rsidRPr="009779B3">
        <w:t xml:space="preserve"> has </w:t>
      </w:r>
      <w:r w:rsidR="00B33BA4" w:rsidRPr="009779B3">
        <w:t xml:space="preserve">built a temporary conference structure </w:t>
      </w:r>
      <w:r w:rsidR="401758DE" w:rsidRPr="009779B3">
        <w:t xml:space="preserve">which </w:t>
      </w:r>
      <w:r w:rsidR="00B33BA4" w:rsidRPr="009779B3">
        <w:t>may be available for lease and use by IT</w:t>
      </w:r>
      <w:r w:rsidR="00845C39" w:rsidRPr="009779B3">
        <w:t>U</w:t>
      </w:r>
      <w:r w:rsidR="26D6E0A1" w:rsidRPr="009779B3">
        <w:t xml:space="preserve"> as from 2028</w:t>
      </w:r>
      <w:r w:rsidR="00545187" w:rsidRPr="009779B3">
        <w:t>.</w:t>
      </w:r>
    </w:p>
    <w:p w14:paraId="463D79BF" w14:textId="5939CBD3" w:rsidR="00C84BFD" w:rsidRPr="009779B3" w:rsidRDefault="00845C39" w:rsidP="00DB538F">
      <w:pPr>
        <w:spacing w:line="259" w:lineRule="auto"/>
        <w:jc w:val="both"/>
      </w:pPr>
      <w:r w:rsidRPr="009779B3">
        <w:t xml:space="preserve">The </w:t>
      </w:r>
      <w:r w:rsidR="007A54BD" w:rsidRPr="009779B3">
        <w:t xml:space="preserve">structure offers </w:t>
      </w:r>
      <w:r w:rsidR="77516209" w:rsidRPr="009779B3">
        <w:t xml:space="preserve">a </w:t>
      </w:r>
      <w:r w:rsidR="007A54BD" w:rsidRPr="009779B3">
        <w:t>meeting space</w:t>
      </w:r>
      <w:r w:rsidRPr="009779B3">
        <w:t xml:space="preserve"> </w:t>
      </w:r>
      <w:r w:rsidR="0B75BA52" w:rsidRPr="009779B3">
        <w:t xml:space="preserve">for </w:t>
      </w:r>
      <w:r w:rsidRPr="009779B3">
        <w:t>600 participants with the possibility of reconfiguring as 3</w:t>
      </w:r>
      <w:r w:rsidR="00DB538F" w:rsidRPr="009779B3">
        <w:t> </w:t>
      </w:r>
      <w:r w:rsidR="00DB538F" w:rsidRPr="009779B3">
        <w:rPr>
          <w:rFonts w:cs="Calibri"/>
        </w:rPr>
        <w:t>×</w:t>
      </w:r>
      <w:r w:rsidR="00DB538F" w:rsidRPr="009779B3">
        <w:t> </w:t>
      </w:r>
      <w:r w:rsidRPr="009779B3">
        <w:t xml:space="preserve">200 participant rooms. It is fully </w:t>
      </w:r>
      <w:r w:rsidR="007A54BD" w:rsidRPr="009779B3">
        <w:t>fitted</w:t>
      </w:r>
      <w:r w:rsidRPr="009779B3">
        <w:t xml:space="preserve"> with </w:t>
      </w:r>
      <w:r w:rsidR="007065B4" w:rsidRPr="009779B3">
        <w:t xml:space="preserve">interpreter booths, audiovisual and technical equipment </w:t>
      </w:r>
      <w:r w:rsidR="007A54BD" w:rsidRPr="009779B3">
        <w:t>to enable webcasting, captioning and remote participation.</w:t>
      </w:r>
      <w:r w:rsidR="00C84BFD" w:rsidRPr="009779B3">
        <w:t xml:space="preserve"> </w:t>
      </w:r>
      <w:r w:rsidR="00DB2074" w:rsidRPr="009779B3">
        <w:t>However, even if</w:t>
      </w:r>
      <w:r w:rsidR="00A90294" w:rsidRPr="009779B3">
        <w:t xml:space="preserve"> leased </w:t>
      </w:r>
      <w:r w:rsidR="00DB2074" w:rsidRPr="009779B3">
        <w:t>for</w:t>
      </w:r>
      <w:r w:rsidR="00A90294" w:rsidRPr="009779B3">
        <w:t xml:space="preserve"> an entire year, </w:t>
      </w:r>
      <w:r w:rsidR="00DB2074" w:rsidRPr="009779B3">
        <w:t>the full structure</w:t>
      </w:r>
      <w:r w:rsidR="4F742D20" w:rsidRPr="009779B3">
        <w:t xml:space="preserve"> </w:t>
      </w:r>
      <w:r w:rsidR="6DD30A23" w:rsidRPr="009779B3">
        <w:t>could accommodate</w:t>
      </w:r>
      <w:r w:rsidR="7C278397" w:rsidRPr="009779B3">
        <w:t xml:space="preserve"> only</w:t>
      </w:r>
      <w:r w:rsidR="6DD30A23" w:rsidRPr="009779B3">
        <w:t xml:space="preserve"> a limited number of ITU meetings </w:t>
      </w:r>
      <w:r w:rsidR="73A7CA57" w:rsidRPr="009779B3">
        <w:t>during</w:t>
      </w:r>
      <w:r w:rsidR="6DD30A23" w:rsidRPr="009779B3">
        <w:t xml:space="preserve"> 2028 </w:t>
      </w:r>
      <w:r w:rsidR="3A15E0C9" w:rsidRPr="009779B3">
        <w:t>as it can be used only for one</w:t>
      </w:r>
      <w:r w:rsidR="0B271A1E" w:rsidRPr="009779B3">
        <w:t xml:space="preserve"> meeting at a time</w:t>
      </w:r>
      <w:r w:rsidR="5AB0B92B" w:rsidRPr="009779B3">
        <w:t>, noting that sessions of an individual meeting cannot be split between venues due to the distances involved</w:t>
      </w:r>
      <w:r w:rsidR="0B271A1E" w:rsidRPr="009779B3">
        <w:t xml:space="preserve">. </w:t>
      </w:r>
      <w:r w:rsidR="00A90294" w:rsidRPr="009779B3">
        <w:t xml:space="preserve">For this reason, </w:t>
      </w:r>
      <w:r w:rsidR="0B271A1E" w:rsidRPr="009779B3">
        <w:t xml:space="preserve">the majority of rooms at </w:t>
      </w:r>
      <w:proofErr w:type="spellStart"/>
      <w:r w:rsidR="0B271A1E" w:rsidRPr="009779B3">
        <w:t>Palexpo</w:t>
      </w:r>
      <w:proofErr w:type="spellEnd"/>
      <w:r w:rsidR="0B271A1E" w:rsidRPr="009779B3">
        <w:t xml:space="preserve"> would</w:t>
      </w:r>
      <w:r w:rsidR="00A90294" w:rsidRPr="009779B3">
        <w:t xml:space="preserve"> therefore</w:t>
      </w:r>
      <w:r w:rsidR="0B271A1E" w:rsidRPr="009779B3">
        <w:t xml:space="preserve"> still be required. </w:t>
      </w:r>
    </w:p>
    <w:p w14:paraId="6028F59C" w14:textId="194D4030" w:rsidR="00C84BFD" w:rsidRPr="009779B3" w:rsidRDefault="5CC587EF" w:rsidP="00DB538F">
      <w:pPr>
        <w:jc w:val="both"/>
      </w:pPr>
      <w:r w:rsidRPr="009779B3">
        <w:t xml:space="preserve">The UNOG space could be </w:t>
      </w:r>
      <w:r w:rsidR="00DB2074" w:rsidRPr="009779B3">
        <w:t>rented</w:t>
      </w:r>
      <w:r w:rsidRPr="009779B3">
        <w:t xml:space="preserve"> for individual meetings on an ad hoc basis</w:t>
      </w:r>
      <w:r w:rsidR="00786EE8" w:rsidRPr="009779B3">
        <w:t>, but confirmation of availability can only be made six months in advance of the meeting</w:t>
      </w:r>
      <w:r w:rsidR="00DB538F" w:rsidRPr="009779B3">
        <w:t>.</w:t>
      </w:r>
    </w:p>
    <w:p w14:paraId="4EAD51B3" w14:textId="43A41F72" w:rsidR="003860BF" w:rsidRPr="009779B3" w:rsidRDefault="4751575A" w:rsidP="00C51963">
      <w:r w:rsidRPr="00313076">
        <w:lastRenderedPageBreak/>
        <w:t>A</w:t>
      </w:r>
      <w:r w:rsidR="003860BF" w:rsidRPr="00313076">
        <w:t xml:space="preserve"> number of details on the use of the UNOG structure remain open:</w:t>
      </w:r>
    </w:p>
    <w:p w14:paraId="09349DC3" w14:textId="04A68B86" w:rsidR="003860BF" w:rsidRPr="009779B3" w:rsidRDefault="00DB538F" w:rsidP="00B25600">
      <w:pPr>
        <w:pStyle w:val="enumlev1"/>
        <w:jc w:val="both"/>
      </w:pPr>
      <w:r w:rsidRPr="009779B3">
        <w:t>–</w:t>
      </w:r>
      <w:r w:rsidRPr="009779B3">
        <w:tab/>
      </w:r>
      <w:r w:rsidR="003860BF" w:rsidRPr="009779B3">
        <w:t>Availability: the UNOG General Assembly will decide on the budget for the renovation project in June 2025. The decision (whether to go ahead with the full renovation project or rescope) will affect the timelines of the re</w:t>
      </w:r>
      <w:r w:rsidR="4CA1F51A" w:rsidRPr="009779B3">
        <w:t>novatio</w:t>
      </w:r>
      <w:r w:rsidR="003860BF" w:rsidRPr="009779B3">
        <w:t>n and therefore when the temporary structure could be released for ITU between the end of 2027 and mid-2028.</w:t>
      </w:r>
    </w:p>
    <w:p w14:paraId="55DDDEA5" w14:textId="6123115A" w:rsidR="003860BF" w:rsidRPr="009779B3" w:rsidRDefault="00670912" w:rsidP="00B25600">
      <w:pPr>
        <w:pStyle w:val="enumlev1"/>
        <w:jc w:val="both"/>
      </w:pPr>
      <w:r w:rsidRPr="009779B3">
        <w:t>–</w:t>
      </w:r>
      <w:r w:rsidRPr="009779B3">
        <w:tab/>
      </w:r>
      <w:r w:rsidR="003860BF" w:rsidRPr="009779B3">
        <w:t xml:space="preserve">Cost: full details of the cost of leasing the structure, including the use of all equipment, technical services, cleaning and security services, </w:t>
      </w:r>
      <w:r w:rsidR="00B25600">
        <w:t>are</w:t>
      </w:r>
      <w:r w:rsidR="00A90294" w:rsidRPr="009779B3">
        <w:t xml:space="preserve"> yet to be provided by UNOG</w:t>
      </w:r>
      <w:r w:rsidR="003860BF" w:rsidRPr="009779B3">
        <w:t>.</w:t>
      </w:r>
    </w:p>
    <w:p w14:paraId="797ECC1D" w14:textId="0A4B3024" w:rsidR="003860BF" w:rsidRPr="009779B3" w:rsidRDefault="00670912" w:rsidP="00B25600">
      <w:pPr>
        <w:pStyle w:val="enumlev1"/>
        <w:jc w:val="both"/>
      </w:pPr>
      <w:r w:rsidRPr="009779B3">
        <w:t>–</w:t>
      </w:r>
      <w:r w:rsidRPr="009779B3">
        <w:tab/>
      </w:r>
      <w:r w:rsidR="003860BF" w:rsidRPr="009779B3">
        <w:t xml:space="preserve">Additional costs: the fees for dismantling the structure would pass to ITU if it took on the lease of the </w:t>
      </w:r>
      <w:r w:rsidR="00A90294" w:rsidRPr="009779B3">
        <w:t xml:space="preserve">full </w:t>
      </w:r>
      <w:r w:rsidR="003860BF" w:rsidRPr="009779B3">
        <w:t xml:space="preserve">structure and are estimated at </w:t>
      </w:r>
      <w:r w:rsidR="002966BB">
        <w:t>CHF </w:t>
      </w:r>
      <w:r w:rsidR="003860BF" w:rsidRPr="009779B3">
        <w:t>0.5</w:t>
      </w:r>
      <w:r w:rsidR="00B25600">
        <w:t> </w:t>
      </w:r>
      <w:r w:rsidR="003860BF" w:rsidRPr="009779B3">
        <w:t>M.</w:t>
      </w:r>
    </w:p>
    <w:p w14:paraId="3763BD74" w14:textId="250DBB9E" w:rsidR="003860BF" w:rsidRPr="009779B3" w:rsidRDefault="00670912" w:rsidP="00B25600">
      <w:pPr>
        <w:pStyle w:val="enumlev1"/>
        <w:jc w:val="both"/>
      </w:pPr>
      <w:r w:rsidRPr="009779B3">
        <w:t>–</w:t>
      </w:r>
      <w:r w:rsidRPr="009779B3">
        <w:tab/>
      </w:r>
      <w:r w:rsidR="003860BF" w:rsidRPr="009779B3">
        <w:t xml:space="preserve">Security: </w:t>
      </w:r>
      <w:r w:rsidR="00CC30AF" w:rsidRPr="009779B3">
        <w:t>the feasibility and cost of establishing a separate security process via the Peace Gate and secure perimeter to the temporary structure to be determined.</w:t>
      </w:r>
    </w:p>
    <w:p w14:paraId="2B86BB68" w14:textId="19A6D76A" w:rsidR="00272AC0" w:rsidRPr="009779B3" w:rsidRDefault="00095D42" w:rsidP="00670912">
      <w:pPr>
        <w:pStyle w:val="Headingb"/>
      </w:pPr>
      <w:r w:rsidRPr="009779B3">
        <w:t>Additional sources of funding</w:t>
      </w:r>
      <w:r w:rsidR="00A90294" w:rsidRPr="009779B3">
        <w:t xml:space="preserve"> for meetings in Geneva</w:t>
      </w:r>
    </w:p>
    <w:p w14:paraId="0E74F522" w14:textId="54B5EF76" w:rsidR="00A90294" w:rsidRPr="009779B3" w:rsidRDefault="00A90294" w:rsidP="00162011">
      <w:pPr>
        <w:pStyle w:val="Headingi"/>
      </w:pPr>
      <w:r w:rsidRPr="009779B3">
        <w:t>Call for voluntary contributions</w:t>
      </w:r>
    </w:p>
    <w:p w14:paraId="294A1240" w14:textId="2962A9B6" w:rsidR="00C51963" w:rsidRPr="009779B3" w:rsidRDefault="00095D42" w:rsidP="00C51963">
      <w:pPr>
        <w:jc w:val="both"/>
      </w:pPr>
      <w:r w:rsidRPr="009779B3">
        <w:t>Following the presentation</w:t>
      </w:r>
      <w:r w:rsidR="00844712" w:rsidRPr="009779B3">
        <w:t xml:space="preserve"> to CWG-FHR</w:t>
      </w:r>
      <w:r w:rsidRPr="009779B3">
        <w:t xml:space="preserve"> of Document </w:t>
      </w:r>
      <w:hyperlink r:id="rId18" w:history="1">
        <w:r w:rsidRPr="000E7693">
          <w:rPr>
            <w:rStyle w:val="Hyperlink"/>
          </w:rPr>
          <w:t>CWG</w:t>
        </w:r>
        <w:r w:rsidR="00162011" w:rsidRPr="000E7693">
          <w:rPr>
            <w:rStyle w:val="Hyperlink"/>
          </w:rPr>
          <w:t>-</w:t>
        </w:r>
        <w:r w:rsidRPr="000E7693">
          <w:rPr>
            <w:rStyle w:val="Hyperlink"/>
          </w:rPr>
          <w:t>FHR</w:t>
        </w:r>
        <w:r w:rsidR="00B25600" w:rsidRPr="000E7693">
          <w:rPr>
            <w:rStyle w:val="Hyperlink"/>
          </w:rPr>
          <w:t>-</w:t>
        </w:r>
        <w:r w:rsidRPr="000E7693">
          <w:rPr>
            <w:rStyle w:val="Hyperlink"/>
          </w:rPr>
          <w:t>20/9</w:t>
        </w:r>
      </w:hyperlink>
      <w:r w:rsidRPr="009779B3">
        <w:t xml:space="preserve"> on </w:t>
      </w:r>
      <w:r w:rsidR="00B25600" w:rsidRPr="009779B3">
        <w:t xml:space="preserve">business </w:t>
      </w:r>
      <w:r w:rsidRPr="009779B3">
        <w:t xml:space="preserve">continuity modalities, a circular letter was sent to all Member States and Sector Members </w:t>
      </w:r>
      <w:r w:rsidR="00142ADF" w:rsidRPr="009779B3">
        <w:t>on 28</w:t>
      </w:r>
      <w:r w:rsidR="0078090A" w:rsidRPr="009779B3">
        <w:t xml:space="preserve"> March</w:t>
      </w:r>
      <w:r w:rsidR="00CC30AF" w:rsidRPr="009779B3">
        <w:t xml:space="preserve"> </w:t>
      </w:r>
      <w:r w:rsidR="0078090A" w:rsidRPr="009779B3">
        <w:t xml:space="preserve">2025, </w:t>
      </w:r>
      <w:r w:rsidRPr="009779B3">
        <w:t>requesting expressions</w:t>
      </w:r>
      <w:r w:rsidR="0078090A" w:rsidRPr="009779B3">
        <w:t xml:space="preserve"> of interest in providing voluntary contributions to support holding events in Geneva during the construction of the new ITU headquarters building.</w:t>
      </w:r>
      <w:r w:rsidR="0097759A" w:rsidRPr="009779B3">
        <w:t xml:space="preserve"> As of 23</w:t>
      </w:r>
      <w:r w:rsidR="00BD2294">
        <w:t> </w:t>
      </w:r>
      <w:r w:rsidR="0097759A" w:rsidRPr="009779B3">
        <w:t xml:space="preserve">April 2025, the closing date for expressions of interest, no responses </w:t>
      </w:r>
      <w:r w:rsidR="00DB2074" w:rsidRPr="009779B3">
        <w:t>have been</w:t>
      </w:r>
      <w:r w:rsidR="0097759A" w:rsidRPr="009779B3">
        <w:t xml:space="preserve"> received.</w:t>
      </w:r>
    </w:p>
    <w:p w14:paraId="144831C1" w14:textId="62B06CB7" w:rsidR="00A90294" w:rsidRPr="009779B3" w:rsidRDefault="00A90294" w:rsidP="00162011">
      <w:pPr>
        <w:pStyle w:val="Headingi"/>
      </w:pPr>
      <w:r w:rsidRPr="009779B3">
        <w:t>Switzerland</w:t>
      </w:r>
    </w:p>
    <w:p w14:paraId="3A310EBF" w14:textId="018299F1" w:rsidR="00E34851" w:rsidRPr="009779B3" w:rsidRDefault="00E34851" w:rsidP="575DE812">
      <w:pPr>
        <w:jc w:val="both"/>
        <w:rPr>
          <w:i/>
          <w:iCs/>
        </w:rPr>
      </w:pPr>
      <w:r>
        <w:t>Switzerland, ITU</w:t>
      </w:r>
      <w:r w:rsidR="00AA56A8">
        <w:t>’</w:t>
      </w:r>
      <w:r>
        <w:t>s host country, has indicated it</w:t>
      </w:r>
      <w:r w:rsidR="2372A59A">
        <w:t>s</w:t>
      </w:r>
      <w:r>
        <w:t xml:space="preserve"> </w:t>
      </w:r>
      <w:r w:rsidR="0C889604">
        <w:t xml:space="preserve">commitment to </w:t>
      </w:r>
      <w:r>
        <w:t xml:space="preserve">providing support to ITU </w:t>
      </w:r>
      <w:r w:rsidR="486DD2E6">
        <w:t xml:space="preserve">during the period of CICG renovation within the limits of </w:t>
      </w:r>
      <w:r w:rsidR="0BC2548A">
        <w:t xml:space="preserve">available </w:t>
      </w:r>
      <w:r w:rsidR="486DD2E6">
        <w:t xml:space="preserve">resources </w:t>
      </w:r>
      <w:r>
        <w:t>to enable meetings to be held in Geneva</w:t>
      </w:r>
      <w:r w:rsidR="00162011">
        <w:t>.</w:t>
      </w:r>
      <w:r>
        <w:t xml:space="preserve"> However, Switzerland </w:t>
      </w:r>
      <w:r w:rsidR="7CEA3BCB">
        <w:t>was not able to</w:t>
      </w:r>
      <w:r>
        <w:t xml:space="preserve"> give any guarantee at this stage. </w:t>
      </w:r>
    </w:p>
    <w:p w14:paraId="292D4BE6" w14:textId="5B9F6E8B" w:rsidR="0083330B" w:rsidRPr="009779B3" w:rsidRDefault="00897257" w:rsidP="00162011">
      <w:pPr>
        <w:pStyle w:val="Heading1"/>
      </w:pPr>
      <w:r w:rsidRPr="009779B3">
        <w:t>5</w:t>
      </w:r>
      <w:r w:rsidR="00162011" w:rsidRPr="009779B3">
        <w:tab/>
        <w:t>I</w:t>
      </w:r>
      <w:r w:rsidR="0083330B" w:rsidRPr="009779B3">
        <w:t>TU Meetings Hub</w:t>
      </w:r>
    </w:p>
    <w:p w14:paraId="77C6E2D6" w14:textId="0A586342" w:rsidR="00742E92" w:rsidRPr="009779B3" w:rsidRDefault="00810481" w:rsidP="00810481">
      <w:pPr>
        <w:jc w:val="both"/>
      </w:pPr>
      <w:r>
        <w:t xml:space="preserve">An initial call for expressions of interest in hosting physical ITU meetings during the construction period of the new ITU headquarters was sent to all Member States in October and November 2021 (Circular Letters </w:t>
      </w:r>
      <w:hyperlink r:id="rId19">
        <w:r w:rsidRPr="30DCD88A">
          <w:rPr>
            <w:rStyle w:val="Hyperlink"/>
          </w:rPr>
          <w:t>CL</w:t>
        </w:r>
        <w:r w:rsidR="00B25600" w:rsidRPr="30DCD88A">
          <w:rPr>
            <w:rStyle w:val="Hyperlink"/>
          </w:rPr>
          <w:t>-</w:t>
        </w:r>
        <w:r w:rsidRPr="30DCD88A">
          <w:rPr>
            <w:rStyle w:val="Hyperlink"/>
          </w:rPr>
          <w:t>21/47</w:t>
        </w:r>
        <w:r>
          <w:t xml:space="preserve"> </w:t>
        </w:r>
        <w:r w:rsidRPr="30DCD88A">
          <w:rPr>
            <w:rStyle w:val="Hyperlink"/>
            <w:color w:val="auto"/>
            <w:u w:val="none"/>
          </w:rPr>
          <w:t xml:space="preserve">and </w:t>
        </w:r>
        <w:r w:rsidRPr="30DCD88A">
          <w:rPr>
            <w:rStyle w:val="Hyperlink"/>
          </w:rPr>
          <w:t>CL</w:t>
        </w:r>
        <w:r w:rsidR="00B25600" w:rsidRPr="30DCD88A">
          <w:rPr>
            <w:rStyle w:val="Hyperlink"/>
          </w:rPr>
          <w:t>-</w:t>
        </w:r>
        <w:r w:rsidRPr="30DCD88A">
          <w:rPr>
            <w:rStyle w:val="Hyperlink"/>
          </w:rPr>
          <w:t>21/47-Addendum</w:t>
        </w:r>
      </w:hyperlink>
      <w:r>
        <w:t>). This was followed by information session</w:t>
      </w:r>
      <w:r w:rsidR="00533043">
        <w:t>s</w:t>
      </w:r>
      <w:r>
        <w:t xml:space="preserve"> at Council in July 2023 </w:t>
      </w:r>
      <w:r w:rsidR="00533043">
        <w:t>and at CWG-FHR in February 2025</w:t>
      </w:r>
      <w:r w:rsidR="00B25600">
        <w:t>,</w:t>
      </w:r>
      <w:r w:rsidR="000C403B">
        <w:t xml:space="preserve"> providing further details</w:t>
      </w:r>
      <w:r>
        <w:t xml:space="preserve"> (</w:t>
      </w:r>
      <w:hyperlink r:id="rId20">
        <w:r w:rsidR="00742E92" w:rsidRPr="30DCD88A">
          <w:rPr>
            <w:rStyle w:val="Hyperlink"/>
          </w:rPr>
          <w:t>https://council.itu.int/2025/en/hosting-itu-meetings/</w:t>
        </w:r>
      </w:hyperlink>
      <w:r w:rsidR="00742E92">
        <w:t>). Several Member States subsequently requested more comprehensive, tailored proposals with indicative costings. The expression of interest process remains open and ongoing, with concrete discussions continuing with China, Hungary</w:t>
      </w:r>
      <w:r w:rsidR="0058213C">
        <w:t>,</w:t>
      </w:r>
      <w:r w:rsidR="080BE3AD">
        <w:t xml:space="preserve"> and</w:t>
      </w:r>
      <w:r w:rsidR="5FDAEE2C">
        <w:t xml:space="preserve"> </w:t>
      </w:r>
      <w:r w:rsidR="00742E92">
        <w:t>Qatar.</w:t>
      </w:r>
      <w:r w:rsidR="001C1EE8">
        <w:t xml:space="preserve"> No further planning or decision can take place without the Council</w:t>
      </w:r>
      <w:r w:rsidR="00AA56A8">
        <w:t>’</w:t>
      </w:r>
      <w:r w:rsidR="001C1EE8">
        <w:t>s approval of the</w:t>
      </w:r>
      <w:r w:rsidR="44EEB9DA">
        <w:t xml:space="preserve"> concept of the ITU Meetings Hub</w:t>
      </w:r>
      <w:r w:rsidR="142EA097">
        <w:t>.</w:t>
      </w:r>
    </w:p>
    <w:p w14:paraId="585197FE" w14:textId="2B08C79D" w:rsidR="00B75C9D" w:rsidRPr="009779B3" w:rsidRDefault="272EAFD8" w:rsidP="00162011">
      <w:pPr>
        <w:pStyle w:val="Headingb"/>
        <w:rPr>
          <w:rFonts w:eastAsia="Calibri" w:cs="Calibri"/>
          <w:szCs w:val="24"/>
        </w:rPr>
      </w:pPr>
      <w:r w:rsidRPr="009779B3">
        <w:t>Concept</w:t>
      </w:r>
    </w:p>
    <w:p w14:paraId="7677BA16" w14:textId="2C8B2B4E" w:rsidR="001C1EE8" w:rsidRPr="009779B3" w:rsidRDefault="001C1EE8" w:rsidP="001C1EE8">
      <w:pPr>
        <w:jc w:val="both"/>
      </w:pPr>
      <w:r w:rsidRPr="009779B3">
        <w:t>The basic concept of the ITU Meetings Hub is for a Host Country to cover the cost of venue, facilities, technical services and running of the Meetings Hub, in addition to ITU staff costs onsite, in line with Resolution 5 of the Plenipotentiary Conference and the respective Sector resolutions.</w:t>
      </w:r>
    </w:p>
    <w:p w14:paraId="1B188F2C" w14:textId="704439C7" w:rsidR="001C1EE8" w:rsidRPr="009779B3" w:rsidRDefault="001C1EE8" w:rsidP="001C1EE8">
      <w:pPr>
        <w:jc w:val="both"/>
      </w:pPr>
      <w:r w:rsidRPr="009779B3">
        <w:t>It may be possible for one Host Country to hold all 60 ITU technical meetings in one year</w:t>
      </w:r>
      <w:r w:rsidR="00B25600">
        <w:t>,</w:t>
      </w:r>
      <w:r w:rsidRPr="009779B3">
        <w:t xml:space="preserve"> or meetings may be split between two or more Host Countries</w:t>
      </w:r>
      <w:r w:rsidR="003E6AB6" w:rsidRPr="009779B3">
        <w:t>.</w:t>
      </w:r>
    </w:p>
    <w:p w14:paraId="6B7F33FF" w14:textId="376841DF" w:rsidR="00B75C9D" w:rsidRPr="009779B3" w:rsidRDefault="001C1EE8" w:rsidP="00162011">
      <w:pPr>
        <w:pStyle w:val="Headingb"/>
      </w:pPr>
      <w:r w:rsidRPr="009779B3">
        <w:lastRenderedPageBreak/>
        <w:t>Assessment and selection</w:t>
      </w:r>
    </w:p>
    <w:p w14:paraId="272122F2" w14:textId="57671606" w:rsidR="00810481" w:rsidRPr="00BD2294" w:rsidRDefault="00810481" w:rsidP="14BC4523">
      <w:pPr>
        <w:jc w:val="both"/>
      </w:pPr>
      <w:r>
        <w:t xml:space="preserve">Assessment of suitability for an ITU Meeting Hub is based on accessibility of location, the readiness of </w:t>
      </w:r>
      <w:r w:rsidRPr="00BD2294">
        <w:t xml:space="preserve">venues and facilities, proven experience with international events of this nature, visa facilitation and costs. </w:t>
      </w:r>
      <w:r w:rsidR="001C1EE8" w:rsidRPr="00BD2294">
        <w:t xml:space="preserve">If the </w:t>
      </w:r>
      <w:r w:rsidR="00EF701F" w:rsidRPr="00BD2294">
        <w:t xml:space="preserve">option of the ITU Meetings Hub as outlined above is </w:t>
      </w:r>
      <w:r w:rsidR="354B717F" w:rsidRPr="00BD2294">
        <w:t xml:space="preserve">accepted </w:t>
      </w:r>
      <w:r w:rsidR="00EF701F" w:rsidRPr="00BD2294">
        <w:t xml:space="preserve">by </w:t>
      </w:r>
      <w:r w:rsidR="005F74E9" w:rsidRPr="00BD2294">
        <w:t xml:space="preserve">the </w:t>
      </w:r>
      <w:r w:rsidR="001C1EE8" w:rsidRPr="00BD2294">
        <w:t xml:space="preserve">Council, </w:t>
      </w:r>
      <w:r w:rsidR="1E29D49B" w:rsidRPr="00BD2294">
        <w:t xml:space="preserve">the </w:t>
      </w:r>
      <w:r w:rsidR="00962C13" w:rsidRPr="00BD2294">
        <w:t>s</w:t>
      </w:r>
      <w:r w:rsidR="1E29D49B" w:rsidRPr="00BD2294">
        <w:t xml:space="preserve">ecretariat will establish </w:t>
      </w:r>
      <w:r w:rsidR="0AD83A63" w:rsidRPr="00BD2294">
        <w:t xml:space="preserve">the </w:t>
      </w:r>
      <w:r w:rsidR="1E29D49B" w:rsidRPr="00BD2294">
        <w:t xml:space="preserve">process </w:t>
      </w:r>
      <w:r w:rsidR="3528FA36" w:rsidRPr="00BD2294">
        <w:t xml:space="preserve">with </w:t>
      </w:r>
      <w:r w:rsidR="001C1EE8" w:rsidRPr="00BD2294">
        <w:t xml:space="preserve">a timeline </w:t>
      </w:r>
      <w:r w:rsidR="6CB5366D" w:rsidRPr="00BD2294">
        <w:t xml:space="preserve">including </w:t>
      </w:r>
      <w:r w:rsidR="001C1EE8" w:rsidRPr="00BD2294">
        <w:t xml:space="preserve">end dates for expressions of interest, formal proposals from interested parties and </w:t>
      </w:r>
      <w:r w:rsidR="6D7BA3CC" w:rsidRPr="00BD2294">
        <w:t>assessment</w:t>
      </w:r>
      <w:r w:rsidR="001C1EE8" w:rsidRPr="00BD2294">
        <w:t>, with full transparency on the selection process and criteria.</w:t>
      </w:r>
      <w:r w:rsidR="04283DA8" w:rsidRPr="00BD2294">
        <w:t xml:space="preserve"> The final proposal will then be presented to Council 202</w:t>
      </w:r>
      <w:r w:rsidR="2DCB307D" w:rsidRPr="00BD2294">
        <w:t>6</w:t>
      </w:r>
      <w:r w:rsidR="04283DA8" w:rsidRPr="00BD2294">
        <w:t xml:space="preserve"> for final approval.</w:t>
      </w:r>
    </w:p>
    <w:p w14:paraId="34E94171" w14:textId="2EB80FF5" w:rsidR="00314E46" w:rsidRPr="009779B3" w:rsidRDefault="00897257" w:rsidP="00162011">
      <w:pPr>
        <w:pStyle w:val="Heading1"/>
      </w:pPr>
      <w:r w:rsidRPr="00BD2294">
        <w:t>6</w:t>
      </w:r>
      <w:r w:rsidR="00162011" w:rsidRPr="00BD2294">
        <w:tab/>
      </w:r>
      <w:r w:rsidR="00314E46" w:rsidRPr="00BD2294">
        <w:t>Virtual meetings</w:t>
      </w:r>
    </w:p>
    <w:p w14:paraId="61D0EC11" w14:textId="54A84CDB" w:rsidR="00356F20" w:rsidRPr="009779B3" w:rsidRDefault="00356F20" w:rsidP="00162011">
      <w:pPr>
        <w:jc w:val="both"/>
      </w:pPr>
      <w:r w:rsidRPr="009779B3">
        <w:t xml:space="preserve">Given the availability of platforms open to all and the familiarity of Member State delegates, ITU staff and technical support with online meetings following the COVID-19 pandemic, it is technically feasible to hold fully virtual technical meetings. </w:t>
      </w:r>
    </w:p>
    <w:p w14:paraId="70773C45" w14:textId="55F4C577" w:rsidR="34FF4BDF" w:rsidRPr="009779B3" w:rsidRDefault="639A2C65" w:rsidP="14BC4523">
      <w:pPr>
        <w:tabs>
          <w:tab w:val="left" w:pos="6260"/>
        </w:tabs>
        <w:jc w:val="both"/>
        <w:rPr>
          <w:rFonts w:eastAsia="Calibri" w:cs="Calibri"/>
        </w:rPr>
      </w:pPr>
      <w:r w:rsidRPr="3C37B1F4">
        <w:rPr>
          <w:rFonts w:eastAsia="Calibri" w:cs="Calibri"/>
        </w:rPr>
        <w:t xml:space="preserve">Further reference to the regulatory framework on holding fully virtual meetings is provided in the Draft guidelines on the management of fully virtual and physical meetings with remote participation is provided in Annex B to Document </w:t>
      </w:r>
      <w:hyperlink r:id="rId21" w:history="1">
        <w:r w:rsidRPr="3C37B1F4">
          <w:rPr>
            <w:rStyle w:val="Hyperlink"/>
            <w:rFonts w:eastAsia="Calibri" w:cs="Calibri"/>
          </w:rPr>
          <w:t>C25/50</w:t>
        </w:r>
      </w:hyperlink>
      <w:r w:rsidRPr="3C37B1F4">
        <w:rPr>
          <w:rFonts w:eastAsia="Calibri" w:cs="Calibri"/>
        </w:rPr>
        <w:t xml:space="preserve">, submitted for the endorsement of Council 2025. </w:t>
      </w:r>
    </w:p>
    <w:p w14:paraId="3257C965" w14:textId="1EF9D4A5" w:rsidR="00742CE9" w:rsidRPr="009779B3" w:rsidRDefault="34FF4BDF" w:rsidP="00B25600">
      <w:pPr>
        <w:tabs>
          <w:tab w:val="left" w:pos="6260"/>
        </w:tabs>
        <w:jc w:val="both"/>
      </w:pPr>
      <w:r w:rsidRPr="009779B3">
        <w:t xml:space="preserve">Current practice allows for fully virtual meetings to be held for up to 3 hours per day around 1200 p.m. Geneva time. This </w:t>
      </w:r>
      <w:r w:rsidR="00284F5A" w:rsidRPr="009779B3">
        <w:t xml:space="preserve">will </w:t>
      </w:r>
      <w:r w:rsidRPr="009779B3">
        <w:t>impact upon the flexibility and length of technical meetings, which are typically held over 5 to 8 days.</w:t>
      </w:r>
    </w:p>
    <w:p w14:paraId="3C4B9DF3" w14:textId="5AA3ADA3" w:rsidR="00314E46" w:rsidRPr="009779B3" w:rsidRDefault="009B72D6" w:rsidP="00162011">
      <w:pPr>
        <w:pStyle w:val="Heading1"/>
      </w:pPr>
      <w:r>
        <w:t>7</w:t>
      </w:r>
      <w:r w:rsidR="00897257">
        <w:tab/>
      </w:r>
      <w:r w:rsidR="0012333E">
        <w:t>Conclusion</w:t>
      </w:r>
    </w:p>
    <w:p w14:paraId="59C491F2" w14:textId="04966AE2" w:rsidR="0012333E" w:rsidRDefault="00DF21D5" w:rsidP="00162011">
      <w:pPr>
        <w:jc w:val="both"/>
      </w:pPr>
      <w:r>
        <w:t xml:space="preserve">Based on current estimates, no </w:t>
      </w:r>
      <w:r w:rsidR="29859396">
        <w:t xml:space="preserve">additional </w:t>
      </w:r>
      <w:r>
        <w:t xml:space="preserve">funds are </w:t>
      </w:r>
      <w:r w:rsidR="691E2FCB">
        <w:t xml:space="preserve">expected to be </w:t>
      </w:r>
      <w:r>
        <w:t xml:space="preserve">available within the financial plan to allow </w:t>
      </w:r>
      <w:r w:rsidR="006F7E6B">
        <w:t xml:space="preserve">all </w:t>
      </w:r>
      <w:r>
        <w:t xml:space="preserve">ITU meetings to be held in </w:t>
      </w:r>
      <w:proofErr w:type="spellStart"/>
      <w:r>
        <w:t>Palexpo</w:t>
      </w:r>
      <w:proofErr w:type="spellEnd"/>
      <w:r>
        <w:t xml:space="preserve"> in 2028</w:t>
      </w:r>
      <w:r w:rsidR="0066504A">
        <w:t xml:space="preserve"> and </w:t>
      </w:r>
      <w:r w:rsidR="3541623F">
        <w:t xml:space="preserve">at present </w:t>
      </w:r>
      <w:r w:rsidR="0066504A">
        <w:t>n</w:t>
      </w:r>
      <w:r>
        <w:t>o extra-budgetary resources have been identified</w:t>
      </w:r>
      <w:r w:rsidR="006E17BE">
        <w:t xml:space="preserve">. The contract with </w:t>
      </w:r>
      <w:proofErr w:type="spellStart"/>
      <w:r w:rsidR="006E17BE">
        <w:t>Palexpo</w:t>
      </w:r>
      <w:proofErr w:type="spellEnd"/>
      <w:r w:rsidR="006E17BE">
        <w:t xml:space="preserve"> at the preferential rates set out in this document must be signed by 31 December 2025.</w:t>
      </w:r>
    </w:p>
    <w:p w14:paraId="37C73FE6" w14:textId="28C4BFAB" w:rsidR="006E17BE" w:rsidRPr="009779B3" w:rsidRDefault="006F7E6B" w:rsidP="00162011">
      <w:pPr>
        <w:jc w:val="both"/>
      </w:pPr>
      <w:r>
        <w:t xml:space="preserve">A combination of modalities between </w:t>
      </w:r>
      <w:proofErr w:type="spellStart"/>
      <w:r>
        <w:t>Palexpo</w:t>
      </w:r>
      <w:proofErr w:type="spellEnd"/>
      <w:r>
        <w:t>/</w:t>
      </w:r>
      <w:proofErr w:type="spellStart"/>
      <w:r>
        <w:t>UNOG</w:t>
      </w:r>
      <w:proofErr w:type="spellEnd"/>
      <w:r>
        <w:t xml:space="preserve">, Meetings Hubs and virtual meetings may be possible with the </w:t>
      </w:r>
      <w:r w:rsidR="00DB2074">
        <w:t>requirement</w:t>
      </w:r>
      <w:r>
        <w:t xml:space="preserve"> of addit</w:t>
      </w:r>
      <w:r w:rsidR="00DB2074">
        <w:t>io</w:t>
      </w:r>
      <w:r>
        <w:t xml:space="preserve">nal funding. </w:t>
      </w:r>
      <w:r w:rsidR="5A37A253">
        <w:t>However, the loss of economies of scale may make individual modalities more expensive and/or complicated. It m</w:t>
      </w:r>
      <w:r w:rsidR="535EF0FC">
        <w:t xml:space="preserve">ay be possible to hold </w:t>
      </w:r>
      <w:r w:rsidR="20F5CB22">
        <w:t>m</w:t>
      </w:r>
      <w:r w:rsidR="00DB2074">
        <w:t>eetings</w:t>
      </w:r>
      <w:r w:rsidR="00BD0CB7">
        <w:t xml:space="preserve"> on an </w:t>
      </w:r>
      <w:r w:rsidR="00DB2074">
        <w:t xml:space="preserve">entirely </w:t>
      </w:r>
      <w:r w:rsidR="00BD0CB7">
        <w:t xml:space="preserve">ad hoc basis in Geneva, combining </w:t>
      </w:r>
      <w:proofErr w:type="spellStart"/>
      <w:r w:rsidR="00BD0CB7">
        <w:t>Palexpo</w:t>
      </w:r>
      <w:proofErr w:type="spellEnd"/>
      <w:r w:rsidR="00BD0CB7">
        <w:t xml:space="preserve">, </w:t>
      </w:r>
      <w:proofErr w:type="spellStart"/>
      <w:r w:rsidR="00BD0CB7">
        <w:t>UNOG</w:t>
      </w:r>
      <w:proofErr w:type="spellEnd"/>
      <w:r w:rsidR="008E436F">
        <w:t xml:space="preserve">, </w:t>
      </w:r>
      <w:r w:rsidR="00BD0CB7">
        <w:t>WHO</w:t>
      </w:r>
      <w:r w:rsidR="00EA20C8">
        <w:t>,</w:t>
      </w:r>
      <w:r w:rsidR="008E436F">
        <w:t xml:space="preserve"> and other available space</w:t>
      </w:r>
      <w:r w:rsidR="5CF38C56">
        <w:t>, but understanding there is</w:t>
      </w:r>
      <w:r w:rsidR="00BD0CB7">
        <w:t xml:space="preserve"> no guarantee of availability earlier than six months in advance. </w:t>
      </w:r>
    </w:p>
    <w:p w14:paraId="30BCCCF0" w14:textId="7926BE28" w:rsidR="5DA594FF" w:rsidRPr="00BD2294" w:rsidRDefault="690D0CC6" w:rsidP="03D6BD21">
      <w:pPr>
        <w:spacing w:line="259" w:lineRule="auto"/>
        <w:jc w:val="both"/>
        <w:rPr>
          <w:b/>
          <w:bCs/>
        </w:rPr>
      </w:pPr>
      <w:r w:rsidRPr="00BD2294">
        <w:rPr>
          <w:b/>
          <w:bCs/>
        </w:rPr>
        <w:t xml:space="preserve">An </w:t>
      </w:r>
      <w:r w:rsidR="3EAE9C55" w:rsidRPr="00BD2294">
        <w:rPr>
          <w:b/>
          <w:bCs/>
        </w:rPr>
        <w:t xml:space="preserve">ITU Meetings Hub </w:t>
      </w:r>
      <w:r w:rsidR="63626F1E" w:rsidRPr="00BD2294">
        <w:rPr>
          <w:b/>
          <w:bCs/>
        </w:rPr>
        <w:t xml:space="preserve">(or Hubs) </w:t>
      </w:r>
      <w:r w:rsidR="3EAE9C55" w:rsidRPr="00BD2294">
        <w:rPr>
          <w:b/>
          <w:bCs/>
        </w:rPr>
        <w:t>hosted by a Member State</w:t>
      </w:r>
      <w:r w:rsidR="7DC4C6F8" w:rsidRPr="00BD2294">
        <w:rPr>
          <w:b/>
          <w:bCs/>
        </w:rPr>
        <w:t xml:space="preserve"> or </w:t>
      </w:r>
      <w:r w:rsidR="4A36403E" w:rsidRPr="00BD2294">
        <w:rPr>
          <w:b/>
          <w:bCs/>
        </w:rPr>
        <w:t xml:space="preserve">a number of Member States may </w:t>
      </w:r>
      <w:r w:rsidR="771F6139" w:rsidRPr="00BD2294">
        <w:rPr>
          <w:b/>
          <w:bCs/>
        </w:rPr>
        <w:t xml:space="preserve">be considered by Council as a </w:t>
      </w:r>
      <w:r w:rsidR="4A36403E" w:rsidRPr="00BD2294">
        <w:rPr>
          <w:b/>
          <w:bCs/>
        </w:rPr>
        <w:t xml:space="preserve">viable option </w:t>
      </w:r>
      <w:r w:rsidR="2BBC9465" w:rsidRPr="00BD2294">
        <w:rPr>
          <w:b/>
          <w:bCs/>
        </w:rPr>
        <w:t xml:space="preserve">for </w:t>
      </w:r>
      <w:r w:rsidR="4A36403E" w:rsidRPr="00BD2294">
        <w:rPr>
          <w:b/>
          <w:bCs/>
        </w:rPr>
        <w:t>hosting ITU meetings</w:t>
      </w:r>
      <w:r w:rsidR="3EAE9C55" w:rsidRPr="00BD2294">
        <w:t>.</w:t>
      </w:r>
      <w:r w:rsidR="2B4EF41B" w:rsidRPr="00BD2294">
        <w:t xml:space="preserve"> As noted previously, </w:t>
      </w:r>
      <w:r w:rsidR="2107041F" w:rsidRPr="00BD2294">
        <w:rPr>
          <w:b/>
          <w:bCs/>
        </w:rPr>
        <w:t xml:space="preserve">hosting </w:t>
      </w:r>
      <w:r w:rsidR="6AB1F4ED" w:rsidRPr="00BD2294">
        <w:rPr>
          <w:b/>
          <w:bCs/>
        </w:rPr>
        <w:t>all ITU meetings fully virtual</w:t>
      </w:r>
      <w:r w:rsidR="075D4979" w:rsidRPr="00BD2294">
        <w:rPr>
          <w:b/>
          <w:bCs/>
        </w:rPr>
        <w:t>ly</w:t>
      </w:r>
      <w:r w:rsidR="6AB1F4ED" w:rsidRPr="00BD2294">
        <w:rPr>
          <w:b/>
          <w:bCs/>
        </w:rPr>
        <w:t xml:space="preserve"> </w:t>
      </w:r>
      <w:r w:rsidR="5F61C568" w:rsidRPr="00BD2294">
        <w:rPr>
          <w:b/>
          <w:bCs/>
        </w:rPr>
        <w:t>remains a fallback option</w:t>
      </w:r>
      <w:r w:rsidR="6AB1F4ED" w:rsidRPr="00BD2294">
        <w:rPr>
          <w:b/>
          <w:bCs/>
        </w:rPr>
        <w:t>.</w:t>
      </w:r>
    </w:p>
    <w:p w14:paraId="24AD639A" w14:textId="5DBC2BCE" w:rsidR="7CF6C396" w:rsidRDefault="7CF6C396" w:rsidP="30DCD88A">
      <w:pPr>
        <w:jc w:val="both"/>
      </w:pPr>
      <w:r w:rsidRPr="00BD2294">
        <w:t>As the building project progresses, the secretariat will be able to more accurately estimate the limitations of the use of ITU headquarter premises for meetings, including more</w:t>
      </w:r>
      <w:r>
        <w:t xml:space="preserve"> exact periods of unavailability of the ITU headquarter premises and disturbances that may need to be accepted if meetings are held there during the period of construction of the New </w:t>
      </w:r>
      <w:proofErr w:type="spellStart"/>
      <w:r>
        <w:t>Varemb</w:t>
      </w:r>
      <w:r w:rsidR="000C5C67">
        <w:t>é</w:t>
      </w:r>
      <w:proofErr w:type="spellEnd"/>
      <w:r>
        <w:t xml:space="preserve"> building.</w:t>
      </w:r>
    </w:p>
    <w:p w14:paraId="55C6FE6F" w14:textId="2134C01D" w:rsidR="006F7E6B" w:rsidRPr="009779B3" w:rsidRDefault="006F7E6B" w:rsidP="00162011">
      <w:pPr>
        <w:pStyle w:val="Headingb"/>
      </w:pPr>
      <w:r>
        <w:lastRenderedPageBreak/>
        <w:t>Council guidance</w:t>
      </w:r>
    </w:p>
    <w:p w14:paraId="4539870C" w14:textId="352D3DCC" w:rsidR="0036291B" w:rsidRPr="009779B3" w:rsidRDefault="00EA20C8" w:rsidP="00162011">
      <w:pPr>
        <w:jc w:val="both"/>
      </w:pPr>
      <w:r>
        <w:t xml:space="preserve">The </w:t>
      </w:r>
      <w:r w:rsidR="00321034">
        <w:t xml:space="preserve">Council is requested to provide guidance on </w:t>
      </w:r>
      <w:r w:rsidR="390DD058">
        <w:t xml:space="preserve">acceptable </w:t>
      </w:r>
      <w:r w:rsidR="00321034">
        <w:t xml:space="preserve">options for holding ITU meetings in 2028 (and potentially in 2029, dependent on finalization of construction schedules). This may include confirmation of the ITU Meetings Hub proposal to enable concrete </w:t>
      </w:r>
      <w:r w:rsidR="35A75336">
        <w:t xml:space="preserve">engagement </w:t>
      </w:r>
      <w:r w:rsidR="00321034">
        <w:t>with potential host countries</w:t>
      </w:r>
      <w:r w:rsidR="00C40BC1">
        <w:t>, as well as</w:t>
      </w:r>
      <w:r w:rsidR="00321034">
        <w:t xml:space="preserve"> any changes in guidance on fully virtual meetings for an exceptional and limited time period (2028-2029)</w:t>
      </w:r>
      <w:r w:rsidR="00C40BC1">
        <w:t>.</w:t>
      </w:r>
      <w:r w:rsidR="00566A95">
        <w:t xml:space="preserve"> </w:t>
      </w:r>
    </w:p>
    <w:p w14:paraId="49EFE9E3" w14:textId="23A88225" w:rsidR="63186791" w:rsidRPr="009779B3" w:rsidRDefault="00DC3D53" w:rsidP="00162011">
      <w:pPr>
        <w:jc w:val="both"/>
      </w:pPr>
      <w:r w:rsidRPr="009779B3">
        <w:t>The secretariat will</w:t>
      </w:r>
      <w:r w:rsidR="006F7E6B" w:rsidRPr="009779B3">
        <w:t xml:space="preserve"> be able to </w:t>
      </w:r>
      <w:r w:rsidRPr="009779B3">
        <w:t>develop a more detailed business continuity plan</w:t>
      </w:r>
      <w:r w:rsidR="009779B3" w:rsidRPr="009779B3">
        <w:t xml:space="preserve">, including costs for ITU meetings in 2028, based on the option selected and guidance provided by the </w:t>
      </w:r>
      <w:r w:rsidRPr="009779B3">
        <w:t>Council.</w:t>
      </w:r>
      <w:r w:rsidR="00566A95" w:rsidRPr="009779B3">
        <w:t xml:space="preserve"> </w:t>
      </w:r>
    </w:p>
    <w:p w14:paraId="67A5461A" w14:textId="77777777" w:rsidR="005815C7" w:rsidRPr="009779B3" w:rsidRDefault="005815C7" w:rsidP="00A53888">
      <w:pPr>
        <w:pStyle w:val="Reasons"/>
        <w:rPr>
          <w:lang w:val="en-GB"/>
        </w:rPr>
      </w:pPr>
    </w:p>
    <w:p w14:paraId="35C6D0A5" w14:textId="61968CD2" w:rsidR="007A3FCD" w:rsidRPr="009779B3" w:rsidRDefault="007A3FCD" w:rsidP="00C23E7F">
      <w:pPr>
        <w:jc w:val="center"/>
      </w:pPr>
      <w:r w:rsidRPr="009779B3">
        <w:t>______________</w:t>
      </w:r>
    </w:p>
    <w:sectPr w:rsidR="007A3FCD" w:rsidRPr="009779B3" w:rsidSect="00A53888">
      <w:footerReference w:type="default" r:id="rId22"/>
      <w:headerReference w:type="first" r:id="rId23"/>
      <w:footerReference w:type="first" r:id="rId24"/>
      <w:pgSz w:w="11907" w:h="16834"/>
      <w:pgMar w:top="1418" w:right="1418" w:bottom="1418"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35CF" w14:textId="77777777" w:rsidR="00760BB4" w:rsidRDefault="00760BB4">
      <w:r>
        <w:separator/>
      </w:r>
    </w:p>
  </w:endnote>
  <w:endnote w:type="continuationSeparator" w:id="0">
    <w:p w14:paraId="6797BA78" w14:textId="77777777" w:rsidR="00760BB4" w:rsidRDefault="00760BB4">
      <w:r>
        <w:continuationSeparator/>
      </w:r>
    </w:p>
  </w:endnote>
  <w:endnote w:type="continuationNotice" w:id="1">
    <w:p w14:paraId="2BEB81C5" w14:textId="77777777" w:rsidR="00760BB4" w:rsidRDefault="00760B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E93FC8">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52B74CBF"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A53888">
            <w:rPr>
              <w:bCs/>
            </w:rPr>
            <w:t>60</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62E80B6B"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A53888">
            <w:rPr>
              <w:bCs/>
            </w:rPr>
            <w:t>60</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215D" w14:textId="77777777" w:rsidR="00760BB4" w:rsidRDefault="00760BB4">
      <w:r>
        <w:t>____________________</w:t>
      </w:r>
    </w:p>
  </w:footnote>
  <w:footnote w:type="continuationSeparator" w:id="0">
    <w:p w14:paraId="6F2B788F" w14:textId="77777777" w:rsidR="00760BB4" w:rsidRDefault="00760BB4">
      <w:r>
        <w:continuationSeparator/>
      </w:r>
    </w:p>
  </w:footnote>
  <w:footnote w:type="continuationNotice" w:id="1">
    <w:p w14:paraId="7812A0FC" w14:textId="77777777" w:rsidR="00760BB4" w:rsidRDefault="00760BB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E93FC8">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213923810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5A511"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4517D"/>
    <w:multiLevelType w:val="hybridMultilevel"/>
    <w:tmpl w:val="DB922D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8679F"/>
    <w:multiLevelType w:val="hybridMultilevel"/>
    <w:tmpl w:val="F23818E0"/>
    <w:lvl w:ilvl="0" w:tplc="A3DCE080">
      <w:start w:val="1"/>
      <w:numFmt w:val="bullet"/>
      <w:lvlText w:val="•"/>
      <w:lvlJc w:val="left"/>
      <w:pPr>
        <w:tabs>
          <w:tab w:val="num" w:pos="720"/>
        </w:tabs>
        <w:ind w:left="720" w:hanging="360"/>
      </w:pPr>
      <w:rPr>
        <w:rFonts w:ascii="Arial" w:hAnsi="Arial" w:hint="default"/>
      </w:rPr>
    </w:lvl>
    <w:lvl w:ilvl="1" w:tplc="2E1438C8">
      <w:numFmt w:val="bullet"/>
      <w:lvlText w:val="•"/>
      <w:lvlJc w:val="left"/>
      <w:pPr>
        <w:tabs>
          <w:tab w:val="num" w:pos="1440"/>
        </w:tabs>
        <w:ind w:left="1440" w:hanging="360"/>
      </w:pPr>
      <w:rPr>
        <w:rFonts w:ascii="Arial" w:hAnsi="Arial" w:hint="default"/>
      </w:rPr>
    </w:lvl>
    <w:lvl w:ilvl="2" w:tplc="A9F6ACE2" w:tentative="1">
      <w:start w:val="1"/>
      <w:numFmt w:val="bullet"/>
      <w:lvlText w:val="•"/>
      <w:lvlJc w:val="left"/>
      <w:pPr>
        <w:tabs>
          <w:tab w:val="num" w:pos="2160"/>
        </w:tabs>
        <w:ind w:left="2160" w:hanging="360"/>
      </w:pPr>
      <w:rPr>
        <w:rFonts w:ascii="Arial" w:hAnsi="Arial" w:hint="default"/>
      </w:rPr>
    </w:lvl>
    <w:lvl w:ilvl="3" w:tplc="0144064E" w:tentative="1">
      <w:start w:val="1"/>
      <w:numFmt w:val="bullet"/>
      <w:lvlText w:val="•"/>
      <w:lvlJc w:val="left"/>
      <w:pPr>
        <w:tabs>
          <w:tab w:val="num" w:pos="2880"/>
        </w:tabs>
        <w:ind w:left="2880" w:hanging="360"/>
      </w:pPr>
      <w:rPr>
        <w:rFonts w:ascii="Arial" w:hAnsi="Arial" w:hint="default"/>
      </w:rPr>
    </w:lvl>
    <w:lvl w:ilvl="4" w:tplc="455A1772" w:tentative="1">
      <w:start w:val="1"/>
      <w:numFmt w:val="bullet"/>
      <w:lvlText w:val="•"/>
      <w:lvlJc w:val="left"/>
      <w:pPr>
        <w:tabs>
          <w:tab w:val="num" w:pos="3600"/>
        </w:tabs>
        <w:ind w:left="3600" w:hanging="360"/>
      </w:pPr>
      <w:rPr>
        <w:rFonts w:ascii="Arial" w:hAnsi="Arial" w:hint="default"/>
      </w:rPr>
    </w:lvl>
    <w:lvl w:ilvl="5" w:tplc="B56C87A0" w:tentative="1">
      <w:start w:val="1"/>
      <w:numFmt w:val="bullet"/>
      <w:lvlText w:val="•"/>
      <w:lvlJc w:val="left"/>
      <w:pPr>
        <w:tabs>
          <w:tab w:val="num" w:pos="4320"/>
        </w:tabs>
        <w:ind w:left="4320" w:hanging="360"/>
      </w:pPr>
      <w:rPr>
        <w:rFonts w:ascii="Arial" w:hAnsi="Arial" w:hint="default"/>
      </w:rPr>
    </w:lvl>
    <w:lvl w:ilvl="6" w:tplc="9E023630" w:tentative="1">
      <w:start w:val="1"/>
      <w:numFmt w:val="bullet"/>
      <w:lvlText w:val="•"/>
      <w:lvlJc w:val="left"/>
      <w:pPr>
        <w:tabs>
          <w:tab w:val="num" w:pos="5040"/>
        </w:tabs>
        <w:ind w:left="5040" w:hanging="360"/>
      </w:pPr>
      <w:rPr>
        <w:rFonts w:ascii="Arial" w:hAnsi="Arial" w:hint="default"/>
      </w:rPr>
    </w:lvl>
    <w:lvl w:ilvl="7" w:tplc="19B45F9E" w:tentative="1">
      <w:start w:val="1"/>
      <w:numFmt w:val="bullet"/>
      <w:lvlText w:val="•"/>
      <w:lvlJc w:val="left"/>
      <w:pPr>
        <w:tabs>
          <w:tab w:val="num" w:pos="5760"/>
        </w:tabs>
        <w:ind w:left="5760" w:hanging="360"/>
      </w:pPr>
      <w:rPr>
        <w:rFonts w:ascii="Arial" w:hAnsi="Arial" w:hint="default"/>
      </w:rPr>
    </w:lvl>
    <w:lvl w:ilvl="8" w:tplc="A67447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F34A6A"/>
    <w:multiLevelType w:val="multilevel"/>
    <w:tmpl w:val="BA9C7F1A"/>
    <w:lvl w:ilvl="0">
      <w:start w:val="1"/>
      <w:numFmt w:val="decimal"/>
      <w:lvlText w:val="%1."/>
      <w:lvlJc w:val="left"/>
      <w:pPr>
        <w:ind w:left="6031" w:hanging="360"/>
      </w:pPr>
      <w:rPr>
        <w:b/>
        <w:bCs w:val="0"/>
        <w:color w:val="auto"/>
      </w:rPr>
    </w:lvl>
    <w:lvl w:ilvl="1">
      <w:start w:val="3"/>
      <w:numFmt w:val="bullet"/>
      <w:lvlText w:val="-"/>
      <w:lvlJc w:val="left"/>
      <w:pPr>
        <w:ind w:left="1212" w:hanging="360"/>
      </w:pPr>
      <w:rPr>
        <w:rFonts w:ascii="Calibri" w:eastAsia="Times New Roman" w:hAnsi="Calibri" w:cs="Calibri"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4440810"/>
    <w:multiLevelType w:val="hybridMultilevel"/>
    <w:tmpl w:val="0AC69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29072B"/>
    <w:multiLevelType w:val="hybridMultilevel"/>
    <w:tmpl w:val="8C5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32773"/>
    <w:multiLevelType w:val="hybridMultilevel"/>
    <w:tmpl w:val="2BE0AAE6"/>
    <w:lvl w:ilvl="0" w:tplc="42621D58">
      <w:start w:val="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4566B"/>
    <w:multiLevelType w:val="multilevel"/>
    <w:tmpl w:val="352668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EA332B"/>
    <w:multiLevelType w:val="hybridMultilevel"/>
    <w:tmpl w:val="00EA903A"/>
    <w:lvl w:ilvl="0" w:tplc="54C8159A">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E9460A"/>
    <w:multiLevelType w:val="hybridMultilevel"/>
    <w:tmpl w:val="E3C82170"/>
    <w:lvl w:ilvl="0" w:tplc="C7E4E81A">
      <w:numFmt w:val="bullet"/>
      <w:lvlText w:val="-"/>
      <w:lvlJc w:val="left"/>
      <w:pPr>
        <w:ind w:left="1637" w:hanging="360"/>
      </w:pPr>
      <w:rPr>
        <w:rFonts w:ascii="Calibri" w:eastAsia="Aptos" w:hAnsi="Calibri" w:cs="Calibri"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10" w15:restartNumberingAfterBreak="0">
    <w:nsid w:val="63FA3EA2"/>
    <w:multiLevelType w:val="hybridMultilevel"/>
    <w:tmpl w:val="9872B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0779AA"/>
    <w:multiLevelType w:val="hybridMultilevel"/>
    <w:tmpl w:val="E8C0B62C"/>
    <w:lvl w:ilvl="0" w:tplc="2244CC6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4816267">
    <w:abstractNumId w:val="0"/>
  </w:num>
  <w:num w:numId="2" w16cid:durableId="1343163510">
    <w:abstractNumId w:val="3"/>
  </w:num>
  <w:num w:numId="3" w16cid:durableId="2066879121">
    <w:abstractNumId w:val="1"/>
  </w:num>
  <w:num w:numId="4" w16cid:durableId="1299261493">
    <w:abstractNumId w:val="6"/>
  </w:num>
  <w:num w:numId="5" w16cid:durableId="223031537">
    <w:abstractNumId w:val="7"/>
  </w:num>
  <w:num w:numId="6" w16cid:durableId="481772829">
    <w:abstractNumId w:val="2"/>
  </w:num>
  <w:num w:numId="7" w16cid:durableId="1263760788">
    <w:abstractNumId w:val="4"/>
  </w:num>
  <w:num w:numId="8" w16cid:durableId="1394934041">
    <w:abstractNumId w:val="10"/>
  </w:num>
  <w:num w:numId="9" w16cid:durableId="41759144">
    <w:abstractNumId w:val="8"/>
  </w:num>
  <w:num w:numId="10" w16cid:durableId="1323386002">
    <w:abstractNumId w:val="9"/>
  </w:num>
  <w:num w:numId="11" w16cid:durableId="1972517889">
    <w:abstractNumId w:val="11"/>
  </w:num>
  <w:num w:numId="12" w16cid:durableId="777412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02C0E"/>
    <w:rsid w:val="00006C2B"/>
    <w:rsid w:val="00013F37"/>
    <w:rsid w:val="00014DD4"/>
    <w:rsid w:val="000153A1"/>
    <w:rsid w:val="000156C6"/>
    <w:rsid w:val="000210D4"/>
    <w:rsid w:val="00024226"/>
    <w:rsid w:val="00025060"/>
    <w:rsid w:val="0002704B"/>
    <w:rsid w:val="00034480"/>
    <w:rsid w:val="00035B87"/>
    <w:rsid w:val="00037641"/>
    <w:rsid w:val="00040D67"/>
    <w:rsid w:val="00041D44"/>
    <w:rsid w:val="00043B42"/>
    <w:rsid w:val="000451E1"/>
    <w:rsid w:val="00052D87"/>
    <w:rsid w:val="00053138"/>
    <w:rsid w:val="00053FAA"/>
    <w:rsid w:val="00056A3E"/>
    <w:rsid w:val="0005FCA0"/>
    <w:rsid w:val="0006007D"/>
    <w:rsid w:val="00063016"/>
    <w:rsid w:val="00066795"/>
    <w:rsid w:val="00066EA8"/>
    <w:rsid w:val="0006722D"/>
    <w:rsid w:val="00067615"/>
    <w:rsid w:val="00070780"/>
    <w:rsid w:val="00070AA5"/>
    <w:rsid w:val="000745AB"/>
    <w:rsid w:val="00075786"/>
    <w:rsid w:val="000758B3"/>
    <w:rsid w:val="000766CF"/>
    <w:rsid w:val="00076AF6"/>
    <w:rsid w:val="00077425"/>
    <w:rsid w:val="0008090B"/>
    <w:rsid w:val="00083954"/>
    <w:rsid w:val="00085CF2"/>
    <w:rsid w:val="0008680F"/>
    <w:rsid w:val="00092083"/>
    <w:rsid w:val="0009238E"/>
    <w:rsid w:val="000934FB"/>
    <w:rsid w:val="0009529D"/>
    <w:rsid w:val="00095D42"/>
    <w:rsid w:val="000A0D2D"/>
    <w:rsid w:val="000A2DC7"/>
    <w:rsid w:val="000AF06B"/>
    <w:rsid w:val="000B0102"/>
    <w:rsid w:val="000B1705"/>
    <w:rsid w:val="000B6823"/>
    <w:rsid w:val="000C403B"/>
    <w:rsid w:val="000C5AC1"/>
    <w:rsid w:val="000C5C67"/>
    <w:rsid w:val="000D5CBA"/>
    <w:rsid w:val="000D618A"/>
    <w:rsid w:val="000D7399"/>
    <w:rsid w:val="000D75B2"/>
    <w:rsid w:val="000E4490"/>
    <w:rsid w:val="000E7693"/>
    <w:rsid w:val="000F5DDB"/>
    <w:rsid w:val="000F7289"/>
    <w:rsid w:val="000F7CB4"/>
    <w:rsid w:val="00100A3A"/>
    <w:rsid w:val="001055CC"/>
    <w:rsid w:val="00105C5C"/>
    <w:rsid w:val="001076D3"/>
    <w:rsid w:val="001121F5"/>
    <w:rsid w:val="001140DE"/>
    <w:rsid w:val="00115409"/>
    <w:rsid w:val="00117813"/>
    <w:rsid w:val="0012333E"/>
    <w:rsid w:val="0012540A"/>
    <w:rsid w:val="00131106"/>
    <w:rsid w:val="001316BC"/>
    <w:rsid w:val="00134F95"/>
    <w:rsid w:val="001400DC"/>
    <w:rsid w:val="00140929"/>
    <w:rsid w:val="00140B26"/>
    <w:rsid w:val="00140CE1"/>
    <w:rsid w:val="001413D3"/>
    <w:rsid w:val="00141553"/>
    <w:rsid w:val="001420DE"/>
    <w:rsid w:val="00142ADF"/>
    <w:rsid w:val="00142FFF"/>
    <w:rsid w:val="00143B10"/>
    <w:rsid w:val="00145CDA"/>
    <w:rsid w:val="0014650E"/>
    <w:rsid w:val="00146C8F"/>
    <w:rsid w:val="00153BE0"/>
    <w:rsid w:val="00157762"/>
    <w:rsid w:val="001613A0"/>
    <w:rsid w:val="00162011"/>
    <w:rsid w:val="00162E7A"/>
    <w:rsid w:val="001674D6"/>
    <w:rsid w:val="00174ED5"/>
    <w:rsid w:val="0017539C"/>
    <w:rsid w:val="00175AC2"/>
    <w:rsid w:val="0017609F"/>
    <w:rsid w:val="001765EE"/>
    <w:rsid w:val="001802B5"/>
    <w:rsid w:val="00181C99"/>
    <w:rsid w:val="00182560"/>
    <w:rsid w:val="00184152"/>
    <w:rsid w:val="00190EC9"/>
    <w:rsid w:val="001910E5"/>
    <w:rsid w:val="00197814"/>
    <w:rsid w:val="001A1A12"/>
    <w:rsid w:val="001A3154"/>
    <w:rsid w:val="001A51CF"/>
    <w:rsid w:val="001A5F8D"/>
    <w:rsid w:val="001A75C1"/>
    <w:rsid w:val="001A7D1D"/>
    <w:rsid w:val="001B091B"/>
    <w:rsid w:val="001B3833"/>
    <w:rsid w:val="001B51DD"/>
    <w:rsid w:val="001B6AD6"/>
    <w:rsid w:val="001C0578"/>
    <w:rsid w:val="001C1EE8"/>
    <w:rsid w:val="001C3CF0"/>
    <w:rsid w:val="001C5CC6"/>
    <w:rsid w:val="001C628E"/>
    <w:rsid w:val="001C691F"/>
    <w:rsid w:val="001C6A13"/>
    <w:rsid w:val="001C9755"/>
    <w:rsid w:val="001D326C"/>
    <w:rsid w:val="001D4E41"/>
    <w:rsid w:val="001E0F7B"/>
    <w:rsid w:val="001E269E"/>
    <w:rsid w:val="001E3F15"/>
    <w:rsid w:val="001E4E2D"/>
    <w:rsid w:val="001E5DF0"/>
    <w:rsid w:val="001E6057"/>
    <w:rsid w:val="001F2A20"/>
    <w:rsid w:val="001F5536"/>
    <w:rsid w:val="001F5569"/>
    <w:rsid w:val="00203D98"/>
    <w:rsid w:val="002040C7"/>
    <w:rsid w:val="00207896"/>
    <w:rsid w:val="002119FD"/>
    <w:rsid w:val="00211BAC"/>
    <w:rsid w:val="002124BD"/>
    <w:rsid w:val="002130E0"/>
    <w:rsid w:val="00217286"/>
    <w:rsid w:val="00221F46"/>
    <w:rsid w:val="002264B6"/>
    <w:rsid w:val="00230B34"/>
    <w:rsid w:val="00235E15"/>
    <w:rsid w:val="00240D96"/>
    <w:rsid w:val="00242C53"/>
    <w:rsid w:val="002431A1"/>
    <w:rsid w:val="0025099A"/>
    <w:rsid w:val="00251228"/>
    <w:rsid w:val="0025274A"/>
    <w:rsid w:val="00254D25"/>
    <w:rsid w:val="002630E5"/>
    <w:rsid w:val="00264150"/>
    <w:rsid w:val="00264425"/>
    <w:rsid w:val="00264F91"/>
    <w:rsid w:val="00265875"/>
    <w:rsid w:val="00267BC7"/>
    <w:rsid w:val="00272AC0"/>
    <w:rsid w:val="00272EEA"/>
    <w:rsid w:val="0027303B"/>
    <w:rsid w:val="002733DD"/>
    <w:rsid w:val="00273F4A"/>
    <w:rsid w:val="00277A5C"/>
    <w:rsid w:val="0028109B"/>
    <w:rsid w:val="00284F5A"/>
    <w:rsid w:val="002851AF"/>
    <w:rsid w:val="0028673A"/>
    <w:rsid w:val="00286FB7"/>
    <w:rsid w:val="00287176"/>
    <w:rsid w:val="0028762C"/>
    <w:rsid w:val="00290127"/>
    <w:rsid w:val="0029325F"/>
    <w:rsid w:val="00294384"/>
    <w:rsid w:val="00294838"/>
    <w:rsid w:val="002954F5"/>
    <w:rsid w:val="002966BB"/>
    <w:rsid w:val="002A0425"/>
    <w:rsid w:val="002A2188"/>
    <w:rsid w:val="002A40EB"/>
    <w:rsid w:val="002B1F58"/>
    <w:rsid w:val="002B20ED"/>
    <w:rsid w:val="002B2A16"/>
    <w:rsid w:val="002B30A0"/>
    <w:rsid w:val="002B3AB2"/>
    <w:rsid w:val="002B3F5D"/>
    <w:rsid w:val="002B6023"/>
    <w:rsid w:val="002C0CDB"/>
    <w:rsid w:val="002C110F"/>
    <w:rsid w:val="002C1C7A"/>
    <w:rsid w:val="002C303F"/>
    <w:rsid w:val="002C40D5"/>
    <w:rsid w:val="002C4254"/>
    <w:rsid w:val="002C44A9"/>
    <w:rsid w:val="002C54E2"/>
    <w:rsid w:val="002C6810"/>
    <w:rsid w:val="002D07BA"/>
    <w:rsid w:val="002E040B"/>
    <w:rsid w:val="002E0EC5"/>
    <w:rsid w:val="002E33E0"/>
    <w:rsid w:val="002E4671"/>
    <w:rsid w:val="002E4F67"/>
    <w:rsid w:val="002E741C"/>
    <w:rsid w:val="002E78CE"/>
    <w:rsid w:val="002F0B5D"/>
    <w:rsid w:val="002F345C"/>
    <w:rsid w:val="002F6045"/>
    <w:rsid w:val="002F64AE"/>
    <w:rsid w:val="0030127F"/>
    <w:rsid w:val="00301419"/>
    <w:rsid w:val="003015C3"/>
    <w:rsid w:val="0030160F"/>
    <w:rsid w:val="0030207B"/>
    <w:rsid w:val="003037FB"/>
    <w:rsid w:val="0030497E"/>
    <w:rsid w:val="00305FC3"/>
    <w:rsid w:val="0031025E"/>
    <w:rsid w:val="00310533"/>
    <w:rsid w:val="00313076"/>
    <w:rsid w:val="00314E46"/>
    <w:rsid w:val="00316BE2"/>
    <w:rsid w:val="00320223"/>
    <w:rsid w:val="00320ED3"/>
    <w:rsid w:val="00321034"/>
    <w:rsid w:val="00321EAD"/>
    <w:rsid w:val="00322D0D"/>
    <w:rsid w:val="0032324E"/>
    <w:rsid w:val="00327B4F"/>
    <w:rsid w:val="0033138A"/>
    <w:rsid w:val="003313AE"/>
    <w:rsid w:val="0033229F"/>
    <w:rsid w:val="003363E8"/>
    <w:rsid w:val="00340058"/>
    <w:rsid w:val="003463B8"/>
    <w:rsid w:val="00346426"/>
    <w:rsid w:val="00347C66"/>
    <w:rsid w:val="00350CE9"/>
    <w:rsid w:val="00351530"/>
    <w:rsid w:val="00351AEF"/>
    <w:rsid w:val="00352046"/>
    <w:rsid w:val="00353A57"/>
    <w:rsid w:val="00355A93"/>
    <w:rsid w:val="00356F20"/>
    <w:rsid w:val="00361465"/>
    <w:rsid w:val="0036291B"/>
    <w:rsid w:val="003632C7"/>
    <w:rsid w:val="00363F6C"/>
    <w:rsid w:val="00366D8F"/>
    <w:rsid w:val="00371526"/>
    <w:rsid w:val="00371FC9"/>
    <w:rsid w:val="00374860"/>
    <w:rsid w:val="0037491D"/>
    <w:rsid w:val="003751A4"/>
    <w:rsid w:val="0037572C"/>
    <w:rsid w:val="003860BF"/>
    <w:rsid w:val="003877F5"/>
    <w:rsid w:val="003934D6"/>
    <w:rsid w:val="003936D3"/>
    <w:rsid w:val="003942D4"/>
    <w:rsid w:val="003958A8"/>
    <w:rsid w:val="00396CBB"/>
    <w:rsid w:val="003A5AC1"/>
    <w:rsid w:val="003B11D9"/>
    <w:rsid w:val="003B13C7"/>
    <w:rsid w:val="003B29C2"/>
    <w:rsid w:val="003B6DE5"/>
    <w:rsid w:val="003C09CE"/>
    <w:rsid w:val="003C19C8"/>
    <w:rsid w:val="003C2533"/>
    <w:rsid w:val="003C469C"/>
    <w:rsid w:val="003D0769"/>
    <w:rsid w:val="003D0CA9"/>
    <w:rsid w:val="003D3950"/>
    <w:rsid w:val="003D5A7F"/>
    <w:rsid w:val="003D6313"/>
    <w:rsid w:val="003E6AB6"/>
    <w:rsid w:val="003F228D"/>
    <w:rsid w:val="003F41FC"/>
    <w:rsid w:val="003F5891"/>
    <w:rsid w:val="0040435A"/>
    <w:rsid w:val="00407134"/>
    <w:rsid w:val="0041035A"/>
    <w:rsid w:val="00410972"/>
    <w:rsid w:val="00412062"/>
    <w:rsid w:val="00412305"/>
    <w:rsid w:val="004144A0"/>
    <w:rsid w:val="00416A24"/>
    <w:rsid w:val="00416EFE"/>
    <w:rsid w:val="00427BFF"/>
    <w:rsid w:val="004318A6"/>
    <w:rsid w:val="00431BEF"/>
    <w:rsid w:val="00431D9E"/>
    <w:rsid w:val="00433CE8"/>
    <w:rsid w:val="00434A5C"/>
    <w:rsid w:val="004367CA"/>
    <w:rsid w:val="00436D81"/>
    <w:rsid w:val="00437AC3"/>
    <w:rsid w:val="00437EA9"/>
    <w:rsid w:val="004423A5"/>
    <w:rsid w:val="00442A66"/>
    <w:rsid w:val="00451706"/>
    <w:rsid w:val="00453079"/>
    <w:rsid w:val="00453910"/>
    <w:rsid w:val="004544D9"/>
    <w:rsid w:val="00460747"/>
    <w:rsid w:val="00470B32"/>
    <w:rsid w:val="00470DFB"/>
    <w:rsid w:val="00472BAD"/>
    <w:rsid w:val="00473320"/>
    <w:rsid w:val="00477113"/>
    <w:rsid w:val="00477A92"/>
    <w:rsid w:val="004811F8"/>
    <w:rsid w:val="00481E9B"/>
    <w:rsid w:val="004824D9"/>
    <w:rsid w:val="00484009"/>
    <w:rsid w:val="00484217"/>
    <w:rsid w:val="004907D0"/>
    <w:rsid w:val="00490C6D"/>
    <w:rsid w:val="00490E72"/>
    <w:rsid w:val="00491157"/>
    <w:rsid w:val="0049142E"/>
    <w:rsid w:val="00491BA9"/>
    <w:rsid w:val="004921C8"/>
    <w:rsid w:val="00492770"/>
    <w:rsid w:val="0049357C"/>
    <w:rsid w:val="00494164"/>
    <w:rsid w:val="00495B0B"/>
    <w:rsid w:val="004961B7"/>
    <w:rsid w:val="0049721D"/>
    <w:rsid w:val="00497DAC"/>
    <w:rsid w:val="004A12E3"/>
    <w:rsid w:val="004A1B8B"/>
    <w:rsid w:val="004A384A"/>
    <w:rsid w:val="004A4BD2"/>
    <w:rsid w:val="004A5283"/>
    <w:rsid w:val="004B0E39"/>
    <w:rsid w:val="004B25A1"/>
    <w:rsid w:val="004B2E1C"/>
    <w:rsid w:val="004B355D"/>
    <w:rsid w:val="004B3BF5"/>
    <w:rsid w:val="004B639F"/>
    <w:rsid w:val="004C0056"/>
    <w:rsid w:val="004C231B"/>
    <w:rsid w:val="004C234F"/>
    <w:rsid w:val="004D00D7"/>
    <w:rsid w:val="004D1851"/>
    <w:rsid w:val="004D2EC9"/>
    <w:rsid w:val="004D3290"/>
    <w:rsid w:val="004D3CEE"/>
    <w:rsid w:val="004D599D"/>
    <w:rsid w:val="004E100C"/>
    <w:rsid w:val="004E1BA5"/>
    <w:rsid w:val="004E259A"/>
    <w:rsid w:val="004E265C"/>
    <w:rsid w:val="004E2EA5"/>
    <w:rsid w:val="004E3AEB"/>
    <w:rsid w:val="004F071F"/>
    <w:rsid w:val="004F142D"/>
    <w:rsid w:val="004F182B"/>
    <w:rsid w:val="004F2CB8"/>
    <w:rsid w:val="004F4245"/>
    <w:rsid w:val="004F5716"/>
    <w:rsid w:val="004F69D3"/>
    <w:rsid w:val="00500A96"/>
    <w:rsid w:val="005010A9"/>
    <w:rsid w:val="0050223C"/>
    <w:rsid w:val="00503A5F"/>
    <w:rsid w:val="0050572E"/>
    <w:rsid w:val="00506B12"/>
    <w:rsid w:val="00507058"/>
    <w:rsid w:val="0051050C"/>
    <w:rsid w:val="005140B8"/>
    <w:rsid w:val="005158D2"/>
    <w:rsid w:val="0051760D"/>
    <w:rsid w:val="00520D08"/>
    <w:rsid w:val="0052275D"/>
    <w:rsid w:val="00522ED4"/>
    <w:rsid w:val="00523A6D"/>
    <w:rsid w:val="0052431C"/>
    <w:rsid w:val="005243FF"/>
    <w:rsid w:val="00524850"/>
    <w:rsid w:val="00526658"/>
    <w:rsid w:val="00533043"/>
    <w:rsid w:val="00534588"/>
    <w:rsid w:val="0053498E"/>
    <w:rsid w:val="00545187"/>
    <w:rsid w:val="005461F9"/>
    <w:rsid w:val="005472F0"/>
    <w:rsid w:val="005476E2"/>
    <w:rsid w:val="005532C8"/>
    <w:rsid w:val="00556B99"/>
    <w:rsid w:val="00560AD4"/>
    <w:rsid w:val="005640BD"/>
    <w:rsid w:val="005643B6"/>
    <w:rsid w:val="00564FBC"/>
    <w:rsid w:val="005650A2"/>
    <w:rsid w:val="00566A95"/>
    <w:rsid w:val="00574A71"/>
    <w:rsid w:val="00576C89"/>
    <w:rsid w:val="005777AE"/>
    <w:rsid w:val="005800BC"/>
    <w:rsid w:val="00580268"/>
    <w:rsid w:val="005815C7"/>
    <w:rsid w:val="0058213C"/>
    <w:rsid w:val="00582442"/>
    <w:rsid w:val="00583675"/>
    <w:rsid w:val="0058722F"/>
    <w:rsid w:val="005904B4"/>
    <w:rsid w:val="00592DBE"/>
    <w:rsid w:val="005939C6"/>
    <w:rsid w:val="005A1350"/>
    <w:rsid w:val="005A23D6"/>
    <w:rsid w:val="005A3592"/>
    <w:rsid w:val="005A7EF2"/>
    <w:rsid w:val="005B2010"/>
    <w:rsid w:val="005B3B79"/>
    <w:rsid w:val="005B4762"/>
    <w:rsid w:val="005B5880"/>
    <w:rsid w:val="005C0E31"/>
    <w:rsid w:val="005C1025"/>
    <w:rsid w:val="005C507A"/>
    <w:rsid w:val="005D73E9"/>
    <w:rsid w:val="005E5C5D"/>
    <w:rsid w:val="005E7E00"/>
    <w:rsid w:val="005F3242"/>
    <w:rsid w:val="005F3269"/>
    <w:rsid w:val="005F4D0F"/>
    <w:rsid w:val="005F53F0"/>
    <w:rsid w:val="005F74E9"/>
    <w:rsid w:val="006041C3"/>
    <w:rsid w:val="00611CA8"/>
    <w:rsid w:val="006131EC"/>
    <w:rsid w:val="0061322F"/>
    <w:rsid w:val="00613579"/>
    <w:rsid w:val="00614939"/>
    <w:rsid w:val="006150BA"/>
    <w:rsid w:val="00616F44"/>
    <w:rsid w:val="00620273"/>
    <w:rsid w:val="00623AE3"/>
    <w:rsid w:val="00623B62"/>
    <w:rsid w:val="00626E9A"/>
    <w:rsid w:val="00630BC2"/>
    <w:rsid w:val="00630C4D"/>
    <w:rsid w:val="006327FA"/>
    <w:rsid w:val="00633C08"/>
    <w:rsid w:val="00635EF3"/>
    <w:rsid w:val="00642CA4"/>
    <w:rsid w:val="006442EC"/>
    <w:rsid w:val="00644C80"/>
    <w:rsid w:val="00644EC6"/>
    <w:rsid w:val="00646560"/>
    <w:rsid w:val="00646CF7"/>
    <w:rsid w:val="0064737F"/>
    <w:rsid w:val="0065071D"/>
    <w:rsid w:val="00650D1B"/>
    <w:rsid w:val="0065237F"/>
    <w:rsid w:val="006535F1"/>
    <w:rsid w:val="00654D8A"/>
    <w:rsid w:val="0065557D"/>
    <w:rsid w:val="006572D5"/>
    <w:rsid w:val="00660D50"/>
    <w:rsid w:val="00662984"/>
    <w:rsid w:val="0066504A"/>
    <w:rsid w:val="006657C8"/>
    <w:rsid w:val="00665C01"/>
    <w:rsid w:val="0067076E"/>
    <w:rsid w:val="00670912"/>
    <w:rsid w:val="006716BB"/>
    <w:rsid w:val="00672CD4"/>
    <w:rsid w:val="00673C2E"/>
    <w:rsid w:val="00673E7E"/>
    <w:rsid w:val="0067553E"/>
    <w:rsid w:val="00675A7B"/>
    <w:rsid w:val="00677228"/>
    <w:rsid w:val="0068097C"/>
    <w:rsid w:val="00685803"/>
    <w:rsid w:val="00685E76"/>
    <w:rsid w:val="00686EA8"/>
    <w:rsid w:val="00686F27"/>
    <w:rsid w:val="006937E8"/>
    <w:rsid w:val="0069775B"/>
    <w:rsid w:val="00697D92"/>
    <w:rsid w:val="006A09EE"/>
    <w:rsid w:val="006A64D5"/>
    <w:rsid w:val="006B1859"/>
    <w:rsid w:val="006B1F3F"/>
    <w:rsid w:val="006B38C7"/>
    <w:rsid w:val="006B6680"/>
    <w:rsid w:val="006B6CB3"/>
    <w:rsid w:val="006B6DCC"/>
    <w:rsid w:val="006B77F1"/>
    <w:rsid w:val="006B7C30"/>
    <w:rsid w:val="006C09E9"/>
    <w:rsid w:val="006C2CED"/>
    <w:rsid w:val="006C49C8"/>
    <w:rsid w:val="006C5ECF"/>
    <w:rsid w:val="006C66FF"/>
    <w:rsid w:val="006C6AAA"/>
    <w:rsid w:val="006C7716"/>
    <w:rsid w:val="006D5445"/>
    <w:rsid w:val="006D5A04"/>
    <w:rsid w:val="006D5DED"/>
    <w:rsid w:val="006E0ACA"/>
    <w:rsid w:val="006E17BE"/>
    <w:rsid w:val="006E1E5F"/>
    <w:rsid w:val="006E1E87"/>
    <w:rsid w:val="006E1F1C"/>
    <w:rsid w:val="006E25EE"/>
    <w:rsid w:val="006E26FF"/>
    <w:rsid w:val="006E335F"/>
    <w:rsid w:val="006E3E98"/>
    <w:rsid w:val="006F1E22"/>
    <w:rsid w:val="006F2289"/>
    <w:rsid w:val="006F6D1B"/>
    <w:rsid w:val="006F7E6B"/>
    <w:rsid w:val="00702DEF"/>
    <w:rsid w:val="007037E2"/>
    <w:rsid w:val="007065B4"/>
    <w:rsid w:val="00706861"/>
    <w:rsid w:val="00710110"/>
    <w:rsid w:val="00710D8A"/>
    <w:rsid w:val="0071148C"/>
    <w:rsid w:val="00711A7F"/>
    <w:rsid w:val="007127C9"/>
    <w:rsid w:val="007132A3"/>
    <w:rsid w:val="00713AF6"/>
    <w:rsid w:val="00714A67"/>
    <w:rsid w:val="00716CF9"/>
    <w:rsid w:val="0072054C"/>
    <w:rsid w:val="007220DD"/>
    <w:rsid w:val="00722551"/>
    <w:rsid w:val="00724560"/>
    <w:rsid w:val="007250F1"/>
    <w:rsid w:val="00725B44"/>
    <w:rsid w:val="00725BDF"/>
    <w:rsid w:val="00726EB0"/>
    <w:rsid w:val="00731525"/>
    <w:rsid w:val="00731603"/>
    <w:rsid w:val="00732783"/>
    <w:rsid w:val="00732B42"/>
    <w:rsid w:val="00733BEB"/>
    <w:rsid w:val="00733C86"/>
    <w:rsid w:val="0073629D"/>
    <w:rsid w:val="007403C5"/>
    <w:rsid w:val="007406C1"/>
    <w:rsid w:val="00742CE9"/>
    <w:rsid w:val="00742E92"/>
    <w:rsid w:val="00747047"/>
    <w:rsid w:val="0075051B"/>
    <w:rsid w:val="00750B31"/>
    <w:rsid w:val="00750D84"/>
    <w:rsid w:val="00751DAF"/>
    <w:rsid w:val="007520FB"/>
    <w:rsid w:val="00756850"/>
    <w:rsid w:val="00760BB4"/>
    <w:rsid w:val="0076297D"/>
    <w:rsid w:val="00767A96"/>
    <w:rsid w:val="0077110E"/>
    <w:rsid w:val="0077211E"/>
    <w:rsid w:val="007737A7"/>
    <w:rsid w:val="007765F7"/>
    <w:rsid w:val="007805DB"/>
    <w:rsid w:val="0078090A"/>
    <w:rsid w:val="00781CF4"/>
    <w:rsid w:val="00782008"/>
    <w:rsid w:val="00783465"/>
    <w:rsid w:val="00786EE8"/>
    <w:rsid w:val="007926B8"/>
    <w:rsid w:val="00792A46"/>
    <w:rsid w:val="00793188"/>
    <w:rsid w:val="00794D34"/>
    <w:rsid w:val="007A0147"/>
    <w:rsid w:val="007A0F65"/>
    <w:rsid w:val="007A1AA6"/>
    <w:rsid w:val="007A3FCD"/>
    <w:rsid w:val="007A47BD"/>
    <w:rsid w:val="007A54BD"/>
    <w:rsid w:val="007A6CCE"/>
    <w:rsid w:val="007B19CF"/>
    <w:rsid w:val="007B31BB"/>
    <w:rsid w:val="007B3806"/>
    <w:rsid w:val="007B43E6"/>
    <w:rsid w:val="007B5704"/>
    <w:rsid w:val="007B7D45"/>
    <w:rsid w:val="007B7F5B"/>
    <w:rsid w:val="007C1A67"/>
    <w:rsid w:val="007C59CA"/>
    <w:rsid w:val="007D0028"/>
    <w:rsid w:val="007D01AF"/>
    <w:rsid w:val="007D1C51"/>
    <w:rsid w:val="007D37CC"/>
    <w:rsid w:val="007D5846"/>
    <w:rsid w:val="007E1B9A"/>
    <w:rsid w:val="007E2F1E"/>
    <w:rsid w:val="007F0572"/>
    <w:rsid w:val="007F0590"/>
    <w:rsid w:val="007F0F92"/>
    <w:rsid w:val="007F148E"/>
    <w:rsid w:val="007F266E"/>
    <w:rsid w:val="007F3DF4"/>
    <w:rsid w:val="007F5695"/>
    <w:rsid w:val="008018AB"/>
    <w:rsid w:val="00803647"/>
    <w:rsid w:val="0080493C"/>
    <w:rsid w:val="008052F6"/>
    <w:rsid w:val="00806522"/>
    <w:rsid w:val="0080740A"/>
    <w:rsid w:val="00810391"/>
    <w:rsid w:val="00810481"/>
    <w:rsid w:val="008115C3"/>
    <w:rsid w:val="00813E5E"/>
    <w:rsid w:val="00814E2C"/>
    <w:rsid w:val="0081523F"/>
    <w:rsid w:val="00815E1A"/>
    <w:rsid w:val="00816E41"/>
    <w:rsid w:val="00827E9C"/>
    <w:rsid w:val="0083330B"/>
    <w:rsid w:val="0083581B"/>
    <w:rsid w:val="00836B57"/>
    <w:rsid w:val="00840C17"/>
    <w:rsid w:val="008411A0"/>
    <w:rsid w:val="00842A65"/>
    <w:rsid w:val="0084458F"/>
    <w:rsid w:val="00844712"/>
    <w:rsid w:val="00845C39"/>
    <w:rsid w:val="008479E2"/>
    <w:rsid w:val="008522E3"/>
    <w:rsid w:val="008558E2"/>
    <w:rsid w:val="00855AD1"/>
    <w:rsid w:val="0085668F"/>
    <w:rsid w:val="00863874"/>
    <w:rsid w:val="00864127"/>
    <w:rsid w:val="00864AFF"/>
    <w:rsid w:val="0086504B"/>
    <w:rsid w:val="00865925"/>
    <w:rsid w:val="008727F3"/>
    <w:rsid w:val="00872F63"/>
    <w:rsid w:val="00873982"/>
    <w:rsid w:val="00876CE9"/>
    <w:rsid w:val="00880D54"/>
    <w:rsid w:val="00880DB7"/>
    <w:rsid w:val="00881BB9"/>
    <w:rsid w:val="00882A2F"/>
    <w:rsid w:val="00882D05"/>
    <w:rsid w:val="00883840"/>
    <w:rsid w:val="00887035"/>
    <w:rsid w:val="0089137F"/>
    <w:rsid w:val="00893AA4"/>
    <w:rsid w:val="00894CD0"/>
    <w:rsid w:val="00895707"/>
    <w:rsid w:val="00896083"/>
    <w:rsid w:val="00897257"/>
    <w:rsid w:val="008A0533"/>
    <w:rsid w:val="008A3D86"/>
    <w:rsid w:val="008A66B2"/>
    <w:rsid w:val="008A6845"/>
    <w:rsid w:val="008A6DC7"/>
    <w:rsid w:val="008A6EE1"/>
    <w:rsid w:val="008B43C8"/>
    <w:rsid w:val="008B4A6A"/>
    <w:rsid w:val="008C47A6"/>
    <w:rsid w:val="008C7876"/>
    <w:rsid w:val="008C7E27"/>
    <w:rsid w:val="008D0793"/>
    <w:rsid w:val="008D1D42"/>
    <w:rsid w:val="008D24F3"/>
    <w:rsid w:val="008D40B7"/>
    <w:rsid w:val="008D4809"/>
    <w:rsid w:val="008D6C38"/>
    <w:rsid w:val="008D7DA5"/>
    <w:rsid w:val="008E436F"/>
    <w:rsid w:val="008E6086"/>
    <w:rsid w:val="008F1B18"/>
    <w:rsid w:val="008F219C"/>
    <w:rsid w:val="008F54AB"/>
    <w:rsid w:val="008F6839"/>
    <w:rsid w:val="008F7306"/>
    <w:rsid w:val="008F7448"/>
    <w:rsid w:val="008F7A88"/>
    <w:rsid w:val="00900E05"/>
    <w:rsid w:val="0090147A"/>
    <w:rsid w:val="00904AED"/>
    <w:rsid w:val="00906734"/>
    <w:rsid w:val="009077E0"/>
    <w:rsid w:val="00912C60"/>
    <w:rsid w:val="00913E53"/>
    <w:rsid w:val="00914F1B"/>
    <w:rsid w:val="009173EF"/>
    <w:rsid w:val="0092276D"/>
    <w:rsid w:val="00925B8B"/>
    <w:rsid w:val="009268BB"/>
    <w:rsid w:val="00926E96"/>
    <w:rsid w:val="00932906"/>
    <w:rsid w:val="0094046D"/>
    <w:rsid w:val="00946112"/>
    <w:rsid w:val="00947346"/>
    <w:rsid w:val="0096087F"/>
    <w:rsid w:val="009614BF"/>
    <w:rsid w:val="00961B0B"/>
    <w:rsid w:val="00962C13"/>
    <w:rsid w:val="00962D33"/>
    <w:rsid w:val="00962EF7"/>
    <w:rsid w:val="0096736A"/>
    <w:rsid w:val="009717BA"/>
    <w:rsid w:val="0097283B"/>
    <w:rsid w:val="0097477E"/>
    <w:rsid w:val="00976D80"/>
    <w:rsid w:val="0097759A"/>
    <w:rsid w:val="009779B3"/>
    <w:rsid w:val="00977F32"/>
    <w:rsid w:val="009835F9"/>
    <w:rsid w:val="009841F4"/>
    <w:rsid w:val="00985DAC"/>
    <w:rsid w:val="00987335"/>
    <w:rsid w:val="0099040B"/>
    <w:rsid w:val="00990EF7"/>
    <w:rsid w:val="00994B6D"/>
    <w:rsid w:val="00997DBA"/>
    <w:rsid w:val="009A07C0"/>
    <w:rsid w:val="009A0B91"/>
    <w:rsid w:val="009A72A9"/>
    <w:rsid w:val="009B23BE"/>
    <w:rsid w:val="009B38C3"/>
    <w:rsid w:val="009B72D6"/>
    <w:rsid w:val="009C406C"/>
    <w:rsid w:val="009C7DC4"/>
    <w:rsid w:val="009D1100"/>
    <w:rsid w:val="009D140C"/>
    <w:rsid w:val="009D4268"/>
    <w:rsid w:val="009E172D"/>
    <w:rsid w:val="009E17BD"/>
    <w:rsid w:val="009E28D0"/>
    <w:rsid w:val="009E485A"/>
    <w:rsid w:val="009E51C7"/>
    <w:rsid w:val="009F0F03"/>
    <w:rsid w:val="009F2F89"/>
    <w:rsid w:val="009F75EF"/>
    <w:rsid w:val="00A04508"/>
    <w:rsid w:val="00A04CEC"/>
    <w:rsid w:val="00A077CF"/>
    <w:rsid w:val="00A1061A"/>
    <w:rsid w:val="00A12532"/>
    <w:rsid w:val="00A131E3"/>
    <w:rsid w:val="00A1401A"/>
    <w:rsid w:val="00A209A5"/>
    <w:rsid w:val="00A2377F"/>
    <w:rsid w:val="00A23C23"/>
    <w:rsid w:val="00A27F92"/>
    <w:rsid w:val="00A317DC"/>
    <w:rsid w:val="00A32257"/>
    <w:rsid w:val="00A32437"/>
    <w:rsid w:val="00A33051"/>
    <w:rsid w:val="00A3568E"/>
    <w:rsid w:val="00A36D20"/>
    <w:rsid w:val="00A407E0"/>
    <w:rsid w:val="00A41ADB"/>
    <w:rsid w:val="00A41B0A"/>
    <w:rsid w:val="00A43FF5"/>
    <w:rsid w:val="00A45BD5"/>
    <w:rsid w:val="00A514A4"/>
    <w:rsid w:val="00A51D07"/>
    <w:rsid w:val="00A53888"/>
    <w:rsid w:val="00A53ED6"/>
    <w:rsid w:val="00A5523B"/>
    <w:rsid w:val="00A55622"/>
    <w:rsid w:val="00A60910"/>
    <w:rsid w:val="00A63D31"/>
    <w:rsid w:val="00A6437E"/>
    <w:rsid w:val="00A6470E"/>
    <w:rsid w:val="00A70866"/>
    <w:rsid w:val="00A70C8E"/>
    <w:rsid w:val="00A727D9"/>
    <w:rsid w:val="00A73A04"/>
    <w:rsid w:val="00A75739"/>
    <w:rsid w:val="00A76FC1"/>
    <w:rsid w:val="00A772BE"/>
    <w:rsid w:val="00A7782F"/>
    <w:rsid w:val="00A824A5"/>
    <w:rsid w:val="00A83502"/>
    <w:rsid w:val="00A85EE9"/>
    <w:rsid w:val="00A90294"/>
    <w:rsid w:val="00A90B9A"/>
    <w:rsid w:val="00A914A0"/>
    <w:rsid w:val="00A917A3"/>
    <w:rsid w:val="00A94A42"/>
    <w:rsid w:val="00A94BAB"/>
    <w:rsid w:val="00A950EF"/>
    <w:rsid w:val="00A97BA9"/>
    <w:rsid w:val="00AA2355"/>
    <w:rsid w:val="00AA56A8"/>
    <w:rsid w:val="00AA5E74"/>
    <w:rsid w:val="00AB077C"/>
    <w:rsid w:val="00AC2BAE"/>
    <w:rsid w:val="00AC3B53"/>
    <w:rsid w:val="00AC5E9B"/>
    <w:rsid w:val="00AC6B60"/>
    <w:rsid w:val="00AD151D"/>
    <w:rsid w:val="00AD15B3"/>
    <w:rsid w:val="00AD3606"/>
    <w:rsid w:val="00AD4A3D"/>
    <w:rsid w:val="00AD4B0C"/>
    <w:rsid w:val="00AD677D"/>
    <w:rsid w:val="00AD6C0C"/>
    <w:rsid w:val="00AE3E2B"/>
    <w:rsid w:val="00AF08BE"/>
    <w:rsid w:val="00AF6E49"/>
    <w:rsid w:val="00B00A30"/>
    <w:rsid w:val="00B01B53"/>
    <w:rsid w:val="00B03766"/>
    <w:rsid w:val="00B043D9"/>
    <w:rsid w:val="00B0496C"/>
    <w:rsid w:val="00B04A67"/>
    <w:rsid w:val="00B0583C"/>
    <w:rsid w:val="00B137CE"/>
    <w:rsid w:val="00B1530B"/>
    <w:rsid w:val="00B1606A"/>
    <w:rsid w:val="00B161C5"/>
    <w:rsid w:val="00B16707"/>
    <w:rsid w:val="00B16F1A"/>
    <w:rsid w:val="00B22916"/>
    <w:rsid w:val="00B24623"/>
    <w:rsid w:val="00B25545"/>
    <w:rsid w:val="00B25600"/>
    <w:rsid w:val="00B26B79"/>
    <w:rsid w:val="00B27204"/>
    <w:rsid w:val="00B272E1"/>
    <w:rsid w:val="00B3281C"/>
    <w:rsid w:val="00B33BA4"/>
    <w:rsid w:val="00B346A2"/>
    <w:rsid w:val="00B34845"/>
    <w:rsid w:val="00B40A81"/>
    <w:rsid w:val="00B43F85"/>
    <w:rsid w:val="00B44910"/>
    <w:rsid w:val="00B44E54"/>
    <w:rsid w:val="00B4714F"/>
    <w:rsid w:val="00B50923"/>
    <w:rsid w:val="00B61702"/>
    <w:rsid w:val="00B63B83"/>
    <w:rsid w:val="00B63BF8"/>
    <w:rsid w:val="00B6753B"/>
    <w:rsid w:val="00B679A7"/>
    <w:rsid w:val="00B70E24"/>
    <w:rsid w:val="00B72267"/>
    <w:rsid w:val="00B75C9D"/>
    <w:rsid w:val="00B76C62"/>
    <w:rsid w:val="00B76EB6"/>
    <w:rsid w:val="00B7737B"/>
    <w:rsid w:val="00B80023"/>
    <w:rsid w:val="00B8046C"/>
    <w:rsid w:val="00B81984"/>
    <w:rsid w:val="00B824C8"/>
    <w:rsid w:val="00B83007"/>
    <w:rsid w:val="00B84B9D"/>
    <w:rsid w:val="00B84DF8"/>
    <w:rsid w:val="00B9131F"/>
    <w:rsid w:val="00B916B7"/>
    <w:rsid w:val="00B932F3"/>
    <w:rsid w:val="00B941F8"/>
    <w:rsid w:val="00BA25DB"/>
    <w:rsid w:val="00BA4F62"/>
    <w:rsid w:val="00BB0646"/>
    <w:rsid w:val="00BB0C8C"/>
    <w:rsid w:val="00BB3073"/>
    <w:rsid w:val="00BB653C"/>
    <w:rsid w:val="00BC1557"/>
    <w:rsid w:val="00BC251A"/>
    <w:rsid w:val="00BC4969"/>
    <w:rsid w:val="00BD032B"/>
    <w:rsid w:val="00BD0CB7"/>
    <w:rsid w:val="00BD0E50"/>
    <w:rsid w:val="00BD2294"/>
    <w:rsid w:val="00BD25DA"/>
    <w:rsid w:val="00BD4F9D"/>
    <w:rsid w:val="00BD57DB"/>
    <w:rsid w:val="00BE01C6"/>
    <w:rsid w:val="00BE2640"/>
    <w:rsid w:val="00BE3217"/>
    <w:rsid w:val="00BE7CBD"/>
    <w:rsid w:val="00BF0C1E"/>
    <w:rsid w:val="00BF1FDE"/>
    <w:rsid w:val="00BF3B2E"/>
    <w:rsid w:val="00BF63B1"/>
    <w:rsid w:val="00BF7784"/>
    <w:rsid w:val="00BF79CB"/>
    <w:rsid w:val="00C00CEB"/>
    <w:rsid w:val="00C01189"/>
    <w:rsid w:val="00C02B8F"/>
    <w:rsid w:val="00C031A8"/>
    <w:rsid w:val="00C03C07"/>
    <w:rsid w:val="00C0458D"/>
    <w:rsid w:val="00C04833"/>
    <w:rsid w:val="00C04A84"/>
    <w:rsid w:val="00C06EDE"/>
    <w:rsid w:val="00C07899"/>
    <w:rsid w:val="00C10F98"/>
    <w:rsid w:val="00C1125A"/>
    <w:rsid w:val="00C116A5"/>
    <w:rsid w:val="00C12C1F"/>
    <w:rsid w:val="00C14549"/>
    <w:rsid w:val="00C203CA"/>
    <w:rsid w:val="00C208FB"/>
    <w:rsid w:val="00C23CAA"/>
    <w:rsid w:val="00C23E7F"/>
    <w:rsid w:val="00C24B51"/>
    <w:rsid w:val="00C371C7"/>
    <w:rsid w:val="00C374DE"/>
    <w:rsid w:val="00C40BC1"/>
    <w:rsid w:val="00C4179A"/>
    <w:rsid w:val="00C45CB5"/>
    <w:rsid w:val="00C47AD4"/>
    <w:rsid w:val="00C51963"/>
    <w:rsid w:val="00C52D81"/>
    <w:rsid w:val="00C55198"/>
    <w:rsid w:val="00C55F96"/>
    <w:rsid w:val="00C62AA0"/>
    <w:rsid w:val="00C64A8D"/>
    <w:rsid w:val="00C6520B"/>
    <w:rsid w:val="00C7385D"/>
    <w:rsid w:val="00C84BFD"/>
    <w:rsid w:val="00C92737"/>
    <w:rsid w:val="00CA155D"/>
    <w:rsid w:val="00CA2E11"/>
    <w:rsid w:val="00CA390A"/>
    <w:rsid w:val="00CA6393"/>
    <w:rsid w:val="00CA7995"/>
    <w:rsid w:val="00CB16FB"/>
    <w:rsid w:val="00CB18FF"/>
    <w:rsid w:val="00CC283D"/>
    <w:rsid w:val="00CC30AF"/>
    <w:rsid w:val="00CC3751"/>
    <w:rsid w:val="00CC3BC5"/>
    <w:rsid w:val="00CC3D28"/>
    <w:rsid w:val="00CC5FA8"/>
    <w:rsid w:val="00CD0C08"/>
    <w:rsid w:val="00CD3A59"/>
    <w:rsid w:val="00CD4042"/>
    <w:rsid w:val="00CD5151"/>
    <w:rsid w:val="00CD5E99"/>
    <w:rsid w:val="00CD5EE0"/>
    <w:rsid w:val="00CD5F4A"/>
    <w:rsid w:val="00CD6303"/>
    <w:rsid w:val="00CE03FB"/>
    <w:rsid w:val="00CE433C"/>
    <w:rsid w:val="00CE572F"/>
    <w:rsid w:val="00CE7B21"/>
    <w:rsid w:val="00CF0161"/>
    <w:rsid w:val="00CF12AD"/>
    <w:rsid w:val="00CF33F3"/>
    <w:rsid w:val="00CF4A2B"/>
    <w:rsid w:val="00CF6239"/>
    <w:rsid w:val="00CF631A"/>
    <w:rsid w:val="00CF75CD"/>
    <w:rsid w:val="00D024CA"/>
    <w:rsid w:val="00D04A3A"/>
    <w:rsid w:val="00D06183"/>
    <w:rsid w:val="00D1221D"/>
    <w:rsid w:val="00D1222D"/>
    <w:rsid w:val="00D16A5D"/>
    <w:rsid w:val="00D17BCB"/>
    <w:rsid w:val="00D20A80"/>
    <w:rsid w:val="00D22C42"/>
    <w:rsid w:val="00D34FF2"/>
    <w:rsid w:val="00D36C30"/>
    <w:rsid w:val="00D425AE"/>
    <w:rsid w:val="00D454F8"/>
    <w:rsid w:val="00D50958"/>
    <w:rsid w:val="00D52255"/>
    <w:rsid w:val="00D5434F"/>
    <w:rsid w:val="00D57A1A"/>
    <w:rsid w:val="00D637F9"/>
    <w:rsid w:val="00D65041"/>
    <w:rsid w:val="00D6506D"/>
    <w:rsid w:val="00D652A2"/>
    <w:rsid w:val="00D66294"/>
    <w:rsid w:val="00D67A73"/>
    <w:rsid w:val="00D723A4"/>
    <w:rsid w:val="00D75327"/>
    <w:rsid w:val="00D7795A"/>
    <w:rsid w:val="00D779B0"/>
    <w:rsid w:val="00D80DA0"/>
    <w:rsid w:val="00D81188"/>
    <w:rsid w:val="00D83AA4"/>
    <w:rsid w:val="00D84575"/>
    <w:rsid w:val="00D867B1"/>
    <w:rsid w:val="00D86F4D"/>
    <w:rsid w:val="00D91A05"/>
    <w:rsid w:val="00D9322F"/>
    <w:rsid w:val="00DA16D0"/>
    <w:rsid w:val="00DA1A8B"/>
    <w:rsid w:val="00DA2FFA"/>
    <w:rsid w:val="00DA7CC2"/>
    <w:rsid w:val="00DB1936"/>
    <w:rsid w:val="00DB2074"/>
    <w:rsid w:val="00DB384B"/>
    <w:rsid w:val="00DB38F7"/>
    <w:rsid w:val="00DB4D71"/>
    <w:rsid w:val="00DB538F"/>
    <w:rsid w:val="00DC102C"/>
    <w:rsid w:val="00DC2228"/>
    <w:rsid w:val="00DC3D53"/>
    <w:rsid w:val="00DC532E"/>
    <w:rsid w:val="00DC5B22"/>
    <w:rsid w:val="00DC69AF"/>
    <w:rsid w:val="00DC776B"/>
    <w:rsid w:val="00DD11ED"/>
    <w:rsid w:val="00DD2EE7"/>
    <w:rsid w:val="00DD4558"/>
    <w:rsid w:val="00DD505B"/>
    <w:rsid w:val="00DD6C6A"/>
    <w:rsid w:val="00DE1A9A"/>
    <w:rsid w:val="00DE650F"/>
    <w:rsid w:val="00DE7B87"/>
    <w:rsid w:val="00DF0189"/>
    <w:rsid w:val="00DF0C34"/>
    <w:rsid w:val="00DF1083"/>
    <w:rsid w:val="00DF21D5"/>
    <w:rsid w:val="00DF26C9"/>
    <w:rsid w:val="00DF287B"/>
    <w:rsid w:val="00DF5B4A"/>
    <w:rsid w:val="00DF6ACC"/>
    <w:rsid w:val="00DF78D9"/>
    <w:rsid w:val="00E007C6"/>
    <w:rsid w:val="00E056DA"/>
    <w:rsid w:val="00E05E18"/>
    <w:rsid w:val="00E06FD5"/>
    <w:rsid w:val="00E078EE"/>
    <w:rsid w:val="00E1030E"/>
    <w:rsid w:val="00E10E80"/>
    <w:rsid w:val="00E11841"/>
    <w:rsid w:val="00E124F0"/>
    <w:rsid w:val="00E14F23"/>
    <w:rsid w:val="00E16BB1"/>
    <w:rsid w:val="00E17550"/>
    <w:rsid w:val="00E2051D"/>
    <w:rsid w:val="00E227F3"/>
    <w:rsid w:val="00E22ECE"/>
    <w:rsid w:val="00E237BD"/>
    <w:rsid w:val="00E25907"/>
    <w:rsid w:val="00E27BB5"/>
    <w:rsid w:val="00E34851"/>
    <w:rsid w:val="00E35B81"/>
    <w:rsid w:val="00E36169"/>
    <w:rsid w:val="00E41C88"/>
    <w:rsid w:val="00E420D4"/>
    <w:rsid w:val="00E43092"/>
    <w:rsid w:val="00E44B19"/>
    <w:rsid w:val="00E44F9F"/>
    <w:rsid w:val="00E47010"/>
    <w:rsid w:val="00E4779A"/>
    <w:rsid w:val="00E52B6D"/>
    <w:rsid w:val="00E545C6"/>
    <w:rsid w:val="00E564C6"/>
    <w:rsid w:val="00E56663"/>
    <w:rsid w:val="00E608C2"/>
    <w:rsid w:val="00E60F04"/>
    <w:rsid w:val="00E6158C"/>
    <w:rsid w:val="00E62BAB"/>
    <w:rsid w:val="00E64CB2"/>
    <w:rsid w:val="00E65AA4"/>
    <w:rsid w:val="00E65B24"/>
    <w:rsid w:val="00E72116"/>
    <w:rsid w:val="00E7317F"/>
    <w:rsid w:val="00E74959"/>
    <w:rsid w:val="00E771FD"/>
    <w:rsid w:val="00E81FFF"/>
    <w:rsid w:val="00E854E4"/>
    <w:rsid w:val="00E85B58"/>
    <w:rsid w:val="00E86DBF"/>
    <w:rsid w:val="00E874FA"/>
    <w:rsid w:val="00E9256B"/>
    <w:rsid w:val="00E926E6"/>
    <w:rsid w:val="00E93FC8"/>
    <w:rsid w:val="00E946B9"/>
    <w:rsid w:val="00E969AF"/>
    <w:rsid w:val="00E97D49"/>
    <w:rsid w:val="00EA0779"/>
    <w:rsid w:val="00EA0EBF"/>
    <w:rsid w:val="00EA20C8"/>
    <w:rsid w:val="00EA2544"/>
    <w:rsid w:val="00EA4DDA"/>
    <w:rsid w:val="00EB0D0A"/>
    <w:rsid w:val="00EB0D6F"/>
    <w:rsid w:val="00EB2232"/>
    <w:rsid w:val="00EB2B35"/>
    <w:rsid w:val="00EB3FFD"/>
    <w:rsid w:val="00EB744E"/>
    <w:rsid w:val="00EB77DF"/>
    <w:rsid w:val="00EC132C"/>
    <w:rsid w:val="00EC3DA4"/>
    <w:rsid w:val="00EC5337"/>
    <w:rsid w:val="00ED1ED5"/>
    <w:rsid w:val="00ED2F66"/>
    <w:rsid w:val="00ED59A5"/>
    <w:rsid w:val="00ED6330"/>
    <w:rsid w:val="00EE3D3E"/>
    <w:rsid w:val="00EE49E8"/>
    <w:rsid w:val="00EE6DDE"/>
    <w:rsid w:val="00EE77FC"/>
    <w:rsid w:val="00EE7B41"/>
    <w:rsid w:val="00EF1795"/>
    <w:rsid w:val="00EF5CF1"/>
    <w:rsid w:val="00EF701F"/>
    <w:rsid w:val="00EF7846"/>
    <w:rsid w:val="00F00333"/>
    <w:rsid w:val="00F0275A"/>
    <w:rsid w:val="00F02B76"/>
    <w:rsid w:val="00F05766"/>
    <w:rsid w:val="00F06DE3"/>
    <w:rsid w:val="00F07276"/>
    <w:rsid w:val="00F14355"/>
    <w:rsid w:val="00F14605"/>
    <w:rsid w:val="00F16BAB"/>
    <w:rsid w:val="00F2150A"/>
    <w:rsid w:val="00F231D8"/>
    <w:rsid w:val="00F23966"/>
    <w:rsid w:val="00F3025A"/>
    <w:rsid w:val="00F342FE"/>
    <w:rsid w:val="00F41209"/>
    <w:rsid w:val="00F4204A"/>
    <w:rsid w:val="00F424DD"/>
    <w:rsid w:val="00F43081"/>
    <w:rsid w:val="00F44725"/>
    <w:rsid w:val="00F44C00"/>
    <w:rsid w:val="00F45D2C"/>
    <w:rsid w:val="00F46C5F"/>
    <w:rsid w:val="00F50AA1"/>
    <w:rsid w:val="00F56FA5"/>
    <w:rsid w:val="00F577EA"/>
    <w:rsid w:val="00F62509"/>
    <w:rsid w:val="00F628AD"/>
    <w:rsid w:val="00F62D65"/>
    <w:rsid w:val="00F62E5A"/>
    <w:rsid w:val="00F632C0"/>
    <w:rsid w:val="00F63A8C"/>
    <w:rsid w:val="00F641E1"/>
    <w:rsid w:val="00F64825"/>
    <w:rsid w:val="00F64D18"/>
    <w:rsid w:val="00F71A71"/>
    <w:rsid w:val="00F71EED"/>
    <w:rsid w:val="00F72E1C"/>
    <w:rsid w:val="00F740EF"/>
    <w:rsid w:val="00F74DAF"/>
    <w:rsid w:val="00F75BD5"/>
    <w:rsid w:val="00F762D9"/>
    <w:rsid w:val="00F805EF"/>
    <w:rsid w:val="00F80F52"/>
    <w:rsid w:val="00F82934"/>
    <w:rsid w:val="00F84136"/>
    <w:rsid w:val="00F866A2"/>
    <w:rsid w:val="00F9060B"/>
    <w:rsid w:val="00F92FC0"/>
    <w:rsid w:val="00F9310F"/>
    <w:rsid w:val="00F94A63"/>
    <w:rsid w:val="00FA0DDC"/>
    <w:rsid w:val="00FA1C28"/>
    <w:rsid w:val="00FA4937"/>
    <w:rsid w:val="00FA7A53"/>
    <w:rsid w:val="00FB05E6"/>
    <w:rsid w:val="00FB1279"/>
    <w:rsid w:val="00FB44E1"/>
    <w:rsid w:val="00FB6177"/>
    <w:rsid w:val="00FB6B76"/>
    <w:rsid w:val="00FB7596"/>
    <w:rsid w:val="00FB7C15"/>
    <w:rsid w:val="00FC18A6"/>
    <w:rsid w:val="00FC1C0F"/>
    <w:rsid w:val="00FC675E"/>
    <w:rsid w:val="00FC736B"/>
    <w:rsid w:val="00FE3EBC"/>
    <w:rsid w:val="00FE4077"/>
    <w:rsid w:val="00FE500D"/>
    <w:rsid w:val="00FE77D2"/>
    <w:rsid w:val="00FF2383"/>
    <w:rsid w:val="00FF2F93"/>
    <w:rsid w:val="00FF39B1"/>
    <w:rsid w:val="013F9D9C"/>
    <w:rsid w:val="0146580E"/>
    <w:rsid w:val="01834081"/>
    <w:rsid w:val="01AFCBDF"/>
    <w:rsid w:val="01E849BA"/>
    <w:rsid w:val="01EA4FDA"/>
    <w:rsid w:val="01FA3E6E"/>
    <w:rsid w:val="0203CFF3"/>
    <w:rsid w:val="021783BB"/>
    <w:rsid w:val="029B06FC"/>
    <w:rsid w:val="030755D3"/>
    <w:rsid w:val="03308716"/>
    <w:rsid w:val="03D6BD21"/>
    <w:rsid w:val="03E22053"/>
    <w:rsid w:val="04283DA8"/>
    <w:rsid w:val="0455765A"/>
    <w:rsid w:val="0483B4F5"/>
    <w:rsid w:val="049FF88E"/>
    <w:rsid w:val="04BB70C9"/>
    <w:rsid w:val="04C16DF5"/>
    <w:rsid w:val="04F318F5"/>
    <w:rsid w:val="051E569F"/>
    <w:rsid w:val="053C2331"/>
    <w:rsid w:val="05720A51"/>
    <w:rsid w:val="057266F7"/>
    <w:rsid w:val="05ADD439"/>
    <w:rsid w:val="05D77970"/>
    <w:rsid w:val="05E696B4"/>
    <w:rsid w:val="0608F1B3"/>
    <w:rsid w:val="060CF83E"/>
    <w:rsid w:val="061C1E4A"/>
    <w:rsid w:val="065FD418"/>
    <w:rsid w:val="06A7A8C6"/>
    <w:rsid w:val="06EA6EC6"/>
    <w:rsid w:val="07037439"/>
    <w:rsid w:val="070A1207"/>
    <w:rsid w:val="072AB40F"/>
    <w:rsid w:val="075D4979"/>
    <w:rsid w:val="076451E4"/>
    <w:rsid w:val="076E7117"/>
    <w:rsid w:val="0787FB1E"/>
    <w:rsid w:val="07D046E8"/>
    <w:rsid w:val="07D8273E"/>
    <w:rsid w:val="07FE9FC2"/>
    <w:rsid w:val="080BE3AD"/>
    <w:rsid w:val="08273F6E"/>
    <w:rsid w:val="08898D87"/>
    <w:rsid w:val="0936D08B"/>
    <w:rsid w:val="096AEC9B"/>
    <w:rsid w:val="097019DE"/>
    <w:rsid w:val="0987B20C"/>
    <w:rsid w:val="09B999D1"/>
    <w:rsid w:val="0A1F1665"/>
    <w:rsid w:val="0AB55503"/>
    <w:rsid w:val="0AD83A63"/>
    <w:rsid w:val="0ADA9C2E"/>
    <w:rsid w:val="0AEAB44A"/>
    <w:rsid w:val="0B07B38A"/>
    <w:rsid w:val="0B271A1E"/>
    <w:rsid w:val="0B399154"/>
    <w:rsid w:val="0B75BA52"/>
    <w:rsid w:val="0BB461F3"/>
    <w:rsid w:val="0BC2548A"/>
    <w:rsid w:val="0C4C5C34"/>
    <w:rsid w:val="0C4CD9E8"/>
    <w:rsid w:val="0C7B8D73"/>
    <w:rsid w:val="0C889604"/>
    <w:rsid w:val="0C9A68F3"/>
    <w:rsid w:val="0C9BB1EA"/>
    <w:rsid w:val="0CE84676"/>
    <w:rsid w:val="0CF29858"/>
    <w:rsid w:val="0CF509C5"/>
    <w:rsid w:val="0D4FB619"/>
    <w:rsid w:val="0D751018"/>
    <w:rsid w:val="0D864179"/>
    <w:rsid w:val="0DA5F84A"/>
    <w:rsid w:val="0DDBC404"/>
    <w:rsid w:val="0E875A91"/>
    <w:rsid w:val="0EC7A48E"/>
    <w:rsid w:val="0F28EB3F"/>
    <w:rsid w:val="0FAAC2CE"/>
    <w:rsid w:val="0FB339CB"/>
    <w:rsid w:val="0FCD8C64"/>
    <w:rsid w:val="1040DAEA"/>
    <w:rsid w:val="106515FE"/>
    <w:rsid w:val="1075E045"/>
    <w:rsid w:val="115F6F93"/>
    <w:rsid w:val="11C39E38"/>
    <w:rsid w:val="11D7E855"/>
    <w:rsid w:val="1236A01C"/>
    <w:rsid w:val="123D5C13"/>
    <w:rsid w:val="12702C6D"/>
    <w:rsid w:val="12EEB2B0"/>
    <w:rsid w:val="12FEFA30"/>
    <w:rsid w:val="1312E46D"/>
    <w:rsid w:val="133A1028"/>
    <w:rsid w:val="13455F79"/>
    <w:rsid w:val="137A25E8"/>
    <w:rsid w:val="142EA097"/>
    <w:rsid w:val="14BC4523"/>
    <w:rsid w:val="14CF2BF2"/>
    <w:rsid w:val="14FF2831"/>
    <w:rsid w:val="150E54A4"/>
    <w:rsid w:val="1524414C"/>
    <w:rsid w:val="152BAACC"/>
    <w:rsid w:val="15319DB9"/>
    <w:rsid w:val="155937D8"/>
    <w:rsid w:val="15697D8A"/>
    <w:rsid w:val="15BCC481"/>
    <w:rsid w:val="1616668F"/>
    <w:rsid w:val="1616DC93"/>
    <w:rsid w:val="162FFD63"/>
    <w:rsid w:val="16638585"/>
    <w:rsid w:val="16DC85AA"/>
    <w:rsid w:val="16F4D702"/>
    <w:rsid w:val="1719C32E"/>
    <w:rsid w:val="17A36A48"/>
    <w:rsid w:val="18D6228A"/>
    <w:rsid w:val="19129BAF"/>
    <w:rsid w:val="197FDEB0"/>
    <w:rsid w:val="19AE380A"/>
    <w:rsid w:val="19F6216E"/>
    <w:rsid w:val="1A042595"/>
    <w:rsid w:val="1A5DD07C"/>
    <w:rsid w:val="1A7D099C"/>
    <w:rsid w:val="1AD812CC"/>
    <w:rsid w:val="1B0783D3"/>
    <w:rsid w:val="1B0CA570"/>
    <w:rsid w:val="1B26BCAC"/>
    <w:rsid w:val="1B463AF2"/>
    <w:rsid w:val="1B4E21E0"/>
    <w:rsid w:val="1B7BAE4E"/>
    <w:rsid w:val="1B895AD1"/>
    <w:rsid w:val="1B945BF7"/>
    <w:rsid w:val="1B959D26"/>
    <w:rsid w:val="1BD5BB9A"/>
    <w:rsid w:val="1C733053"/>
    <w:rsid w:val="1D1F87A4"/>
    <w:rsid w:val="1DE057A2"/>
    <w:rsid w:val="1E29D49B"/>
    <w:rsid w:val="1E885179"/>
    <w:rsid w:val="1E9283E5"/>
    <w:rsid w:val="1EBEF992"/>
    <w:rsid w:val="1EC3F43A"/>
    <w:rsid w:val="1F24C0FC"/>
    <w:rsid w:val="1F9134A3"/>
    <w:rsid w:val="1FC2ED95"/>
    <w:rsid w:val="1FDCFDDE"/>
    <w:rsid w:val="1FE50AAE"/>
    <w:rsid w:val="1FF091C3"/>
    <w:rsid w:val="201E173E"/>
    <w:rsid w:val="209B6050"/>
    <w:rsid w:val="20D71DCE"/>
    <w:rsid w:val="20F1DF43"/>
    <w:rsid w:val="20F5CB22"/>
    <w:rsid w:val="2107041F"/>
    <w:rsid w:val="2129F8C0"/>
    <w:rsid w:val="213DCA23"/>
    <w:rsid w:val="2150727A"/>
    <w:rsid w:val="217F4F97"/>
    <w:rsid w:val="2185D694"/>
    <w:rsid w:val="218B7F4E"/>
    <w:rsid w:val="21C8DBFA"/>
    <w:rsid w:val="21E84FC3"/>
    <w:rsid w:val="21EE5D70"/>
    <w:rsid w:val="21F23518"/>
    <w:rsid w:val="22BCA801"/>
    <w:rsid w:val="22C9DBB7"/>
    <w:rsid w:val="22F67ADE"/>
    <w:rsid w:val="234A2775"/>
    <w:rsid w:val="2353CEDD"/>
    <w:rsid w:val="236DCE14"/>
    <w:rsid w:val="2372A59A"/>
    <w:rsid w:val="2405B425"/>
    <w:rsid w:val="244868D5"/>
    <w:rsid w:val="24737D2C"/>
    <w:rsid w:val="24991E01"/>
    <w:rsid w:val="2503E134"/>
    <w:rsid w:val="25310B21"/>
    <w:rsid w:val="25502643"/>
    <w:rsid w:val="2552FE8E"/>
    <w:rsid w:val="257CEC5B"/>
    <w:rsid w:val="2584B0F0"/>
    <w:rsid w:val="25A9E4CC"/>
    <w:rsid w:val="25AC3BE6"/>
    <w:rsid w:val="25CA6E2A"/>
    <w:rsid w:val="266CEA25"/>
    <w:rsid w:val="26A694AA"/>
    <w:rsid w:val="26D6E0A1"/>
    <w:rsid w:val="26D731D9"/>
    <w:rsid w:val="272EAFD8"/>
    <w:rsid w:val="2753EEBE"/>
    <w:rsid w:val="27750156"/>
    <w:rsid w:val="27D2A011"/>
    <w:rsid w:val="27D6E811"/>
    <w:rsid w:val="28AD00BE"/>
    <w:rsid w:val="28C380A0"/>
    <w:rsid w:val="28CBACAC"/>
    <w:rsid w:val="28F607CB"/>
    <w:rsid w:val="292D66F6"/>
    <w:rsid w:val="2969E0EB"/>
    <w:rsid w:val="29859396"/>
    <w:rsid w:val="29D5DA35"/>
    <w:rsid w:val="29FA16A0"/>
    <w:rsid w:val="2A9F6336"/>
    <w:rsid w:val="2AEC9A86"/>
    <w:rsid w:val="2B0CC965"/>
    <w:rsid w:val="2B1F0134"/>
    <w:rsid w:val="2B4EF41B"/>
    <w:rsid w:val="2BA48069"/>
    <w:rsid w:val="2BBC9465"/>
    <w:rsid w:val="2BD8D5BF"/>
    <w:rsid w:val="2C1B596D"/>
    <w:rsid w:val="2C2C02E8"/>
    <w:rsid w:val="2C320AC2"/>
    <w:rsid w:val="2C4868CB"/>
    <w:rsid w:val="2C875A5C"/>
    <w:rsid w:val="2D2B4451"/>
    <w:rsid w:val="2D66B70E"/>
    <w:rsid w:val="2D87F844"/>
    <w:rsid w:val="2DB76B90"/>
    <w:rsid w:val="2DCB307D"/>
    <w:rsid w:val="2DD0D987"/>
    <w:rsid w:val="2DD4436F"/>
    <w:rsid w:val="2DDC8926"/>
    <w:rsid w:val="2DF0AE3F"/>
    <w:rsid w:val="2DFD49E6"/>
    <w:rsid w:val="2E29937B"/>
    <w:rsid w:val="2E33E39F"/>
    <w:rsid w:val="2E75EDDD"/>
    <w:rsid w:val="2EAC3DD0"/>
    <w:rsid w:val="2EBBEA83"/>
    <w:rsid w:val="2EBC0CE4"/>
    <w:rsid w:val="2FCA7FB4"/>
    <w:rsid w:val="30DCD88A"/>
    <w:rsid w:val="314325FF"/>
    <w:rsid w:val="3146925F"/>
    <w:rsid w:val="3157F418"/>
    <w:rsid w:val="319B42F9"/>
    <w:rsid w:val="31BBBB87"/>
    <w:rsid w:val="321F6BA7"/>
    <w:rsid w:val="322609C1"/>
    <w:rsid w:val="322BC31C"/>
    <w:rsid w:val="322E242B"/>
    <w:rsid w:val="3248E3E6"/>
    <w:rsid w:val="326B1CA0"/>
    <w:rsid w:val="3271C038"/>
    <w:rsid w:val="32C8E884"/>
    <w:rsid w:val="32CEB4E3"/>
    <w:rsid w:val="32EB0892"/>
    <w:rsid w:val="33585EDD"/>
    <w:rsid w:val="33ADBDF3"/>
    <w:rsid w:val="33B93250"/>
    <w:rsid w:val="340DB3F5"/>
    <w:rsid w:val="34FF4BDF"/>
    <w:rsid w:val="351206B4"/>
    <w:rsid w:val="3528FA36"/>
    <w:rsid w:val="3532CF70"/>
    <w:rsid w:val="353EAB2E"/>
    <w:rsid w:val="3541623F"/>
    <w:rsid w:val="354A25C7"/>
    <w:rsid w:val="354B717F"/>
    <w:rsid w:val="355C52E8"/>
    <w:rsid w:val="358ABBAC"/>
    <w:rsid w:val="359C459E"/>
    <w:rsid w:val="35A75336"/>
    <w:rsid w:val="3631DFEF"/>
    <w:rsid w:val="3678F94B"/>
    <w:rsid w:val="36FADA34"/>
    <w:rsid w:val="3702513A"/>
    <w:rsid w:val="3706E343"/>
    <w:rsid w:val="370D5E86"/>
    <w:rsid w:val="3762C754"/>
    <w:rsid w:val="37EF5223"/>
    <w:rsid w:val="38007945"/>
    <w:rsid w:val="383917FA"/>
    <w:rsid w:val="3845C2DA"/>
    <w:rsid w:val="388EB226"/>
    <w:rsid w:val="38E42CDE"/>
    <w:rsid w:val="390DD058"/>
    <w:rsid w:val="39373347"/>
    <w:rsid w:val="394BCF9C"/>
    <w:rsid w:val="394E2066"/>
    <w:rsid w:val="397B68C2"/>
    <w:rsid w:val="39C03EBA"/>
    <w:rsid w:val="39D44F8E"/>
    <w:rsid w:val="39DBFEB8"/>
    <w:rsid w:val="3A15E0C9"/>
    <w:rsid w:val="3AADE9A0"/>
    <w:rsid w:val="3AFBA01C"/>
    <w:rsid w:val="3B0833AC"/>
    <w:rsid w:val="3BA154CF"/>
    <w:rsid w:val="3BB3A1F7"/>
    <w:rsid w:val="3BEAEC60"/>
    <w:rsid w:val="3BEF0E46"/>
    <w:rsid w:val="3C249BCD"/>
    <w:rsid w:val="3C27A3E5"/>
    <w:rsid w:val="3C37B1F4"/>
    <w:rsid w:val="3C60AAE8"/>
    <w:rsid w:val="3C90401F"/>
    <w:rsid w:val="3C95CDB2"/>
    <w:rsid w:val="3CA35E86"/>
    <w:rsid w:val="3CA44713"/>
    <w:rsid w:val="3CD2B268"/>
    <w:rsid w:val="3CD84368"/>
    <w:rsid w:val="3D099E7C"/>
    <w:rsid w:val="3D1D1A44"/>
    <w:rsid w:val="3D363706"/>
    <w:rsid w:val="3D50C5E0"/>
    <w:rsid w:val="3D92A345"/>
    <w:rsid w:val="3DD0F552"/>
    <w:rsid w:val="3DDB719A"/>
    <w:rsid w:val="3DF1607D"/>
    <w:rsid w:val="3E20BE62"/>
    <w:rsid w:val="3E251E9B"/>
    <w:rsid w:val="3E7D2374"/>
    <w:rsid w:val="3EAE9C55"/>
    <w:rsid w:val="3F2B64A9"/>
    <w:rsid w:val="3F801232"/>
    <w:rsid w:val="401758DE"/>
    <w:rsid w:val="403C2552"/>
    <w:rsid w:val="40488325"/>
    <w:rsid w:val="405B36B7"/>
    <w:rsid w:val="409388C9"/>
    <w:rsid w:val="409DBC2C"/>
    <w:rsid w:val="40DE38BB"/>
    <w:rsid w:val="40E1B603"/>
    <w:rsid w:val="40ED0D10"/>
    <w:rsid w:val="40FEE23D"/>
    <w:rsid w:val="415213FE"/>
    <w:rsid w:val="4167D240"/>
    <w:rsid w:val="41B8CCDC"/>
    <w:rsid w:val="41E6CA93"/>
    <w:rsid w:val="42E9E1D2"/>
    <w:rsid w:val="42F0DF4A"/>
    <w:rsid w:val="4383901F"/>
    <w:rsid w:val="43C2BFEB"/>
    <w:rsid w:val="442F65A3"/>
    <w:rsid w:val="443C6D48"/>
    <w:rsid w:val="4463E303"/>
    <w:rsid w:val="44CAEDC4"/>
    <w:rsid w:val="44EEB9DA"/>
    <w:rsid w:val="4594ABFD"/>
    <w:rsid w:val="45E6C0AB"/>
    <w:rsid w:val="45EB16F0"/>
    <w:rsid w:val="462A203D"/>
    <w:rsid w:val="46397416"/>
    <w:rsid w:val="466311A6"/>
    <w:rsid w:val="469E093A"/>
    <w:rsid w:val="46A0E71B"/>
    <w:rsid w:val="46FC1EAE"/>
    <w:rsid w:val="473975AA"/>
    <w:rsid w:val="4745A47E"/>
    <w:rsid w:val="4751575A"/>
    <w:rsid w:val="4779C8E1"/>
    <w:rsid w:val="477F97ED"/>
    <w:rsid w:val="47E9D57E"/>
    <w:rsid w:val="486DD2E6"/>
    <w:rsid w:val="48A85BA4"/>
    <w:rsid w:val="48B1F41B"/>
    <w:rsid w:val="48B3EA80"/>
    <w:rsid w:val="495C1D7E"/>
    <w:rsid w:val="496F6F53"/>
    <w:rsid w:val="4992A787"/>
    <w:rsid w:val="49CFCEA9"/>
    <w:rsid w:val="49F895E6"/>
    <w:rsid w:val="4A304018"/>
    <w:rsid w:val="4A36403E"/>
    <w:rsid w:val="4A75A19E"/>
    <w:rsid w:val="4A8DA728"/>
    <w:rsid w:val="4AFBD153"/>
    <w:rsid w:val="4B169649"/>
    <w:rsid w:val="4B1EA6C5"/>
    <w:rsid w:val="4BCB72D5"/>
    <w:rsid w:val="4BEEA6A1"/>
    <w:rsid w:val="4C4F5FF8"/>
    <w:rsid w:val="4C721A11"/>
    <w:rsid w:val="4C954308"/>
    <w:rsid w:val="4CA1F51A"/>
    <w:rsid w:val="4CF35ED6"/>
    <w:rsid w:val="4CF807A8"/>
    <w:rsid w:val="4D5F091D"/>
    <w:rsid w:val="4D6D6EA6"/>
    <w:rsid w:val="4DC21AFA"/>
    <w:rsid w:val="4DE283ED"/>
    <w:rsid w:val="4E091A48"/>
    <w:rsid w:val="4E380E82"/>
    <w:rsid w:val="4E63607B"/>
    <w:rsid w:val="4E670EFE"/>
    <w:rsid w:val="4F742D20"/>
    <w:rsid w:val="5019F2D4"/>
    <w:rsid w:val="503E18E6"/>
    <w:rsid w:val="50536AD7"/>
    <w:rsid w:val="5054FBF3"/>
    <w:rsid w:val="505D9AC3"/>
    <w:rsid w:val="50799715"/>
    <w:rsid w:val="50CE4A2F"/>
    <w:rsid w:val="50D5BB2B"/>
    <w:rsid w:val="50F5C848"/>
    <w:rsid w:val="51091544"/>
    <w:rsid w:val="5112E4CE"/>
    <w:rsid w:val="5136FCED"/>
    <w:rsid w:val="514C8F40"/>
    <w:rsid w:val="514CB7B7"/>
    <w:rsid w:val="51B0942F"/>
    <w:rsid w:val="51C6EF9B"/>
    <w:rsid w:val="51F79508"/>
    <w:rsid w:val="51FB3BAE"/>
    <w:rsid w:val="5230FC25"/>
    <w:rsid w:val="5251C061"/>
    <w:rsid w:val="52570A1E"/>
    <w:rsid w:val="52919D3E"/>
    <w:rsid w:val="529CA4F9"/>
    <w:rsid w:val="52A95ACA"/>
    <w:rsid w:val="52D69BB1"/>
    <w:rsid w:val="52D96ACA"/>
    <w:rsid w:val="52EA89CE"/>
    <w:rsid w:val="5313A0CC"/>
    <w:rsid w:val="535AE754"/>
    <w:rsid w:val="535EF0FC"/>
    <w:rsid w:val="5361E647"/>
    <w:rsid w:val="5378283C"/>
    <w:rsid w:val="539C651F"/>
    <w:rsid w:val="53C1908A"/>
    <w:rsid w:val="54D07523"/>
    <w:rsid w:val="554E0A74"/>
    <w:rsid w:val="5616E232"/>
    <w:rsid w:val="56311AA8"/>
    <w:rsid w:val="565BD332"/>
    <w:rsid w:val="56DA05BE"/>
    <w:rsid w:val="56DF04C0"/>
    <w:rsid w:val="5751E350"/>
    <w:rsid w:val="575DE812"/>
    <w:rsid w:val="57B2805B"/>
    <w:rsid w:val="57D662E8"/>
    <w:rsid w:val="5810304D"/>
    <w:rsid w:val="5865F843"/>
    <w:rsid w:val="587BF984"/>
    <w:rsid w:val="58B30055"/>
    <w:rsid w:val="591417E1"/>
    <w:rsid w:val="5930ADFE"/>
    <w:rsid w:val="5996C4F7"/>
    <w:rsid w:val="59B525DB"/>
    <w:rsid w:val="59BC47E5"/>
    <w:rsid w:val="59F1C407"/>
    <w:rsid w:val="5A155755"/>
    <w:rsid w:val="5A299DBE"/>
    <w:rsid w:val="5A37A253"/>
    <w:rsid w:val="5A858705"/>
    <w:rsid w:val="5AA8BB3D"/>
    <w:rsid w:val="5AB0B92B"/>
    <w:rsid w:val="5ACFEE0C"/>
    <w:rsid w:val="5AD1C180"/>
    <w:rsid w:val="5AE6254B"/>
    <w:rsid w:val="5B537323"/>
    <w:rsid w:val="5BEC8CB5"/>
    <w:rsid w:val="5C3D34D1"/>
    <w:rsid w:val="5C486E89"/>
    <w:rsid w:val="5C6BA071"/>
    <w:rsid w:val="5CC587EF"/>
    <w:rsid w:val="5CF38C56"/>
    <w:rsid w:val="5D65ED73"/>
    <w:rsid w:val="5DA594FF"/>
    <w:rsid w:val="5DF4ADAF"/>
    <w:rsid w:val="5E2B4B77"/>
    <w:rsid w:val="5E8171E6"/>
    <w:rsid w:val="5F00D1B2"/>
    <w:rsid w:val="5F61C568"/>
    <w:rsid w:val="5FDAEE2C"/>
    <w:rsid w:val="6013C977"/>
    <w:rsid w:val="603FB11D"/>
    <w:rsid w:val="604A3CB9"/>
    <w:rsid w:val="6056E5B9"/>
    <w:rsid w:val="606F1AB7"/>
    <w:rsid w:val="607497B6"/>
    <w:rsid w:val="60C8A17C"/>
    <w:rsid w:val="60F2919A"/>
    <w:rsid w:val="60FB7458"/>
    <w:rsid w:val="610331F5"/>
    <w:rsid w:val="61054D1E"/>
    <w:rsid w:val="6126257B"/>
    <w:rsid w:val="616406F3"/>
    <w:rsid w:val="619E2FDF"/>
    <w:rsid w:val="61BF87A1"/>
    <w:rsid w:val="61E667B7"/>
    <w:rsid w:val="61F416CC"/>
    <w:rsid w:val="621E6524"/>
    <w:rsid w:val="63186791"/>
    <w:rsid w:val="63626F1E"/>
    <w:rsid w:val="637C08FC"/>
    <w:rsid w:val="63815A9B"/>
    <w:rsid w:val="639A2C65"/>
    <w:rsid w:val="63D33FBB"/>
    <w:rsid w:val="63D80A0E"/>
    <w:rsid w:val="63FFF0BE"/>
    <w:rsid w:val="649563EB"/>
    <w:rsid w:val="652B6BBC"/>
    <w:rsid w:val="6546EA24"/>
    <w:rsid w:val="657BA409"/>
    <w:rsid w:val="65AE5ED9"/>
    <w:rsid w:val="65C1F1AE"/>
    <w:rsid w:val="65D970D3"/>
    <w:rsid w:val="65E90180"/>
    <w:rsid w:val="65ED7595"/>
    <w:rsid w:val="65F64C65"/>
    <w:rsid w:val="661C290C"/>
    <w:rsid w:val="662D3D46"/>
    <w:rsid w:val="663D0C5D"/>
    <w:rsid w:val="666726FB"/>
    <w:rsid w:val="666F3652"/>
    <w:rsid w:val="667C7E96"/>
    <w:rsid w:val="667DC140"/>
    <w:rsid w:val="66BFBE1E"/>
    <w:rsid w:val="66EEE58D"/>
    <w:rsid w:val="674FCC47"/>
    <w:rsid w:val="67697C51"/>
    <w:rsid w:val="67750EA7"/>
    <w:rsid w:val="67E6D585"/>
    <w:rsid w:val="67F7884A"/>
    <w:rsid w:val="680C27F3"/>
    <w:rsid w:val="6825D1C4"/>
    <w:rsid w:val="683E7B49"/>
    <w:rsid w:val="68448B37"/>
    <w:rsid w:val="688802F7"/>
    <w:rsid w:val="68AEBB01"/>
    <w:rsid w:val="68EF33E5"/>
    <w:rsid w:val="690D0CC6"/>
    <w:rsid w:val="691E2FCB"/>
    <w:rsid w:val="692507E2"/>
    <w:rsid w:val="6A4E8537"/>
    <w:rsid w:val="6A7923C3"/>
    <w:rsid w:val="6A8A1B4F"/>
    <w:rsid w:val="6A9A410D"/>
    <w:rsid w:val="6A9BCCEF"/>
    <w:rsid w:val="6AB1F4ED"/>
    <w:rsid w:val="6AD63779"/>
    <w:rsid w:val="6B273C10"/>
    <w:rsid w:val="6BC1C695"/>
    <w:rsid w:val="6C6A4CB6"/>
    <w:rsid w:val="6C83E28C"/>
    <w:rsid w:val="6C8A975B"/>
    <w:rsid w:val="6C9A785B"/>
    <w:rsid w:val="6CA60A7A"/>
    <w:rsid w:val="6CB5366D"/>
    <w:rsid w:val="6CBA42A8"/>
    <w:rsid w:val="6CD1042A"/>
    <w:rsid w:val="6D05BC55"/>
    <w:rsid w:val="6D3C9BA7"/>
    <w:rsid w:val="6D7BA3CC"/>
    <w:rsid w:val="6DA5BA1E"/>
    <w:rsid w:val="6DC8A475"/>
    <w:rsid w:val="6DD30A23"/>
    <w:rsid w:val="6DE3D79B"/>
    <w:rsid w:val="6E183DC8"/>
    <w:rsid w:val="6E41F6EF"/>
    <w:rsid w:val="6E4FC782"/>
    <w:rsid w:val="6E514112"/>
    <w:rsid w:val="6E9956CB"/>
    <w:rsid w:val="6F190418"/>
    <w:rsid w:val="6F9D39A5"/>
    <w:rsid w:val="6FB94D70"/>
    <w:rsid w:val="6FE22C70"/>
    <w:rsid w:val="70399D2A"/>
    <w:rsid w:val="703EE250"/>
    <w:rsid w:val="7063A0F6"/>
    <w:rsid w:val="709598AE"/>
    <w:rsid w:val="709EB8A6"/>
    <w:rsid w:val="70BFA969"/>
    <w:rsid w:val="70CC2C8A"/>
    <w:rsid w:val="70E62F1D"/>
    <w:rsid w:val="70E90BBB"/>
    <w:rsid w:val="710CC6C7"/>
    <w:rsid w:val="712720DA"/>
    <w:rsid w:val="7171D9E2"/>
    <w:rsid w:val="71A50135"/>
    <w:rsid w:val="7271071B"/>
    <w:rsid w:val="72A74039"/>
    <w:rsid w:val="72D25BBC"/>
    <w:rsid w:val="72F2BAE9"/>
    <w:rsid w:val="73094DF5"/>
    <w:rsid w:val="734C4E7A"/>
    <w:rsid w:val="73A7CA57"/>
    <w:rsid w:val="73FA7F76"/>
    <w:rsid w:val="741B7447"/>
    <w:rsid w:val="7421B46F"/>
    <w:rsid w:val="74271214"/>
    <w:rsid w:val="746D0D5F"/>
    <w:rsid w:val="74C202B4"/>
    <w:rsid w:val="74CDD7AD"/>
    <w:rsid w:val="74EB1949"/>
    <w:rsid w:val="751EA6B5"/>
    <w:rsid w:val="754312B4"/>
    <w:rsid w:val="75511100"/>
    <w:rsid w:val="75840BCB"/>
    <w:rsid w:val="7598AB43"/>
    <w:rsid w:val="75D5ABBE"/>
    <w:rsid w:val="75E04DF7"/>
    <w:rsid w:val="7606B597"/>
    <w:rsid w:val="764E7F7C"/>
    <w:rsid w:val="7653AC13"/>
    <w:rsid w:val="76998DBC"/>
    <w:rsid w:val="76A6E854"/>
    <w:rsid w:val="771F6139"/>
    <w:rsid w:val="77516209"/>
    <w:rsid w:val="77688547"/>
    <w:rsid w:val="7773F102"/>
    <w:rsid w:val="778291E8"/>
    <w:rsid w:val="77A17B8D"/>
    <w:rsid w:val="77CC73DD"/>
    <w:rsid w:val="77D07457"/>
    <w:rsid w:val="780F1B27"/>
    <w:rsid w:val="7818ACA2"/>
    <w:rsid w:val="7852621C"/>
    <w:rsid w:val="786E6A8D"/>
    <w:rsid w:val="788C0777"/>
    <w:rsid w:val="791B6A89"/>
    <w:rsid w:val="79575475"/>
    <w:rsid w:val="7957C613"/>
    <w:rsid w:val="7A131CBA"/>
    <w:rsid w:val="7A6749C4"/>
    <w:rsid w:val="7A6D3A4D"/>
    <w:rsid w:val="7AB88149"/>
    <w:rsid w:val="7AC7674C"/>
    <w:rsid w:val="7B84E47A"/>
    <w:rsid w:val="7BA480F3"/>
    <w:rsid w:val="7BE9C0FF"/>
    <w:rsid w:val="7C278397"/>
    <w:rsid w:val="7C48E28F"/>
    <w:rsid w:val="7CAB5163"/>
    <w:rsid w:val="7CC6C92F"/>
    <w:rsid w:val="7CDCB198"/>
    <w:rsid w:val="7CEA3BCB"/>
    <w:rsid w:val="7CEC03E9"/>
    <w:rsid w:val="7CF6C396"/>
    <w:rsid w:val="7D0D08B8"/>
    <w:rsid w:val="7D287D15"/>
    <w:rsid w:val="7D5EB66D"/>
    <w:rsid w:val="7D6EB54B"/>
    <w:rsid w:val="7DC4C6F8"/>
    <w:rsid w:val="7DE8E7F2"/>
    <w:rsid w:val="7E0F5331"/>
    <w:rsid w:val="7E641036"/>
    <w:rsid w:val="7E67B7D5"/>
    <w:rsid w:val="7E6C82A1"/>
    <w:rsid w:val="7E6E524F"/>
    <w:rsid w:val="7E8F9541"/>
    <w:rsid w:val="7F4A1D98"/>
    <w:rsid w:val="7F6F33F6"/>
    <w:rsid w:val="7F9F0D27"/>
    <w:rsid w:val="7FB59DEB"/>
    <w:rsid w:val="7FB9FFC9"/>
    <w:rsid w:val="7FFB0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C5C8F24E-38D2-4DB3-9128-5E732AE8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A53888"/>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Pl"/>
    <w:basedOn w:val="Normal"/>
    <w:link w:val="ListParagraphChar"/>
    <w:uiPriority w:val="34"/>
    <w:qFormat/>
    <w:rsid w:val="00C23E7F"/>
    <w:pPr>
      <w:ind w:left="720"/>
      <w:contextualSpacing/>
    </w:p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uiPriority w:val="34"/>
    <w:locked/>
    <w:rsid w:val="00C23E7F"/>
    <w:rPr>
      <w:rFonts w:ascii="Calibri" w:hAnsi="Calibri"/>
      <w:sz w:val="24"/>
      <w:lang w:val="en-GB" w:eastAsia="en-US"/>
    </w:rPr>
  </w:style>
  <w:style w:type="character" w:styleId="CommentReference">
    <w:name w:val="annotation reference"/>
    <w:basedOn w:val="DefaultParagraphFont"/>
    <w:semiHidden/>
    <w:unhideWhenUsed/>
    <w:rsid w:val="00C14549"/>
    <w:rPr>
      <w:sz w:val="16"/>
      <w:szCs w:val="16"/>
    </w:rPr>
  </w:style>
  <w:style w:type="paragraph" w:styleId="CommentText">
    <w:name w:val="annotation text"/>
    <w:basedOn w:val="Normal"/>
    <w:link w:val="CommentTextChar"/>
    <w:unhideWhenUsed/>
    <w:rsid w:val="00C14549"/>
    <w:rPr>
      <w:sz w:val="20"/>
    </w:rPr>
  </w:style>
  <w:style w:type="character" w:customStyle="1" w:styleId="CommentTextChar">
    <w:name w:val="Comment Text Char"/>
    <w:basedOn w:val="DefaultParagraphFont"/>
    <w:link w:val="CommentText"/>
    <w:rsid w:val="00C14549"/>
    <w:rPr>
      <w:rFonts w:ascii="Calibri" w:hAnsi="Calibri"/>
      <w:lang w:val="en-GB" w:eastAsia="en-US"/>
    </w:rPr>
  </w:style>
  <w:style w:type="paragraph" w:styleId="CommentSubject">
    <w:name w:val="annotation subject"/>
    <w:basedOn w:val="CommentText"/>
    <w:next w:val="CommentText"/>
    <w:link w:val="CommentSubjectChar"/>
    <w:semiHidden/>
    <w:unhideWhenUsed/>
    <w:rsid w:val="00C14549"/>
    <w:rPr>
      <w:b/>
      <w:bCs/>
    </w:rPr>
  </w:style>
  <w:style w:type="character" w:customStyle="1" w:styleId="CommentSubjectChar">
    <w:name w:val="Comment Subject Char"/>
    <w:basedOn w:val="CommentTextChar"/>
    <w:link w:val="CommentSubject"/>
    <w:semiHidden/>
    <w:rsid w:val="00C14549"/>
    <w:rPr>
      <w:rFonts w:ascii="Calibri" w:hAnsi="Calibri"/>
      <w:b/>
      <w:bCs/>
      <w:lang w:val="en-GB" w:eastAsia="en-US"/>
    </w:rPr>
  </w:style>
  <w:style w:type="paragraph" w:styleId="Revision">
    <w:name w:val="Revision"/>
    <w:hidden/>
    <w:uiPriority w:val="99"/>
    <w:semiHidden/>
    <w:rsid w:val="00633C08"/>
    <w:rPr>
      <w:rFonts w:ascii="Calibri" w:hAnsi="Calibri"/>
      <w:sz w:val="24"/>
      <w:lang w:val="en-GB" w:eastAsia="en-US"/>
    </w:rPr>
  </w:style>
  <w:style w:type="character" w:styleId="Mention">
    <w:name w:val="Mention"/>
    <w:basedOn w:val="DefaultParagraphFont"/>
    <w:uiPriority w:val="99"/>
    <w:unhideWhenUsed/>
    <w:rsid w:val="00436D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729056">
      <w:bodyDiv w:val="1"/>
      <w:marLeft w:val="0"/>
      <w:marRight w:val="0"/>
      <w:marTop w:val="0"/>
      <w:marBottom w:val="0"/>
      <w:divBdr>
        <w:top w:val="none" w:sz="0" w:space="0" w:color="auto"/>
        <w:left w:val="none" w:sz="0" w:space="0" w:color="auto"/>
        <w:bottom w:val="none" w:sz="0" w:space="0" w:color="auto"/>
        <w:right w:val="none" w:sz="0" w:space="0" w:color="auto"/>
      </w:divBdr>
    </w:div>
    <w:div w:id="1088116209">
      <w:bodyDiv w:val="1"/>
      <w:marLeft w:val="0"/>
      <w:marRight w:val="0"/>
      <w:marTop w:val="0"/>
      <w:marBottom w:val="0"/>
      <w:divBdr>
        <w:top w:val="none" w:sz="0" w:space="0" w:color="auto"/>
        <w:left w:val="none" w:sz="0" w:space="0" w:color="auto"/>
        <w:bottom w:val="none" w:sz="0" w:space="0" w:color="auto"/>
        <w:right w:val="none" w:sz="0" w:space="0" w:color="auto"/>
      </w:divBdr>
    </w:div>
    <w:div w:id="1092047392">
      <w:bodyDiv w:val="1"/>
      <w:marLeft w:val="0"/>
      <w:marRight w:val="0"/>
      <w:marTop w:val="0"/>
      <w:marBottom w:val="0"/>
      <w:divBdr>
        <w:top w:val="none" w:sz="0" w:space="0" w:color="auto"/>
        <w:left w:val="none" w:sz="0" w:space="0" w:color="auto"/>
        <w:bottom w:val="none" w:sz="0" w:space="0" w:color="auto"/>
        <w:right w:val="none" w:sz="0" w:space="0" w:color="auto"/>
      </w:divBdr>
    </w:div>
    <w:div w:id="1354263802">
      <w:bodyDiv w:val="1"/>
      <w:marLeft w:val="0"/>
      <w:marRight w:val="0"/>
      <w:marTop w:val="0"/>
      <w:marBottom w:val="0"/>
      <w:divBdr>
        <w:top w:val="none" w:sz="0" w:space="0" w:color="auto"/>
        <w:left w:val="none" w:sz="0" w:space="0" w:color="auto"/>
        <w:bottom w:val="none" w:sz="0" w:space="0" w:color="auto"/>
        <w:right w:val="none" w:sz="0" w:space="0" w:color="auto"/>
      </w:divBdr>
    </w:div>
    <w:div w:id="1372683142">
      <w:bodyDiv w:val="1"/>
      <w:marLeft w:val="0"/>
      <w:marRight w:val="0"/>
      <w:marTop w:val="0"/>
      <w:marBottom w:val="0"/>
      <w:divBdr>
        <w:top w:val="none" w:sz="0" w:space="0" w:color="auto"/>
        <w:left w:val="none" w:sz="0" w:space="0" w:color="auto"/>
        <w:bottom w:val="none" w:sz="0" w:space="0" w:color="auto"/>
        <w:right w:val="none" w:sz="0" w:space="0" w:color="auto"/>
      </w:divBdr>
    </w:div>
    <w:div w:id="1386373804">
      <w:bodyDiv w:val="1"/>
      <w:marLeft w:val="0"/>
      <w:marRight w:val="0"/>
      <w:marTop w:val="0"/>
      <w:marBottom w:val="0"/>
      <w:divBdr>
        <w:top w:val="none" w:sz="0" w:space="0" w:color="auto"/>
        <w:left w:val="none" w:sz="0" w:space="0" w:color="auto"/>
        <w:bottom w:val="none" w:sz="0" w:space="0" w:color="auto"/>
        <w:right w:val="none" w:sz="0" w:space="0" w:color="auto"/>
      </w:divBdr>
    </w:div>
    <w:div w:id="1590312194">
      <w:bodyDiv w:val="1"/>
      <w:marLeft w:val="0"/>
      <w:marRight w:val="0"/>
      <w:marTop w:val="0"/>
      <w:marBottom w:val="0"/>
      <w:divBdr>
        <w:top w:val="none" w:sz="0" w:space="0" w:color="auto"/>
        <w:left w:val="none" w:sz="0" w:space="0" w:color="auto"/>
        <w:bottom w:val="none" w:sz="0" w:space="0" w:color="auto"/>
        <w:right w:val="none" w:sz="0" w:space="0" w:color="auto"/>
      </w:divBdr>
      <w:divsChild>
        <w:div w:id="177357023">
          <w:marLeft w:val="1166"/>
          <w:marRight w:val="0"/>
          <w:marTop w:val="100"/>
          <w:marBottom w:val="0"/>
          <w:divBdr>
            <w:top w:val="none" w:sz="0" w:space="0" w:color="auto"/>
            <w:left w:val="none" w:sz="0" w:space="0" w:color="auto"/>
            <w:bottom w:val="none" w:sz="0" w:space="0" w:color="auto"/>
            <w:right w:val="none" w:sz="0" w:space="0" w:color="auto"/>
          </w:divBdr>
        </w:div>
        <w:div w:id="182935491">
          <w:marLeft w:val="1166"/>
          <w:marRight w:val="0"/>
          <w:marTop w:val="100"/>
          <w:marBottom w:val="0"/>
          <w:divBdr>
            <w:top w:val="none" w:sz="0" w:space="0" w:color="auto"/>
            <w:left w:val="none" w:sz="0" w:space="0" w:color="auto"/>
            <w:bottom w:val="none" w:sz="0" w:space="0" w:color="auto"/>
            <w:right w:val="none" w:sz="0" w:space="0" w:color="auto"/>
          </w:divBdr>
        </w:div>
        <w:div w:id="409930686">
          <w:marLeft w:val="446"/>
          <w:marRight w:val="0"/>
          <w:marTop w:val="200"/>
          <w:marBottom w:val="0"/>
          <w:divBdr>
            <w:top w:val="none" w:sz="0" w:space="0" w:color="auto"/>
            <w:left w:val="none" w:sz="0" w:space="0" w:color="auto"/>
            <w:bottom w:val="none" w:sz="0" w:space="0" w:color="auto"/>
            <w:right w:val="none" w:sz="0" w:space="0" w:color="auto"/>
          </w:divBdr>
        </w:div>
        <w:div w:id="598636606">
          <w:marLeft w:val="1166"/>
          <w:marRight w:val="0"/>
          <w:marTop w:val="100"/>
          <w:marBottom w:val="0"/>
          <w:divBdr>
            <w:top w:val="none" w:sz="0" w:space="0" w:color="auto"/>
            <w:left w:val="none" w:sz="0" w:space="0" w:color="auto"/>
            <w:bottom w:val="none" w:sz="0" w:space="0" w:color="auto"/>
            <w:right w:val="none" w:sz="0" w:space="0" w:color="auto"/>
          </w:divBdr>
        </w:div>
        <w:div w:id="727916532">
          <w:marLeft w:val="1166"/>
          <w:marRight w:val="0"/>
          <w:marTop w:val="100"/>
          <w:marBottom w:val="0"/>
          <w:divBdr>
            <w:top w:val="none" w:sz="0" w:space="0" w:color="auto"/>
            <w:left w:val="none" w:sz="0" w:space="0" w:color="auto"/>
            <w:bottom w:val="none" w:sz="0" w:space="0" w:color="auto"/>
            <w:right w:val="none" w:sz="0" w:space="0" w:color="auto"/>
          </w:divBdr>
        </w:div>
        <w:div w:id="974918784">
          <w:marLeft w:val="446"/>
          <w:marRight w:val="0"/>
          <w:marTop w:val="200"/>
          <w:marBottom w:val="0"/>
          <w:divBdr>
            <w:top w:val="none" w:sz="0" w:space="0" w:color="auto"/>
            <w:left w:val="none" w:sz="0" w:space="0" w:color="auto"/>
            <w:bottom w:val="none" w:sz="0" w:space="0" w:color="auto"/>
            <w:right w:val="none" w:sz="0" w:space="0" w:color="auto"/>
          </w:divBdr>
        </w:div>
        <w:div w:id="1323001147">
          <w:marLeft w:val="446"/>
          <w:marRight w:val="0"/>
          <w:marTop w:val="200"/>
          <w:marBottom w:val="0"/>
          <w:divBdr>
            <w:top w:val="none" w:sz="0" w:space="0" w:color="auto"/>
            <w:left w:val="none" w:sz="0" w:space="0" w:color="auto"/>
            <w:bottom w:val="none" w:sz="0" w:space="0" w:color="auto"/>
            <w:right w:val="none" w:sz="0" w:space="0" w:color="auto"/>
          </w:divBdr>
        </w:div>
        <w:div w:id="1474104626">
          <w:marLeft w:val="1166"/>
          <w:marRight w:val="0"/>
          <w:marTop w:val="100"/>
          <w:marBottom w:val="0"/>
          <w:divBdr>
            <w:top w:val="none" w:sz="0" w:space="0" w:color="auto"/>
            <w:left w:val="none" w:sz="0" w:space="0" w:color="auto"/>
            <w:bottom w:val="none" w:sz="0" w:space="0" w:color="auto"/>
            <w:right w:val="none" w:sz="0" w:space="0" w:color="auto"/>
          </w:divBdr>
        </w:div>
        <w:div w:id="1628201474">
          <w:marLeft w:val="446"/>
          <w:marRight w:val="0"/>
          <w:marTop w:val="200"/>
          <w:marBottom w:val="0"/>
          <w:divBdr>
            <w:top w:val="none" w:sz="0" w:space="0" w:color="auto"/>
            <w:left w:val="none" w:sz="0" w:space="0" w:color="auto"/>
            <w:bottom w:val="none" w:sz="0" w:space="0" w:color="auto"/>
            <w:right w:val="none" w:sz="0" w:space="0" w:color="auto"/>
          </w:divBdr>
        </w:div>
        <w:div w:id="1644701140">
          <w:marLeft w:val="1166"/>
          <w:marRight w:val="0"/>
          <w:marTop w:val="100"/>
          <w:marBottom w:val="0"/>
          <w:divBdr>
            <w:top w:val="none" w:sz="0" w:space="0" w:color="auto"/>
            <w:left w:val="none" w:sz="0" w:space="0" w:color="auto"/>
            <w:bottom w:val="none" w:sz="0" w:space="0" w:color="auto"/>
            <w:right w:val="none" w:sz="0" w:space="0" w:color="auto"/>
          </w:divBdr>
        </w:div>
        <w:div w:id="1859008322">
          <w:marLeft w:val="1166"/>
          <w:marRight w:val="0"/>
          <w:marTop w:val="100"/>
          <w:marBottom w:val="0"/>
          <w:divBdr>
            <w:top w:val="none" w:sz="0" w:space="0" w:color="auto"/>
            <w:left w:val="none" w:sz="0" w:space="0" w:color="auto"/>
            <w:bottom w:val="none" w:sz="0" w:space="0" w:color="auto"/>
            <w:right w:val="none" w:sz="0" w:space="0" w:color="auto"/>
          </w:divBdr>
        </w:div>
        <w:div w:id="1874921886">
          <w:marLeft w:val="1166"/>
          <w:marRight w:val="0"/>
          <w:marTop w:val="100"/>
          <w:marBottom w:val="0"/>
          <w:divBdr>
            <w:top w:val="none" w:sz="0" w:space="0" w:color="auto"/>
            <w:left w:val="none" w:sz="0" w:space="0" w:color="auto"/>
            <w:bottom w:val="none" w:sz="0" w:space="0" w:color="auto"/>
            <w:right w:val="none" w:sz="0" w:space="0" w:color="auto"/>
          </w:divBdr>
        </w:div>
        <w:div w:id="1927616563">
          <w:marLeft w:val="1166"/>
          <w:marRight w:val="0"/>
          <w:marTop w:val="100"/>
          <w:marBottom w:val="0"/>
          <w:divBdr>
            <w:top w:val="none" w:sz="0" w:space="0" w:color="auto"/>
            <w:left w:val="none" w:sz="0" w:space="0" w:color="auto"/>
            <w:bottom w:val="none" w:sz="0" w:space="0" w:color="auto"/>
            <w:right w:val="none" w:sz="0" w:space="0" w:color="auto"/>
          </w:divBdr>
        </w:div>
        <w:div w:id="2013095096">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WGFHR20-C-0009/en" TargetMode="External"/><Relationship Id="rId18" Type="http://schemas.openxmlformats.org/officeDocument/2006/relationships/hyperlink" Target="https://www.itu.int/md/S25-CWGFHR20-C-0009/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tu.int/md/S25-CL-C-0050/en" TargetMode="External"/><Relationship Id="rId7" Type="http://schemas.openxmlformats.org/officeDocument/2006/relationships/settings" Target="settings.xml"/><Relationship Id="rId12" Type="http://schemas.openxmlformats.org/officeDocument/2006/relationships/hyperlink" Target="https://www.itu.int/md/S25-CWGFHR20-C-0032/en" TargetMode="External"/><Relationship Id="rId17" Type="http://schemas.openxmlformats.org/officeDocument/2006/relationships/hyperlink" Target="https://council.itu.int/2025/en/hosting-itu-meeting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md/S25-CL-C-0054/en" TargetMode="External"/><Relationship Id="rId20" Type="http://schemas.openxmlformats.org/officeDocument/2006/relationships/hyperlink" Target="https://council.itu.int/2025/en/hosting-itu-mee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FHR20-C-0009/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5-CWGFHR20-C-0032/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1-SG-CIR-004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0132/en" TargetMode="External"/><Relationship Id="rId22" Type="http://schemas.openxmlformats.org/officeDocument/2006/relationships/footer" Target="footer1.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2C14D44-FBA0-417E-80C0-916659DA8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2F2AC-2255-4DBF-9278-6619577B4509}">
  <ds:schemaRef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a1cf676c-2816-4389-ad5d-0f2e7c7e67c4"/>
    <ds:schemaRef ds:uri="http://schemas.microsoft.com/office/2006/metadata/properties"/>
  </ds:schemaRefs>
</ds:datastoreItem>
</file>

<file path=customXml/itemProps4.xml><?xml version="1.0" encoding="utf-8"?>
<ds:datastoreItem xmlns:ds="http://schemas.openxmlformats.org/officeDocument/2006/customXml" ds:itemID="{EBCB52BA-7AEF-42D4-AF59-959012BFA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2589</Words>
  <Characters>14400</Characters>
  <Application>Microsoft Office Word</Application>
  <DocSecurity>0</DocSecurity>
  <Lines>261</Lines>
  <Paragraphs>121</Paragraphs>
  <ScaleCrop>false</ScaleCrop>
  <Manager>General Secretariat</Manager>
  <Company>International Telecommunication Union (ITU)</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continuity modalities for ITU meetings 2028-2029</dc:title>
  <dc:subject>Council 2025</dc:subject>
  <dc:creator>LRT</dc:creator>
  <cp:keywords>C25; C2025; Council 2025; ITU160</cp:keywords>
  <dc:description/>
  <cp:lastModifiedBy>LRT</cp:lastModifiedBy>
  <cp:revision>2</cp:revision>
  <cp:lastPrinted>2000-07-19T07:30:00Z</cp:lastPrinted>
  <dcterms:created xsi:type="dcterms:W3CDTF">2025-05-30T13:56:00Z</dcterms:created>
  <dcterms:modified xsi:type="dcterms:W3CDTF">2025-05-30T13:56:00Z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