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730C6A12" w14:textId="77777777" w:rsidTr="00F363FE">
        <w:tc>
          <w:tcPr>
            <w:tcW w:w="6512" w:type="dxa"/>
          </w:tcPr>
          <w:p w14:paraId="0872EAF8" w14:textId="5CEB7901" w:rsidR="007B0AA0" w:rsidRPr="007B0AA0" w:rsidRDefault="007B0AA0" w:rsidP="00F363FE">
            <w:pPr>
              <w:spacing w:before="60" w:after="60" w:line="260" w:lineRule="exact"/>
              <w:rPr>
                <w:b/>
                <w:bCs/>
                <w:rtl/>
              </w:rPr>
            </w:pPr>
            <w:r w:rsidRPr="007B0AA0">
              <w:rPr>
                <w:rFonts w:hint="cs"/>
                <w:b/>
                <w:bCs/>
                <w:rtl/>
                <w:lang w:bidi="ar-EG"/>
              </w:rPr>
              <w:t>بند جدول الأعمال:</w:t>
            </w:r>
            <w:r w:rsidR="007669CB">
              <w:rPr>
                <w:rFonts w:hint="cs"/>
                <w:b/>
                <w:bCs/>
                <w:rtl/>
              </w:rPr>
              <w:t xml:space="preserve"> </w:t>
            </w:r>
            <w:r w:rsidR="007669CB" w:rsidRPr="00AF2E2C">
              <w:rPr>
                <w:b/>
                <w:bCs/>
                <w:color w:val="000000"/>
                <w:rtl/>
              </w:rPr>
              <w:t>ADM 3</w:t>
            </w:r>
          </w:p>
        </w:tc>
        <w:tc>
          <w:tcPr>
            <w:tcW w:w="3117" w:type="dxa"/>
          </w:tcPr>
          <w:p w14:paraId="3BACE650" w14:textId="726147EC"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603BF6">
              <w:rPr>
                <w:b/>
                <w:bCs/>
                <w:lang w:bidi="ar-EG"/>
              </w:rPr>
              <w:t>60</w:t>
            </w:r>
            <w:r w:rsidRPr="007B0AA0">
              <w:rPr>
                <w:b/>
                <w:bCs/>
                <w:lang w:bidi="ar-EG"/>
              </w:rPr>
              <w:t>-A</w:t>
            </w:r>
          </w:p>
        </w:tc>
      </w:tr>
      <w:tr w:rsidR="007B0AA0" w14:paraId="263929FA" w14:textId="77777777" w:rsidTr="00F363FE">
        <w:tc>
          <w:tcPr>
            <w:tcW w:w="6512" w:type="dxa"/>
          </w:tcPr>
          <w:p w14:paraId="3E4E1AAB" w14:textId="77777777" w:rsidR="007B0AA0" w:rsidRPr="007B0AA0" w:rsidRDefault="007B0AA0" w:rsidP="00F363FE">
            <w:pPr>
              <w:spacing w:before="60" w:after="60" w:line="260" w:lineRule="exact"/>
              <w:rPr>
                <w:b/>
                <w:bCs/>
                <w:rtl/>
                <w:lang w:bidi="ar-EG"/>
              </w:rPr>
            </w:pPr>
          </w:p>
        </w:tc>
        <w:tc>
          <w:tcPr>
            <w:tcW w:w="3117" w:type="dxa"/>
          </w:tcPr>
          <w:p w14:paraId="5561DBC6" w14:textId="763BB58E" w:rsidR="007B0AA0" w:rsidRPr="007B0AA0" w:rsidRDefault="007669CB" w:rsidP="00F363FE">
            <w:pPr>
              <w:spacing w:before="60" w:after="60" w:line="260" w:lineRule="exact"/>
              <w:rPr>
                <w:b/>
                <w:bCs/>
                <w:rtl/>
                <w:lang w:bidi="ar-EG"/>
              </w:rPr>
            </w:pPr>
            <w:r w:rsidRPr="007669CB">
              <w:rPr>
                <w:b/>
                <w:bCs/>
                <w:color w:val="000000"/>
                <w:rtl/>
              </w:rPr>
              <w:t>19 مايو 2025</w:t>
            </w:r>
          </w:p>
        </w:tc>
      </w:tr>
      <w:tr w:rsidR="007B0AA0" w14:paraId="2D4034D5" w14:textId="77777777" w:rsidTr="00F363FE">
        <w:tc>
          <w:tcPr>
            <w:tcW w:w="6512" w:type="dxa"/>
          </w:tcPr>
          <w:p w14:paraId="7A0C16A3" w14:textId="77777777" w:rsidR="007B0AA0" w:rsidRPr="007B0AA0" w:rsidRDefault="007B0AA0" w:rsidP="00F363FE">
            <w:pPr>
              <w:spacing w:before="60" w:after="60" w:line="260" w:lineRule="exact"/>
              <w:rPr>
                <w:b/>
                <w:bCs/>
                <w:rtl/>
                <w:lang w:bidi="ar-EG"/>
              </w:rPr>
            </w:pPr>
          </w:p>
        </w:tc>
        <w:tc>
          <w:tcPr>
            <w:tcW w:w="3117" w:type="dxa"/>
          </w:tcPr>
          <w:p w14:paraId="3CCD5B9C"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1E8F8B33" w14:textId="77777777" w:rsidTr="00F363FE">
        <w:tc>
          <w:tcPr>
            <w:tcW w:w="6512" w:type="dxa"/>
          </w:tcPr>
          <w:p w14:paraId="13379BF5" w14:textId="77777777" w:rsidR="007B0AA0" w:rsidRDefault="007B0AA0" w:rsidP="00F363FE">
            <w:pPr>
              <w:spacing w:before="60" w:after="60" w:line="260" w:lineRule="exact"/>
              <w:rPr>
                <w:lang w:bidi="ar-EG"/>
              </w:rPr>
            </w:pPr>
          </w:p>
        </w:tc>
        <w:tc>
          <w:tcPr>
            <w:tcW w:w="3117" w:type="dxa"/>
          </w:tcPr>
          <w:p w14:paraId="5766D1E8" w14:textId="77777777" w:rsidR="007B0AA0" w:rsidRDefault="007B0AA0" w:rsidP="00F363FE">
            <w:pPr>
              <w:spacing w:before="60" w:after="60" w:line="260" w:lineRule="exact"/>
              <w:rPr>
                <w:rtl/>
                <w:lang w:bidi="ar-EG"/>
              </w:rPr>
            </w:pPr>
          </w:p>
        </w:tc>
      </w:tr>
      <w:tr w:rsidR="007B0AA0" w14:paraId="23A6151B" w14:textId="77777777" w:rsidTr="00EE7446">
        <w:tc>
          <w:tcPr>
            <w:tcW w:w="9629" w:type="dxa"/>
            <w:gridSpan w:val="2"/>
          </w:tcPr>
          <w:p w14:paraId="03DBD5CF" w14:textId="77777777" w:rsidR="007B0AA0" w:rsidRDefault="001D64C7" w:rsidP="007B0AA0">
            <w:pPr>
              <w:pStyle w:val="Source"/>
              <w:jc w:val="left"/>
              <w:rPr>
                <w:lang w:bidi="ar-EG"/>
              </w:rPr>
            </w:pPr>
            <w:r>
              <w:rPr>
                <w:rFonts w:hint="cs"/>
                <w:rtl/>
                <w:lang w:bidi="ar-EG"/>
              </w:rPr>
              <w:t>تقرير من الأمينة العامة</w:t>
            </w:r>
          </w:p>
        </w:tc>
      </w:tr>
      <w:tr w:rsidR="007B0AA0" w14:paraId="367F3360" w14:textId="77777777" w:rsidTr="007B0AA0">
        <w:tc>
          <w:tcPr>
            <w:tcW w:w="9629" w:type="dxa"/>
            <w:gridSpan w:val="2"/>
            <w:tcBorders>
              <w:bottom w:val="single" w:sz="4" w:space="0" w:color="auto"/>
            </w:tcBorders>
          </w:tcPr>
          <w:p w14:paraId="35847B69" w14:textId="5E912B95" w:rsidR="007B0AA0" w:rsidRPr="005546CF" w:rsidRDefault="007669CB" w:rsidP="007B0AA0">
            <w:pPr>
              <w:pStyle w:val="Subtitle0"/>
              <w:rPr>
                <w:sz w:val="32"/>
                <w:szCs w:val="32"/>
              </w:rPr>
            </w:pPr>
            <w:r w:rsidRPr="00AF2E2C">
              <w:rPr>
                <w:color w:val="000000"/>
                <w:sz w:val="22"/>
                <w:szCs w:val="22"/>
                <w:rtl/>
              </w:rPr>
              <w:t>طرائق استمرارية الأعمال بالنسبة لاجتماعات الاتحاد في الفترة ‎2029-2028</w:t>
            </w:r>
          </w:p>
        </w:tc>
      </w:tr>
      <w:tr w:rsidR="007B0AA0" w14:paraId="07E08675" w14:textId="77777777" w:rsidTr="007B0AA0">
        <w:tc>
          <w:tcPr>
            <w:tcW w:w="9629" w:type="dxa"/>
            <w:gridSpan w:val="2"/>
            <w:tcBorders>
              <w:top w:val="single" w:sz="4" w:space="0" w:color="auto"/>
              <w:bottom w:val="single" w:sz="4" w:space="0" w:color="auto"/>
            </w:tcBorders>
          </w:tcPr>
          <w:p w14:paraId="48E2C79C" w14:textId="77777777" w:rsidR="007B0AA0" w:rsidRPr="007B0AA0" w:rsidRDefault="007B0AA0" w:rsidP="007B0AA0">
            <w:pPr>
              <w:rPr>
                <w:b/>
                <w:bCs/>
                <w:rtl/>
              </w:rPr>
            </w:pPr>
            <w:r w:rsidRPr="00494119">
              <w:rPr>
                <w:rFonts w:hint="cs"/>
                <w:b/>
                <w:bCs/>
                <w:rtl/>
              </w:rPr>
              <w:t>الغرض</w:t>
            </w:r>
          </w:p>
          <w:p w14:paraId="0E6DFB9E" w14:textId="27EF0BDE" w:rsidR="007669CB" w:rsidRPr="00AF2E2C" w:rsidRDefault="007669CB" w:rsidP="007669CB">
            <w:pPr>
              <w:rPr>
                <w:lang w:val="ar-SA" w:eastAsia="zh-TW" w:bidi="en-GB"/>
              </w:rPr>
            </w:pPr>
            <w:r w:rsidRPr="00AF2E2C">
              <w:rPr>
                <w:color w:val="000000"/>
                <w:rtl/>
              </w:rPr>
              <w:t>يقدَّم هذا التقرير بناء</w:t>
            </w:r>
            <w:r w:rsidR="00F4483C">
              <w:rPr>
                <w:rFonts w:hint="cs"/>
                <w:color w:val="000000"/>
                <w:rtl/>
              </w:rPr>
              <w:t>ً</w:t>
            </w:r>
            <w:r w:rsidRPr="00AF2E2C">
              <w:rPr>
                <w:color w:val="000000"/>
                <w:rtl/>
              </w:rPr>
              <w:t xml:space="preserve"> على طلب رئيس فريق العمل التابع للمجلس والمعني بالموارد المالية والبشرية </w:t>
            </w:r>
            <w:r w:rsidR="00603BF6">
              <w:rPr>
                <w:color w:val="000000"/>
              </w:rPr>
              <w:t>(</w:t>
            </w:r>
            <w:r w:rsidRPr="00AF2E2C">
              <w:rPr>
                <w:color w:val="000000"/>
              </w:rPr>
              <w:t>CWG-FHR</w:t>
            </w:r>
            <w:r w:rsidR="00603BF6">
              <w:rPr>
                <w:color w:val="000000"/>
              </w:rPr>
              <w:t>)</w:t>
            </w:r>
            <w:r w:rsidRPr="00AF2E2C">
              <w:rPr>
                <w:color w:val="000000"/>
                <w:rtl/>
              </w:rPr>
              <w:t xml:space="preserve"> عقب عرض وثيقة أولية بشأن طرائق استمرارية الأعمال بالنسبة لاجتماعات الاتحاد خلال فترة تشييد مبنى </w:t>
            </w:r>
            <w:proofErr w:type="spellStart"/>
            <w:r w:rsidRPr="00AF2E2C">
              <w:rPr>
                <w:color w:val="000000"/>
                <w:rtl/>
              </w:rPr>
              <w:t>فارامبيه</w:t>
            </w:r>
            <w:proofErr w:type="spellEnd"/>
            <w:r w:rsidRPr="00AF2E2C">
              <w:rPr>
                <w:color w:val="000000"/>
                <w:rtl/>
              </w:rPr>
              <w:t xml:space="preserve"> الجديد في عام 2028 (وربما في عام 2029) في الاجتماع العشرين للفريق </w:t>
            </w:r>
            <w:r w:rsidRPr="00AF2E2C">
              <w:rPr>
                <w:color w:val="000000"/>
              </w:rPr>
              <w:t>CWG-FHR</w:t>
            </w:r>
            <w:r w:rsidR="00603BF6">
              <w:rPr>
                <w:rFonts w:hint="cs"/>
                <w:color w:val="000000"/>
                <w:rtl/>
              </w:rPr>
              <w:t xml:space="preserve"> </w:t>
            </w:r>
            <w:r w:rsidRPr="00AF2E2C">
              <w:rPr>
                <w:color w:val="000000"/>
                <w:rtl/>
              </w:rPr>
              <w:t>(</w:t>
            </w:r>
            <w:r w:rsidRPr="00F4483C">
              <w:rPr>
                <w:rtl/>
              </w:rPr>
              <w:t xml:space="preserve">الوثيقة </w:t>
            </w:r>
            <w:hyperlink r:id="rId8" w:history="1">
              <w:r w:rsidRPr="00F4483C">
                <w:rPr>
                  <w:rStyle w:val="Hyperlink"/>
                  <w:rFonts w:ascii="Dubai" w:eastAsiaTheme="minorEastAsia" w:hAnsi="Dubai" w:cs="Dubai"/>
                  <w:noProof w:val="0"/>
                  <w:sz w:val="22"/>
                  <w:rtl/>
                  <w:lang w:val="en-US" w:eastAsia="zh-CN"/>
                </w:rPr>
                <w:t>CWG-FHR-20/9</w:t>
              </w:r>
            </w:hyperlink>
            <w:r w:rsidRPr="00AF2E2C">
              <w:rPr>
                <w:color w:val="000000"/>
                <w:rtl/>
              </w:rPr>
              <w:t>).</w:t>
            </w:r>
          </w:p>
          <w:p w14:paraId="3F108E6E" w14:textId="32A880B6" w:rsidR="007B0AA0" w:rsidRPr="00603BF6" w:rsidRDefault="007669CB" w:rsidP="007669CB">
            <w:pPr>
              <w:rPr>
                <w:spacing w:val="2"/>
                <w:rtl/>
                <w:lang w:val="ar-SA" w:eastAsia="zh-TW" w:bidi="en-GB"/>
              </w:rPr>
            </w:pPr>
            <w:r w:rsidRPr="00603BF6">
              <w:rPr>
                <w:color w:val="000000"/>
                <w:spacing w:val="2"/>
                <w:rtl/>
              </w:rPr>
              <w:t>وفي هذا الاجتماع، طُلب مزيد من المعلومات عن جميع الخيارات المتاحة، بما في ذلك وضع مخطط لاجتماعات الاتحاد من حيث طريقة وإمكانية استخدام مرافق المؤتمرات التابعة لمنظمات دولية أخرى في جنيف (</w:t>
            </w:r>
            <w:r w:rsidRPr="00F4483C">
              <w:rPr>
                <w:spacing w:val="2"/>
                <w:rtl/>
              </w:rPr>
              <w:t>الوثيقة</w:t>
            </w:r>
            <w:r w:rsidR="00F4483C">
              <w:rPr>
                <w:rFonts w:hint="eastAsia"/>
                <w:spacing w:val="2"/>
                <w:rtl/>
              </w:rPr>
              <w:t> </w:t>
            </w:r>
            <w:hyperlink r:id="rId9" w:history="1">
              <w:r w:rsidRPr="00F4483C">
                <w:rPr>
                  <w:rStyle w:val="Hyperlink"/>
                  <w:rFonts w:ascii="Dubai" w:eastAsiaTheme="minorEastAsia" w:hAnsi="Dubai" w:cs="Dubai"/>
                  <w:noProof w:val="0"/>
                  <w:spacing w:val="2"/>
                  <w:sz w:val="22"/>
                  <w:rtl/>
                  <w:lang w:val="en-US" w:eastAsia="zh-CN"/>
                </w:rPr>
                <w:t>CWG-FHR-20/32</w:t>
              </w:r>
            </w:hyperlink>
            <w:r w:rsidRPr="00603BF6">
              <w:rPr>
                <w:color w:val="000000"/>
                <w:spacing w:val="2"/>
                <w:rtl/>
              </w:rPr>
              <w:t>). ويهدف هذا التقرير إلى تمكين المجلس من تقديم توجيهات واضحة بشأن س</w:t>
            </w:r>
            <w:r w:rsidR="00F4483C">
              <w:rPr>
                <w:rFonts w:hint="cs"/>
                <w:color w:val="000000"/>
                <w:spacing w:val="2"/>
                <w:rtl/>
              </w:rPr>
              <w:t>ُ</w:t>
            </w:r>
            <w:r w:rsidRPr="00603BF6">
              <w:rPr>
                <w:color w:val="000000"/>
                <w:spacing w:val="2"/>
                <w:rtl/>
              </w:rPr>
              <w:t xml:space="preserve">بل المضي قدماً فيما يتعلق باستمرارية الأعمال بالنسبة للاجتماعات، بما في ذلك مدى قبول مختلف الطرائق، علماً أن خيار مركز </w:t>
            </w:r>
            <w:proofErr w:type="spellStart"/>
            <w:r w:rsidRPr="00603BF6">
              <w:rPr>
                <w:color w:val="000000"/>
                <w:spacing w:val="2"/>
              </w:rPr>
              <w:t>Palexpo</w:t>
            </w:r>
            <w:proofErr w:type="spellEnd"/>
            <w:r w:rsidRPr="00603BF6">
              <w:rPr>
                <w:color w:val="000000"/>
                <w:spacing w:val="2"/>
                <w:rtl/>
              </w:rPr>
              <w:t xml:space="preserve"> يتطلب التزاماً مالياً بحلول نهاية عام 2025.</w:t>
            </w:r>
          </w:p>
          <w:p w14:paraId="7934D4DE" w14:textId="77777777" w:rsidR="007B0AA0" w:rsidRPr="007B0AA0" w:rsidRDefault="007B0AA0" w:rsidP="007B0AA0">
            <w:pPr>
              <w:rPr>
                <w:b/>
                <w:bCs/>
                <w:rtl/>
              </w:rPr>
            </w:pPr>
            <w:r w:rsidRPr="007B0AA0">
              <w:rPr>
                <w:rFonts w:hint="cs"/>
                <w:b/>
                <w:bCs/>
                <w:rtl/>
              </w:rPr>
              <w:t>الإجراء المطلوب من المجلس</w:t>
            </w:r>
          </w:p>
          <w:p w14:paraId="7AD750B7" w14:textId="6AD11604" w:rsidR="007B0AA0" w:rsidRPr="007669CB" w:rsidRDefault="007669CB" w:rsidP="007669CB">
            <w:pPr>
              <w:rPr>
                <w:rtl/>
                <w:lang w:val="ar-SA" w:eastAsia="zh-TW" w:bidi="en-GB"/>
              </w:rPr>
            </w:pPr>
            <w:r w:rsidRPr="00AF2E2C">
              <w:rPr>
                <w:color w:val="000000"/>
                <w:rtl/>
              </w:rPr>
              <w:t xml:space="preserve">يُدعى المجلس إلى </w:t>
            </w:r>
            <w:r w:rsidRPr="00AF2E2C">
              <w:rPr>
                <w:b/>
                <w:bCs/>
                <w:color w:val="000000"/>
                <w:rtl/>
              </w:rPr>
              <w:t xml:space="preserve">النظر </w:t>
            </w:r>
            <w:r w:rsidRPr="00AF2E2C">
              <w:rPr>
                <w:color w:val="000000"/>
                <w:rtl/>
              </w:rPr>
              <w:t>في التقرير و</w:t>
            </w:r>
            <w:r w:rsidRPr="00AF2E2C">
              <w:rPr>
                <w:b/>
                <w:bCs/>
                <w:color w:val="000000"/>
                <w:rtl/>
              </w:rPr>
              <w:t xml:space="preserve">تقديم </w:t>
            </w:r>
            <w:r w:rsidRPr="00F4483C">
              <w:rPr>
                <w:b/>
                <w:bCs/>
                <w:color w:val="000000"/>
                <w:rtl/>
              </w:rPr>
              <w:t>توجيهات</w:t>
            </w:r>
            <w:r w:rsidRPr="00AF2E2C">
              <w:rPr>
                <w:color w:val="000000"/>
                <w:rtl/>
              </w:rPr>
              <w:t xml:space="preserve"> بشأن س</w:t>
            </w:r>
            <w:r w:rsidR="00F4483C">
              <w:rPr>
                <w:rFonts w:hint="cs"/>
                <w:color w:val="000000"/>
                <w:rtl/>
              </w:rPr>
              <w:t>ُ</w:t>
            </w:r>
            <w:r w:rsidRPr="00AF2E2C">
              <w:rPr>
                <w:color w:val="000000"/>
                <w:rtl/>
              </w:rPr>
              <w:t>بل المضي قدماً.</w:t>
            </w:r>
          </w:p>
          <w:p w14:paraId="3140774A" w14:textId="77777777"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112D20A3" w14:textId="2314A760" w:rsidR="007B0AA0" w:rsidRDefault="00BD2AAC" w:rsidP="00BD2AAC">
            <w:pPr>
              <w:rPr>
                <w:rtl/>
              </w:rPr>
            </w:pPr>
            <w:r w:rsidRPr="00BD2AAC">
              <w:rPr>
                <w:color w:val="000000"/>
                <w:rtl/>
              </w:rPr>
              <w:t>تنظيم المنصات</w:t>
            </w:r>
            <w:r w:rsidR="007669CB" w:rsidRPr="00AF2E2C">
              <w:rPr>
                <w:color w:val="000000"/>
                <w:rtl/>
              </w:rPr>
              <w:t>.</w:t>
            </w:r>
          </w:p>
          <w:p w14:paraId="0B49BD06" w14:textId="77777777" w:rsidR="007B0AA0" w:rsidRDefault="007B0AA0" w:rsidP="00B97F32">
            <w:pPr>
              <w:rPr>
                <w:b/>
                <w:bCs/>
              </w:rPr>
            </w:pPr>
            <w:r w:rsidRPr="007B0AA0">
              <w:rPr>
                <w:rFonts w:hint="cs"/>
                <w:b/>
                <w:bCs/>
                <w:rtl/>
              </w:rPr>
              <w:t>الآثار المالية</w:t>
            </w:r>
          </w:p>
          <w:p w14:paraId="26E53E50" w14:textId="021C0FA6" w:rsidR="006F363C" w:rsidRPr="00603BF6" w:rsidRDefault="007669CB" w:rsidP="007669CB">
            <w:pPr>
              <w:rPr>
                <w:spacing w:val="-2"/>
                <w:rtl/>
                <w:lang w:val="ar-SA" w:eastAsia="zh-TW" w:bidi="en-GB"/>
              </w:rPr>
            </w:pPr>
            <w:r w:rsidRPr="00603BF6">
              <w:rPr>
                <w:color w:val="000000"/>
                <w:spacing w:val="-2"/>
                <w:rtl/>
              </w:rPr>
              <w:t xml:space="preserve">تتطلب جميع الخيارات المتعلقة باستمرارية الأعمال في جنيف تمويلاً لا تغطيه الخطط المالية الحالية. وتشمل التكاليف التقديرية لعقد جميع اجتماعات الاتحاد في عام 2028 مبلغ 4,6 مليون فرنك سويسري لمركز </w:t>
            </w:r>
            <w:proofErr w:type="spellStart"/>
            <w:r w:rsidRPr="00603BF6">
              <w:rPr>
                <w:color w:val="000000"/>
                <w:spacing w:val="-2"/>
              </w:rPr>
              <w:t>Palexpo</w:t>
            </w:r>
            <w:proofErr w:type="spellEnd"/>
            <w:r w:rsidRPr="00603BF6">
              <w:rPr>
                <w:color w:val="000000"/>
                <w:spacing w:val="-2"/>
                <w:rtl/>
              </w:rPr>
              <w:t xml:space="preserve"> في جنيف.</w:t>
            </w:r>
          </w:p>
          <w:p w14:paraId="43944034"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96FED20" w14:textId="77777777" w:rsidR="007B0AA0" w:rsidRPr="007B0AA0" w:rsidRDefault="007B0AA0" w:rsidP="007B0AA0">
            <w:pPr>
              <w:rPr>
                <w:b/>
                <w:bCs/>
                <w:rtl/>
              </w:rPr>
            </w:pPr>
            <w:r w:rsidRPr="007B0AA0">
              <w:rPr>
                <w:rFonts w:hint="cs"/>
                <w:b/>
                <w:bCs/>
                <w:rtl/>
              </w:rPr>
              <w:t>المراجع</w:t>
            </w:r>
          </w:p>
          <w:p w14:paraId="45E89D1F" w14:textId="2C6C0020" w:rsidR="007B0AA0" w:rsidRPr="005546CF" w:rsidRDefault="007669CB" w:rsidP="007B0AA0">
            <w:pPr>
              <w:rPr>
                <w:i/>
                <w:iCs/>
                <w:rtl/>
              </w:rPr>
            </w:pPr>
            <w:r w:rsidRPr="00AF2E2C">
              <w:rPr>
                <w:i/>
                <w:iCs/>
                <w:color w:val="000000"/>
                <w:rtl/>
              </w:rPr>
              <w:t xml:space="preserve">الوثيقة </w:t>
            </w:r>
            <w:hyperlink r:id="rId10" w:history="1">
              <w:r w:rsidRPr="00CF2C5B">
                <w:rPr>
                  <w:rStyle w:val="Hyperlink"/>
                  <w:rFonts w:ascii="Dubai" w:eastAsiaTheme="minorEastAsia" w:hAnsi="Dubai" w:cs="Dubai"/>
                  <w:i/>
                  <w:iCs/>
                  <w:noProof w:val="0"/>
                  <w:sz w:val="22"/>
                  <w:rtl/>
                  <w:lang w:val="en-US" w:eastAsia="zh-CN"/>
                </w:rPr>
                <w:t>CWG-FHR-20/9</w:t>
              </w:r>
              <w:r w:rsidRPr="00BD2AAC">
                <w:rPr>
                  <w:i/>
                  <w:iCs/>
                  <w:rtl/>
                </w:rPr>
                <w:t>؛</w:t>
              </w:r>
            </w:hyperlink>
            <w:r w:rsidRPr="00AF2E2C">
              <w:rPr>
                <w:color w:val="000000"/>
                <w:rtl/>
              </w:rPr>
              <w:t xml:space="preserve"> </w:t>
            </w:r>
            <w:r w:rsidRPr="00AF2E2C">
              <w:rPr>
                <w:i/>
                <w:iCs/>
                <w:color w:val="000000"/>
                <w:rtl/>
              </w:rPr>
              <w:t xml:space="preserve">المقرر </w:t>
            </w:r>
            <w:hyperlink r:id="rId11" w:history="1">
              <w:r w:rsidRPr="00CF2C5B">
                <w:rPr>
                  <w:rStyle w:val="Hyperlink"/>
                  <w:rFonts w:ascii="Dubai" w:eastAsiaTheme="minorEastAsia" w:hAnsi="Dubai" w:cs="Dubai"/>
                  <w:i/>
                  <w:iCs/>
                  <w:noProof w:val="0"/>
                  <w:sz w:val="22"/>
                  <w:rtl/>
                  <w:lang w:val="en-US" w:eastAsia="zh-CN"/>
                </w:rPr>
                <w:t>640 الصادر عن المجلس (دورة 2024)</w:t>
              </w:r>
            </w:hyperlink>
            <w:r w:rsidRPr="00AF2E2C">
              <w:rPr>
                <w:i/>
                <w:iCs/>
                <w:color w:val="000000"/>
                <w:rtl/>
              </w:rPr>
              <w:t>؛</w:t>
            </w:r>
            <w:r w:rsidRPr="00AF2E2C">
              <w:rPr>
                <w:color w:val="000000"/>
                <w:rtl/>
              </w:rPr>
              <w:t xml:space="preserve"> </w:t>
            </w:r>
            <w:hyperlink r:id="rId12" w:history="1">
              <w:r w:rsidRPr="00CF2C5B">
                <w:rPr>
                  <w:rStyle w:val="Hyperlink"/>
                  <w:rFonts w:ascii="Dubai" w:eastAsiaTheme="minorEastAsia" w:hAnsi="Dubai" w:cs="Dubai"/>
                  <w:i/>
                  <w:iCs/>
                  <w:noProof w:val="0"/>
                  <w:sz w:val="22"/>
                  <w:rtl/>
                  <w:lang w:val="en-US" w:eastAsia="zh-CN"/>
                </w:rPr>
                <w:t>تقرير موجز عن الاجتماع العشرين لفريق العمل التابع للمجلس والمعني بالموارد المالية والبشرية</w:t>
              </w:r>
            </w:hyperlink>
          </w:p>
        </w:tc>
      </w:tr>
    </w:tbl>
    <w:p w14:paraId="4B92E1F6" w14:textId="77777777" w:rsidR="00E61BE8" w:rsidRDefault="00E61BE8" w:rsidP="00E61BE8">
      <w:pPr>
        <w:rPr>
          <w:rtl/>
          <w:lang w:bidi="ar-EG"/>
        </w:rPr>
      </w:pPr>
    </w:p>
    <w:p w14:paraId="5CF381B1" w14:textId="77777777" w:rsidR="00F50E3F" w:rsidRDefault="00F50E3F" w:rsidP="0043260A">
      <w:pPr>
        <w:rPr>
          <w:rtl/>
          <w:lang w:bidi="ar-EG"/>
        </w:rPr>
      </w:pPr>
      <w:r>
        <w:rPr>
          <w:rtl/>
          <w:lang w:bidi="ar-EG"/>
        </w:rPr>
        <w:br w:type="page"/>
      </w:r>
    </w:p>
    <w:p w14:paraId="350B938E" w14:textId="0F8D1945" w:rsidR="00603BF6" w:rsidRPr="00AF2E2C" w:rsidRDefault="00603BF6" w:rsidP="00CF2C5B">
      <w:pPr>
        <w:pStyle w:val="Heading1"/>
        <w:rPr>
          <w:rFonts w:eastAsia="Calibri"/>
          <w:lang w:val="ar-SA" w:eastAsia="zh-TW" w:bidi="en-GB"/>
        </w:rPr>
      </w:pPr>
      <w:r>
        <w:lastRenderedPageBreak/>
        <w:t>1</w:t>
      </w:r>
      <w:r w:rsidRPr="00AF2E2C">
        <w:rPr>
          <w:rtl/>
        </w:rPr>
        <w:tab/>
        <w:t>ملخص تنفيذي</w:t>
      </w:r>
    </w:p>
    <w:p w14:paraId="1828831C" w14:textId="2B2AA7F8" w:rsidR="00603BF6" w:rsidRPr="00AF2E2C" w:rsidRDefault="00603BF6" w:rsidP="00CF2C5B">
      <w:pPr>
        <w:textDirection w:val="tbRlV"/>
        <w:rPr>
          <w:lang w:val="ar-SA" w:eastAsia="zh-TW" w:bidi="en-GB"/>
        </w:rPr>
      </w:pPr>
      <w:r w:rsidRPr="00AF2E2C">
        <w:rPr>
          <w:rtl/>
        </w:rPr>
        <w:t>استناداً إلى تقديرات الميزانية الحالية والمقترحات المتعلقة بمستوى وحدة المساهمة (</w:t>
      </w:r>
      <w:hyperlink r:id="rId13" w:history="1">
        <w:proofErr w:type="spellStart"/>
        <w:r w:rsidR="00CF2C5B" w:rsidRPr="00CF2C5B">
          <w:rPr>
            <w:rStyle w:val="Hyperlink"/>
            <w:rFonts w:ascii="Dubai" w:eastAsiaTheme="minorEastAsia" w:hAnsi="Dubai" w:cs="Dubai"/>
            <w:noProof w:val="0"/>
            <w:sz w:val="22"/>
            <w:lang w:eastAsia="zh-CN"/>
          </w:rPr>
          <w:t>C25</w:t>
        </w:r>
        <w:proofErr w:type="spellEnd"/>
        <w:r w:rsidR="00CF2C5B" w:rsidRPr="00CF2C5B">
          <w:rPr>
            <w:rStyle w:val="Hyperlink"/>
            <w:rFonts w:ascii="Dubai" w:eastAsiaTheme="minorEastAsia" w:hAnsi="Dubai" w:cs="Dubai"/>
            <w:noProof w:val="0"/>
            <w:sz w:val="22"/>
            <w:lang w:eastAsia="zh-CN"/>
          </w:rPr>
          <w:t>/54</w:t>
        </w:r>
      </w:hyperlink>
      <w:r w:rsidRPr="00AF2E2C">
        <w:rPr>
          <w:rtl/>
        </w:rPr>
        <w:t>)، لا يُتوقع توافر أموال إضافية في الوقت الحالي ضمن الخطة المالية للفترة 2028-2031 لتمكين عقد اجتماعات الاتحاد في مرافق مركز</w:t>
      </w:r>
      <w:r w:rsidR="00BD2AAC">
        <w:rPr>
          <w:rFonts w:hint="cs"/>
          <w:rtl/>
        </w:rPr>
        <w:t> </w:t>
      </w:r>
      <w:proofErr w:type="spellStart"/>
      <w:r w:rsidRPr="00AF2E2C">
        <w:t>Palexpo</w:t>
      </w:r>
      <w:proofErr w:type="spellEnd"/>
      <w:r w:rsidRPr="00AF2E2C">
        <w:rPr>
          <w:rtl/>
        </w:rPr>
        <w:t xml:space="preserve"> في عامي 2028 </w:t>
      </w:r>
      <w:proofErr w:type="spellStart"/>
      <w:r w:rsidRPr="00AF2E2C">
        <w:rPr>
          <w:rtl/>
        </w:rPr>
        <w:t>و2029</w:t>
      </w:r>
      <w:proofErr w:type="spellEnd"/>
      <w:r w:rsidRPr="00AF2E2C">
        <w:rPr>
          <w:rtl/>
        </w:rPr>
        <w:t xml:space="preserve">. ويجب توقيع العقد مع مركز </w:t>
      </w:r>
      <w:proofErr w:type="spellStart"/>
      <w:r w:rsidRPr="00AF2E2C">
        <w:t>Palexpo</w:t>
      </w:r>
      <w:proofErr w:type="spellEnd"/>
      <w:r w:rsidRPr="00AF2E2C">
        <w:rPr>
          <w:rtl/>
        </w:rPr>
        <w:t xml:space="preserve"> بالأسعار التفضيلية المحددة في هذه الوثيقة بحلول 31 ديسمبر 2025. ولئن كان من الممكن عقد بعض الاجتماعات على أساس مخصص في جنيف في</w:t>
      </w:r>
      <w:r w:rsidR="00BD2AAC">
        <w:rPr>
          <w:rFonts w:hint="cs"/>
          <w:rtl/>
        </w:rPr>
        <w:t> </w:t>
      </w:r>
      <w:r w:rsidRPr="00AF2E2C">
        <w:rPr>
          <w:rtl/>
        </w:rPr>
        <w:t>مجموعة متنوعة من الأماكن المحتملة، فإن من غير الممكن ضمان توفر هذه الأماكن قبل ستة أشهر على الأقل من موعد عقد الاجتماع. وبالإضافة إلى ذلك، سيكون من الضروري أيضاً رصد اعتماد في الميزانية لحجز الغرف والخدمات على أساس مخصص. ولا تتاح أي تقديرات لتكاليف الاستئجار في هذه المرحلة.</w:t>
      </w:r>
    </w:p>
    <w:p w14:paraId="653A7873" w14:textId="77777777" w:rsidR="00603BF6" w:rsidRPr="00AF2E2C" w:rsidRDefault="00603BF6" w:rsidP="00603BF6">
      <w:pPr>
        <w:textDirection w:val="tbRlV"/>
        <w:rPr>
          <w:lang w:val="ar-SA" w:eastAsia="zh-TW" w:bidi="en-GB"/>
        </w:rPr>
      </w:pPr>
      <w:r w:rsidRPr="00AF2E2C">
        <w:rPr>
          <w:rtl/>
        </w:rPr>
        <w:t xml:space="preserve">وتشمل الخيارات البديلة مقترح مركز </w:t>
      </w:r>
      <w:r w:rsidRPr="00246A29">
        <w:rPr>
          <w:rtl/>
        </w:rPr>
        <w:t>لاجتماعات</w:t>
      </w:r>
      <w:r w:rsidRPr="00AF2E2C">
        <w:rPr>
          <w:rtl/>
        </w:rPr>
        <w:t xml:space="preserve"> الاتحاد، الذي يتطلب تأكيد المجلس، وعقد اجتماعات افتراضية بالكامل لفترة استثنائية، ما يتطلب توجيهات إضافية من المجلس.</w:t>
      </w:r>
    </w:p>
    <w:p w14:paraId="0F2BC539" w14:textId="77777777" w:rsidR="00603BF6" w:rsidRPr="00AF2E2C" w:rsidRDefault="00603BF6" w:rsidP="00603BF6">
      <w:pPr>
        <w:textDirection w:val="tbRlV"/>
        <w:rPr>
          <w:lang w:val="ar-SA" w:eastAsia="zh-TW" w:bidi="en-GB"/>
        </w:rPr>
      </w:pPr>
      <w:r w:rsidRPr="00AF2E2C">
        <w:rPr>
          <w:rtl/>
        </w:rPr>
        <w:t xml:space="preserve">ومع تقدم مشروع المبنى، ستتمكن الأمانة من وضع تقديرات أكثر دقة لقيود استخدام مباني مقر الاتحاد لأغراض الاجتماعات، بما يشمل تقديم تفاصيل أكثر دقة عن الفترات التي لن تكون فيها مباني مقر الاتحاد متاحة، والاضطرابات التي قد يتعين قبولها إذا ما عُقدت الاجتماعات هناك خلال فترة تشييد مبنى </w:t>
      </w:r>
      <w:proofErr w:type="spellStart"/>
      <w:r w:rsidRPr="00AF2E2C">
        <w:rPr>
          <w:rtl/>
        </w:rPr>
        <w:t>فارامبيه</w:t>
      </w:r>
      <w:proofErr w:type="spellEnd"/>
      <w:r w:rsidRPr="00AF2E2C">
        <w:rPr>
          <w:rtl/>
        </w:rPr>
        <w:t xml:space="preserve"> الجديد.</w:t>
      </w:r>
    </w:p>
    <w:p w14:paraId="1D39CF56" w14:textId="77777777" w:rsidR="00603BF6" w:rsidRPr="00AF2E2C" w:rsidRDefault="00603BF6" w:rsidP="00603BF6">
      <w:pPr>
        <w:textDirection w:val="tbRlV"/>
        <w:rPr>
          <w:lang w:val="ar-SA" w:eastAsia="zh-TW" w:bidi="en-GB"/>
        </w:rPr>
      </w:pPr>
      <w:r w:rsidRPr="00AF2E2C">
        <w:rPr>
          <w:rtl/>
        </w:rPr>
        <w:t>وستضع الأمانة خطة تفصيلية لاستمرارية الأعمال، بما في ذلك التكاليف استناداً إلى الأفضليات التي يحددها المجلس والتوجيهات التي يقدمها في دورته المقبلة هذه.</w:t>
      </w:r>
    </w:p>
    <w:p w14:paraId="4DD3CF7D" w14:textId="385E9C74" w:rsidR="00603BF6" w:rsidRPr="00AF2E2C" w:rsidRDefault="00603BF6" w:rsidP="00DF2431">
      <w:pPr>
        <w:pStyle w:val="Heading1"/>
        <w:rPr>
          <w:rFonts w:eastAsia="Calibri"/>
          <w:lang w:val="ar-SA" w:eastAsia="zh-TW" w:bidi="en-GB"/>
        </w:rPr>
      </w:pPr>
      <w:r w:rsidRPr="005C4600">
        <w:rPr>
          <w:rtl/>
        </w:rPr>
        <w:t>2</w:t>
      </w:r>
      <w:r w:rsidRPr="005C4600">
        <w:rPr>
          <w:rtl/>
        </w:rPr>
        <w:tab/>
        <w:t>معلومات أساسية</w:t>
      </w:r>
    </w:p>
    <w:p w14:paraId="51CBBF8F" w14:textId="0B113A85" w:rsidR="00603BF6" w:rsidRPr="00AF2E2C" w:rsidRDefault="00603BF6" w:rsidP="00603BF6">
      <w:pPr>
        <w:textDirection w:val="tbRlV"/>
        <w:rPr>
          <w:rFonts w:eastAsia="SimSun"/>
          <w:lang w:val="ar-SA" w:eastAsia="zh-TW" w:bidi="en-GB"/>
        </w:rPr>
      </w:pPr>
      <w:r w:rsidRPr="00AF2E2C">
        <w:rPr>
          <w:rtl/>
        </w:rPr>
        <w:t xml:space="preserve">يُعقد ما يقرب من 60 إلى 65 اجتماعاً كل عام في مقر الاتحاد، تكمَّل بطاقة استيعابية إضافية في مركز جنيف الدولي للمؤتمرات/مركز مؤتمرات </w:t>
      </w:r>
      <w:proofErr w:type="spellStart"/>
      <w:r w:rsidRPr="00AF2E2C">
        <w:rPr>
          <w:rtl/>
        </w:rPr>
        <w:t>فارامبيه</w:t>
      </w:r>
      <w:proofErr w:type="spellEnd"/>
      <w:r w:rsidRPr="00AF2E2C">
        <w:rPr>
          <w:rtl/>
        </w:rPr>
        <w:t xml:space="preserve"> </w:t>
      </w:r>
      <w:r w:rsidR="00DF2431">
        <w:t>(</w:t>
      </w:r>
      <w:proofErr w:type="spellStart"/>
      <w:r w:rsidRPr="00AF2E2C">
        <w:t>CICG</w:t>
      </w:r>
      <w:proofErr w:type="spellEnd"/>
      <w:r w:rsidRPr="00AF2E2C">
        <w:t>/CCV</w:t>
      </w:r>
      <w:r w:rsidR="00DF2431">
        <w:t>)</w:t>
      </w:r>
      <w:r w:rsidRPr="00AF2E2C">
        <w:rPr>
          <w:rtl/>
        </w:rPr>
        <w:t xml:space="preserve">. وتشمل هذه الاجتماعات </w:t>
      </w:r>
      <w:proofErr w:type="spellStart"/>
      <w:r w:rsidRPr="00AF2E2C">
        <w:rPr>
          <w:rtl/>
        </w:rPr>
        <w:t>الاجتماعات</w:t>
      </w:r>
      <w:proofErr w:type="spellEnd"/>
      <w:r w:rsidRPr="00AF2E2C">
        <w:rPr>
          <w:rtl/>
        </w:rPr>
        <w:t xml:space="preserve"> التقنية لجميع القطاعات، واجتماعات الأفرقة الاستشارية، واجتماعات المجلس، واجتماعات أفرقة العمل التابعة للمجلس.</w:t>
      </w:r>
    </w:p>
    <w:p w14:paraId="10809FED" w14:textId="77777777" w:rsidR="00603BF6" w:rsidRPr="00AF2E2C" w:rsidRDefault="00603BF6" w:rsidP="00DF2431">
      <w:pPr>
        <w:pStyle w:val="Headingi"/>
        <w:rPr>
          <w:rFonts w:eastAsia="SimSun"/>
          <w:lang w:val="ar-SA" w:eastAsia="zh-TW" w:bidi="en-GB"/>
        </w:rPr>
      </w:pPr>
      <w:r w:rsidRPr="00AF2E2C">
        <w:rPr>
          <w:rtl/>
        </w:rPr>
        <w:t>مشروع المبنى الجديد</w:t>
      </w:r>
    </w:p>
    <w:p w14:paraId="31840BCF" w14:textId="2CA69B7B" w:rsidR="00603BF6" w:rsidRPr="00AF2E2C" w:rsidRDefault="00603BF6" w:rsidP="00603BF6">
      <w:pPr>
        <w:textDirection w:val="tbRlV"/>
        <w:rPr>
          <w:rFonts w:eastAsia="SimSun"/>
          <w:lang w:val="ar-SA" w:eastAsia="zh-TW" w:bidi="en-GB"/>
        </w:rPr>
      </w:pPr>
      <w:r w:rsidRPr="00AF2E2C">
        <w:rPr>
          <w:rtl/>
        </w:rPr>
        <w:t xml:space="preserve">تحدد مراحل المشروع المحددة في المقرر 640 بشأن مشروع مبنى </w:t>
      </w:r>
      <w:proofErr w:type="spellStart"/>
      <w:r w:rsidRPr="00AF2E2C">
        <w:rPr>
          <w:rtl/>
        </w:rPr>
        <w:t>فارامبيه</w:t>
      </w:r>
      <w:proofErr w:type="spellEnd"/>
      <w:r w:rsidRPr="00AF2E2C">
        <w:rPr>
          <w:rtl/>
        </w:rPr>
        <w:t xml:space="preserve"> الجديد عام 2028 كأول عام لتنفيذ المشروع. وشريطة استمرار جميع الأنشطة وفقاً للجدول الزمني، ستظل قاعات اجتماعات الاتحاد متاحة حتى نهاية عام 2027. ولكن في عام 2028 (وربما في عام 2029)، قد لا تكون قاعات الاجتماعات في البرج </w:t>
      </w:r>
      <w:proofErr w:type="spellStart"/>
      <w:r w:rsidRPr="00AF2E2C">
        <w:rPr>
          <w:rtl/>
        </w:rPr>
        <w:t>ومونبريان</w:t>
      </w:r>
      <w:proofErr w:type="spellEnd"/>
      <w:r w:rsidRPr="00AF2E2C">
        <w:rPr>
          <w:rtl/>
        </w:rPr>
        <w:t xml:space="preserve"> </w:t>
      </w:r>
      <w:proofErr w:type="spellStart"/>
      <w:r w:rsidRPr="00AF2E2C">
        <w:rPr>
          <w:rtl/>
        </w:rPr>
        <w:t>وفارامبيه</w:t>
      </w:r>
      <w:proofErr w:type="spellEnd"/>
      <w:r w:rsidRPr="00AF2E2C">
        <w:rPr>
          <w:rtl/>
        </w:rPr>
        <w:t xml:space="preserve"> متاحة بسبب أعمال البناء. ونظراً لتعذر تأكيد الجدول الزمني للبناء قبل الانتهاء من التخطيط (منتصف عام 2026)، ينبغي افتراض أن قاعات الاجتماعات هذه قد تظل غير متاحة طوال عام 2029.</w:t>
      </w:r>
    </w:p>
    <w:p w14:paraId="31C5CD55" w14:textId="77777777" w:rsidR="00603BF6" w:rsidRPr="00AF2E2C" w:rsidRDefault="00603BF6" w:rsidP="00DF2431">
      <w:pPr>
        <w:pStyle w:val="Headingi"/>
        <w:rPr>
          <w:rFonts w:eastAsia="SimSun"/>
          <w:lang w:eastAsia="zh-TW" w:bidi="en-GB"/>
        </w:rPr>
      </w:pPr>
      <w:r w:rsidRPr="00AF2E2C">
        <w:rPr>
          <w:rtl/>
        </w:rPr>
        <w:t>مركز جنيف الدولي للمؤتمرات</w:t>
      </w:r>
      <w:r>
        <w:rPr>
          <w:rtl/>
        </w:rPr>
        <w:t xml:space="preserve"> </w:t>
      </w:r>
      <w:r>
        <w:t>(CICG)</w:t>
      </w:r>
    </w:p>
    <w:p w14:paraId="0C62F426" w14:textId="7270C496" w:rsidR="00603BF6" w:rsidRPr="00AF2E2C" w:rsidRDefault="00603BF6" w:rsidP="00603BF6">
      <w:pPr>
        <w:textDirection w:val="tbRlV"/>
        <w:rPr>
          <w:lang w:val="ar-SA" w:eastAsia="zh-TW" w:bidi="en-GB"/>
        </w:rPr>
      </w:pPr>
      <w:r w:rsidRPr="00AF2E2C">
        <w:rPr>
          <w:rtl/>
        </w:rPr>
        <w:t xml:space="preserve">لن يكون مركز جنيف الدولي للمؤتمرات </w:t>
      </w:r>
      <w:r>
        <w:t>(CICG)</w:t>
      </w:r>
      <w:r>
        <w:rPr>
          <w:rtl/>
        </w:rPr>
        <w:t xml:space="preserve"> </w:t>
      </w:r>
      <w:r w:rsidRPr="00AF2E2C">
        <w:rPr>
          <w:rtl/>
        </w:rPr>
        <w:t>متاحاً للاستخدام طوال عام 2028 بسبب أعمال التجديد المخطط حالياً أن تبدأ في عام 2028، وسيكون المركز متاحاً بدرجة محدودة في عام 2029 على أفضل تقدير.</w:t>
      </w:r>
    </w:p>
    <w:p w14:paraId="4B3D071B" w14:textId="77777777" w:rsidR="00603BF6" w:rsidRPr="00AF2E2C" w:rsidRDefault="00603BF6" w:rsidP="00603BF6">
      <w:pPr>
        <w:textDirection w:val="tbRlV"/>
        <w:rPr>
          <w:lang w:val="ar-SA" w:eastAsia="zh-TW" w:bidi="en-GB"/>
        </w:rPr>
      </w:pPr>
      <w:r w:rsidRPr="00AF2E2C">
        <w:rPr>
          <w:rtl/>
        </w:rPr>
        <w:t xml:space="preserve">وقد استفاد الاتحاد في السابق من الإعانة المالية المقدمة من البلد المضيف، التي تسمح للمنظمات الدولية باستئجار أماكن للاجتماعات في مركز جنيف الدولي للمؤتمرات مجاناً. ومع ذلك، أُبلغ الاتحاد في مارس 2025 بأن رسوم إيجار مخفضة ستُفرض الآن على جميع الحجوزات الجديدة في مركز جنيف الدولي للمؤتمرات بأثر فوري. وستُفرض رسوم إيجار على أماكن الاجتماعات وفقاً لسلم متدرج من 5 في </w:t>
      </w:r>
      <w:proofErr w:type="gramStart"/>
      <w:r w:rsidRPr="00AF2E2C">
        <w:rPr>
          <w:rtl/>
        </w:rPr>
        <w:t>المائة</w:t>
      </w:r>
      <w:proofErr w:type="gramEnd"/>
      <w:r w:rsidRPr="00AF2E2C">
        <w:rPr>
          <w:rtl/>
        </w:rPr>
        <w:t xml:space="preserve"> إلى 20 في </w:t>
      </w:r>
      <w:proofErr w:type="gramStart"/>
      <w:r w:rsidRPr="00AF2E2C">
        <w:rPr>
          <w:rtl/>
        </w:rPr>
        <w:t>المائة</w:t>
      </w:r>
      <w:proofErr w:type="gramEnd"/>
      <w:r w:rsidRPr="00AF2E2C">
        <w:rPr>
          <w:rtl/>
        </w:rPr>
        <w:t xml:space="preserve"> من إجمالي تكلفة الإيجار، إضافةً إلى مبلغ تكلفة ثابت ونسبة مئوية من الخدمات التقنية الثابتة في القاعات المستأجرة.</w:t>
      </w:r>
    </w:p>
    <w:p w14:paraId="7F468493" w14:textId="77777777" w:rsidR="00603BF6" w:rsidRPr="00AF2E2C" w:rsidRDefault="00603BF6" w:rsidP="00603BF6">
      <w:pPr>
        <w:textDirection w:val="tbRlV"/>
        <w:rPr>
          <w:rFonts w:eastAsia="Calibri"/>
          <w:lang w:val="ar-SA" w:eastAsia="zh-TW" w:bidi="en-GB"/>
        </w:rPr>
      </w:pPr>
      <w:r w:rsidRPr="00AF2E2C">
        <w:rPr>
          <w:rtl/>
        </w:rPr>
        <w:t>ونظراً للعدد الكبير من الاجتماعات التي تُعقد سنوياً، فإن عقد جميع الاجتماعات التقنية للاتحاد على أساس مخصص في بلدان مضيفة مختلفة أمر غير ممكن على المستوى التشغيلي ولا على المستوى اللوجستي بهذا الحجم.</w:t>
      </w:r>
    </w:p>
    <w:p w14:paraId="4F58FF93" w14:textId="77777777" w:rsidR="00603BF6" w:rsidRPr="00AF2E2C" w:rsidRDefault="00603BF6" w:rsidP="00DF2431">
      <w:pPr>
        <w:pStyle w:val="Heading1"/>
        <w:rPr>
          <w:lang w:val="ar-SA" w:eastAsia="zh-TW" w:bidi="en-GB"/>
        </w:rPr>
      </w:pPr>
      <w:r w:rsidRPr="00AF2E2C">
        <w:rPr>
          <w:rtl/>
        </w:rPr>
        <w:t>3</w:t>
      </w:r>
      <w:r w:rsidRPr="00AF2E2C">
        <w:rPr>
          <w:rtl/>
        </w:rPr>
        <w:tab/>
        <w:t>وضع مخطط لاجتماعات الاتحاد</w:t>
      </w:r>
    </w:p>
    <w:p w14:paraId="24519421" w14:textId="2380CD4E" w:rsidR="00603BF6" w:rsidRPr="00AF2E2C" w:rsidRDefault="00603BF6" w:rsidP="00603BF6">
      <w:pPr>
        <w:textDirection w:val="tbRlV"/>
        <w:rPr>
          <w:lang w:val="ar-SA" w:eastAsia="zh-TW" w:bidi="en-GB"/>
        </w:rPr>
      </w:pPr>
      <w:r w:rsidRPr="00AF2E2C">
        <w:rPr>
          <w:rtl/>
        </w:rPr>
        <w:t xml:space="preserve">يُعقد سنوياً ما يقرب من 60 إلى 65 اجتماعاً تقنياً في مقر الاتحاد. وتختلف الاجتماعات من حيث عددها وطبيعتها باختلاف القطاعات والدوائر، ولكنها تتبع دورة واسعة مدتها أربع سنوات تعتمد على توقيت المؤتمرات أو الجمعيات </w:t>
      </w:r>
      <w:r w:rsidRPr="00AF2E2C">
        <w:rPr>
          <w:rtl/>
        </w:rPr>
        <w:lastRenderedPageBreak/>
        <w:t xml:space="preserve">الرئيسية (مؤتمر المندوبين المفوضين </w:t>
      </w:r>
      <w:r w:rsidR="00DF2431">
        <w:t>(</w:t>
      </w:r>
      <w:r w:rsidRPr="00AF2E2C">
        <w:t>PP</w:t>
      </w:r>
      <w:r w:rsidR="00DF2431">
        <w:t>)</w:t>
      </w:r>
      <w:r w:rsidRPr="00AF2E2C">
        <w:rPr>
          <w:rtl/>
        </w:rPr>
        <w:t>، والمؤتمر العالمي للاتصالات الراديوية (</w:t>
      </w:r>
      <w:r w:rsidRPr="00AF2E2C">
        <w:t>WRC</w:t>
      </w:r>
      <w:r w:rsidRPr="00AF2E2C">
        <w:rPr>
          <w:rtl/>
        </w:rPr>
        <w:t>)، والجمعية العالمية لتقييس الاتصالات (</w:t>
      </w:r>
      <w:r w:rsidRPr="00AF2E2C">
        <w:t>WTSA</w:t>
      </w:r>
      <w:r w:rsidRPr="00AF2E2C">
        <w:rPr>
          <w:rtl/>
        </w:rPr>
        <w:t>)، والمؤتمر العالمي لتنمية الاتصالات (</w:t>
      </w:r>
      <w:r w:rsidRPr="00AF2E2C">
        <w:t>WTDC</w:t>
      </w:r>
      <w:r w:rsidRPr="00AF2E2C">
        <w:rPr>
          <w:rtl/>
        </w:rPr>
        <w:t>)</w:t>
      </w:r>
      <w:r w:rsidR="005C4600">
        <w:rPr>
          <w:rFonts w:hint="cs"/>
          <w:rtl/>
        </w:rPr>
        <w:t>)</w:t>
      </w:r>
      <w:r w:rsidRPr="00AF2E2C">
        <w:rPr>
          <w:rtl/>
        </w:rPr>
        <w:t>.</w:t>
      </w:r>
    </w:p>
    <w:p w14:paraId="68AC74C7" w14:textId="50E77EDD" w:rsidR="00603BF6" w:rsidRPr="00AF2E2C" w:rsidRDefault="00603BF6" w:rsidP="00BD2AAC">
      <w:pPr>
        <w:rPr>
          <w:lang w:val="ar-SA" w:eastAsia="zh-TW" w:bidi="en-GB"/>
        </w:rPr>
      </w:pPr>
      <w:r w:rsidRPr="00AF2E2C">
        <w:rPr>
          <w:rtl/>
        </w:rPr>
        <w:t xml:space="preserve">وفي إطار تحليل تفصيلي لهذه الاجتماعات أجري بناءً على طلب فريق العمل التابع للمجلس والمعني بالموارد المالية والبشرية </w:t>
      </w:r>
      <w:r w:rsidR="00DF2431">
        <w:t>(</w:t>
      </w:r>
      <w:r w:rsidRPr="00AF2E2C">
        <w:t>CWG-FHR</w:t>
      </w:r>
      <w:r w:rsidR="00DF2431">
        <w:t>)</w:t>
      </w:r>
      <w:r w:rsidRPr="00AF2E2C">
        <w:rPr>
          <w:rtl/>
        </w:rPr>
        <w:t>، تم النظر في عدد القاعات وحجمها، والمتطلبات التقنية، والعدد النمطي للمشاركين، وطرائق الاجتماع، وأي متطلبات</w:t>
      </w:r>
      <w:r w:rsidR="00DF2431">
        <w:rPr>
          <w:rFonts w:hint="cs"/>
          <w:rtl/>
        </w:rPr>
        <w:t>ٍ</w:t>
      </w:r>
      <w:r w:rsidRPr="00AF2E2C">
        <w:rPr>
          <w:rtl/>
        </w:rPr>
        <w:t xml:space="preserve"> إضافية</w:t>
      </w:r>
      <w:r w:rsidR="00DF2431">
        <w:rPr>
          <w:rFonts w:hint="cs"/>
          <w:rtl/>
        </w:rPr>
        <w:t>ٍ</w:t>
      </w:r>
      <w:r w:rsidRPr="00AF2E2C">
        <w:rPr>
          <w:rtl/>
        </w:rPr>
        <w:t xml:space="preserve"> محددة. وقائمة الاجتماعات المتوقع عقدها في عام 2028، استناداً إلى بيانات عام 2024، متاحة في إطار المعلومات المتعلقة بالمضيفين المحتملين لمركز اجتماعات الاتحاد </w:t>
      </w:r>
      <w:hyperlink r:id="rId14" w:anchor="/ar" w:history="1">
        <w:r w:rsidRPr="00DF2431">
          <w:rPr>
            <w:rStyle w:val="Hyperlink"/>
            <w:rFonts w:ascii="Dubai" w:eastAsiaTheme="minorEastAsia" w:hAnsi="Dubai" w:cs="Dubai"/>
            <w:noProof w:val="0"/>
            <w:sz w:val="22"/>
            <w:rtl/>
            <w:lang w:val="en-US" w:eastAsia="zh-CN"/>
          </w:rPr>
          <w:t>هنا</w:t>
        </w:r>
      </w:hyperlink>
      <w:r w:rsidRPr="00AF2E2C">
        <w:rPr>
          <w:rtl/>
        </w:rPr>
        <w:t>.</w:t>
      </w:r>
    </w:p>
    <w:p w14:paraId="3B08D860" w14:textId="6339DCA2" w:rsidR="00603BF6" w:rsidRPr="00DF2431" w:rsidRDefault="00603BF6" w:rsidP="00BD2AAC">
      <w:pPr>
        <w:rPr>
          <w:lang w:val="ar-SA" w:eastAsia="zh-TW" w:bidi="en-GB"/>
        </w:rPr>
      </w:pPr>
      <w:r w:rsidRPr="00DF2431">
        <w:rPr>
          <w:rtl/>
        </w:rPr>
        <w:t>وتشمل الاجتماعات المدرجة في هذه القائمة العديد من الاجتماعات النظامية، أي تلك التي تنص عليها الوثائق الدستورية للقطاعات، والتي تضطلع بوظائف صنع القرار في بعض الحالات، فضلاً عن الاجتماعات المهمة استراتيجياً للإسهام في</w:t>
      </w:r>
      <w:r w:rsidR="00BD2AAC">
        <w:rPr>
          <w:rFonts w:hint="cs"/>
          <w:rtl/>
        </w:rPr>
        <w:t> </w:t>
      </w:r>
      <w:r w:rsidRPr="00DF2431">
        <w:rPr>
          <w:rtl/>
        </w:rPr>
        <w:t>الجمعيات أو المؤتمرات. ولا يشمل ذلك اجتماعات من قبيل اجتماعات الأفرقة المتخصصة التابعة لقطاع تقييس الاتصالات وورش العمل التي ينظمها هذا القطاع أو منتدى استدامة الفضاء الذي ينظمه قطاع الاتصالات الراديوية.</w:t>
      </w:r>
    </w:p>
    <w:p w14:paraId="5D61ABCC" w14:textId="5A0B7827" w:rsidR="00603BF6" w:rsidRPr="00AF2E2C" w:rsidRDefault="00603BF6" w:rsidP="00603BF6">
      <w:pPr>
        <w:textDirection w:val="tbRlV"/>
        <w:rPr>
          <w:lang w:val="ar-SA" w:eastAsia="zh-TW" w:bidi="en-GB"/>
        </w:rPr>
      </w:pPr>
      <w:r w:rsidRPr="00AF2E2C">
        <w:rPr>
          <w:rtl/>
        </w:rPr>
        <w:t>وتجدر الإشارة إلى أن الجمعية العالمية المقبلة لتقييس الاتصالات ست</w:t>
      </w:r>
      <w:r w:rsidR="00DF2431">
        <w:rPr>
          <w:rFonts w:hint="cs"/>
          <w:rtl/>
        </w:rPr>
        <w:t>ُ</w:t>
      </w:r>
      <w:r w:rsidRPr="00AF2E2C">
        <w:rPr>
          <w:rtl/>
        </w:rPr>
        <w:t>عقد في عام 2028، وأن جميع اجتماعات قطاع تقييس الاتصالات، بما في ذلك اجتماع الفريق الاستشاري لتقييس الاتصالات، ستُعقد في الأشهر الثمانية الأولى من العام تحضيراً للجمعية.</w:t>
      </w:r>
    </w:p>
    <w:p w14:paraId="0708918C" w14:textId="7260114D" w:rsidR="00603BF6" w:rsidRPr="00AF2E2C" w:rsidRDefault="00603BF6" w:rsidP="00603BF6">
      <w:pPr>
        <w:textDirection w:val="tbRlV"/>
        <w:rPr>
          <w:lang w:val="ar-SA" w:eastAsia="zh-TW" w:bidi="en-GB"/>
        </w:rPr>
      </w:pPr>
      <w:r w:rsidRPr="00AF2E2C">
        <w:rPr>
          <w:rtl/>
        </w:rPr>
        <w:t>وعلاوة</w:t>
      </w:r>
      <w:r w:rsidR="007D346C">
        <w:rPr>
          <w:rFonts w:hint="cs"/>
          <w:rtl/>
        </w:rPr>
        <w:t>ً</w:t>
      </w:r>
      <w:r w:rsidRPr="00AF2E2C">
        <w:rPr>
          <w:rtl/>
        </w:rPr>
        <w:t xml:space="preserve"> على ذلك، ووفقاً للنظام الداخلي للمجلس والمادة 51.4 من الاتفاقية، يجب أن يُعقد مجلس الاتحاد حضورياً مرة واحدة في السنة في جنيف.</w:t>
      </w:r>
    </w:p>
    <w:p w14:paraId="6EC45291" w14:textId="77777777" w:rsidR="00603BF6" w:rsidRPr="00AF2E2C" w:rsidRDefault="00603BF6" w:rsidP="00810F01">
      <w:pPr>
        <w:pStyle w:val="Heading1"/>
        <w:rPr>
          <w:lang w:val="ar-SA" w:eastAsia="zh-TW" w:bidi="en-GB"/>
        </w:rPr>
      </w:pPr>
      <w:r w:rsidRPr="00AF2E2C">
        <w:rPr>
          <w:rtl/>
        </w:rPr>
        <w:t>4</w:t>
      </w:r>
      <w:r w:rsidRPr="00AF2E2C">
        <w:rPr>
          <w:rtl/>
        </w:rPr>
        <w:tab/>
        <w:t>طرائق استمرارية الأعمال</w:t>
      </w:r>
    </w:p>
    <w:p w14:paraId="7CA0730B" w14:textId="77777777" w:rsidR="00603BF6" w:rsidRPr="00AF2E2C" w:rsidRDefault="00603BF6" w:rsidP="00603BF6">
      <w:pPr>
        <w:textDirection w:val="tbRlV"/>
        <w:rPr>
          <w:lang w:val="ar-SA" w:eastAsia="zh-TW" w:bidi="en-GB"/>
        </w:rPr>
      </w:pPr>
      <w:r w:rsidRPr="00AF2E2C">
        <w:rPr>
          <w:rtl/>
        </w:rPr>
        <w:t>تم تحديد الطرائق الممكنة التالية لعقد اجتماعات الاتحاد في عامي 2028 و2029.</w:t>
      </w:r>
    </w:p>
    <w:p w14:paraId="326A5C44" w14:textId="0BC6BDFD" w:rsidR="00603BF6" w:rsidRPr="00AF2E2C" w:rsidRDefault="00810F01" w:rsidP="00810F01">
      <w:pPr>
        <w:pStyle w:val="Heading2"/>
        <w:rPr>
          <w:lang w:val="ar-SA" w:eastAsia="zh-TW" w:bidi="en-GB"/>
        </w:rPr>
      </w:pPr>
      <w:r>
        <w:rPr>
          <w:rFonts w:hint="cs"/>
          <w:rtl/>
        </w:rPr>
        <w:t>1.4</w:t>
      </w:r>
      <w:r w:rsidR="00603BF6" w:rsidRPr="00AF2E2C">
        <w:rPr>
          <w:rtl/>
        </w:rPr>
        <w:tab/>
        <w:t>عقد الاجتماعات في جنيف</w:t>
      </w:r>
    </w:p>
    <w:p w14:paraId="35626C81" w14:textId="77777777" w:rsidR="00603BF6" w:rsidRPr="00AF2E2C" w:rsidRDefault="00603BF6" w:rsidP="00810F01">
      <w:pPr>
        <w:pStyle w:val="Headingb"/>
        <w:rPr>
          <w:lang w:val="ar-SA" w:eastAsia="zh-TW" w:bidi="en-GB"/>
        </w:rPr>
      </w:pPr>
      <w:r w:rsidRPr="00AF2E2C">
        <w:rPr>
          <w:rtl/>
        </w:rPr>
        <w:t xml:space="preserve">مركز </w:t>
      </w:r>
      <w:proofErr w:type="spellStart"/>
      <w:r w:rsidRPr="00AF2E2C">
        <w:t>Palexpo</w:t>
      </w:r>
      <w:proofErr w:type="spellEnd"/>
    </w:p>
    <w:p w14:paraId="1BE95580" w14:textId="77777777" w:rsidR="00603BF6" w:rsidRPr="00AF2E2C" w:rsidRDefault="00603BF6" w:rsidP="00603BF6">
      <w:pPr>
        <w:textDirection w:val="tbRlV"/>
        <w:rPr>
          <w:lang w:val="ar-SA" w:eastAsia="zh-TW" w:bidi="en-GB"/>
        </w:rPr>
      </w:pPr>
      <w:r w:rsidRPr="00AF2E2C">
        <w:rPr>
          <w:rtl/>
        </w:rPr>
        <w:t xml:space="preserve">يوفر مركز </w:t>
      </w:r>
      <w:proofErr w:type="spellStart"/>
      <w:r w:rsidRPr="00AF2E2C">
        <w:t>Palexpo</w:t>
      </w:r>
      <w:proofErr w:type="spellEnd"/>
      <w:r w:rsidRPr="00AF2E2C">
        <w:rPr>
          <w:rtl/>
        </w:rPr>
        <w:t xml:space="preserve"> للمؤتمرات الذي تم توسيعه حديثاً الخيار البديل الأكثر عملية لعقد غالبية اجتماعات الاتحاد في مكان واحد بجنيف في عام 2028 (وفي عام 2029 إذا لزم الأمر).</w:t>
      </w:r>
    </w:p>
    <w:p w14:paraId="6181D1A9" w14:textId="478CF3A8" w:rsidR="00603BF6" w:rsidRPr="00AF2E2C" w:rsidRDefault="00603BF6" w:rsidP="00603BF6">
      <w:pPr>
        <w:textDirection w:val="tbRlV"/>
        <w:rPr>
          <w:lang w:val="ar-SA" w:eastAsia="zh-TW" w:bidi="en-GB"/>
        </w:rPr>
      </w:pPr>
      <w:r w:rsidRPr="00AF2E2C">
        <w:rPr>
          <w:rtl/>
        </w:rPr>
        <w:t xml:space="preserve">وقدم مركز </w:t>
      </w:r>
      <w:proofErr w:type="spellStart"/>
      <w:r w:rsidRPr="00AF2E2C">
        <w:t>Palexpo</w:t>
      </w:r>
      <w:proofErr w:type="spellEnd"/>
      <w:r w:rsidRPr="00AF2E2C">
        <w:rPr>
          <w:rtl/>
        </w:rPr>
        <w:t xml:space="preserve"> عرض أسعار بمبلغ 980</w:t>
      </w:r>
      <w:r w:rsidR="007D346C">
        <w:t> </w:t>
      </w:r>
      <w:r w:rsidRPr="00AF2E2C">
        <w:rPr>
          <w:rtl/>
        </w:rPr>
        <w:t>558 فرنكاً سويسرياً لاستئجار 12 قاعة اجتماع على أساس حصري، يديرها الاتحاد بشكل مستقل، لمدة 12 شهراً. وستكون هناك حاجة إلى قاعات إضافية، ويمكن استئجارها</w:t>
      </w:r>
      <w:r>
        <w:rPr>
          <w:rtl/>
        </w:rPr>
        <w:t>، رهناً بتوافرها</w:t>
      </w:r>
      <w:r w:rsidRPr="00AF2E2C">
        <w:rPr>
          <w:rtl/>
        </w:rPr>
        <w:t xml:space="preserve">، مع خصم بنسبة </w:t>
      </w:r>
      <w:r w:rsidRPr="00AF2E2C">
        <w:t>40</w:t>
      </w:r>
      <w:r w:rsidR="00810F01">
        <w:rPr>
          <w:rtl/>
        </w:rPr>
        <w:t>%</w:t>
      </w:r>
      <w:r w:rsidRPr="00AF2E2C">
        <w:rPr>
          <w:rtl/>
        </w:rPr>
        <w:t xml:space="preserve"> على التكاليف العادية.</w:t>
      </w:r>
    </w:p>
    <w:p w14:paraId="4C552925" w14:textId="3BD7D550" w:rsidR="00603BF6" w:rsidRPr="00AF2E2C" w:rsidRDefault="00603BF6" w:rsidP="00603BF6">
      <w:pPr>
        <w:textDirection w:val="tbRlV"/>
        <w:rPr>
          <w:lang w:val="ar-SA" w:eastAsia="zh-TW" w:bidi="en-GB"/>
        </w:rPr>
      </w:pPr>
      <w:r w:rsidRPr="00AF2E2C">
        <w:rPr>
          <w:rtl/>
        </w:rPr>
        <w:t xml:space="preserve">وستُفرض تكاليف إضافية مقابل الخدمات </w:t>
      </w:r>
      <w:r w:rsidR="00810F01">
        <w:rPr>
          <w:rFonts w:hint="cs"/>
          <w:rtl/>
        </w:rPr>
        <w:t>التقنية</w:t>
      </w:r>
      <w:r w:rsidRPr="00AF2E2C">
        <w:rPr>
          <w:rtl/>
        </w:rPr>
        <w:t xml:space="preserve"> والأمن والتنظيف وأي تغيير في إعداد القاعات (من نمط الفصل الدراسي إلى نمط قاعة اجتماعات مجلس الإدارة، مثلاً). وتبلغ التكاليف الإرشادية لخدمات التنظيف التي يقدمها مركز </w:t>
      </w:r>
      <w:proofErr w:type="spellStart"/>
      <w:r>
        <w:t>Palexpo</w:t>
      </w:r>
      <w:proofErr w:type="spellEnd"/>
      <w:r>
        <w:rPr>
          <w:rtl/>
        </w:rPr>
        <w:t xml:space="preserve"> 260 ف</w:t>
      </w:r>
      <w:r w:rsidRPr="00AF2E2C">
        <w:rPr>
          <w:rtl/>
        </w:rPr>
        <w:t xml:space="preserve">رنكاً سويسرياً في اليوم؛ ويمكن الاستعانة بمصادر خارجية لخدمات التنظيف إذا لزم الأمر. وتبلغ تكلفة خدمات الأمن 58 فرنكاً سويسرياً في الساعة، ويجب أن يقدمها أحد شركاء </w:t>
      </w:r>
      <w:proofErr w:type="spellStart"/>
      <w:r w:rsidRPr="00AF2E2C">
        <w:t>Palexpo</w:t>
      </w:r>
      <w:proofErr w:type="spellEnd"/>
      <w:r w:rsidRPr="00AF2E2C">
        <w:rPr>
          <w:rtl/>
        </w:rPr>
        <w:t xml:space="preserve"> الرسميين الثلاثة. وتستند هذه التكاليف إلى أسعار عام 2024 وهي إرشادية فقط.</w:t>
      </w:r>
    </w:p>
    <w:p w14:paraId="7A1847BB" w14:textId="77777777" w:rsidR="00603BF6" w:rsidRPr="00AF2E2C" w:rsidRDefault="00603BF6" w:rsidP="00810F01">
      <w:pPr>
        <w:pStyle w:val="Tabletitle"/>
        <w:rPr>
          <w:lang w:val="ar-SA" w:eastAsia="zh-TW" w:bidi="en-GB"/>
        </w:rPr>
      </w:pPr>
      <w:r w:rsidRPr="00AF2E2C">
        <w:rPr>
          <w:rtl/>
        </w:rPr>
        <w:t xml:space="preserve">التكاليف الإرشادية لاستضافة جميع الاجتماعات في مركز </w:t>
      </w:r>
      <w:proofErr w:type="spellStart"/>
      <w:r w:rsidRPr="00AF2E2C">
        <w:t>Palexpo</w:t>
      </w:r>
      <w:proofErr w:type="spellEnd"/>
      <w:r w:rsidRPr="00AF2E2C">
        <w:rPr>
          <w:rtl/>
        </w:rPr>
        <w:t xml:space="preserve"> لمدة عام</w:t>
      </w:r>
    </w:p>
    <w:tbl>
      <w:tblPr>
        <w:tblStyle w:val="TableGrid"/>
        <w:bidiVisual/>
        <w:tblW w:w="0" w:type="auto"/>
        <w:jc w:val="center"/>
        <w:tblLayout w:type="fixed"/>
        <w:tblLook w:val="04A0" w:firstRow="1" w:lastRow="0" w:firstColumn="1" w:lastColumn="0" w:noHBand="0" w:noVBand="1"/>
      </w:tblPr>
      <w:tblGrid>
        <w:gridCol w:w="3405"/>
        <w:gridCol w:w="3399"/>
      </w:tblGrid>
      <w:tr w:rsidR="00603BF6" w:rsidRPr="00AF2E2C" w14:paraId="5BE4481C" w14:textId="77777777" w:rsidTr="00810F01">
        <w:trPr>
          <w:jc w:val="center"/>
        </w:trPr>
        <w:tc>
          <w:tcPr>
            <w:tcW w:w="3405" w:type="dxa"/>
          </w:tcPr>
          <w:p w14:paraId="1084C23A" w14:textId="77777777" w:rsidR="00603BF6" w:rsidRPr="00AF2E2C" w:rsidRDefault="00603BF6" w:rsidP="00810F01">
            <w:pPr>
              <w:pStyle w:val="Tablehead"/>
              <w:rPr>
                <w:lang w:val="ar-SA" w:eastAsia="zh-TW" w:bidi="en-GB"/>
              </w:rPr>
            </w:pPr>
            <w:r w:rsidRPr="00AF2E2C">
              <w:rPr>
                <w:rtl/>
              </w:rPr>
              <w:t>الغرض</w:t>
            </w:r>
          </w:p>
        </w:tc>
        <w:tc>
          <w:tcPr>
            <w:tcW w:w="3399" w:type="dxa"/>
          </w:tcPr>
          <w:p w14:paraId="501BF71F" w14:textId="77777777" w:rsidR="00603BF6" w:rsidRPr="00AF2E2C" w:rsidRDefault="00603BF6" w:rsidP="00810F01">
            <w:pPr>
              <w:pStyle w:val="Tablehead"/>
              <w:rPr>
                <w:lang w:val="ar-SA" w:eastAsia="zh-TW" w:bidi="en-GB"/>
              </w:rPr>
            </w:pPr>
            <w:r w:rsidRPr="00AF2E2C">
              <w:rPr>
                <w:rtl/>
              </w:rPr>
              <w:t>التكلفة السنوية (بالفرنكات السويسرية)</w:t>
            </w:r>
          </w:p>
        </w:tc>
      </w:tr>
      <w:tr w:rsidR="00603BF6" w:rsidRPr="00AF2E2C" w14:paraId="73334406" w14:textId="77777777" w:rsidTr="00810F01">
        <w:trPr>
          <w:jc w:val="center"/>
        </w:trPr>
        <w:tc>
          <w:tcPr>
            <w:tcW w:w="3405" w:type="dxa"/>
          </w:tcPr>
          <w:p w14:paraId="5FAF50EE" w14:textId="77777777" w:rsidR="00603BF6" w:rsidRPr="00AF2E2C" w:rsidRDefault="00603BF6" w:rsidP="00810F01">
            <w:pPr>
              <w:pStyle w:val="Tabletexte"/>
              <w:rPr>
                <w:lang w:val="ar-SA" w:eastAsia="zh-TW" w:bidi="en-GB"/>
              </w:rPr>
            </w:pPr>
            <w:r w:rsidRPr="00AF2E2C">
              <w:rPr>
                <w:rtl/>
              </w:rPr>
              <w:t>استئجار (12 قاعة اجتماع)</w:t>
            </w:r>
          </w:p>
        </w:tc>
        <w:tc>
          <w:tcPr>
            <w:tcW w:w="3399" w:type="dxa"/>
          </w:tcPr>
          <w:p w14:paraId="63C0B6D7" w14:textId="13DC4F6E" w:rsidR="00603BF6" w:rsidRPr="00AF2E2C" w:rsidRDefault="00603BF6" w:rsidP="00810F01">
            <w:pPr>
              <w:pStyle w:val="Tabletexte"/>
              <w:jc w:val="center"/>
              <w:rPr>
                <w:lang w:val="ar-SA" w:eastAsia="zh-TW" w:bidi="en-GB"/>
              </w:rPr>
            </w:pPr>
            <w:r w:rsidRPr="00AF2E2C">
              <w:rPr>
                <w:rtl/>
              </w:rPr>
              <w:t>980</w:t>
            </w:r>
            <w:r w:rsidR="007D346C">
              <w:t> </w:t>
            </w:r>
            <w:r w:rsidRPr="00AF2E2C">
              <w:rPr>
                <w:rtl/>
              </w:rPr>
              <w:t>558</w:t>
            </w:r>
          </w:p>
        </w:tc>
      </w:tr>
      <w:tr w:rsidR="00603BF6" w:rsidRPr="00AF2E2C" w14:paraId="6401F168" w14:textId="77777777" w:rsidTr="00810F01">
        <w:trPr>
          <w:jc w:val="center"/>
        </w:trPr>
        <w:tc>
          <w:tcPr>
            <w:tcW w:w="3405" w:type="dxa"/>
          </w:tcPr>
          <w:p w14:paraId="10C585EE" w14:textId="77777777" w:rsidR="00603BF6" w:rsidRPr="00AF2E2C" w:rsidRDefault="00603BF6" w:rsidP="00810F01">
            <w:pPr>
              <w:pStyle w:val="Tabletexte"/>
              <w:rPr>
                <w:lang w:val="ar-SA" w:eastAsia="zh-TW" w:bidi="en-GB"/>
              </w:rPr>
            </w:pPr>
            <w:r w:rsidRPr="00AF2E2C">
              <w:rPr>
                <w:rtl/>
              </w:rPr>
              <w:t>استئجار قاعات إضافية (رهناً بتو</w:t>
            </w:r>
            <w:r>
              <w:rPr>
                <w:rtl/>
              </w:rPr>
              <w:t>ا</w:t>
            </w:r>
            <w:r w:rsidRPr="00AF2E2C">
              <w:rPr>
                <w:rtl/>
              </w:rPr>
              <w:t>فرها)</w:t>
            </w:r>
          </w:p>
        </w:tc>
        <w:tc>
          <w:tcPr>
            <w:tcW w:w="3399" w:type="dxa"/>
          </w:tcPr>
          <w:p w14:paraId="04AFB6BC" w14:textId="1364E1C2" w:rsidR="00603BF6" w:rsidRPr="00AF2E2C" w:rsidRDefault="00603BF6" w:rsidP="00810F01">
            <w:pPr>
              <w:pStyle w:val="Tabletexte"/>
              <w:jc w:val="center"/>
              <w:rPr>
                <w:lang w:val="ar-SA" w:eastAsia="zh-TW" w:bidi="en-GB"/>
              </w:rPr>
            </w:pPr>
            <w:r w:rsidRPr="00AF2E2C">
              <w:rPr>
                <w:rtl/>
              </w:rPr>
              <w:t>000</w:t>
            </w:r>
            <w:r w:rsidR="007D346C">
              <w:t> </w:t>
            </w:r>
            <w:r w:rsidRPr="00AF2E2C">
              <w:rPr>
                <w:rtl/>
              </w:rPr>
              <w:t>500</w:t>
            </w:r>
          </w:p>
        </w:tc>
      </w:tr>
      <w:tr w:rsidR="00603BF6" w:rsidRPr="00AF2E2C" w14:paraId="2A7C2F03" w14:textId="77777777" w:rsidTr="00810F01">
        <w:trPr>
          <w:jc w:val="center"/>
        </w:trPr>
        <w:tc>
          <w:tcPr>
            <w:tcW w:w="3405" w:type="dxa"/>
          </w:tcPr>
          <w:p w14:paraId="39971BF1" w14:textId="77777777" w:rsidR="00603BF6" w:rsidRPr="00AF2E2C" w:rsidRDefault="00603BF6" w:rsidP="00810F01">
            <w:pPr>
              <w:pStyle w:val="Tabletexte"/>
              <w:rPr>
                <w:lang w:val="ar-SA" w:eastAsia="zh-TW" w:bidi="en-GB"/>
              </w:rPr>
            </w:pPr>
            <w:r w:rsidRPr="00AF2E2C">
              <w:rPr>
                <w:rtl/>
              </w:rPr>
              <w:t>الخدمات التقنية وإعداد القاعات</w:t>
            </w:r>
          </w:p>
        </w:tc>
        <w:tc>
          <w:tcPr>
            <w:tcW w:w="3399" w:type="dxa"/>
          </w:tcPr>
          <w:p w14:paraId="7517BB5F" w14:textId="75FF7B80" w:rsidR="00603BF6" w:rsidRPr="00AF2E2C" w:rsidRDefault="00603BF6" w:rsidP="00810F01">
            <w:pPr>
              <w:pStyle w:val="Tabletexte"/>
              <w:jc w:val="center"/>
              <w:rPr>
                <w:lang w:val="ar-SA" w:eastAsia="zh-TW" w:bidi="en-GB"/>
              </w:rPr>
            </w:pPr>
            <w:r w:rsidRPr="00AF2E2C">
              <w:rPr>
                <w:rtl/>
              </w:rPr>
              <w:t>000</w:t>
            </w:r>
            <w:r w:rsidR="007D346C">
              <w:t> </w:t>
            </w:r>
            <w:r w:rsidRPr="00AF2E2C">
              <w:rPr>
                <w:rtl/>
              </w:rPr>
              <w:t>000</w:t>
            </w:r>
            <w:r w:rsidR="007D346C">
              <w:t> </w:t>
            </w:r>
            <w:r w:rsidRPr="00AF2E2C">
              <w:rPr>
                <w:rtl/>
              </w:rPr>
              <w:t>3</w:t>
            </w:r>
          </w:p>
        </w:tc>
      </w:tr>
      <w:tr w:rsidR="00603BF6" w:rsidRPr="00AF2E2C" w14:paraId="47FA4123" w14:textId="77777777" w:rsidTr="00810F01">
        <w:trPr>
          <w:jc w:val="center"/>
        </w:trPr>
        <w:tc>
          <w:tcPr>
            <w:tcW w:w="3405" w:type="dxa"/>
          </w:tcPr>
          <w:p w14:paraId="79245789" w14:textId="77777777" w:rsidR="00603BF6" w:rsidRPr="00AF2E2C" w:rsidRDefault="00603BF6" w:rsidP="00810F01">
            <w:pPr>
              <w:pStyle w:val="Tabletexte"/>
              <w:rPr>
                <w:lang w:val="ar-SA" w:eastAsia="zh-TW" w:bidi="en-GB"/>
              </w:rPr>
            </w:pPr>
            <w:r w:rsidRPr="00AF2E2C">
              <w:rPr>
                <w:rtl/>
              </w:rPr>
              <w:t>الأمن</w:t>
            </w:r>
          </w:p>
        </w:tc>
        <w:tc>
          <w:tcPr>
            <w:tcW w:w="3399" w:type="dxa"/>
          </w:tcPr>
          <w:p w14:paraId="023F0D9F" w14:textId="77C6FF36" w:rsidR="00603BF6" w:rsidRPr="00AF2E2C" w:rsidRDefault="00603BF6" w:rsidP="00810F01">
            <w:pPr>
              <w:pStyle w:val="Tabletexte"/>
              <w:jc w:val="center"/>
              <w:rPr>
                <w:lang w:val="ar-SA" w:eastAsia="zh-TW" w:bidi="en-GB"/>
              </w:rPr>
            </w:pPr>
            <w:r w:rsidRPr="00AF2E2C">
              <w:rPr>
                <w:rtl/>
              </w:rPr>
              <w:t>000</w:t>
            </w:r>
            <w:r w:rsidR="007D346C">
              <w:t> </w:t>
            </w:r>
            <w:r w:rsidRPr="00AF2E2C">
              <w:rPr>
                <w:rtl/>
              </w:rPr>
              <w:t>500</w:t>
            </w:r>
          </w:p>
        </w:tc>
      </w:tr>
      <w:tr w:rsidR="00603BF6" w:rsidRPr="00AF2E2C" w14:paraId="398D5F86" w14:textId="77777777" w:rsidTr="00810F01">
        <w:trPr>
          <w:jc w:val="center"/>
        </w:trPr>
        <w:tc>
          <w:tcPr>
            <w:tcW w:w="3405" w:type="dxa"/>
          </w:tcPr>
          <w:p w14:paraId="66A1B448" w14:textId="77777777" w:rsidR="00603BF6" w:rsidRPr="00AF2E2C" w:rsidRDefault="00603BF6" w:rsidP="00810F01">
            <w:pPr>
              <w:pStyle w:val="Tabletexte"/>
              <w:rPr>
                <w:lang w:val="ar-SA" w:eastAsia="zh-TW" w:bidi="en-GB"/>
              </w:rPr>
            </w:pPr>
            <w:r w:rsidRPr="00AF2E2C">
              <w:rPr>
                <w:rtl/>
              </w:rPr>
              <w:t>التنظيف</w:t>
            </w:r>
          </w:p>
        </w:tc>
        <w:tc>
          <w:tcPr>
            <w:tcW w:w="3399" w:type="dxa"/>
          </w:tcPr>
          <w:p w14:paraId="648E1375" w14:textId="74EAEAF4" w:rsidR="00603BF6" w:rsidRPr="00AF2E2C" w:rsidRDefault="00603BF6" w:rsidP="00810F01">
            <w:pPr>
              <w:pStyle w:val="Tabletexte"/>
              <w:jc w:val="center"/>
              <w:rPr>
                <w:lang w:val="ar-SA" w:eastAsia="zh-TW" w:bidi="en-GB"/>
              </w:rPr>
            </w:pPr>
            <w:r w:rsidRPr="00AF2E2C">
              <w:rPr>
                <w:rtl/>
              </w:rPr>
              <w:t>000</w:t>
            </w:r>
            <w:r w:rsidR="007D346C">
              <w:t> </w:t>
            </w:r>
            <w:r w:rsidRPr="00AF2E2C">
              <w:rPr>
                <w:rtl/>
              </w:rPr>
              <w:t>60</w:t>
            </w:r>
          </w:p>
        </w:tc>
      </w:tr>
      <w:tr w:rsidR="00603BF6" w:rsidRPr="00AF2E2C" w14:paraId="3B01266A" w14:textId="77777777" w:rsidTr="00810F01">
        <w:trPr>
          <w:jc w:val="center"/>
        </w:trPr>
        <w:tc>
          <w:tcPr>
            <w:tcW w:w="3405" w:type="dxa"/>
          </w:tcPr>
          <w:p w14:paraId="7F96605B" w14:textId="77777777" w:rsidR="00603BF6" w:rsidRPr="00AF2E2C" w:rsidRDefault="00603BF6" w:rsidP="009B7E2C">
            <w:pPr>
              <w:pStyle w:val="Tabletexte"/>
              <w:jc w:val="right"/>
              <w:rPr>
                <w:lang w:val="ar-SA" w:eastAsia="zh-TW" w:bidi="en-GB"/>
              </w:rPr>
            </w:pPr>
            <w:r w:rsidRPr="00AF2E2C">
              <w:rPr>
                <w:b/>
                <w:bCs/>
                <w:rtl/>
              </w:rPr>
              <w:t>المجموع</w:t>
            </w:r>
          </w:p>
        </w:tc>
        <w:tc>
          <w:tcPr>
            <w:tcW w:w="3399" w:type="dxa"/>
          </w:tcPr>
          <w:p w14:paraId="46FB8A9B" w14:textId="5FFC4E98" w:rsidR="00603BF6" w:rsidRPr="00AF2E2C" w:rsidRDefault="00603BF6" w:rsidP="00810F01">
            <w:pPr>
              <w:pStyle w:val="Tabletexte"/>
              <w:jc w:val="center"/>
              <w:rPr>
                <w:lang w:val="ar-SA" w:eastAsia="zh-TW" w:bidi="en-GB"/>
              </w:rPr>
            </w:pPr>
            <w:r w:rsidRPr="00AF2E2C">
              <w:rPr>
                <w:b/>
                <w:bCs/>
                <w:rtl/>
              </w:rPr>
              <w:t>980</w:t>
            </w:r>
            <w:r w:rsidR="007D346C">
              <w:rPr>
                <w:b/>
                <w:bCs/>
              </w:rPr>
              <w:t> </w:t>
            </w:r>
            <w:r w:rsidRPr="00AF2E2C">
              <w:rPr>
                <w:b/>
                <w:bCs/>
                <w:rtl/>
              </w:rPr>
              <w:t>618</w:t>
            </w:r>
            <w:r w:rsidR="007D346C">
              <w:rPr>
                <w:b/>
                <w:bCs/>
              </w:rPr>
              <w:t> </w:t>
            </w:r>
            <w:r w:rsidRPr="00AF2E2C">
              <w:rPr>
                <w:b/>
                <w:bCs/>
                <w:rtl/>
              </w:rPr>
              <w:t>4</w:t>
            </w:r>
          </w:p>
        </w:tc>
      </w:tr>
    </w:tbl>
    <w:p w14:paraId="3D5941AC" w14:textId="77777777" w:rsidR="00603BF6" w:rsidRPr="00AF2E2C" w:rsidRDefault="00603BF6" w:rsidP="00810F01">
      <w:pPr>
        <w:pStyle w:val="Headingb"/>
        <w:rPr>
          <w:lang w:val="ar-SA" w:eastAsia="zh-TW" w:bidi="en-GB"/>
        </w:rPr>
      </w:pPr>
      <w:r w:rsidRPr="00AF2E2C">
        <w:rPr>
          <w:rtl/>
        </w:rPr>
        <w:lastRenderedPageBreak/>
        <w:t>الشروط والأحكام</w:t>
      </w:r>
    </w:p>
    <w:p w14:paraId="24392FC3" w14:textId="77777777" w:rsidR="00603BF6" w:rsidRPr="009B7E2C" w:rsidRDefault="00603BF6" w:rsidP="00603BF6">
      <w:pPr>
        <w:textDirection w:val="tbRlV"/>
        <w:rPr>
          <w:spacing w:val="2"/>
          <w:lang w:val="ar-SA" w:eastAsia="zh-TW" w:bidi="en-GB"/>
        </w:rPr>
      </w:pPr>
      <w:r w:rsidRPr="009B7E2C">
        <w:rPr>
          <w:spacing w:val="2"/>
          <w:rtl/>
        </w:rPr>
        <w:t xml:space="preserve">يتطلب مركز </w:t>
      </w:r>
      <w:proofErr w:type="spellStart"/>
      <w:r w:rsidRPr="009B7E2C">
        <w:rPr>
          <w:spacing w:val="2"/>
        </w:rPr>
        <w:t>Palexpo</w:t>
      </w:r>
      <w:proofErr w:type="spellEnd"/>
      <w:r w:rsidRPr="009B7E2C">
        <w:rPr>
          <w:spacing w:val="2"/>
          <w:rtl/>
        </w:rPr>
        <w:t xml:space="preserve"> أن يوقَّع أي عقد لعام 2028 بحلول 31 ديسمبر 2025 على أبعد تقدير، ولعام 2029 بحلول 31 ديسمبر 2026 على أبعد تقدير. وتطبَّق تكاليف الإلغاء بنسبة 100 في </w:t>
      </w:r>
      <w:proofErr w:type="gramStart"/>
      <w:r w:rsidRPr="009B7E2C">
        <w:rPr>
          <w:spacing w:val="2"/>
          <w:rtl/>
        </w:rPr>
        <w:t>المائة</w:t>
      </w:r>
      <w:proofErr w:type="gramEnd"/>
      <w:r w:rsidRPr="009B7E2C">
        <w:rPr>
          <w:spacing w:val="2"/>
          <w:rtl/>
        </w:rPr>
        <w:t xml:space="preserve"> بعد تاريخ التوقيع.</w:t>
      </w:r>
    </w:p>
    <w:p w14:paraId="40EA223C" w14:textId="77777777" w:rsidR="00603BF6" w:rsidRPr="00AF2E2C" w:rsidRDefault="00603BF6" w:rsidP="00810F01">
      <w:pPr>
        <w:pStyle w:val="Headingb"/>
        <w:rPr>
          <w:lang w:val="ar-SA" w:eastAsia="zh-TW" w:bidi="en-GB"/>
        </w:rPr>
      </w:pPr>
      <w:r w:rsidRPr="00AF2E2C">
        <w:rPr>
          <w:rtl/>
        </w:rPr>
        <w:t>وكالات دولية أخرى كأماكن للاجتماعات</w:t>
      </w:r>
    </w:p>
    <w:p w14:paraId="71301BD4" w14:textId="77777777" w:rsidR="00603BF6" w:rsidRPr="00AF2E2C" w:rsidRDefault="00603BF6" w:rsidP="00603BF6">
      <w:pPr>
        <w:textDirection w:val="tbRlV"/>
        <w:rPr>
          <w:lang w:val="ar-SA" w:eastAsia="zh-TW" w:bidi="en-GB"/>
        </w:rPr>
      </w:pPr>
      <w:r w:rsidRPr="00AF2E2C">
        <w:rPr>
          <w:rtl/>
        </w:rPr>
        <w:t>الضغط متزايد على أماكن الاجتماعات في جنيف الدولية حتى عام 2030 نظراً لتنفيذ العديد من مشاريع البناء الكبرى بالتوازي، وارتفاع الطلب بشكل كبير، وقلة عدد قاعات الاجتماع المتاحة للاستخدام الخارجي.</w:t>
      </w:r>
    </w:p>
    <w:p w14:paraId="5DA89185" w14:textId="6E9DA2DC" w:rsidR="00603BF6" w:rsidRPr="00AF2E2C" w:rsidRDefault="00603BF6" w:rsidP="00603BF6">
      <w:pPr>
        <w:textDirection w:val="tbRlV"/>
        <w:rPr>
          <w:lang w:val="ar-SA" w:eastAsia="zh-TW" w:bidi="en-GB"/>
        </w:rPr>
      </w:pPr>
      <w:r w:rsidRPr="00AF2E2C">
        <w:rPr>
          <w:rtl/>
        </w:rPr>
        <w:t>وبشكل عام، لا تقبل الوكالات الدولية الأخرى الحجوزات الخارجية لأماكن الاجتماعات أو لا يمكنها إتاحة القاعات إلا على أساس مخصص ومحدود في غضون مهلة قصيرة. ومن الصعب الاستفادة من المرافق الموجودة في الوكالات الدولية الأخرى داخل جنيف نظراً للمهلة الزمنية اللازمة ليتمكن المندوبون من التخطيط لحضورهم، والمتطلبات الأمنية المرتبطة بالاختلافات في العضوية بين المنظمات، والاختلافات في البنية التحتية والخدمات المقدمة.</w:t>
      </w:r>
    </w:p>
    <w:p w14:paraId="26E37EC0" w14:textId="0EE6DE8D" w:rsidR="00603BF6" w:rsidRPr="00AF2E2C" w:rsidRDefault="00603BF6" w:rsidP="00603BF6">
      <w:pPr>
        <w:textDirection w:val="tbRlV"/>
        <w:rPr>
          <w:lang w:val="ar-SA" w:eastAsia="zh-TW" w:bidi="en-GB"/>
        </w:rPr>
      </w:pPr>
      <w:r w:rsidRPr="00AF2E2C">
        <w:rPr>
          <w:rtl/>
        </w:rPr>
        <w:t xml:space="preserve">وقد يكون لدى منظمة الصحة العالمية </w:t>
      </w:r>
      <w:r w:rsidR="00810F01">
        <w:t>(</w:t>
      </w:r>
      <w:r w:rsidRPr="00AF2E2C">
        <w:t>WHO</w:t>
      </w:r>
      <w:r w:rsidR="00810F01">
        <w:t>)</w:t>
      </w:r>
      <w:r w:rsidRPr="00AF2E2C">
        <w:rPr>
          <w:rtl/>
        </w:rPr>
        <w:t xml:space="preserve"> ومكتب الأمم المتحدة في جنيف (</w:t>
      </w:r>
      <w:r w:rsidRPr="00AF2E2C">
        <w:t>UNOG</w:t>
      </w:r>
      <w:r w:rsidRPr="00AF2E2C">
        <w:rPr>
          <w:rtl/>
        </w:rPr>
        <w:t>) عدد محدود</w:t>
      </w:r>
      <w:r w:rsidR="00810F01">
        <w:rPr>
          <w:rFonts w:hint="cs"/>
          <w:rtl/>
        </w:rPr>
        <w:t>ٍ</w:t>
      </w:r>
      <w:r w:rsidRPr="00AF2E2C">
        <w:rPr>
          <w:rtl/>
        </w:rPr>
        <w:t xml:space="preserve"> من القاعات المتاحة للإيجار في عام 2028 على أساس</w:t>
      </w:r>
      <w:r w:rsidR="00810F01">
        <w:rPr>
          <w:rFonts w:hint="cs"/>
          <w:rtl/>
        </w:rPr>
        <w:t>ٍ</w:t>
      </w:r>
      <w:r w:rsidRPr="00AF2E2C">
        <w:rPr>
          <w:rtl/>
        </w:rPr>
        <w:t xml:space="preserve"> مخصص</w:t>
      </w:r>
      <w:r w:rsidR="00810F01">
        <w:rPr>
          <w:rFonts w:hint="cs"/>
          <w:rtl/>
        </w:rPr>
        <w:t>ٍ</w:t>
      </w:r>
      <w:r w:rsidRPr="00AF2E2C">
        <w:rPr>
          <w:rtl/>
        </w:rPr>
        <w:t>. ويمكن تقديم تأكيد التوافر قبل الاجتماعات بستة أشهر كحد</w:t>
      </w:r>
      <w:r w:rsidR="00810F01">
        <w:rPr>
          <w:rFonts w:hint="cs"/>
          <w:rtl/>
        </w:rPr>
        <w:t>ٍ</w:t>
      </w:r>
      <w:r w:rsidRPr="00AF2E2C">
        <w:rPr>
          <w:rtl/>
        </w:rPr>
        <w:t xml:space="preserve"> أقصى.</w:t>
      </w:r>
    </w:p>
    <w:p w14:paraId="008240A7" w14:textId="1E8BDE5A" w:rsidR="00603BF6" w:rsidRPr="00AF2E2C" w:rsidRDefault="00603BF6" w:rsidP="009B7E2C">
      <w:pPr>
        <w:pStyle w:val="Headingb"/>
        <w:rPr>
          <w:lang w:val="ar-SA" w:eastAsia="zh-TW" w:bidi="en-GB"/>
        </w:rPr>
      </w:pPr>
      <w:r w:rsidRPr="00AF2E2C">
        <w:rPr>
          <w:rtl/>
        </w:rPr>
        <w:t xml:space="preserve">مكتب الأمم المتحدة في جنيف </w:t>
      </w:r>
      <w:r w:rsidR="00810F01">
        <w:t>(</w:t>
      </w:r>
      <w:r w:rsidRPr="00AF2E2C">
        <w:t>UNOG</w:t>
      </w:r>
      <w:r w:rsidR="00810F01">
        <w:t>)</w:t>
      </w:r>
    </w:p>
    <w:p w14:paraId="1FF7034A" w14:textId="571F8E09" w:rsidR="00603BF6" w:rsidRPr="00AF2E2C" w:rsidRDefault="00603BF6" w:rsidP="00603BF6">
      <w:pPr>
        <w:textDirection w:val="tbRlV"/>
        <w:rPr>
          <w:lang w:val="ar-SA" w:eastAsia="zh-TW" w:bidi="en-GB"/>
        </w:rPr>
      </w:pPr>
      <w:r w:rsidRPr="00AF2E2C">
        <w:rPr>
          <w:rtl/>
        </w:rPr>
        <w:t xml:space="preserve">أقام مكتب الأمم المتحدة في جنيف </w:t>
      </w:r>
      <w:r w:rsidR="00810F01">
        <w:t>(</w:t>
      </w:r>
      <w:r w:rsidRPr="00AF2E2C">
        <w:t>UNOG</w:t>
      </w:r>
      <w:r w:rsidR="00810F01">
        <w:t>)</w:t>
      </w:r>
      <w:r w:rsidRPr="00AF2E2C">
        <w:rPr>
          <w:rtl/>
        </w:rPr>
        <w:t>، في إطار التجديد الجاري لمرافق المؤتمرات التابعة له، هيكلاً مؤقتاً للمؤتمرات قد يكون متاحاً كي يؤجره الاتحاد ويستخدمه اعتباراً من عام 2028.</w:t>
      </w:r>
    </w:p>
    <w:p w14:paraId="6245DF56" w14:textId="463DB9D4" w:rsidR="00603BF6" w:rsidRPr="00AF2E2C" w:rsidRDefault="00603BF6" w:rsidP="00810F01">
      <w:pPr>
        <w:textDirection w:val="tbRlV"/>
        <w:rPr>
          <w:lang w:val="ar-SA" w:eastAsia="zh-TW" w:bidi="en-GB"/>
        </w:rPr>
      </w:pPr>
      <w:r w:rsidRPr="00AF2E2C">
        <w:rPr>
          <w:rtl/>
        </w:rPr>
        <w:t xml:space="preserve">ويوفر الهيكل مساحة للاجتماعات تتسع لما مجموعه 600 مشارك مع إمكانية إعادة ترتيبها في شكل 3 قاعات تستوعب كل واحدة منها 200 مشارك. والهيكل مجهز بالكامل بمقصورات المترجمين الشفويين والمعدات السمعية المرئية والتقنية اللازمة لتمكين البث الشبكي والعرض النصي والمشاركة عن بُعد. ومع ذلك، فإن الهيكل </w:t>
      </w:r>
      <w:proofErr w:type="gramStart"/>
      <w:r w:rsidRPr="00AF2E2C">
        <w:rPr>
          <w:rtl/>
        </w:rPr>
        <w:t>الكامل</w:t>
      </w:r>
      <w:proofErr w:type="gramEnd"/>
      <w:r w:rsidRPr="00AF2E2C">
        <w:rPr>
          <w:rtl/>
        </w:rPr>
        <w:t xml:space="preserve"> حتى لو تم تأجيره لمدة عام بأكمله، لا يمكنه استيعاب سوى عدد محدود من اجتماعات الاتحاد خلال عام 2028، إذ لا يمكن استخدامه إلا لاجتماع واحد في كل مرة، علماً أن جلسات الاجتماع الواحد لا يمكن تقسيمها بين أماكن</w:t>
      </w:r>
      <w:r w:rsidR="00341BCC">
        <w:t xml:space="preserve"> </w:t>
      </w:r>
      <w:r w:rsidR="004604E2">
        <w:rPr>
          <w:rFonts w:hint="cs"/>
          <w:rtl/>
        </w:rPr>
        <w:t>مختلفة</w:t>
      </w:r>
      <w:r w:rsidRPr="00AF2E2C">
        <w:rPr>
          <w:rtl/>
        </w:rPr>
        <w:t xml:space="preserve"> بسبب ما</w:t>
      </w:r>
      <w:r w:rsidR="00341BCC">
        <w:t> </w:t>
      </w:r>
      <w:r w:rsidRPr="00AF2E2C">
        <w:rPr>
          <w:rtl/>
        </w:rPr>
        <w:t xml:space="preserve">تنطوي عليه من مسافات. ولهذا السبب، ستظل هناك حاجة إلى معظم القاعات في مركز </w:t>
      </w:r>
      <w:proofErr w:type="spellStart"/>
      <w:r w:rsidRPr="00AF2E2C">
        <w:rPr>
          <w:rtl/>
        </w:rPr>
        <w:t>Palexpo</w:t>
      </w:r>
      <w:proofErr w:type="spellEnd"/>
      <w:r w:rsidRPr="00AF2E2C">
        <w:rPr>
          <w:rtl/>
        </w:rPr>
        <w:t>.</w:t>
      </w:r>
    </w:p>
    <w:p w14:paraId="2D95C717" w14:textId="77777777" w:rsidR="00603BF6" w:rsidRPr="00AF2E2C" w:rsidRDefault="00603BF6" w:rsidP="00603BF6">
      <w:pPr>
        <w:textDirection w:val="tbRlV"/>
        <w:rPr>
          <w:lang w:val="ar-SA" w:eastAsia="zh-TW" w:bidi="en-GB"/>
        </w:rPr>
      </w:pPr>
      <w:r w:rsidRPr="00AF2E2C">
        <w:rPr>
          <w:rtl/>
        </w:rPr>
        <w:t>ويمكن استئجار حيز في مكتب الأمم المتحدة في جنيف لفرادى الاجتماعات على أساس مخصص، ولكن لا يمكن تأكيد التوافر إلا قبل ستة أشهر من عقد الاجتماع.</w:t>
      </w:r>
    </w:p>
    <w:p w14:paraId="66037B3F" w14:textId="77777777" w:rsidR="00603BF6" w:rsidRPr="00AF2E2C" w:rsidRDefault="00603BF6" w:rsidP="00603BF6">
      <w:pPr>
        <w:textDirection w:val="tbRlV"/>
        <w:rPr>
          <w:lang w:val="ar-SA" w:eastAsia="zh-TW" w:bidi="en-GB"/>
        </w:rPr>
      </w:pPr>
      <w:r w:rsidRPr="00AF2E2C">
        <w:rPr>
          <w:rtl/>
        </w:rPr>
        <w:t>ولا يزال عدد من التفاصيل المتعلقة باستخدام هيكل مكتب الأمم المتحدة في جنيف مفتوحاً:</w:t>
      </w:r>
    </w:p>
    <w:p w14:paraId="2E9BFB13" w14:textId="16D44931" w:rsidR="00603BF6" w:rsidRPr="00341BCC" w:rsidRDefault="00603BF6" w:rsidP="004604E2">
      <w:pPr>
        <w:pStyle w:val="enumlev1"/>
        <w:rPr>
          <w:spacing w:val="-2"/>
          <w:lang w:val="ar-SA" w:eastAsia="zh-TW" w:bidi="en-GB"/>
        </w:rPr>
      </w:pPr>
      <w:r w:rsidRPr="00341BCC">
        <w:rPr>
          <w:spacing w:val="-2"/>
        </w:rPr>
        <w:t>–</w:t>
      </w:r>
      <w:r w:rsidRPr="00341BCC">
        <w:rPr>
          <w:spacing w:val="-2"/>
          <w:rtl/>
        </w:rPr>
        <w:tab/>
        <w:t>التوافر: ستتخذ الجمعية العامة لمكتب الأمم المتحدة في جنيف قراراً بشأن ميزانية مشروع التجديد في</w:t>
      </w:r>
      <w:r w:rsidR="00341BCC" w:rsidRPr="00341BCC">
        <w:rPr>
          <w:rFonts w:hint="cs"/>
          <w:spacing w:val="-2"/>
          <w:rtl/>
        </w:rPr>
        <w:t> </w:t>
      </w:r>
      <w:r w:rsidRPr="00341BCC">
        <w:rPr>
          <w:spacing w:val="-2"/>
          <w:rtl/>
        </w:rPr>
        <w:t>يونيو</w:t>
      </w:r>
      <w:r w:rsidR="00341BCC" w:rsidRPr="00341BCC">
        <w:rPr>
          <w:rFonts w:hint="cs"/>
          <w:spacing w:val="-2"/>
          <w:rtl/>
        </w:rPr>
        <w:t> </w:t>
      </w:r>
      <w:r w:rsidRPr="00341BCC">
        <w:rPr>
          <w:spacing w:val="-2"/>
          <w:rtl/>
        </w:rPr>
        <w:t>2025. وسيؤثر القرار المتخذ (إما المضي في مشروع التجديد الكامل أو تغيير نطاقه) على الجداول الزمنية للتجديد وبالتالي على الوقت الذي يمكن أن يكون فيه الهيكل المؤقت متاحاً للاتحاد بين نهاية عام 2027 ومنتصف عام 2028.</w:t>
      </w:r>
    </w:p>
    <w:p w14:paraId="30FBE3EA" w14:textId="77777777" w:rsidR="00603BF6" w:rsidRPr="00AF2E2C" w:rsidRDefault="00603BF6" w:rsidP="004604E2">
      <w:pPr>
        <w:pStyle w:val="enumlev1"/>
        <w:rPr>
          <w:lang w:val="ar-SA" w:eastAsia="zh-TW" w:bidi="en-GB"/>
        </w:rPr>
      </w:pPr>
      <w:r w:rsidRPr="00AF2E2C">
        <w:t>–</w:t>
      </w:r>
      <w:r w:rsidRPr="00AF2E2C">
        <w:rPr>
          <w:rtl/>
        </w:rPr>
        <w:tab/>
        <w:t>التكلفة: لم يقدم مكتب الأمم المتحدة في جنيف بعد التفاصيل الكاملة لتكلفة تأجير الهيكل، بما في ذلك استخدام جميع المعدات والخدمات التقنية وخدمات التنظيف والأمن.</w:t>
      </w:r>
    </w:p>
    <w:p w14:paraId="4A6363F2" w14:textId="7F1B7C3A" w:rsidR="00603BF6" w:rsidRPr="00AF2E2C" w:rsidRDefault="00603BF6" w:rsidP="004604E2">
      <w:pPr>
        <w:pStyle w:val="enumlev1"/>
        <w:rPr>
          <w:lang w:val="ar-SA" w:eastAsia="zh-TW" w:bidi="en-GB"/>
        </w:rPr>
      </w:pPr>
      <w:r w:rsidRPr="00AF2E2C">
        <w:t>–</w:t>
      </w:r>
      <w:r w:rsidRPr="00AF2E2C">
        <w:rPr>
          <w:rtl/>
        </w:rPr>
        <w:tab/>
        <w:t xml:space="preserve">التكاليف الإضافية: سيتحمل الاتحاد رسوم تفكيك الهيكل إذا استأجر الهيكل بالكامل، </w:t>
      </w:r>
      <w:r w:rsidRPr="004604E2">
        <w:rPr>
          <w:rtl/>
        </w:rPr>
        <w:t>وتقدّ</w:t>
      </w:r>
      <w:r w:rsidRPr="0088372B">
        <w:rPr>
          <w:rtl/>
        </w:rPr>
        <w:t>َر</w:t>
      </w:r>
      <w:r w:rsidR="0088372B">
        <w:rPr>
          <w:rFonts w:hint="cs"/>
          <w:rtl/>
        </w:rPr>
        <w:t xml:space="preserve"> </w:t>
      </w:r>
      <w:r w:rsidR="004604E2">
        <w:rPr>
          <w:rFonts w:hint="cs"/>
          <w:rtl/>
        </w:rPr>
        <w:t>هذه</w:t>
      </w:r>
      <w:r w:rsidRPr="00AF2E2C">
        <w:rPr>
          <w:rtl/>
        </w:rPr>
        <w:t xml:space="preserve"> الرسوم بمبلغ 0,5</w:t>
      </w:r>
      <w:r w:rsidR="0088372B">
        <w:rPr>
          <w:rFonts w:hint="cs"/>
          <w:rtl/>
        </w:rPr>
        <w:t> </w:t>
      </w:r>
      <w:r w:rsidRPr="00AF2E2C">
        <w:rPr>
          <w:rtl/>
        </w:rPr>
        <w:t>مليون فرنك سويسري.</w:t>
      </w:r>
    </w:p>
    <w:p w14:paraId="61FE0FE2" w14:textId="77777777" w:rsidR="00603BF6" w:rsidRPr="00AF2E2C" w:rsidRDefault="00603BF6" w:rsidP="004604E2">
      <w:pPr>
        <w:pStyle w:val="enumlev1"/>
        <w:rPr>
          <w:lang w:val="ar-SA" w:eastAsia="zh-TW" w:bidi="en-GB"/>
        </w:rPr>
      </w:pPr>
      <w:r w:rsidRPr="00AF2E2C">
        <w:t>–</w:t>
      </w:r>
      <w:r w:rsidRPr="00AF2E2C">
        <w:rPr>
          <w:rtl/>
        </w:rPr>
        <w:tab/>
        <w:t>الأمن: سيتم تحديد جدوى وتكلفة إنشاء عملية أمنية منفصلة عبر بوابة السلام (</w:t>
      </w:r>
      <w:proofErr w:type="spellStart"/>
      <w:r w:rsidRPr="00AF2E2C">
        <w:rPr>
          <w:rtl/>
        </w:rPr>
        <w:t>Peace</w:t>
      </w:r>
      <w:proofErr w:type="spellEnd"/>
      <w:r w:rsidRPr="00AF2E2C">
        <w:rPr>
          <w:rtl/>
        </w:rPr>
        <w:t xml:space="preserve"> </w:t>
      </w:r>
      <w:proofErr w:type="spellStart"/>
      <w:r w:rsidRPr="00AF2E2C">
        <w:rPr>
          <w:rtl/>
        </w:rPr>
        <w:t>Gate</w:t>
      </w:r>
      <w:proofErr w:type="spellEnd"/>
      <w:r w:rsidRPr="00AF2E2C">
        <w:rPr>
          <w:rtl/>
        </w:rPr>
        <w:t>) ومحيط آمن للهيكل المؤقت.</w:t>
      </w:r>
    </w:p>
    <w:p w14:paraId="6AB42A30" w14:textId="77777777" w:rsidR="00603BF6" w:rsidRPr="00AF2E2C" w:rsidRDefault="00603BF6" w:rsidP="004604E2">
      <w:pPr>
        <w:pStyle w:val="Headingb"/>
        <w:rPr>
          <w:lang w:val="ar-SA" w:eastAsia="zh-TW" w:bidi="en-GB"/>
        </w:rPr>
      </w:pPr>
      <w:r w:rsidRPr="00AF2E2C">
        <w:rPr>
          <w:rtl/>
        </w:rPr>
        <w:t>مصادر تمويل إضافية لعقد الاجتماعات في جنيف</w:t>
      </w:r>
    </w:p>
    <w:p w14:paraId="1CC37285" w14:textId="77777777" w:rsidR="00603BF6" w:rsidRPr="00AF2E2C" w:rsidRDefault="00603BF6" w:rsidP="004604E2">
      <w:pPr>
        <w:pStyle w:val="Headingi"/>
        <w:rPr>
          <w:lang w:val="ar-SA" w:eastAsia="zh-TW" w:bidi="en-GB"/>
        </w:rPr>
      </w:pPr>
      <w:r w:rsidRPr="00AF2E2C">
        <w:rPr>
          <w:rtl/>
        </w:rPr>
        <w:t>الدعوة إلى تقديم مساهمات طوعية</w:t>
      </w:r>
    </w:p>
    <w:p w14:paraId="110D0E31" w14:textId="54531BCE" w:rsidR="00603BF6" w:rsidRPr="009B7E2C" w:rsidRDefault="00603BF6" w:rsidP="004604E2">
      <w:pPr>
        <w:textDirection w:val="tbRlV"/>
        <w:rPr>
          <w:spacing w:val="-2"/>
          <w:lang w:val="ar-SA" w:eastAsia="zh-TW" w:bidi="en-GB"/>
        </w:rPr>
      </w:pPr>
      <w:r w:rsidRPr="009B7E2C">
        <w:rPr>
          <w:spacing w:val="-2"/>
          <w:rtl/>
        </w:rPr>
        <w:t xml:space="preserve">بعد عرض الوثيقة </w:t>
      </w:r>
      <w:hyperlink r:id="rId15" w:history="1">
        <w:r w:rsidRPr="009B7E2C">
          <w:rPr>
            <w:rStyle w:val="Hyperlink"/>
            <w:rFonts w:ascii="Dubai" w:eastAsiaTheme="minorEastAsia" w:hAnsi="Dubai" w:cs="Dubai"/>
            <w:noProof w:val="0"/>
            <w:spacing w:val="-2"/>
            <w:sz w:val="22"/>
            <w:rtl/>
            <w:lang w:val="en-US" w:eastAsia="zh-CN"/>
          </w:rPr>
          <w:t>CWG-FHR-20/9</w:t>
        </w:r>
      </w:hyperlink>
      <w:r w:rsidRPr="009B7E2C">
        <w:rPr>
          <w:spacing w:val="-2"/>
          <w:rtl/>
        </w:rPr>
        <w:t xml:space="preserve"> بشأن طرائق استمرارية الأعمال على فريق العمل التابع للمجلس والمعني بالموارد المالية والبشرية </w:t>
      </w:r>
      <w:r w:rsidR="004604E2" w:rsidRPr="009B7E2C">
        <w:rPr>
          <w:spacing w:val="-2"/>
        </w:rPr>
        <w:t>(</w:t>
      </w:r>
      <w:r w:rsidRPr="009B7E2C">
        <w:rPr>
          <w:spacing w:val="-2"/>
        </w:rPr>
        <w:t>CWG-FHR</w:t>
      </w:r>
      <w:r w:rsidR="004604E2" w:rsidRPr="009B7E2C">
        <w:rPr>
          <w:spacing w:val="-2"/>
        </w:rPr>
        <w:t>)</w:t>
      </w:r>
      <w:r w:rsidRPr="009B7E2C">
        <w:rPr>
          <w:spacing w:val="-2"/>
          <w:rtl/>
        </w:rPr>
        <w:t xml:space="preserve">، أُرسلت رسالة معممة إلى جميع الدول الأعضاء وأعضاء القطاعات يوم 28 مارس 2025، </w:t>
      </w:r>
      <w:r w:rsidRPr="009B7E2C">
        <w:rPr>
          <w:spacing w:val="-2"/>
          <w:rtl/>
        </w:rPr>
        <w:lastRenderedPageBreak/>
        <w:t>طُلب فيها الإعراب عن الاهتمام بتقديم مساهمات طوعية لدعم ع</w:t>
      </w:r>
      <w:r w:rsidR="004604E2" w:rsidRPr="009B7E2C">
        <w:rPr>
          <w:spacing w:val="-2"/>
          <w:rtl/>
        </w:rPr>
        <w:t>قْ</w:t>
      </w:r>
      <w:r w:rsidRPr="009B7E2C">
        <w:rPr>
          <w:spacing w:val="-2"/>
          <w:rtl/>
        </w:rPr>
        <w:t>د الأحداث في جنيف في فترة تشييد المبنى الجديد لمقر الاتحاد. وحتى 23 أبريل 2025، وهو الموعد النهائي للإعراب عن الاهتمام، لم ترد أي ردود.</w:t>
      </w:r>
    </w:p>
    <w:p w14:paraId="3CE63848" w14:textId="77777777" w:rsidR="00603BF6" w:rsidRPr="00AF2E2C" w:rsidRDefault="00603BF6" w:rsidP="00603BF6">
      <w:pPr>
        <w:pStyle w:val="Headingi"/>
        <w:textDirection w:val="tbRlV"/>
        <w:rPr>
          <w:lang w:val="ar-SA" w:eastAsia="zh-TW" w:bidi="en-GB"/>
        </w:rPr>
      </w:pPr>
      <w:r w:rsidRPr="00AF2E2C">
        <w:rPr>
          <w:rtl/>
        </w:rPr>
        <w:t>سويسرا</w:t>
      </w:r>
    </w:p>
    <w:p w14:paraId="6709EAC2" w14:textId="5525CB6A" w:rsidR="00603BF6" w:rsidRPr="004604E2" w:rsidRDefault="00603BF6" w:rsidP="004604E2">
      <w:r w:rsidRPr="00AF2E2C">
        <w:rPr>
          <w:rtl/>
        </w:rPr>
        <w:t xml:space="preserve">أشارت سويسرا، البلد المضيف للاتحاد، إلى التزامها بتقديم الدعم إلى الاتحاد خلال فترة تجديد مركز جنيف الدولي للمؤتمرات </w:t>
      </w:r>
      <w:r w:rsidR="004604E2">
        <w:t>(</w:t>
      </w:r>
      <w:r w:rsidRPr="00AF2E2C">
        <w:t>CICG</w:t>
      </w:r>
      <w:r w:rsidR="004604E2">
        <w:t>)</w:t>
      </w:r>
      <w:r w:rsidRPr="00AF2E2C">
        <w:rPr>
          <w:rtl/>
        </w:rPr>
        <w:t xml:space="preserve"> في حدود الموارد المتاحة لتمكين عقد الاجتماعات في جنيف. ومع ذلك، لم تتمكن سويسرا من تقديم أي ضمان في هذه المرحلة</w:t>
      </w:r>
      <w:r w:rsidRPr="004604E2">
        <w:rPr>
          <w:rtl/>
        </w:rPr>
        <w:t>.</w:t>
      </w:r>
    </w:p>
    <w:p w14:paraId="0280150F" w14:textId="77777777" w:rsidR="00603BF6" w:rsidRPr="00AF2E2C" w:rsidRDefault="00603BF6" w:rsidP="004604E2">
      <w:pPr>
        <w:pStyle w:val="Heading1"/>
        <w:rPr>
          <w:lang w:val="ar-SA" w:eastAsia="zh-TW" w:bidi="en-GB"/>
        </w:rPr>
      </w:pPr>
      <w:r w:rsidRPr="00AF2E2C">
        <w:rPr>
          <w:rtl/>
        </w:rPr>
        <w:t>5</w:t>
      </w:r>
      <w:r w:rsidRPr="00AF2E2C">
        <w:rPr>
          <w:rtl/>
        </w:rPr>
        <w:tab/>
        <w:t>مركز اجتماعات الاتحاد</w:t>
      </w:r>
    </w:p>
    <w:p w14:paraId="06B4883D" w14:textId="513CB8DC" w:rsidR="00603BF6" w:rsidRPr="0088372B" w:rsidRDefault="00603BF6" w:rsidP="00BD2AAC">
      <w:pPr>
        <w:rPr>
          <w:spacing w:val="2"/>
          <w:lang w:val="ar-SA" w:eastAsia="zh-TW" w:bidi="en-GB"/>
        </w:rPr>
      </w:pPr>
      <w:r w:rsidRPr="0088372B">
        <w:rPr>
          <w:spacing w:val="2"/>
          <w:rtl/>
        </w:rPr>
        <w:t xml:space="preserve">أُرسلت دعوة أولية إلى جميع الدول الأعضاء في أكتوبر ونوفمبر 2021 للإعراب عن الاهتمام باستضافة اجتماعات الاتحاد الحضورية خلال فترة تشييد المقر الجديد للاتحاد (الرسالتان المعممتان </w:t>
      </w:r>
      <w:hyperlink r:id="rId16" w:history="1">
        <w:r w:rsidR="004604E2" w:rsidRPr="0088372B">
          <w:rPr>
            <w:rStyle w:val="Hyperlink"/>
            <w:rFonts w:ascii="Dubai" w:eastAsiaTheme="minorEastAsia" w:hAnsi="Dubai" w:cs="Dubai"/>
            <w:noProof w:val="0"/>
            <w:spacing w:val="2"/>
            <w:sz w:val="22"/>
            <w:lang w:val="en-US" w:eastAsia="zh-CN"/>
          </w:rPr>
          <w:t>CL-21/47</w:t>
        </w:r>
      </w:hyperlink>
      <w:r w:rsidRPr="0088372B">
        <w:rPr>
          <w:spacing w:val="2"/>
          <w:rtl/>
        </w:rPr>
        <w:t xml:space="preserve"> و</w:t>
      </w:r>
      <w:hyperlink r:id="rId17" w:history="1">
        <w:r w:rsidR="00BD2AAC" w:rsidRPr="00BD2AAC">
          <w:rPr>
            <w:rStyle w:val="Hyperlink"/>
            <w:rFonts w:ascii="Dubai" w:eastAsiaTheme="minorEastAsia" w:hAnsi="Dubai" w:cs="Dubai"/>
            <w:noProof w:val="0"/>
            <w:sz w:val="22"/>
            <w:lang w:val="en-US" w:eastAsia="zh-CN"/>
          </w:rPr>
          <w:t>CL</w:t>
        </w:r>
        <w:r w:rsidR="00BD2AAC" w:rsidRPr="00BD2AAC">
          <w:rPr>
            <w:rStyle w:val="Hyperlink"/>
            <w:rFonts w:ascii="Dubai" w:eastAsiaTheme="minorEastAsia" w:hAnsi="Dubai" w:cs="Dubai"/>
            <w:noProof w:val="0"/>
            <w:sz w:val="22"/>
            <w:lang w:val="en-US" w:eastAsia="zh-CN"/>
          </w:rPr>
          <w:noBreakHyphen/>
          <w:t>21/47</w:t>
        </w:r>
        <w:r w:rsidR="00BD2AAC" w:rsidRPr="00BD2AAC">
          <w:rPr>
            <w:rStyle w:val="Hyperlink"/>
            <w:rFonts w:ascii="Dubai" w:eastAsiaTheme="minorEastAsia" w:hAnsi="Dubai" w:cs="Dubai"/>
            <w:noProof w:val="0"/>
            <w:sz w:val="22"/>
            <w:lang w:val="en-US" w:eastAsia="zh-CN"/>
          </w:rPr>
          <w:noBreakHyphen/>
          <w:t>Addendum</w:t>
        </w:r>
      </w:hyperlink>
      <w:r w:rsidRPr="0088372B">
        <w:rPr>
          <w:spacing w:val="2"/>
          <w:rtl/>
        </w:rPr>
        <w:t>). وأعقب ذلك جلسات إعلامية في المجلس في يوليو 2023 وفي اجتماع فريق العمل التابع للمجلس والمعني بالموارد المالية والبشرية في فبراير 2025، حيث قُدم مزيد من التفاصيل</w:t>
      </w:r>
      <w:r w:rsidR="00BD2AAC">
        <w:rPr>
          <w:rFonts w:hint="cs"/>
          <w:spacing w:val="2"/>
          <w:rtl/>
        </w:rPr>
        <w:t xml:space="preserve"> </w:t>
      </w:r>
      <w:r w:rsidRPr="0088372B">
        <w:rPr>
          <w:spacing w:val="2"/>
          <w:rtl/>
        </w:rPr>
        <w:t>(</w:t>
      </w:r>
      <w:hyperlink r:id="rId18" w:history="1">
        <w:r w:rsidR="00BD2AAC" w:rsidRPr="00FC6FE5">
          <w:rPr>
            <w:rStyle w:val="Hyperlink"/>
            <w:rFonts w:ascii="Dubai" w:hAnsi="Dubai" w:cs="Dubai"/>
            <w:spacing w:val="2"/>
            <w:sz w:val="22"/>
          </w:rPr>
          <w:t>https://council.itu.int/2025/</w:t>
        </w:r>
        <w:r w:rsidR="00BD2AAC" w:rsidRPr="00FC6FE5">
          <w:rPr>
            <w:rStyle w:val="Hyperlink"/>
            <w:rFonts w:ascii="Dubai" w:hAnsi="Dubai" w:cs="Dubai"/>
            <w:spacing w:val="2"/>
            <w:sz w:val="22"/>
            <w:lang w:val="en-US"/>
          </w:rPr>
          <w:t>ar</w:t>
        </w:r>
        <w:r w:rsidR="00BD2AAC" w:rsidRPr="00FC6FE5">
          <w:rPr>
            <w:rStyle w:val="Hyperlink"/>
            <w:rFonts w:ascii="Dubai" w:hAnsi="Dubai" w:cs="Dubai"/>
            <w:spacing w:val="2"/>
            <w:sz w:val="22"/>
          </w:rPr>
          <w:t>/hosting-itu</w:t>
        </w:r>
        <w:r w:rsidR="00BD2AAC" w:rsidRPr="00FC6FE5">
          <w:rPr>
            <w:rStyle w:val="Hyperlink"/>
            <w:rFonts w:ascii="Dubai" w:hAnsi="Dubai" w:cs="Dubai"/>
            <w:spacing w:val="2"/>
            <w:sz w:val="22"/>
          </w:rPr>
          <w:noBreakHyphen/>
          <w:t>meetings/</w:t>
        </w:r>
      </w:hyperlink>
      <w:r w:rsidRPr="0088372B">
        <w:rPr>
          <w:spacing w:val="2"/>
          <w:rtl/>
        </w:rPr>
        <w:t>). وفي وقت لاحق، طلبت عدة دول أعضاء مقترحات أكثر شمولاً وتفصيلاً مشفوعةً بتكاليف إرشادية. ولا تزال عملية الإعراب عن الاهتمام مفتوحة ومستمرة، مع استمرار إجراء مناقشات ملموسة مع الصين وهنغاريا وقطر. ولا يمكن إجراء أي تخطيط أو اتخاذ أي قرار آخر دون موافقة المجلس على مفهوم مركز اجتماعات الاتحاد.</w:t>
      </w:r>
    </w:p>
    <w:p w14:paraId="56DB50F2" w14:textId="77777777" w:rsidR="00603BF6" w:rsidRPr="00AF2E2C" w:rsidRDefault="00603BF6" w:rsidP="00262B04">
      <w:pPr>
        <w:pStyle w:val="Headingb"/>
        <w:rPr>
          <w:rFonts w:eastAsia="Calibri"/>
          <w:lang w:val="ar-SA" w:eastAsia="zh-TW" w:bidi="en-GB"/>
        </w:rPr>
      </w:pPr>
      <w:r w:rsidRPr="00AF2E2C">
        <w:rPr>
          <w:rtl/>
        </w:rPr>
        <w:t>المفهوم</w:t>
      </w:r>
    </w:p>
    <w:p w14:paraId="36BD3B02" w14:textId="77777777" w:rsidR="00603BF6" w:rsidRPr="00AF2E2C" w:rsidRDefault="00603BF6" w:rsidP="00603BF6">
      <w:pPr>
        <w:textDirection w:val="tbRlV"/>
        <w:rPr>
          <w:lang w:val="ar-SA" w:eastAsia="zh-TW" w:bidi="en-GB"/>
        </w:rPr>
      </w:pPr>
      <w:r w:rsidRPr="00AF2E2C">
        <w:rPr>
          <w:rtl/>
        </w:rPr>
        <w:t>يتمثل المفهوم الأساسي لمركز اجتماعات الاتحاد في أن يغطي البلد المضيف تكاليف مكان مركز الاجتماعات ومرافقه وخدماته التقنية وتشغيله، بالإضافة إلى تكاليف موظفي الاتحاد في الموقع، بما يتماشى مع القرار 5 لمؤتمر المندوبين المفوضين وقرارات القطاعات ذات الصلة.</w:t>
      </w:r>
    </w:p>
    <w:p w14:paraId="148D83E3" w14:textId="78D80BF0" w:rsidR="00603BF6" w:rsidRPr="00AF2E2C" w:rsidRDefault="00603BF6" w:rsidP="00603BF6">
      <w:pPr>
        <w:textDirection w:val="tbRlV"/>
        <w:rPr>
          <w:lang w:val="ar-SA" w:eastAsia="zh-TW" w:bidi="en-GB"/>
        </w:rPr>
      </w:pPr>
      <w:r w:rsidRPr="00AF2E2C">
        <w:rPr>
          <w:rtl/>
        </w:rPr>
        <w:t>وقد يكون من الممكن أن يستضيف بلد مضيف واحد جميع الاجتماعات التقنية الستين (60) للاتحاد في سنة واحدة، أو</w:t>
      </w:r>
      <w:r w:rsidR="006B4D75">
        <w:rPr>
          <w:rFonts w:hint="cs"/>
          <w:rtl/>
        </w:rPr>
        <w:t> </w:t>
      </w:r>
      <w:r w:rsidRPr="00AF2E2C">
        <w:rPr>
          <w:rtl/>
        </w:rPr>
        <w:t>يمكن توزيع الاجتماعات بين بلدين مضيفين أو أكثر.</w:t>
      </w:r>
    </w:p>
    <w:p w14:paraId="14094BDF" w14:textId="77777777" w:rsidR="00603BF6" w:rsidRPr="00AF2E2C" w:rsidRDefault="00603BF6" w:rsidP="00262B04">
      <w:pPr>
        <w:pStyle w:val="Headingb"/>
        <w:rPr>
          <w:lang w:val="ar-SA" w:eastAsia="zh-TW" w:bidi="en-GB"/>
        </w:rPr>
      </w:pPr>
      <w:r w:rsidRPr="00AF2E2C">
        <w:rPr>
          <w:rtl/>
        </w:rPr>
        <w:t>التقييم والاختيار</w:t>
      </w:r>
    </w:p>
    <w:p w14:paraId="43B06A86" w14:textId="77777777" w:rsidR="00603BF6" w:rsidRPr="00AF2E2C" w:rsidRDefault="00603BF6" w:rsidP="00603BF6">
      <w:pPr>
        <w:textDirection w:val="tbRlV"/>
        <w:rPr>
          <w:lang w:val="ar-SA" w:eastAsia="zh-TW" w:bidi="en-GB"/>
        </w:rPr>
      </w:pPr>
      <w:r w:rsidRPr="00AF2E2C">
        <w:rPr>
          <w:rtl/>
        </w:rPr>
        <w:t xml:space="preserve">يستند تقييم مدى ملاءمة مركز </w:t>
      </w:r>
      <w:r w:rsidRPr="006B4D75">
        <w:rPr>
          <w:rtl/>
        </w:rPr>
        <w:t>لاج</w:t>
      </w:r>
      <w:r w:rsidRPr="00AF2E2C">
        <w:rPr>
          <w:rtl/>
        </w:rPr>
        <w:t>تماعات الاتحاد إلى سهولة النفاذ إلى الموقع، وجاهزية الأماكن والمرافق، والخبرة المثبتة في الأحداث الدولية من هذا النوع، وتيسير الحصول على التأشيرات، والتكاليف. وإذا قبل المجلس خيار مركز اجتماعات الاتحاد على النحو المبين أعلاه، ستحدد الأمانة العملية مع جدول زمني يتضمن المواعيد النهائية للإعراب عن الاهتمام والمقترحات الرسمية المقدمة من الأطراف المهتمة والتقييم، مع الشفافية الكاملة بشأن عملية الاختيار والمعايير. وسيقَّدم المقترح النهائي بعد ذلك إلى المجلس في دورته لعام 2026 من أجل الموافقة النهائية عليه.</w:t>
      </w:r>
    </w:p>
    <w:p w14:paraId="61F37F94" w14:textId="77777777" w:rsidR="00603BF6" w:rsidRPr="00AF2E2C" w:rsidRDefault="00603BF6" w:rsidP="00262B04">
      <w:pPr>
        <w:pStyle w:val="Heading1"/>
        <w:rPr>
          <w:lang w:val="ar-SA" w:eastAsia="zh-TW" w:bidi="en-GB"/>
        </w:rPr>
      </w:pPr>
      <w:r w:rsidRPr="00AF2E2C">
        <w:rPr>
          <w:rtl/>
        </w:rPr>
        <w:t>6</w:t>
      </w:r>
      <w:r w:rsidRPr="00AF2E2C">
        <w:rPr>
          <w:rtl/>
        </w:rPr>
        <w:tab/>
        <w:t>الاجتماعات الافتراضية</w:t>
      </w:r>
    </w:p>
    <w:p w14:paraId="557235FE" w14:textId="642749B2" w:rsidR="00603BF6" w:rsidRPr="00262B04" w:rsidRDefault="00603BF6" w:rsidP="00603BF6">
      <w:pPr>
        <w:textDirection w:val="tbRlV"/>
        <w:rPr>
          <w:spacing w:val="-2"/>
          <w:lang w:val="ar-SA" w:eastAsia="zh-TW" w:bidi="en-GB"/>
        </w:rPr>
      </w:pPr>
      <w:r w:rsidRPr="00262B04">
        <w:rPr>
          <w:spacing w:val="-2"/>
          <w:rtl/>
        </w:rPr>
        <w:t>نظراً لتوافر المنصات المفتوحة للجميع واعتياد مندوبي الدول الأعضاء وموظفي الاتحاد وفريق الدعم التقني على الاجتماعات الإلكترونية في أعقاب جائحة كوفيد-19، فإن من الممكن تقنياً عقد الاجتماعات التقنية بنسق افتراضي بالكامل.</w:t>
      </w:r>
    </w:p>
    <w:p w14:paraId="198E3A53" w14:textId="7807FDBA" w:rsidR="00603BF6" w:rsidRPr="00AF2E2C" w:rsidRDefault="00603BF6" w:rsidP="00262B04">
      <w:pPr>
        <w:tabs>
          <w:tab w:val="left" w:pos="6260"/>
        </w:tabs>
        <w:textDirection w:val="tbRlV"/>
        <w:rPr>
          <w:rFonts w:eastAsia="Calibri"/>
          <w:lang w:val="ar-SA" w:eastAsia="zh-TW" w:bidi="en-GB"/>
        </w:rPr>
      </w:pPr>
      <w:r w:rsidRPr="00AF2E2C">
        <w:rPr>
          <w:rtl/>
        </w:rPr>
        <w:t>ويرد مزيد من الإحالات المرجعية إلى الإطار التنظيمي المتعلق بعقد اجتماعات افتراضية بالكامل في مشروع المبادئ التوجيهية بشأن إدارة الاجتماعات الافتراضية بالكامل والاجتماعات الحضورية التي تتاح فيها المشاركة عن بُعد، في</w:t>
      </w:r>
      <w:r w:rsidR="006B4D75">
        <w:rPr>
          <w:rFonts w:hint="cs"/>
          <w:rtl/>
        </w:rPr>
        <w:t> </w:t>
      </w:r>
      <w:r w:rsidRPr="00AF2E2C">
        <w:rPr>
          <w:rtl/>
        </w:rPr>
        <w:t xml:space="preserve">الملحق </w:t>
      </w:r>
      <w:r w:rsidRPr="00AF2E2C">
        <w:t>B</w:t>
      </w:r>
      <w:r w:rsidRPr="00AF2E2C">
        <w:rPr>
          <w:rtl/>
        </w:rPr>
        <w:t xml:space="preserve"> بالوثيقة </w:t>
      </w:r>
      <w:hyperlink r:id="rId19" w:history="1">
        <w:r w:rsidR="00262B04" w:rsidRPr="00262B04">
          <w:rPr>
            <w:rStyle w:val="Hyperlink"/>
            <w:rFonts w:ascii="Dubai" w:eastAsiaTheme="minorEastAsia" w:hAnsi="Dubai" w:cs="Dubai"/>
            <w:noProof w:val="0"/>
            <w:sz w:val="22"/>
            <w:lang w:eastAsia="zh-CN"/>
          </w:rPr>
          <w:t>C25/50</w:t>
        </w:r>
      </w:hyperlink>
      <w:r w:rsidRPr="00AF2E2C">
        <w:rPr>
          <w:rtl/>
        </w:rPr>
        <w:t>، المقدم إلى المجلس في دورته لعام 2025 من أجل إقراره.</w:t>
      </w:r>
    </w:p>
    <w:p w14:paraId="00604EF5" w14:textId="77777777" w:rsidR="00603BF6" w:rsidRPr="00AF2E2C" w:rsidRDefault="00603BF6" w:rsidP="00603BF6">
      <w:pPr>
        <w:tabs>
          <w:tab w:val="left" w:pos="6260"/>
        </w:tabs>
        <w:textDirection w:val="tbRlV"/>
        <w:rPr>
          <w:lang w:val="ar-SA" w:eastAsia="zh-TW" w:bidi="en-GB"/>
        </w:rPr>
      </w:pPr>
      <w:r w:rsidRPr="00AF2E2C">
        <w:rPr>
          <w:rtl/>
        </w:rPr>
        <w:t>وتسمح الممارسة الحالية بعقد اجتماعات افتراضية بالكامل لمدة تصل إلى 3 ساعات يومياً، حوالي الساعة 12:00 ظهراً بتوقيت جنيف. وسيؤثر ذلك على مرونة ومدة الاجتماعات التقنية، التي تُعقد عادة لمدة تتراوح بين 5 و8 أيام.</w:t>
      </w:r>
    </w:p>
    <w:p w14:paraId="09C1C774" w14:textId="2A2637C2" w:rsidR="00603BF6" w:rsidRPr="00AF2E2C" w:rsidRDefault="006B4D75" w:rsidP="00262B04">
      <w:pPr>
        <w:pStyle w:val="Heading1"/>
        <w:rPr>
          <w:lang w:val="ar-SA" w:eastAsia="zh-TW" w:bidi="en-GB"/>
        </w:rPr>
      </w:pPr>
      <w:r w:rsidRPr="0034611E">
        <w:rPr>
          <w:rFonts w:hint="cs"/>
          <w:rtl/>
        </w:rPr>
        <w:lastRenderedPageBreak/>
        <w:t>7</w:t>
      </w:r>
      <w:r w:rsidR="00603BF6" w:rsidRPr="00AF2E2C">
        <w:rPr>
          <w:rtl/>
        </w:rPr>
        <w:tab/>
        <w:t>الخلاصة‎</w:t>
      </w:r>
    </w:p>
    <w:p w14:paraId="6A0D5454" w14:textId="348E0F2F" w:rsidR="00603BF6" w:rsidRPr="00AF2E2C" w:rsidRDefault="00603BF6" w:rsidP="00603BF6">
      <w:pPr>
        <w:textDirection w:val="tbRlV"/>
        <w:rPr>
          <w:lang w:val="ar-SA" w:eastAsia="zh-TW" w:bidi="en-GB"/>
        </w:rPr>
      </w:pPr>
      <w:r w:rsidRPr="00AF2E2C">
        <w:rPr>
          <w:rtl/>
        </w:rPr>
        <w:t xml:space="preserve">استناداً إلى التقديرات الحالية، لا يُتوقع توافر أموال إضافية ضمن الخطة المالية للسماح بعقد جميع اجتماعات الاتحاد في مركز </w:t>
      </w:r>
      <w:proofErr w:type="spellStart"/>
      <w:r w:rsidRPr="00AF2E2C">
        <w:t>Palexpo</w:t>
      </w:r>
      <w:proofErr w:type="spellEnd"/>
      <w:r w:rsidRPr="00AF2E2C">
        <w:rPr>
          <w:rtl/>
        </w:rPr>
        <w:t xml:space="preserve"> في عام 2028، ولم تحدَّد في الوقت الحالي أي موارد من خارج الميزانية. ويجب توقيع العقد مع مركز</w:t>
      </w:r>
      <w:r w:rsidR="006B4D75">
        <w:rPr>
          <w:rFonts w:hint="cs"/>
          <w:rtl/>
        </w:rPr>
        <w:t> </w:t>
      </w:r>
      <w:proofErr w:type="spellStart"/>
      <w:r w:rsidRPr="00AF2E2C">
        <w:t>Palexpo</w:t>
      </w:r>
      <w:proofErr w:type="spellEnd"/>
      <w:r w:rsidRPr="00AF2E2C">
        <w:rPr>
          <w:rtl/>
        </w:rPr>
        <w:t xml:space="preserve"> بالأسعار التفضيلية المحددة في هذه الوثيقة بحلول 31 ديسمبر 2025.</w:t>
      </w:r>
    </w:p>
    <w:p w14:paraId="1C6902A9" w14:textId="104BCC84" w:rsidR="00603BF6" w:rsidRPr="00AF2E2C" w:rsidRDefault="00603BF6" w:rsidP="00603BF6">
      <w:pPr>
        <w:textDirection w:val="tbRlV"/>
        <w:rPr>
          <w:lang w:val="ar-SA" w:eastAsia="zh-TW" w:bidi="en-GB"/>
        </w:rPr>
      </w:pPr>
      <w:r w:rsidRPr="00AF2E2C">
        <w:rPr>
          <w:rtl/>
        </w:rPr>
        <w:t xml:space="preserve">وقد يكون من الممكن اختيار جمع للطرائق بين مركز </w:t>
      </w:r>
      <w:proofErr w:type="spellStart"/>
      <w:r w:rsidRPr="00AF2E2C">
        <w:t>Palexpo</w:t>
      </w:r>
      <w:proofErr w:type="spellEnd"/>
      <w:r>
        <w:rPr>
          <w:rtl/>
        </w:rPr>
        <w:t>/م</w:t>
      </w:r>
      <w:r w:rsidRPr="00AF2E2C">
        <w:rPr>
          <w:rtl/>
        </w:rPr>
        <w:t xml:space="preserve">كتب الأمم المتحدة في جنيف </w:t>
      </w:r>
      <w:r w:rsidR="00262B04">
        <w:t>(</w:t>
      </w:r>
      <w:r w:rsidRPr="00AF2E2C">
        <w:t>UNOG</w:t>
      </w:r>
      <w:r w:rsidR="00262B04">
        <w:t>)</w:t>
      </w:r>
      <w:r w:rsidRPr="00AF2E2C">
        <w:rPr>
          <w:rtl/>
        </w:rPr>
        <w:t xml:space="preserve"> ومراكز الاجتماعات والاجتماعات الافتراضية بشرط الحصول على تمويل إضافي. ومع ذلك، قد يؤدي فقدان وفورات الحجم إلى زيادة تكاليف الطرائق الفردية و/أو درجات تعقيدها. وقد يكون من الممكن عقد اجتماعات على أساس مخصص بالكامل في جنيف، من خلال الجمع بين مركز </w:t>
      </w:r>
      <w:proofErr w:type="spellStart"/>
      <w:r w:rsidRPr="00AF2E2C">
        <w:t>Palexpo</w:t>
      </w:r>
      <w:proofErr w:type="spellEnd"/>
      <w:r w:rsidRPr="00AF2E2C">
        <w:rPr>
          <w:rtl/>
        </w:rPr>
        <w:t xml:space="preserve"> ومكتب الأمم المتحدة في جنيف (</w:t>
      </w:r>
      <w:proofErr w:type="spellStart"/>
      <w:r w:rsidRPr="00AF2E2C">
        <w:t>UNOG</w:t>
      </w:r>
      <w:proofErr w:type="spellEnd"/>
      <w:r w:rsidRPr="00AF2E2C">
        <w:rPr>
          <w:rtl/>
        </w:rPr>
        <w:t>) ومنظمة الصحة العالمية</w:t>
      </w:r>
      <w:r w:rsidR="006B4D75">
        <w:rPr>
          <w:rFonts w:hint="cs"/>
          <w:rtl/>
        </w:rPr>
        <w:t> </w:t>
      </w:r>
      <w:r w:rsidRPr="00AF2E2C">
        <w:rPr>
          <w:rtl/>
        </w:rPr>
        <w:t>(</w:t>
      </w:r>
      <w:r w:rsidRPr="00AF2E2C">
        <w:t>WHO</w:t>
      </w:r>
      <w:r w:rsidRPr="00AF2E2C">
        <w:rPr>
          <w:rtl/>
        </w:rPr>
        <w:t>) وغيرها من الأماكن المتاحة، ولكن مع العلم أنه لا يوجد ضمان لتوفر هذه الأماكن قبل ستة أشهر على الأقل من موعد الاجتماعات.</w:t>
      </w:r>
    </w:p>
    <w:p w14:paraId="0397C405" w14:textId="77777777" w:rsidR="00603BF6" w:rsidRPr="00BD2AAC" w:rsidRDefault="00603BF6" w:rsidP="00BD2AAC">
      <w:pPr>
        <w:rPr>
          <w:b/>
          <w:bCs/>
          <w:lang w:val="ar-SA" w:eastAsia="zh-TW" w:bidi="en-GB"/>
        </w:rPr>
      </w:pPr>
      <w:r w:rsidRPr="00BD2AAC">
        <w:rPr>
          <w:b/>
          <w:bCs/>
          <w:rtl/>
        </w:rPr>
        <w:t xml:space="preserve">ويمكن أن يعتبر المجلس أن مركزاً (أو مراكز) لاجتماعات الاتحاد تستضيفه (أو تستضيفها) دولة عضو أو عدد من الدول الأعضاء خيار صالح لاستضافة اجتماعات الاتحاد. </w:t>
      </w:r>
      <w:r w:rsidRPr="00BD2AAC">
        <w:rPr>
          <w:rtl/>
        </w:rPr>
        <w:t>وكما ذُكر آنفاً،</w:t>
      </w:r>
      <w:r w:rsidRPr="00BD2AAC">
        <w:rPr>
          <w:b/>
          <w:bCs/>
          <w:rtl/>
        </w:rPr>
        <w:t xml:space="preserve"> فإن استضافة جميع اجتماعات الاتحاد بنسق افتراضي بالكامل يظل خياراً احتياطياً.</w:t>
      </w:r>
    </w:p>
    <w:p w14:paraId="7047B740" w14:textId="77777777" w:rsidR="00603BF6" w:rsidRPr="00AF2E2C" w:rsidRDefault="00603BF6" w:rsidP="00603BF6">
      <w:pPr>
        <w:textDirection w:val="tbRlV"/>
        <w:rPr>
          <w:lang w:val="ar-SA" w:eastAsia="zh-TW" w:bidi="en-GB"/>
        </w:rPr>
      </w:pPr>
      <w:r w:rsidRPr="00AF2E2C">
        <w:rPr>
          <w:rtl/>
        </w:rPr>
        <w:t xml:space="preserve">ومع تقدم مشروع المبنى، ستتمكن الأمانة من وضع تقديرات أكثر دقة لقيود استخدام مباني مقر الاتحاد لأغراض الاجتماعات، بما يشمل تحديداً أكثر دقة للفترات التي تكون فيها مباني مقر الاتحاد غير متاحة، والاضطرابات التي قد يتعين قبولها إذا ما عُقدت الاجتماعات هناك خلال فترة تشييد مبنى </w:t>
      </w:r>
      <w:proofErr w:type="spellStart"/>
      <w:r w:rsidRPr="00AF2E2C">
        <w:rPr>
          <w:rtl/>
        </w:rPr>
        <w:t>فارامبيه</w:t>
      </w:r>
      <w:proofErr w:type="spellEnd"/>
      <w:r w:rsidRPr="00AF2E2C">
        <w:rPr>
          <w:rtl/>
        </w:rPr>
        <w:t xml:space="preserve"> الجديد.</w:t>
      </w:r>
    </w:p>
    <w:p w14:paraId="0A4DFE60" w14:textId="77777777" w:rsidR="00603BF6" w:rsidRPr="00AF2E2C" w:rsidRDefault="00603BF6" w:rsidP="00262B04">
      <w:pPr>
        <w:pStyle w:val="Headingb"/>
        <w:rPr>
          <w:lang w:val="ar-SA" w:eastAsia="zh-TW" w:bidi="en-GB"/>
        </w:rPr>
      </w:pPr>
      <w:r w:rsidRPr="00AF2E2C">
        <w:rPr>
          <w:rtl/>
        </w:rPr>
        <w:t>توجيهات المجلس</w:t>
      </w:r>
    </w:p>
    <w:p w14:paraId="6D24608B" w14:textId="1BB9762F" w:rsidR="00603BF6" w:rsidRPr="00AF2E2C" w:rsidRDefault="00603BF6" w:rsidP="00603BF6">
      <w:pPr>
        <w:textDirection w:val="tbRlV"/>
        <w:rPr>
          <w:lang w:val="ar-SA" w:eastAsia="zh-TW" w:bidi="en-GB"/>
        </w:rPr>
      </w:pPr>
      <w:r w:rsidRPr="00AF2E2C">
        <w:rPr>
          <w:rtl/>
        </w:rPr>
        <w:t>يُطلب من المجلس تقديم توجيهات بشأن الخيارات الممكن قبولها لعقد اجتماعات الاتحاد في عام 2028 (وربما في</w:t>
      </w:r>
      <w:r w:rsidR="00BD2AAC">
        <w:rPr>
          <w:rFonts w:hint="cs"/>
          <w:rtl/>
        </w:rPr>
        <w:t> </w:t>
      </w:r>
      <w:r w:rsidRPr="00AF2E2C">
        <w:rPr>
          <w:rtl/>
        </w:rPr>
        <w:t>عام</w:t>
      </w:r>
      <w:r w:rsidR="0082643B">
        <w:rPr>
          <w:rFonts w:hint="cs"/>
          <w:rtl/>
        </w:rPr>
        <w:t> </w:t>
      </w:r>
      <w:r w:rsidRPr="00AF2E2C">
        <w:rPr>
          <w:rtl/>
        </w:rPr>
        <w:t>2029، بحسب الانتهاء من الجداول الزمنية للبناء). وقد يشمل ذلك تأكيد مقترح مراكز اجتماعات الاتحاد لتمكين التفاعل الملموس مع البلدان المضيفة المحتملة، فضلاً عن أي تغييرات في التوجيهات المتعلقة بالاجتماعات الافتراضية بالكامل لفترة زمنية استثنائية ومحدودة</w:t>
      </w:r>
      <w:r w:rsidR="0077469C">
        <w:rPr>
          <w:rFonts w:hint="cs"/>
          <w:rtl/>
        </w:rPr>
        <w:t xml:space="preserve"> </w:t>
      </w:r>
      <w:r w:rsidR="0082643B">
        <w:t>(2029-2028)</w:t>
      </w:r>
      <w:r w:rsidRPr="00AF2E2C">
        <w:rPr>
          <w:rtl/>
        </w:rPr>
        <w:t>.</w:t>
      </w:r>
    </w:p>
    <w:p w14:paraId="53D35FCE" w14:textId="2798B320" w:rsidR="00F50E3F" w:rsidRDefault="00603BF6" w:rsidP="00603BF6">
      <w:pPr>
        <w:rPr>
          <w:rtl/>
          <w:lang w:bidi="ar-EG"/>
        </w:rPr>
      </w:pPr>
      <w:r w:rsidRPr="00AF2E2C">
        <w:rPr>
          <w:rtl/>
        </w:rPr>
        <w:t>وستتمكن الأمانة من وضع خطة أكثر تفصيلاً لاستمرارية الأعمال، بما يشمل تكاليف اجتماعات الاتحاد في عام 2028، استناداً إلى الخيار المحدد والتوجيهات المقدمة من المجلس.</w:t>
      </w:r>
    </w:p>
    <w:p w14:paraId="390EEF63"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20"/>
      <w:headerReference w:type="first" r:id="rId21"/>
      <w:footerReference w:type="first" r:id="rId2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51B96" w14:textId="77777777" w:rsidR="002C719B" w:rsidRDefault="002C719B" w:rsidP="006C3242">
      <w:pPr>
        <w:spacing w:before="0" w:line="240" w:lineRule="auto"/>
      </w:pPr>
      <w:r>
        <w:separator/>
      </w:r>
    </w:p>
  </w:endnote>
  <w:endnote w:type="continuationSeparator" w:id="0">
    <w:p w14:paraId="3948F7D8" w14:textId="77777777" w:rsidR="002C719B" w:rsidRDefault="002C719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Segoe Print"/>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7A1305DA" w14:textId="77777777" w:rsidTr="00A67F05">
      <w:trPr>
        <w:jc w:val="center"/>
      </w:trPr>
      <w:tc>
        <w:tcPr>
          <w:tcW w:w="868" w:type="pct"/>
          <w:vAlign w:val="center"/>
        </w:tcPr>
        <w:p w14:paraId="7D53B792" w14:textId="06129EBE" w:rsidR="00F50E3F" w:rsidRPr="007B0AA0" w:rsidRDefault="00603BF6" w:rsidP="00603BF6">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6F1560">
            <w:rPr>
              <w:rFonts w:ascii="Calibri" w:hAnsi="Calibri" w:cs="Arial"/>
              <w:sz w:val="18"/>
              <w:szCs w:val="14"/>
              <w:lang w:val="en-US"/>
            </w:rPr>
            <w:t>2501248</w:t>
          </w:r>
        </w:p>
      </w:tc>
      <w:tc>
        <w:tcPr>
          <w:tcW w:w="3912" w:type="pct"/>
        </w:tcPr>
        <w:p w14:paraId="0FB6525B" w14:textId="2F323C50"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262B04">
            <w:rPr>
              <w:rFonts w:ascii="Calibri" w:hAnsi="Calibri" w:cs="Arial"/>
              <w:bCs/>
              <w:color w:val="7F7F7F"/>
              <w:sz w:val="18"/>
            </w:rPr>
            <w:t>60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0821957"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6D487F0" w14:textId="77777777" w:rsidR="006C3242" w:rsidRPr="00BD2AAC" w:rsidRDefault="006C3242" w:rsidP="00BD2AAC">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58D75C2E" w14:textId="77777777" w:rsidTr="00A67F05">
      <w:trPr>
        <w:jc w:val="center"/>
      </w:trPr>
      <w:tc>
        <w:tcPr>
          <w:tcW w:w="1013" w:type="pct"/>
          <w:vAlign w:val="center"/>
        </w:tcPr>
        <w:p w14:paraId="41A8C713"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02E9FE58" w14:textId="0EBC5535"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669CB">
            <w:rPr>
              <w:rFonts w:ascii="Calibri" w:hAnsi="Calibri" w:cs="Arial"/>
              <w:bCs/>
              <w:color w:val="7F7F7F"/>
              <w:sz w:val="18"/>
            </w:rPr>
            <w:t>60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5CF32A9"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8F838EF" w14:textId="77777777" w:rsidR="0006468A" w:rsidRPr="00BD2AAC" w:rsidRDefault="0006468A" w:rsidP="00BD2AAC">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76D18" w14:textId="77777777" w:rsidR="002C719B" w:rsidRDefault="002C719B" w:rsidP="006C3242">
      <w:pPr>
        <w:spacing w:before="0" w:line="240" w:lineRule="auto"/>
      </w:pPr>
      <w:r>
        <w:separator/>
      </w:r>
    </w:p>
  </w:footnote>
  <w:footnote w:type="continuationSeparator" w:id="0">
    <w:p w14:paraId="433E7592" w14:textId="77777777" w:rsidR="002C719B" w:rsidRDefault="002C719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19FD"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BB75F4A" wp14:editId="64CF4DA8">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85974"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7FE31393" wp14:editId="4572DDAC">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9B"/>
    <w:rsid w:val="0006468A"/>
    <w:rsid w:val="00090574"/>
    <w:rsid w:val="000B76A7"/>
    <w:rsid w:val="000C1C0E"/>
    <w:rsid w:val="000C548A"/>
    <w:rsid w:val="00191059"/>
    <w:rsid w:val="001B6E2B"/>
    <w:rsid w:val="001C0169"/>
    <w:rsid w:val="001C0C21"/>
    <w:rsid w:val="001D1D50"/>
    <w:rsid w:val="001D64C7"/>
    <w:rsid w:val="001D6745"/>
    <w:rsid w:val="001E446E"/>
    <w:rsid w:val="002154EE"/>
    <w:rsid w:val="002276D2"/>
    <w:rsid w:val="0023283D"/>
    <w:rsid w:val="00246A29"/>
    <w:rsid w:val="00254393"/>
    <w:rsid w:val="00262B04"/>
    <w:rsid w:val="0026373E"/>
    <w:rsid w:val="00271C43"/>
    <w:rsid w:val="00290728"/>
    <w:rsid w:val="002978F4"/>
    <w:rsid w:val="002B028D"/>
    <w:rsid w:val="002C3F32"/>
    <w:rsid w:val="002C719B"/>
    <w:rsid w:val="002E6541"/>
    <w:rsid w:val="00334924"/>
    <w:rsid w:val="003409BC"/>
    <w:rsid w:val="00341BCC"/>
    <w:rsid w:val="0034611E"/>
    <w:rsid w:val="00357185"/>
    <w:rsid w:val="00383829"/>
    <w:rsid w:val="003F4B29"/>
    <w:rsid w:val="00420F8A"/>
    <w:rsid w:val="0042686F"/>
    <w:rsid w:val="004317D8"/>
    <w:rsid w:val="0043260A"/>
    <w:rsid w:val="00434183"/>
    <w:rsid w:val="00443869"/>
    <w:rsid w:val="00447F32"/>
    <w:rsid w:val="004604E2"/>
    <w:rsid w:val="00491BA9"/>
    <w:rsid w:val="00494119"/>
    <w:rsid w:val="004A4701"/>
    <w:rsid w:val="004B7334"/>
    <w:rsid w:val="004E11DC"/>
    <w:rsid w:val="005130DE"/>
    <w:rsid w:val="00513157"/>
    <w:rsid w:val="00525DDD"/>
    <w:rsid w:val="005409AC"/>
    <w:rsid w:val="005434E0"/>
    <w:rsid w:val="005504E8"/>
    <w:rsid w:val="005546CF"/>
    <w:rsid w:val="0055516A"/>
    <w:rsid w:val="0058491B"/>
    <w:rsid w:val="00592EA5"/>
    <w:rsid w:val="005A3170"/>
    <w:rsid w:val="005B4288"/>
    <w:rsid w:val="005C4600"/>
    <w:rsid w:val="00603BF6"/>
    <w:rsid w:val="00657019"/>
    <w:rsid w:val="00660DEA"/>
    <w:rsid w:val="00677396"/>
    <w:rsid w:val="0069200F"/>
    <w:rsid w:val="006A65CB"/>
    <w:rsid w:val="006B12E5"/>
    <w:rsid w:val="006B4D75"/>
    <w:rsid w:val="006C3242"/>
    <w:rsid w:val="006C7CC0"/>
    <w:rsid w:val="006E46B8"/>
    <w:rsid w:val="006F1560"/>
    <w:rsid w:val="006F363C"/>
    <w:rsid w:val="006F63F7"/>
    <w:rsid w:val="007025C7"/>
    <w:rsid w:val="00706D7A"/>
    <w:rsid w:val="00722F0D"/>
    <w:rsid w:val="00735081"/>
    <w:rsid w:val="0074420E"/>
    <w:rsid w:val="007648A6"/>
    <w:rsid w:val="007669CB"/>
    <w:rsid w:val="0077110E"/>
    <w:rsid w:val="0077469C"/>
    <w:rsid w:val="00783E26"/>
    <w:rsid w:val="007A6684"/>
    <w:rsid w:val="007B0AA0"/>
    <w:rsid w:val="007C3BC7"/>
    <w:rsid w:val="007C3BCD"/>
    <w:rsid w:val="007D346C"/>
    <w:rsid w:val="007D4ACF"/>
    <w:rsid w:val="007F0787"/>
    <w:rsid w:val="00810B7B"/>
    <w:rsid w:val="00810F01"/>
    <w:rsid w:val="0082358A"/>
    <w:rsid w:val="008235CD"/>
    <w:rsid w:val="008247DE"/>
    <w:rsid w:val="0082643B"/>
    <w:rsid w:val="008339C0"/>
    <w:rsid w:val="00840B10"/>
    <w:rsid w:val="008513CB"/>
    <w:rsid w:val="00874E9F"/>
    <w:rsid w:val="0088372B"/>
    <w:rsid w:val="008A7F84"/>
    <w:rsid w:val="0091702E"/>
    <w:rsid w:val="00923B0C"/>
    <w:rsid w:val="00924F46"/>
    <w:rsid w:val="00935AAC"/>
    <w:rsid w:val="0094021C"/>
    <w:rsid w:val="00952F86"/>
    <w:rsid w:val="00982B28"/>
    <w:rsid w:val="009B7E2C"/>
    <w:rsid w:val="009D313F"/>
    <w:rsid w:val="00A47A5A"/>
    <w:rsid w:val="00A63AE6"/>
    <w:rsid w:val="00A6683B"/>
    <w:rsid w:val="00A67F05"/>
    <w:rsid w:val="00A97F94"/>
    <w:rsid w:val="00AA7EA2"/>
    <w:rsid w:val="00AB5A56"/>
    <w:rsid w:val="00AD707A"/>
    <w:rsid w:val="00B03099"/>
    <w:rsid w:val="00B05BC8"/>
    <w:rsid w:val="00B30F5E"/>
    <w:rsid w:val="00B64B47"/>
    <w:rsid w:val="00B95654"/>
    <w:rsid w:val="00B97F32"/>
    <w:rsid w:val="00BA04B2"/>
    <w:rsid w:val="00BD2AAC"/>
    <w:rsid w:val="00C002DE"/>
    <w:rsid w:val="00C0602B"/>
    <w:rsid w:val="00C224DA"/>
    <w:rsid w:val="00C53BF8"/>
    <w:rsid w:val="00C66157"/>
    <w:rsid w:val="00C674FE"/>
    <w:rsid w:val="00C67501"/>
    <w:rsid w:val="00C75633"/>
    <w:rsid w:val="00CE2EE1"/>
    <w:rsid w:val="00CE3349"/>
    <w:rsid w:val="00CE36E5"/>
    <w:rsid w:val="00CE4360"/>
    <w:rsid w:val="00CF27F5"/>
    <w:rsid w:val="00CF2C5B"/>
    <w:rsid w:val="00CF3FFD"/>
    <w:rsid w:val="00D10CCF"/>
    <w:rsid w:val="00D13941"/>
    <w:rsid w:val="00D23F5F"/>
    <w:rsid w:val="00D43F7D"/>
    <w:rsid w:val="00D63735"/>
    <w:rsid w:val="00D77D0F"/>
    <w:rsid w:val="00DA1CF0"/>
    <w:rsid w:val="00DC1E02"/>
    <w:rsid w:val="00DC24B4"/>
    <w:rsid w:val="00DC5FB0"/>
    <w:rsid w:val="00DF16DC"/>
    <w:rsid w:val="00DF2431"/>
    <w:rsid w:val="00E45211"/>
    <w:rsid w:val="00E473C5"/>
    <w:rsid w:val="00E61BE8"/>
    <w:rsid w:val="00E83FF1"/>
    <w:rsid w:val="00E92863"/>
    <w:rsid w:val="00E979B2"/>
    <w:rsid w:val="00EB1BF5"/>
    <w:rsid w:val="00EB796D"/>
    <w:rsid w:val="00F058DC"/>
    <w:rsid w:val="00F24FC4"/>
    <w:rsid w:val="00F2676C"/>
    <w:rsid w:val="00F363FE"/>
    <w:rsid w:val="00F4483C"/>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8B827"/>
  <w15:chartTrackingRefBased/>
  <w15:docId w15:val="{FF195AD7-641B-456E-AE3B-02D3FF4B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BD2AAC"/>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4483C"/>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Tabletext">
    <w:name w:val="Table_text"/>
    <w:basedOn w:val="Normal"/>
    <w:rsid w:val="00603BF6"/>
    <w:pPr>
      <w:tabs>
        <w:tab w:val="clear" w:pos="794"/>
      </w:tabs>
      <w:overflowPunct w:val="0"/>
      <w:autoSpaceDE w:val="0"/>
      <w:autoSpaceDN w:val="0"/>
      <w:bidi w:val="0"/>
      <w:adjustRightInd w:val="0"/>
      <w:spacing w:before="60" w:after="60" w:line="240" w:lineRule="auto"/>
      <w:jc w:val="left"/>
      <w:textAlignment w:val="baseline"/>
    </w:pPr>
    <w:rPr>
      <w:rFonts w:ascii="Times New Roman" w:eastAsia="Times New Roman" w:hAnsi="CG Times" w:cs="Simplified Arabic" w:hint="cs"/>
      <w:szCs w:val="30"/>
    </w:rPr>
  </w:style>
  <w:style w:type="character" w:styleId="FollowedHyperlink">
    <w:name w:val="FollowedHyperlink"/>
    <w:basedOn w:val="DefaultParagraphFont"/>
    <w:uiPriority w:val="99"/>
    <w:semiHidden/>
    <w:unhideWhenUsed/>
    <w:rsid w:val="00F4483C"/>
    <w:rPr>
      <w:color w:val="954F72" w:themeColor="followedHyperlink"/>
      <w:u w:val="single"/>
    </w:rPr>
  </w:style>
  <w:style w:type="paragraph" w:styleId="Revision">
    <w:name w:val="Revision"/>
    <w:hidden/>
    <w:uiPriority w:val="99"/>
    <w:semiHidden/>
    <w:rsid w:val="00F4483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WGFHR20-C-0009/en" TargetMode="External"/><Relationship Id="rId13" Type="http://schemas.openxmlformats.org/officeDocument/2006/relationships/hyperlink" Target="https://www.itu.int/md/S25-CL-C-0054/en" TargetMode="External"/><Relationship Id="rId18" Type="http://schemas.openxmlformats.org/officeDocument/2006/relationships/hyperlink" Target="https://council.itu.int/2025/ar/hosting-itumeeting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5-CWGFHR20-C-0032/en" TargetMode="External"/><Relationship Id="rId17" Type="http://schemas.openxmlformats.org/officeDocument/2006/relationships/hyperlink" Target="https://www.itu.int/md/S21-SG-CIR-0047/en" TargetMode="External"/><Relationship Id="rId2" Type="http://schemas.openxmlformats.org/officeDocument/2006/relationships/numbering" Target="numbering.xml"/><Relationship Id="rId16" Type="http://schemas.openxmlformats.org/officeDocument/2006/relationships/hyperlink" Target="https://www.itu.int/md/S21-SG-CIR-0047/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3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5-CWGFHR20-C-0009/en" TargetMode="External"/><Relationship Id="rId23" Type="http://schemas.openxmlformats.org/officeDocument/2006/relationships/fontTable" Target="fontTable.xml"/><Relationship Id="rId10" Type="http://schemas.openxmlformats.org/officeDocument/2006/relationships/hyperlink" Target="https://www.itu.int/md/S25-CWGFHR20-C-0009/en" TargetMode="External"/><Relationship Id="rId19" Type="http://schemas.openxmlformats.org/officeDocument/2006/relationships/hyperlink" Target="https://www.itu.int/md/S25-CL-C-0050/en" TargetMode="External"/><Relationship Id="rId4" Type="http://schemas.openxmlformats.org/officeDocument/2006/relationships/settings" Target="settings.xml"/><Relationship Id="rId9" Type="http://schemas.openxmlformats.org/officeDocument/2006/relationships/hyperlink" Target="https://www.itu.int/md/S25-CWGFHR20-C-0032/en" TargetMode="External"/><Relationship Id="rId14" Type="http://schemas.openxmlformats.org/officeDocument/2006/relationships/hyperlink" Target="https://council.itu.int/2025/en/hosting-itu-meeting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6</Pages>
  <Words>2435</Words>
  <Characters>13722</Characters>
  <Application>Microsoft Office Word</Application>
  <DocSecurity>0</DocSecurity>
  <Lines>13722</Lines>
  <Paragraphs>2692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modalities for ITU meetings 2028-2029</dc:title>
  <dc:subject>ITU Council 2025</dc:subject>
  <cp:keywords>C2025, C25, Council-25</cp:keywords>
  <dc:description/>
  <dcterms:created xsi:type="dcterms:W3CDTF">2025-06-19T10:15:00Z</dcterms:created>
  <dcterms:modified xsi:type="dcterms:W3CDTF">2025-06-19T10:15:00Z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