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1157364D">
        <w:trPr>
          <w:cantSplit/>
          <w:trHeight w:val="23"/>
        </w:trPr>
        <w:tc>
          <w:tcPr>
            <w:tcW w:w="3969" w:type="dxa"/>
            <w:vMerge w:val="restart"/>
            <w:tcMar>
              <w:left w:w="0" w:type="dxa"/>
            </w:tcMar>
          </w:tcPr>
          <w:p w14:paraId="7147B863" w14:textId="13894DD4"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1B3431">
              <w:rPr>
                <w:b/>
              </w:rPr>
              <w:t>ADM 3</w:t>
            </w:r>
          </w:p>
        </w:tc>
        <w:tc>
          <w:tcPr>
            <w:tcW w:w="5245" w:type="dxa"/>
          </w:tcPr>
          <w:p w14:paraId="6779937E" w14:textId="15DC41B1"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397030">
              <w:rPr>
                <w:b/>
              </w:rPr>
              <w:t>59</w:t>
            </w:r>
            <w:r w:rsidRPr="00C0458D">
              <w:rPr>
                <w:b/>
              </w:rPr>
              <w:t>-E</w:t>
            </w:r>
          </w:p>
        </w:tc>
      </w:tr>
      <w:tr w:rsidR="00AD3606" w:rsidRPr="00C0458D" w14:paraId="3E3F9DA5" w14:textId="77777777" w:rsidTr="1157364D">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2864FE37" w:rsidR="00AD3606" w:rsidRPr="00C0458D" w:rsidRDefault="00397030" w:rsidP="00AD3606">
            <w:pPr>
              <w:tabs>
                <w:tab w:val="left" w:pos="851"/>
              </w:tabs>
              <w:spacing w:before="0"/>
              <w:jc w:val="right"/>
              <w:rPr>
                <w:b/>
              </w:rPr>
            </w:pPr>
            <w:r>
              <w:rPr>
                <w:b/>
              </w:rPr>
              <w:t>1</w:t>
            </w:r>
            <w:r w:rsidR="00487A91">
              <w:rPr>
                <w:b/>
              </w:rPr>
              <w:t>6</w:t>
            </w:r>
            <w:r>
              <w:rPr>
                <w:b/>
              </w:rPr>
              <w:t xml:space="preserve"> May 2025</w:t>
            </w:r>
          </w:p>
        </w:tc>
      </w:tr>
      <w:tr w:rsidR="00AD3606" w:rsidRPr="00C0458D" w14:paraId="75730376" w14:textId="77777777" w:rsidTr="1157364D">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14DA91C4" w14:textId="77777777" w:rsidTr="1157364D">
        <w:trPr>
          <w:cantSplit/>
          <w:trHeight w:val="23"/>
        </w:trPr>
        <w:tc>
          <w:tcPr>
            <w:tcW w:w="3969" w:type="dxa"/>
          </w:tcPr>
          <w:p w14:paraId="5858B25D" w14:textId="77777777"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1157364D">
        <w:trPr>
          <w:cantSplit/>
        </w:trPr>
        <w:tc>
          <w:tcPr>
            <w:tcW w:w="9214" w:type="dxa"/>
            <w:gridSpan w:val="2"/>
            <w:tcMar>
              <w:left w:w="0" w:type="dxa"/>
            </w:tcMar>
          </w:tcPr>
          <w:p w14:paraId="2016C4A0" w14:textId="77777777" w:rsidR="00AD3606" w:rsidRPr="000F7289" w:rsidRDefault="00AD3606" w:rsidP="000F7289">
            <w:pPr>
              <w:pStyle w:val="Source"/>
              <w:framePr w:hSpace="0" w:wrap="auto" w:vAnchor="margin" w:hAnchor="text" w:xAlign="left" w:yAlign="inline"/>
            </w:pPr>
            <w:bookmarkStart w:id="8" w:name="dsource" w:colFirst="0" w:colLast="0"/>
            <w:bookmarkEnd w:id="7"/>
            <w:r w:rsidRPr="000F7289">
              <w:t>Report by the Secretary-General</w:t>
            </w:r>
          </w:p>
        </w:tc>
      </w:tr>
      <w:tr w:rsidR="00AD3606" w:rsidRPr="00C0458D" w14:paraId="3A759762" w14:textId="77777777" w:rsidTr="1157364D">
        <w:trPr>
          <w:cantSplit/>
        </w:trPr>
        <w:tc>
          <w:tcPr>
            <w:tcW w:w="9214" w:type="dxa"/>
            <w:gridSpan w:val="2"/>
            <w:tcMar>
              <w:left w:w="0" w:type="dxa"/>
            </w:tcMar>
          </w:tcPr>
          <w:p w14:paraId="2A2DCF47" w14:textId="29D4C9EF" w:rsidR="00AD3606" w:rsidRPr="000F7289" w:rsidRDefault="00CA6BA8" w:rsidP="000F7289">
            <w:pPr>
              <w:pStyle w:val="Subtitle"/>
              <w:framePr w:hSpace="0" w:wrap="auto" w:xAlign="left" w:yAlign="inline"/>
            </w:pPr>
            <w:bookmarkStart w:id="9" w:name="_Hlk196755296"/>
            <w:bookmarkStart w:id="10" w:name="dtitle1" w:colFirst="0" w:colLast="0"/>
            <w:bookmarkEnd w:id="8"/>
            <w:r>
              <w:t>REPORT FROM THE RADIOCOMMUNICATION ADVISORY GROUP</w:t>
            </w:r>
            <w:r w:rsidR="007B1FE6">
              <w:t xml:space="preserve"> ON COUNCIL</w:t>
            </w:r>
            <w:r w:rsidR="00F91800">
              <w:t>-</w:t>
            </w:r>
            <w:r w:rsidR="007B1FE6">
              <w:t>RELATED MATTERS</w:t>
            </w:r>
            <w:bookmarkEnd w:id="9"/>
          </w:p>
        </w:tc>
      </w:tr>
      <w:tr w:rsidR="00AD3606" w:rsidRPr="00C0458D" w14:paraId="72B25568" w14:textId="77777777" w:rsidTr="1157364D">
        <w:trPr>
          <w:cantSplit/>
        </w:trPr>
        <w:tc>
          <w:tcPr>
            <w:tcW w:w="9214" w:type="dxa"/>
            <w:gridSpan w:val="2"/>
            <w:tcBorders>
              <w:top w:val="single" w:sz="4" w:space="0" w:color="auto"/>
              <w:bottom w:val="single" w:sz="4" w:space="0" w:color="auto"/>
            </w:tcBorders>
            <w:tcMar>
              <w:left w:w="0" w:type="dxa"/>
            </w:tcMar>
          </w:tcPr>
          <w:p w14:paraId="4C3D541B" w14:textId="1024FD2F" w:rsidR="00AD3606" w:rsidRPr="00C0458D" w:rsidRDefault="00F16BAB" w:rsidP="00F16BAB">
            <w:pPr>
              <w:spacing w:before="160"/>
              <w:rPr>
                <w:b/>
                <w:bCs/>
                <w:sz w:val="26"/>
                <w:szCs w:val="26"/>
              </w:rPr>
            </w:pPr>
            <w:r w:rsidRPr="00C0458D">
              <w:rPr>
                <w:b/>
                <w:bCs/>
                <w:sz w:val="26"/>
                <w:szCs w:val="26"/>
              </w:rPr>
              <w:t>Purpose</w:t>
            </w:r>
          </w:p>
          <w:p w14:paraId="67D070EA" w14:textId="441FF2BA" w:rsidR="00AD3606" w:rsidRPr="00C0458D" w:rsidRDefault="000247B1" w:rsidP="00A45BB2">
            <w:pPr>
              <w:jc w:val="both"/>
            </w:pPr>
            <w:r>
              <w:t xml:space="preserve">This document presents </w:t>
            </w:r>
            <w:r w:rsidR="0047300D">
              <w:t xml:space="preserve">the </w:t>
            </w:r>
            <w:r w:rsidR="00A31AB0">
              <w:rPr>
                <w:lang w:val="en-US"/>
              </w:rPr>
              <w:t xml:space="preserve">summary of conclusions </w:t>
            </w:r>
            <w:r>
              <w:rPr>
                <w:lang w:val="en-US"/>
              </w:rPr>
              <w:t xml:space="preserve">of the </w:t>
            </w:r>
            <w:r w:rsidR="00A31AB0">
              <w:rPr>
                <w:lang w:val="en-US"/>
              </w:rPr>
              <w:t>32</w:t>
            </w:r>
            <w:r w:rsidR="00A31AB0" w:rsidRPr="00D11C17">
              <w:rPr>
                <w:vertAlign w:val="superscript"/>
                <w:lang w:val="en-US"/>
              </w:rPr>
              <w:t>nd</w:t>
            </w:r>
            <w:r w:rsidR="00A31AB0">
              <w:rPr>
                <w:lang w:val="en-US"/>
              </w:rPr>
              <w:t xml:space="preserve"> RAG meeting </w:t>
            </w:r>
            <w:r w:rsidR="0047300D">
              <w:rPr>
                <w:lang w:val="en-US"/>
              </w:rPr>
              <w:t>on Council</w:t>
            </w:r>
            <w:r w:rsidR="00A45BB2">
              <w:rPr>
                <w:lang w:val="en-US"/>
              </w:rPr>
              <w:t>-</w:t>
            </w:r>
            <w:r w:rsidR="0047300D">
              <w:rPr>
                <w:lang w:val="en-US"/>
              </w:rPr>
              <w:t>related matters</w:t>
            </w:r>
            <w:r w:rsidR="00445FE4">
              <w:rPr>
                <w:lang w:val="en-US"/>
              </w:rPr>
              <w:t xml:space="preserve">. </w:t>
            </w:r>
          </w:p>
          <w:p w14:paraId="4288AA6F" w14:textId="7777777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0FFF2D9B" w14:textId="25940110" w:rsidR="00722551" w:rsidRDefault="0003048C" w:rsidP="0003048C">
            <w:r w:rsidRPr="006B14C7">
              <w:t xml:space="preserve">The Council is invited </w:t>
            </w:r>
            <w:r w:rsidRPr="00A45BB2">
              <w:t>to</w:t>
            </w:r>
            <w:r w:rsidRPr="006B14C7">
              <w:rPr>
                <w:b/>
                <w:bCs/>
              </w:rPr>
              <w:t xml:space="preserve"> note</w:t>
            </w:r>
            <w:r w:rsidRPr="006B14C7">
              <w:t xml:space="preserve"> this report.</w:t>
            </w:r>
          </w:p>
          <w:p w14:paraId="4B855F83" w14:textId="7E0F2BB7" w:rsidR="00722551" w:rsidRDefault="00722551" w:rsidP="00722551">
            <w:pPr>
              <w:spacing w:before="160"/>
              <w:rPr>
                <w:b/>
                <w:bCs/>
                <w:sz w:val="26"/>
                <w:szCs w:val="26"/>
              </w:rPr>
            </w:pPr>
            <w:r>
              <w:rPr>
                <w:b/>
                <w:bCs/>
                <w:sz w:val="26"/>
                <w:szCs w:val="26"/>
              </w:rPr>
              <w:t>Relevant link</w:t>
            </w:r>
            <w:r w:rsidR="004B25A1">
              <w:rPr>
                <w:b/>
                <w:bCs/>
                <w:sz w:val="26"/>
                <w:szCs w:val="26"/>
              </w:rPr>
              <w:t>(s)</w:t>
            </w:r>
            <w:r>
              <w:rPr>
                <w:b/>
                <w:bCs/>
                <w:sz w:val="26"/>
                <w:szCs w:val="26"/>
              </w:rPr>
              <w:t xml:space="preserve"> with the Strategic Plan</w:t>
            </w:r>
          </w:p>
          <w:p w14:paraId="56ADF403" w14:textId="576A3CE3" w:rsidR="00722551" w:rsidRPr="00F34F34" w:rsidRDefault="00397030" w:rsidP="00A45BB2">
            <w:pPr>
              <w:jc w:val="both"/>
              <w:rPr>
                <w:lang w:val="en-US"/>
              </w:rPr>
            </w:pPr>
            <w:r w:rsidRPr="00397030">
              <w:t>Thematic Priority of Spectrum use for space and terrestrial services; development and application of the ITU Administrative Regulations; allocation and management of resources, convening platforms.</w:t>
            </w:r>
          </w:p>
          <w:p w14:paraId="6A77059B" w14:textId="270D1307" w:rsidR="00722551" w:rsidRPr="007B1FE6" w:rsidRDefault="00722551" w:rsidP="00722551">
            <w:pPr>
              <w:spacing w:before="160"/>
              <w:rPr>
                <w:b/>
                <w:bCs/>
                <w:sz w:val="26"/>
                <w:szCs w:val="26"/>
                <w:lang w:val="en-US"/>
              </w:rPr>
            </w:pPr>
            <w:r w:rsidRPr="007B1FE6">
              <w:rPr>
                <w:b/>
                <w:bCs/>
                <w:sz w:val="26"/>
                <w:szCs w:val="26"/>
                <w:lang w:val="en-US"/>
              </w:rPr>
              <w:t>Financial implications</w:t>
            </w:r>
          </w:p>
          <w:p w14:paraId="731F0870" w14:textId="57AA94E3" w:rsidR="00453079" w:rsidRPr="009D7D91" w:rsidRDefault="0C033D9E" w:rsidP="1157364D">
            <w:pPr>
              <w:jc w:val="both"/>
              <w:rPr>
                <w:lang w:val="en-US"/>
              </w:rPr>
            </w:pPr>
            <w:r w:rsidRPr="00487A91">
              <w:rPr>
                <w:lang w:val="en-US"/>
              </w:rPr>
              <w:t xml:space="preserve">Budgetary implications for the </w:t>
            </w:r>
            <w:r w:rsidR="00487A91">
              <w:rPr>
                <w:lang w:val="en-US"/>
              </w:rPr>
              <w:t xml:space="preserve">Radiocommunication </w:t>
            </w:r>
            <w:r w:rsidR="0068249A">
              <w:rPr>
                <w:lang w:val="en-US"/>
              </w:rPr>
              <w:t>Sector</w:t>
            </w:r>
            <w:r w:rsidR="00487A91">
              <w:rPr>
                <w:lang w:val="en-US"/>
              </w:rPr>
              <w:t xml:space="preserve"> (BR)</w:t>
            </w:r>
            <w:r w:rsidRPr="00487A91">
              <w:rPr>
                <w:lang w:val="en-US"/>
              </w:rPr>
              <w:t xml:space="preserve"> to carry out its </w:t>
            </w:r>
            <w:proofErr w:type="gramStart"/>
            <w:r w:rsidRPr="00487A91">
              <w:rPr>
                <w:lang w:val="en-US"/>
              </w:rPr>
              <w:t>mandate</w:t>
            </w:r>
            <w:r w:rsidR="212E17C3" w:rsidRPr="00487A91">
              <w:rPr>
                <w:lang w:val="en-US"/>
              </w:rPr>
              <w:t>;</w:t>
            </w:r>
            <w:proofErr w:type="gramEnd"/>
            <w:r w:rsidRPr="00487A91">
              <w:rPr>
                <w:lang w:val="en-US"/>
              </w:rPr>
              <w:t xml:space="preserve"> and interpretation costs </w:t>
            </w:r>
            <w:r w:rsidR="742B8B9E" w:rsidRPr="00487A91">
              <w:rPr>
                <w:lang w:val="en-US"/>
              </w:rPr>
              <w:t xml:space="preserve">for ITU-R SG meetings held </w:t>
            </w:r>
            <w:r w:rsidRPr="00487A91">
              <w:rPr>
                <w:lang w:val="en-US"/>
              </w:rPr>
              <w:t xml:space="preserve">in </w:t>
            </w:r>
            <w:r w:rsidR="212E17C3" w:rsidRPr="00487A91">
              <w:rPr>
                <w:lang w:val="en-US"/>
              </w:rPr>
              <w:t>six languages</w:t>
            </w:r>
            <w:r w:rsidR="7BBC5D91" w:rsidRPr="601B33A1">
              <w:rPr>
                <w:lang w:val="en-US"/>
              </w:rPr>
              <w:t xml:space="preserve"> (</w:t>
            </w:r>
            <w:r w:rsidR="00F731E3">
              <w:rPr>
                <w:lang w:val="en-US"/>
              </w:rPr>
              <w:t>CHF </w:t>
            </w:r>
            <w:r w:rsidR="3C77B324" w:rsidRPr="601B33A1">
              <w:rPr>
                <w:lang w:val="en-US"/>
              </w:rPr>
              <w:t>104</w:t>
            </w:r>
            <w:r w:rsidR="00F731E3">
              <w:rPr>
                <w:lang w:val="en-US"/>
              </w:rPr>
              <w:t> </w:t>
            </w:r>
            <w:r w:rsidR="3C77B324" w:rsidRPr="601B33A1">
              <w:rPr>
                <w:lang w:val="en-US"/>
              </w:rPr>
              <w:t>300)</w:t>
            </w:r>
            <w:r w:rsidR="00F731E3">
              <w:rPr>
                <w:lang w:val="en-US"/>
              </w:rPr>
              <w:t>.</w:t>
            </w:r>
          </w:p>
          <w:p w14:paraId="08939791" w14:textId="77777777" w:rsidR="00C0458D" w:rsidRDefault="00C0458D">
            <w:r>
              <w:t>_______________</w:t>
            </w:r>
          </w:p>
          <w:p w14:paraId="212A584A" w14:textId="77777777" w:rsidR="00AD3606" w:rsidRPr="00C0458D" w:rsidRDefault="00AD3606" w:rsidP="00F16BAB">
            <w:pPr>
              <w:spacing w:before="160"/>
              <w:rPr>
                <w:b/>
                <w:bCs/>
                <w:sz w:val="26"/>
                <w:szCs w:val="26"/>
              </w:rPr>
            </w:pPr>
            <w:r w:rsidRPr="00C0458D">
              <w:rPr>
                <w:b/>
                <w:bCs/>
                <w:sz w:val="26"/>
                <w:szCs w:val="26"/>
              </w:rPr>
              <w:t>References</w:t>
            </w:r>
          </w:p>
          <w:p w14:paraId="7089D4B7" w14:textId="1C639895" w:rsidR="00B76E95" w:rsidRPr="00397030" w:rsidRDefault="0042094A" w:rsidP="00F16BAB">
            <w:pPr>
              <w:spacing w:after="160"/>
              <w:rPr>
                <w:i/>
                <w:iCs/>
                <w:sz w:val="22"/>
                <w:szCs w:val="22"/>
              </w:rPr>
            </w:pPr>
            <w:r w:rsidRPr="00397030">
              <w:rPr>
                <w:i/>
                <w:iCs/>
                <w:sz w:val="22"/>
                <w:szCs w:val="22"/>
              </w:rPr>
              <w:t xml:space="preserve">BR Administrative Circular </w:t>
            </w:r>
            <w:hyperlink r:id="rId11" w:history="1">
              <w:r w:rsidRPr="00397030">
                <w:rPr>
                  <w:rStyle w:val="Hyperlink"/>
                  <w:i/>
                  <w:iCs/>
                  <w:sz w:val="22"/>
                  <w:szCs w:val="22"/>
                </w:rPr>
                <w:t>CA/277</w:t>
              </w:r>
            </w:hyperlink>
            <w:r w:rsidRPr="00397030">
              <w:rPr>
                <w:i/>
                <w:iCs/>
                <w:sz w:val="22"/>
                <w:szCs w:val="22"/>
              </w:rPr>
              <w:t>: Summary of conclusions of the thirty-second Radiocommunication Advisory Group (Geneva, 14-17 April 2025)</w:t>
            </w:r>
          </w:p>
        </w:tc>
      </w:tr>
    </w:tbl>
    <w:p w14:paraId="52958905"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bookmarkStart w:id="11" w:name="_Hlk133421428"/>
      <w:bookmarkEnd w:id="2"/>
      <w:bookmarkEnd w:id="3"/>
      <w:bookmarkEnd w:id="4"/>
      <w:bookmarkEnd w:id="10"/>
      <w:r w:rsidRPr="00C0458D">
        <w:br w:type="page"/>
      </w:r>
    </w:p>
    <w:bookmarkEnd w:id="5"/>
    <w:bookmarkEnd w:id="11"/>
    <w:p w14:paraId="457141AC" w14:textId="77777777" w:rsidR="00141F16" w:rsidRPr="008E257F" w:rsidRDefault="00141F16" w:rsidP="00DC34EE">
      <w:pPr>
        <w:pStyle w:val="Heading1"/>
        <w:numPr>
          <w:ilvl w:val="0"/>
          <w:numId w:val="2"/>
        </w:numPr>
        <w:tabs>
          <w:tab w:val="clear" w:pos="567"/>
          <w:tab w:val="clear" w:pos="1134"/>
          <w:tab w:val="clear" w:pos="1701"/>
          <w:tab w:val="clear" w:pos="2268"/>
          <w:tab w:val="clear" w:pos="2835"/>
        </w:tabs>
        <w:spacing w:before="120" w:after="120"/>
        <w:ind w:left="0" w:firstLine="0"/>
        <w:rPr>
          <w:lang w:val="en-US"/>
        </w:rPr>
      </w:pPr>
      <w:r w:rsidRPr="008E257F">
        <w:rPr>
          <w:lang w:val="en-US"/>
        </w:rPr>
        <w:lastRenderedPageBreak/>
        <w:t>Introduction</w:t>
      </w:r>
    </w:p>
    <w:p w14:paraId="3A7C2E2B" w14:textId="37704094" w:rsidR="008B2FF1" w:rsidRDefault="00141F16" w:rsidP="00DC34EE">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8E257F">
        <w:rPr>
          <w:lang w:val="en-US"/>
        </w:rPr>
        <w:t xml:space="preserve">The </w:t>
      </w:r>
      <w:r w:rsidR="00844981">
        <w:rPr>
          <w:lang w:val="en-US"/>
        </w:rPr>
        <w:t>32</w:t>
      </w:r>
      <w:r w:rsidR="00844981" w:rsidRPr="00844981">
        <w:rPr>
          <w:vertAlign w:val="superscript"/>
          <w:lang w:val="en-US"/>
        </w:rPr>
        <w:t>nd</w:t>
      </w:r>
      <w:r w:rsidR="00844981">
        <w:rPr>
          <w:lang w:val="en-US"/>
        </w:rPr>
        <w:t xml:space="preserve"> </w:t>
      </w:r>
      <w:r w:rsidR="004F62DE">
        <w:rPr>
          <w:lang w:val="en-US"/>
        </w:rPr>
        <w:t>Radiocommunication Advisor</w:t>
      </w:r>
      <w:r w:rsidR="00844981">
        <w:rPr>
          <w:lang w:val="en-US"/>
        </w:rPr>
        <w:t>y</w:t>
      </w:r>
      <w:r w:rsidR="004F62DE">
        <w:rPr>
          <w:lang w:val="en-US"/>
        </w:rPr>
        <w:t xml:space="preserve"> Group</w:t>
      </w:r>
      <w:r w:rsidR="00844981">
        <w:rPr>
          <w:lang w:val="en-US"/>
        </w:rPr>
        <w:t xml:space="preserve"> </w:t>
      </w:r>
      <w:r w:rsidR="00BB44AA">
        <w:rPr>
          <w:lang w:val="en-US"/>
        </w:rPr>
        <w:t xml:space="preserve">(RAG) </w:t>
      </w:r>
      <w:r w:rsidR="00844981">
        <w:rPr>
          <w:lang w:val="en-US"/>
        </w:rPr>
        <w:t>meeting</w:t>
      </w:r>
      <w:r w:rsidR="008B2FF1">
        <w:rPr>
          <w:lang w:val="en-US"/>
        </w:rPr>
        <w:t xml:space="preserve"> was</w:t>
      </w:r>
      <w:r w:rsidRPr="008E257F">
        <w:rPr>
          <w:lang w:val="en-US"/>
        </w:rPr>
        <w:t xml:space="preserve"> held in </w:t>
      </w:r>
      <w:r w:rsidR="00077335">
        <w:rPr>
          <w:lang w:val="en-US"/>
        </w:rPr>
        <w:t>Geneva</w:t>
      </w:r>
      <w:r w:rsidRPr="008E257F">
        <w:rPr>
          <w:lang w:val="en-US"/>
        </w:rPr>
        <w:t xml:space="preserve">, </w:t>
      </w:r>
      <w:r w:rsidR="00077335">
        <w:rPr>
          <w:lang w:val="en-US"/>
        </w:rPr>
        <w:t>Switzerland, f</w:t>
      </w:r>
      <w:r w:rsidRPr="008E257F">
        <w:rPr>
          <w:lang w:val="en-US"/>
        </w:rPr>
        <w:t xml:space="preserve">rom </w:t>
      </w:r>
      <w:r w:rsidR="00077335">
        <w:rPr>
          <w:lang w:val="en-US"/>
        </w:rPr>
        <w:t>14</w:t>
      </w:r>
      <w:r w:rsidRPr="008E257F">
        <w:rPr>
          <w:lang w:val="en-US"/>
        </w:rPr>
        <w:t xml:space="preserve"> to </w:t>
      </w:r>
      <w:r w:rsidR="00077335">
        <w:rPr>
          <w:lang w:val="en-US"/>
        </w:rPr>
        <w:t>17</w:t>
      </w:r>
      <w:r>
        <w:rPr>
          <w:lang w:val="en-US"/>
        </w:rPr>
        <w:t> </w:t>
      </w:r>
      <w:r w:rsidR="00077335">
        <w:rPr>
          <w:lang w:val="en-US"/>
        </w:rPr>
        <w:t>April</w:t>
      </w:r>
      <w:r w:rsidRPr="008E257F">
        <w:rPr>
          <w:lang w:val="en-US"/>
        </w:rPr>
        <w:t xml:space="preserve"> 202</w:t>
      </w:r>
      <w:r w:rsidR="00077335">
        <w:rPr>
          <w:lang w:val="en-US"/>
        </w:rPr>
        <w:t>5</w:t>
      </w:r>
      <w:r w:rsidR="008B2FF1">
        <w:rPr>
          <w:lang w:val="en-US"/>
        </w:rPr>
        <w:t>.</w:t>
      </w:r>
    </w:p>
    <w:p w14:paraId="416C9428" w14:textId="359E3BAA" w:rsidR="0052145D" w:rsidRDefault="00BB44AA" w:rsidP="00DC34EE">
      <w:pPr>
        <w:tabs>
          <w:tab w:val="clear" w:pos="567"/>
          <w:tab w:val="clear" w:pos="1134"/>
          <w:tab w:val="clear" w:pos="1701"/>
          <w:tab w:val="clear" w:pos="2268"/>
          <w:tab w:val="clear" w:pos="2835"/>
        </w:tabs>
        <w:spacing w:after="120"/>
        <w:jc w:val="both"/>
        <w:rPr>
          <w:lang w:val="en-US"/>
        </w:rPr>
      </w:pPr>
      <w:r>
        <w:rPr>
          <w:lang w:val="en-US"/>
        </w:rPr>
        <w:t xml:space="preserve">The RAG considered the </w:t>
      </w:r>
      <w:r w:rsidR="0026555F">
        <w:rPr>
          <w:lang w:val="en-US"/>
        </w:rPr>
        <w:t>D</w:t>
      </w:r>
      <w:r w:rsidR="003D79A7">
        <w:rPr>
          <w:lang w:val="en-US"/>
        </w:rPr>
        <w:t xml:space="preserve">raft Budget for 2026-2027 </w:t>
      </w:r>
      <w:r w:rsidR="0026555F">
        <w:rPr>
          <w:lang w:val="en-US"/>
        </w:rPr>
        <w:t>for the Radiocommunication Sector</w:t>
      </w:r>
      <w:r w:rsidR="00DC34EE">
        <w:rPr>
          <w:lang w:val="en-US"/>
        </w:rPr>
        <w:t xml:space="preserve"> (BR)</w:t>
      </w:r>
      <w:r w:rsidR="00271F50">
        <w:rPr>
          <w:lang w:val="en-US"/>
        </w:rPr>
        <w:t xml:space="preserve"> that was presented to </w:t>
      </w:r>
      <w:r w:rsidR="00ED4E68">
        <w:rPr>
          <w:lang w:val="en-US"/>
        </w:rPr>
        <w:t>second virtual thematic briefing with Councillors</w:t>
      </w:r>
      <w:r w:rsidR="0052145D">
        <w:rPr>
          <w:lang w:val="en-US"/>
        </w:rPr>
        <w:t>,</w:t>
      </w:r>
      <w:r w:rsidR="00D11C17">
        <w:rPr>
          <w:lang w:val="en-US"/>
        </w:rPr>
        <w:t xml:space="preserve"> </w:t>
      </w:r>
      <w:r w:rsidR="0052145D">
        <w:rPr>
          <w:lang w:val="en-US"/>
        </w:rPr>
        <w:t xml:space="preserve">the </w:t>
      </w:r>
      <w:r w:rsidR="003D2EF9" w:rsidRPr="0052145D">
        <w:rPr>
          <w:lang w:val="en-US"/>
        </w:rPr>
        <w:t>issue of hosting ITU-R meetings outside Geneva</w:t>
      </w:r>
      <w:r w:rsidR="00921990">
        <w:rPr>
          <w:lang w:val="en-US"/>
        </w:rPr>
        <w:t>, and the u</w:t>
      </w:r>
      <w:r w:rsidR="00921990" w:rsidRPr="1403F15A">
        <w:rPr>
          <w:rFonts w:asciiTheme="minorHAnsi" w:hAnsiTheme="minorHAnsi" w:cstheme="minorBidi"/>
        </w:rPr>
        <w:t>se of the six official languages of the Union on an equal footing</w:t>
      </w:r>
      <w:r w:rsidR="00D11C17">
        <w:rPr>
          <w:lang w:val="en-US"/>
        </w:rPr>
        <w:t>.</w:t>
      </w:r>
    </w:p>
    <w:p w14:paraId="04195E4D" w14:textId="08BF5A19" w:rsidR="004F20F1" w:rsidRDefault="0054569C" w:rsidP="00DC34EE">
      <w:pPr>
        <w:tabs>
          <w:tab w:val="clear" w:pos="567"/>
          <w:tab w:val="clear" w:pos="1134"/>
          <w:tab w:val="clear" w:pos="1701"/>
          <w:tab w:val="clear" w:pos="2268"/>
          <w:tab w:val="clear" w:pos="2835"/>
        </w:tabs>
        <w:spacing w:after="120"/>
        <w:jc w:val="both"/>
        <w:rPr>
          <w:lang w:val="en-US"/>
        </w:rPr>
      </w:pPr>
      <w:r>
        <w:rPr>
          <w:lang w:val="en-US"/>
        </w:rPr>
        <w:t>Th</w:t>
      </w:r>
      <w:r w:rsidR="0052145D">
        <w:rPr>
          <w:lang w:val="en-US"/>
        </w:rPr>
        <w:t xml:space="preserve">is document follows the guidance of the RAG to the </w:t>
      </w:r>
      <w:r w:rsidR="0052145D" w:rsidRPr="0052145D">
        <w:rPr>
          <w:lang w:val="en-US"/>
        </w:rPr>
        <w:t xml:space="preserve">BR Director to report to the Council on the conclusions of the </w:t>
      </w:r>
      <w:r w:rsidR="00D11C17">
        <w:rPr>
          <w:lang w:val="en-US"/>
        </w:rPr>
        <w:t>32</w:t>
      </w:r>
      <w:r w:rsidR="00D11C17" w:rsidRPr="00D11C17">
        <w:rPr>
          <w:vertAlign w:val="superscript"/>
          <w:lang w:val="en-US"/>
        </w:rPr>
        <w:t>nd</w:t>
      </w:r>
      <w:r w:rsidR="00D11C17">
        <w:rPr>
          <w:lang w:val="en-US"/>
        </w:rPr>
        <w:t xml:space="preserve"> RAG meeting on the </w:t>
      </w:r>
      <w:r w:rsidR="00D11C17" w:rsidRPr="003E5D45">
        <w:rPr>
          <w:lang w:val="en-US"/>
        </w:rPr>
        <w:t>abovementioned</w:t>
      </w:r>
      <w:r w:rsidR="00D11C17">
        <w:rPr>
          <w:lang w:val="en-US"/>
        </w:rPr>
        <w:t xml:space="preserve"> topics</w:t>
      </w:r>
      <w:r w:rsidR="0052145D" w:rsidRPr="0052145D">
        <w:rPr>
          <w:lang w:val="en-US"/>
        </w:rPr>
        <w:t>.</w:t>
      </w:r>
    </w:p>
    <w:p w14:paraId="121B9922" w14:textId="1263AEBE" w:rsidR="00742A47" w:rsidRDefault="002D3D45" w:rsidP="00DC34EE">
      <w:pPr>
        <w:pStyle w:val="Heading1"/>
        <w:numPr>
          <w:ilvl w:val="0"/>
          <w:numId w:val="2"/>
        </w:numPr>
        <w:tabs>
          <w:tab w:val="clear" w:pos="567"/>
          <w:tab w:val="clear" w:pos="1134"/>
          <w:tab w:val="clear" w:pos="1701"/>
          <w:tab w:val="clear" w:pos="2268"/>
          <w:tab w:val="clear" w:pos="2835"/>
        </w:tabs>
        <w:spacing w:before="480" w:after="120"/>
        <w:ind w:left="0" w:firstLine="0"/>
      </w:pPr>
      <w:r>
        <w:t xml:space="preserve">Draft </w:t>
      </w:r>
      <w:r w:rsidR="003D79A7">
        <w:t>B</w:t>
      </w:r>
      <w:r w:rsidRPr="002D3D45">
        <w:t>udget for 2026-2027</w:t>
      </w:r>
    </w:p>
    <w:tbl>
      <w:tblPr>
        <w:tblStyle w:val="TableGrid"/>
        <w:tblW w:w="0" w:type="auto"/>
        <w:tblLook w:val="04A0" w:firstRow="1" w:lastRow="0" w:firstColumn="1" w:lastColumn="0" w:noHBand="0" w:noVBand="1"/>
      </w:tblPr>
      <w:tblGrid>
        <w:gridCol w:w="9061"/>
      </w:tblGrid>
      <w:tr w:rsidR="005F3F04" w:rsidRPr="0052145D" w14:paraId="7C1A4CE5" w14:textId="77777777" w:rsidTr="005F3F04">
        <w:tc>
          <w:tcPr>
            <w:tcW w:w="9061" w:type="dxa"/>
          </w:tcPr>
          <w:p w14:paraId="636D887F" w14:textId="37A52253" w:rsidR="005F3F04" w:rsidRPr="0052145D" w:rsidRDefault="005F3F04" w:rsidP="00397030">
            <w:pPr>
              <w:tabs>
                <w:tab w:val="clear" w:pos="567"/>
                <w:tab w:val="clear" w:pos="1134"/>
                <w:tab w:val="clear" w:pos="1701"/>
                <w:tab w:val="clear" w:pos="2268"/>
                <w:tab w:val="clear" w:pos="2835"/>
              </w:tabs>
              <w:overflowPunct/>
              <w:autoSpaceDE/>
              <w:autoSpaceDN/>
              <w:adjustRightInd/>
              <w:spacing w:after="120"/>
              <w:jc w:val="both"/>
              <w:textAlignment w:val="auto"/>
              <w:rPr>
                <w:rFonts w:eastAsia="Times New Roman" w:cs="Times New Roman"/>
                <w:szCs w:val="20"/>
                <w:lang w:val="en-US"/>
              </w:rPr>
            </w:pPr>
            <w:r w:rsidRPr="007B6CDC">
              <w:rPr>
                <w:rFonts w:eastAsia="Times New Roman" w:cs="Times New Roman"/>
                <w:i/>
                <w:iCs/>
                <w:szCs w:val="20"/>
                <w:lang w:val="en-US"/>
              </w:rPr>
              <w:t xml:space="preserve">The RAG noted with concern the proposed reductions in the BR staff budget for the biennium 2026-2027 and, while understanding the financial difficulties that the ITU may be facing, emphasized the need to preserve the resources that the Bureau needs </w:t>
            </w:r>
            <w:proofErr w:type="gramStart"/>
            <w:r w:rsidRPr="007B6CDC">
              <w:rPr>
                <w:rFonts w:eastAsia="Times New Roman" w:cs="Times New Roman"/>
                <w:i/>
                <w:iCs/>
                <w:szCs w:val="20"/>
                <w:lang w:val="en-US"/>
              </w:rPr>
              <w:t>in order to</w:t>
            </w:r>
            <w:proofErr w:type="gramEnd"/>
            <w:r w:rsidRPr="007B6CDC">
              <w:rPr>
                <w:rFonts w:eastAsia="Times New Roman" w:cs="Times New Roman"/>
                <w:i/>
                <w:iCs/>
                <w:szCs w:val="20"/>
                <w:lang w:val="en-US"/>
              </w:rPr>
              <w:t xml:space="preserve"> carry out its mandate. This should take priority over other non-core activities planned to be carried out by the ITU. In this regard, PP-22 Decision 5 should be </w:t>
            </w:r>
            <w:proofErr w:type="gramStart"/>
            <w:r w:rsidRPr="007B6CDC">
              <w:rPr>
                <w:rFonts w:eastAsia="Times New Roman" w:cs="Times New Roman"/>
                <w:i/>
                <w:iCs/>
                <w:szCs w:val="20"/>
                <w:lang w:val="en-US"/>
              </w:rPr>
              <w:t>adhered to at all times</w:t>
            </w:r>
            <w:proofErr w:type="gramEnd"/>
            <w:r w:rsidRPr="007B6CDC">
              <w:rPr>
                <w:rFonts w:eastAsia="Times New Roman" w:cs="Times New Roman"/>
                <w:i/>
                <w:iCs/>
                <w:szCs w:val="20"/>
                <w:lang w:val="en-US"/>
              </w:rPr>
              <w:t>.</w:t>
            </w:r>
          </w:p>
        </w:tc>
      </w:tr>
    </w:tbl>
    <w:p w14:paraId="7A42289E" w14:textId="43893B53" w:rsidR="00A81A1A" w:rsidRDefault="00A81A1A" w:rsidP="00DC34EE">
      <w:pPr>
        <w:pStyle w:val="Heading1"/>
        <w:numPr>
          <w:ilvl w:val="0"/>
          <w:numId w:val="2"/>
        </w:numPr>
        <w:tabs>
          <w:tab w:val="clear" w:pos="567"/>
          <w:tab w:val="clear" w:pos="1134"/>
          <w:tab w:val="clear" w:pos="1701"/>
          <w:tab w:val="clear" w:pos="2268"/>
          <w:tab w:val="clear" w:pos="2835"/>
        </w:tabs>
        <w:spacing w:before="480" w:after="120"/>
        <w:ind w:left="0" w:firstLine="0"/>
      </w:pPr>
      <w:r>
        <w:t>H</w:t>
      </w:r>
      <w:r w:rsidRPr="00A81A1A">
        <w:t>osting ITU-R meetings outside Geneva</w:t>
      </w:r>
    </w:p>
    <w:tbl>
      <w:tblPr>
        <w:tblStyle w:val="TableGrid"/>
        <w:tblW w:w="0" w:type="auto"/>
        <w:tblLook w:val="04A0" w:firstRow="1" w:lastRow="0" w:firstColumn="1" w:lastColumn="0" w:noHBand="0" w:noVBand="1"/>
      </w:tblPr>
      <w:tblGrid>
        <w:gridCol w:w="9061"/>
      </w:tblGrid>
      <w:tr w:rsidR="0084259D" w:rsidRPr="0052145D" w14:paraId="40B399F0" w14:textId="77777777" w:rsidTr="0084259D">
        <w:tc>
          <w:tcPr>
            <w:tcW w:w="9061" w:type="dxa"/>
          </w:tcPr>
          <w:p w14:paraId="4048B77A" w14:textId="3367A4F7" w:rsidR="0084259D" w:rsidRPr="007B6CDC" w:rsidRDefault="0084259D" w:rsidP="00397030">
            <w:pPr>
              <w:tabs>
                <w:tab w:val="clear" w:pos="567"/>
                <w:tab w:val="clear" w:pos="1134"/>
                <w:tab w:val="clear" w:pos="1701"/>
                <w:tab w:val="clear" w:pos="2268"/>
                <w:tab w:val="clear" w:pos="2835"/>
              </w:tabs>
              <w:overflowPunct/>
              <w:autoSpaceDE/>
              <w:autoSpaceDN/>
              <w:adjustRightInd/>
              <w:spacing w:after="120"/>
              <w:jc w:val="both"/>
              <w:textAlignment w:val="auto"/>
              <w:rPr>
                <w:rFonts w:eastAsia="Times New Roman" w:cs="Times New Roman"/>
                <w:i/>
                <w:iCs/>
                <w:szCs w:val="20"/>
                <w:lang w:val="en-US"/>
              </w:rPr>
            </w:pPr>
            <w:r w:rsidRPr="007B6CDC">
              <w:rPr>
                <w:rFonts w:eastAsia="Times New Roman" w:cs="Times New Roman"/>
                <w:i/>
                <w:iCs/>
                <w:szCs w:val="20"/>
                <w:lang w:val="en-US"/>
              </w:rPr>
              <w:t xml:space="preserve">The RAG noted the issue of hosting ITU-R meetings outside Geneva, highlighting the importance of applying the same procedure for convening such meetings of all three ITU Sectors and that the new building construction would result in an increase in the number of meetings hosted outside Geneva. The RAG encouraged Administrations to send their invitation to host ITU-R meetings to the BR as early as possible, preferably before the last but </w:t>
            </w:r>
            <w:proofErr w:type="gramStart"/>
            <w:r w:rsidRPr="007B6CDC">
              <w:rPr>
                <w:rFonts w:eastAsia="Times New Roman" w:cs="Times New Roman"/>
                <w:i/>
                <w:iCs/>
                <w:szCs w:val="20"/>
                <w:lang w:val="en-US"/>
              </w:rPr>
              <w:t>one</w:t>
            </w:r>
            <w:proofErr w:type="gramEnd"/>
            <w:r w:rsidRPr="007B6CDC">
              <w:rPr>
                <w:rFonts w:eastAsia="Times New Roman" w:cs="Times New Roman"/>
                <w:i/>
                <w:iCs/>
                <w:szCs w:val="20"/>
                <w:lang w:val="en-US"/>
              </w:rPr>
              <w:t xml:space="preserve"> meeting of the Study Group.</w:t>
            </w:r>
          </w:p>
        </w:tc>
      </w:tr>
    </w:tbl>
    <w:p w14:paraId="761771D9" w14:textId="77777777" w:rsidR="00C35FC9" w:rsidRPr="003E5D45" w:rsidRDefault="00C35FC9" w:rsidP="00DC34EE">
      <w:pPr>
        <w:pStyle w:val="Heading1"/>
        <w:numPr>
          <w:ilvl w:val="0"/>
          <w:numId w:val="2"/>
        </w:numPr>
        <w:tabs>
          <w:tab w:val="clear" w:pos="567"/>
          <w:tab w:val="clear" w:pos="1134"/>
          <w:tab w:val="clear" w:pos="1701"/>
          <w:tab w:val="clear" w:pos="2268"/>
          <w:tab w:val="clear" w:pos="2835"/>
        </w:tabs>
        <w:spacing w:before="480" w:after="120"/>
        <w:ind w:left="0" w:firstLine="0"/>
      </w:pPr>
      <w:r w:rsidRPr="003E5D45">
        <w:t>Use of the six official languages of the Union on an equal footing:</w:t>
      </w:r>
    </w:p>
    <w:p w14:paraId="34B51920" w14:textId="650B8A71" w:rsidR="003E5D45" w:rsidRPr="00AF776A" w:rsidRDefault="0050741B" w:rsidP="00397030">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after="120"/>
        <w:rPr>
          <w:rFonts w:asciiTheme="minorHAnsi" w:hAnsiTheme="minorHAnsi" w:cstheme="minorBidi"/>
          <w:i/>
          <w:iCs/>
          <w:color w:val="000000" w:themeColor="text1"/>
        </w:rPr>
      </w:pPr>
      <w:r w:rsidRPr="007B6CDC">
        <w:rPr>
          <w:rFonts w:asciiTheme="minorHAnsi" w:hAnsiTheme="minorHAnsi" w:cstheme="minorBidi"/>
          <w:i/>
          <w:iCs/>
          <w:color w:val="000000" w:themeColor="text1"/>
        </w:rPr>
        <w:t>It was proposed that, for meetings with interpretation, the BR provides interpretation by default in six languages instead of upon request, subject to further review by Council, if any.</w:t>
      </w:r>
    </w:p>
    <w:p w14:paraId="35C6D0A5" w14:textId="47CE77E8" w:rsidR="007A3FCD" w:rsidRPr="00C0458D" w:rsidRDefault="007A3FCD" w:rsidP="00DC34EE">
      <w:pPr>
        <w:spacing w:before="840"/>
        <w:jc w:val="center"/>
      </w:pPr>
      <w:r>
        <w:t>______________</w:t>
      </w:r>
    </w:p>
    <w:sectPr w:rsidR="007A3FCD" w:rsidRPr="00C0458D"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BCEFE" w14:textId="77777777" w:rsidR="00AB1C48" w:rsidRDefault="00AB1C48">
      <w:r>
        <w:separator/>
      </w:r>
    </w:p>
  </w:endnote>
  <w:endnote w:type="continuationSeparator" w:id="0">
    <w:p w14:paraId="1ADDF9BB" w14:textId="77777777" w:rsidR="00AB1C48" w:rsidRDefault="00AB1C48">
      <w:r>
        <w:continuationSeparator/>
      </w:r>
    </w:p>
  </w:endnote>
  <w:endnote w:type="continuationNotice" w:id="1">
    <w:p w14:paraId="43CECB93" w14:textId="77777777" w:rsidR="00AB1C48" w:rsidRDefault="00AB1C4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02455D">
      <w:trPr>
        <w:jc w:val="center"/>
      </w:trPr>
      <w:tc>
        <w:tcPr>
          <w:tcW w:w="1803" w:type="dxa"/>
          <w:vAlign w:val="center"/>
        </w:tcPr>
        <w:p w14:paraId="5B3DDD9A" w14:textId="77777777" w:rsidR="00EE49E8" w:rsidRDefault="00C6520B" w:rsidP="00EE49E8">
          <w:pPr>
            <w:pStyle w:val="Header"/>
            <w:jc w:val="left"/>
            <w:rPr>
              <w:noProof/>
            </w:rPr>
          </w:pPr>
          <w:r>
            <w:rPr>
              <w:noProof/>
            </w:rPr>
            <w:t>gDoc #</w:t>
          </w:r>
        </w:p>
      </w:tc>
      <w:tc>
        <w:tcPr>
          <w:tcW w:w="8261" w:type="dxa"/>
        </w:tcPr>
        <w:p w14:paraId="6F6B3A01" w14:textId="16F0E38A" w:rsidR="00EE49E8" w:rsidRPr="00E06FD5" w:rsidRDefault="00EE49E8" w:rsidP="000745AB">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397030">
            <w:rPr>
              <w:bCs/>
            </w:rPr>
            <w:t>59</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7A423A02"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397030">
            <w:rPr>
              <w:bCs/>
            </w:rPr>
            <w:t>59</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3292C" w14:textId="77777777" w:rsidR="00AB1C48" w:rsidRDefault="00AB1C48">
      <w:r>
        <w:t>____________________</w:t>
      </w:r>
    </w:p>
  </w:footnote>
  <w:footnote w:type="continuationSeparator" w:id="0">
    <w:p w14:paraId="5F493529" w14:textId="77777777" w:rsidR="00AB1C48" w:rsidRDefault="00AB1C48">
      <w:r>
        <w:continuationSeparator/>
      </w:r>
    </w:p>
  </w:footnote>
  <w:footnote w:type="continuationNotice" w:id="1">
    <w:p w14:paraId="2D4A3F58" w14:textId="77777777" w:rsidR="00AB1C48" w:rsidRDefault="00AB1C4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02455D">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2"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D7309" id="Rectangle 5" o:spid="_x0000_s1026" style="position:absolute;margin-left:.3pt;margin-top:47.35pt;width:8.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75F302B"/>
    <w:multiLevelType w:val="hybridMultilevel"/>
    <w:tmpl w:val="4B3E08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16267">
    <w:abstractNumId w:val="0"/>
  </w:num>
  <w:num w:numId="2" w16cid:durableId="628976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210D4"/>
    <w:rsid w:val="0002455D"/>
    <w:rsid w:val="000247B1"/>
    <w:rsid w:val="0003048C"/>
    <w:rsid w:val="00036E85"/>
    <w:rsid w:val="00041302"/>
    <w:rsid w:val="0006007D"/>
    <w:rsid w:val="00063016"/>
    <w:rsid w:val="00066795"/>
    <w:rsid w:val="000745AB"/>
    <w:rsid w:val="00076AF6"/>
    <w:rsid w:val="00077335"/>
    <w:rsid w:val="00085CF2"/>
    <w:rsid w:val="00086D50"/>
    <w:rsid w:val="000B1705"/>
    <w:rsid w:val="000C1241"/>
    <w:rsid w:val="000D6A3B"/>
    <w:rsid w:val="000D75B2"/>
    <w:rsid w:val="000E1C0B"/>
    <w:rsid w:val="000F5DDB"/>
    <w:rsid w:val="000F7289"/>
    <w:rsid w:val="001121F5"/>
    <w:rsid w:val="00132156"/>
    <w:rsid w:val="001400DC"/>
    <w:rsid w:val="00140CE1"/>
    <w:rsid w:val="00141F16"/>
    <w:rsid w:val="0017539C"/>
    <w:rsid w:val="00175AC2"/>
    <w:rsid w:val="0017609F"/>
    <w:rsid w:val="001A3154"/>
    <w:rsid w:val="001A6EF9"/>
    <w:rsid w:val="001A7D1D"/>
    <w:rsid w:val="001B3431"/>
    <w:rsid w:val="001B51DD"/>
    <w:rsid w:val="001B5880"/>
    <w:rsid w:val="001C628E"/>
    <w:rsid w:val="001E0F7B"/>
    <w:rsid w:val="001F5569"/>
    <w:rsid w:val="002119FD"/>
    <w:rsid w:val="002130E0"/>
    <w:rsid w:val="00221F46"/>
    <w:rsid w:val="002569B3"/>
    <w:rsid w:val="00256E22"/>
    <w:rsid w:val="00264425"/>
    <w:rsid w:val="0026555F"/>
    <w:rsid w:val="00265875"/>
    <w:rsid w:val="00271F50"/>
    <w:rsid w:val="0027303B"/>
    <w:rsid w:val="0028109B"/>
    <w:rsid w:val="002A2188"/>
    <w:rsid w:val="002A5A85"/>
    <w:rsid w:val="002B1EEE"/>
    <w:rsid w:val="002B1F58"/>
    <w:rsid w:val="002C1C7A"/>
    <w:rsid w:val="002C54E2"/>
    <w:rsid w:val="002D3D45"/>
    <w:rsid w:val="002E22AC"/>
    <w:rsid w:val="003003E6"/>
    <w:rsid w:val="0030160F"/>
    <w:rsid w:val="003133EA"/>
    <w:rsid w:val="00320223"/>
    <w:rsid w:val="00322D0D"/>
    <w:rsid w:val="00331B76"/>
    <w:rsid w:val="00355B1B"/>
    <w:rsid w:val="00361465"/>
    <w:rsid w:val="00361CB1"/>
    <w:rsid w:val="003877F5"/>
    <w:rsid w:val="003936D3"/>
    <w:rsid w:val="003942D4"/>
    <w:rsid w:val="003958A8"/>
    <w:rsid w:val="00397030"/>
    <w:rsid w:val="003B29C2"/>
    <w:rsid w:val="003C15D5"/>
    <w:rsid w:val="003C2533"/>
    <w:rsid w:val="003D2EF9"/>
    <w:rsid w:val="003D5A7F"/>
    <w:rsid w:val="003D79A7"/>
    <w:rsid w:val="003E5D45"/>
    <w:rsid w:val="0040435A"/>
    <w:rsid w:val="00416A24"/>
    <w:rsid w:val="0042094A"/>
    <w:rsid w:val="00427BFF"/>
    <w:rsid w:val="00431D9E"/>
    <w:rsid w:val="00433CE8"/>
    <w:rsid w:val="00434A5C"/>
    <w:rsid w:val="00445FE4"/>
    <w:rsid w:val="00453079"/>
    <w:rsid w:val="004544D9"/>
    <w:rsid w:val="00472BAD"/>
    <w:rsid w:val="0047300D"/>
    <w:rsid w:val="004811F8"/>
    <w:rsid w:val="00483AFC"/>
    <w:rsid w:val="00484009"/>
    <w:rsid w:val="00485264"/>
    <w:rsid w:val="00487A91"/>
    <w:rsid w:val="00490E72"/>
    <w:rsid w:val="00491157"/>
    <w:rsid w:val="00491BA9"/>
    <w:rsid w:val="004921C8"/>
    <w:rsid w:val="00495B0B"/>
    <w:rsid w:val="004A1B8B"/>
    <w:rsid w:val="004B25A1"/>
    <w:rsid w:val="004D1851"/>
    <w:rsid w:val="004D599D"/>
    <w:rsid w:val="004E2EA5"/>
    <w:rsid w:val="004E3AEB"/>
    <w:rsid w:val="004F20F1"/>
    <w:rsid w:val="004F62DE"/>
    <w:rsid w:val="004F7005"/>
    <w:rsid w:val="0050223C"/>
    <w:rsid w:val="0050741B"/>
    <w:rsid w:val="0052145D"/>
    <w:rsid w:val="005243FF"/>
    <w:rsid w:val="0054569C"/>
    <w:rsid w:val="00564FBC"/>
    <w:rsid w:val="005800BC"/>
    <w:rsid w:val="00580188"/>
    <w:rsid w:val="00582442"/>
    <w:rsid w:val="005C3648"/>
    <w:rsid w:val="005E06CF"/>
    <w:rsid w:val="005F3269"/>
    <w:rsid w:val="005F3F04"/>
    <w:rsid w:val="006220B4"/>
    <w:rsid w:val="00623AE3"/>
    <w:rsid w:val="00630C4D"/>
    <w:rsid w:val="00644EC6"/>
    <w:rsid w:val="0064737F"/>
    <w:rsid w:val="006535F1"/>
    <w:rsid w:val="0065557D"/>
    <w:rsid w:val="00660D50"/>
    <w:rsid w:val="00662984"/>
    <w:rsid w:val="006716BB"/>
    <w:rsid w:val="0068249A"/>
    <w:rsid w:val="006A2838"/>
    <w:rsid w:val="006B1859"/>
    <w:rsid w:val="006B3863"/>
    <w:rsid w:val="006B6680"/>
    <w:rsid w:val="006B6DCC"/>
    <w:rsid w:val="006B77F1"/>
    <w:rsid w:val="006C5ECF"/>
    <w:rsid w:val="00702DEF"/>
    <w:rsid w:val="00705F4D"/>
    <w:rsid w:val="00706861"/>
    <w:rsid w:val="00722551"/>
    <w:rsid w:val="0072353C"/>
    <w:rsid w:val="00742A47"/>
    <w:rsid w:val="0075051B"/>
    <w:rsid w:val="0077110E"/>
    <w:rsid w:val="00793188"/>
    <w:rsid w:val="00794D34"/>
    <w:rsid w:val="007A3FCD"/>
    <w:rsid w:val="007B19CF"/>
    <w:rsid w:val="007B1FE6"/>
    <w:rsid w:val="007B6CDC"/>
    <w:rsid w:val="007D01AF"/>
    <w:rsid w:val="007D5E80"/>
    <w:rsid w:val="008064B9"/>
    <w:rsid w:val="00813E5E"/>
    <w:rsid w:val="0083581B"/>
    <w:rsid w:val="0084259D"/>
    <w:rsid w:val="00844981"/>
    <w:rsid w:val="0084721A"/>
    <w:rsid w:val="00853439"/>
    <w:rsid w:val="0085482D"/>
    <w:rsid w:val="00863874"/>
    <w:rsid w:val="00864AFF"/>
    <w:rsid w:val="00865925"/>
    <w:rsid w:val="00887895"/>
    <w:rsid w:val="008B2FF1"/>
    <w:rsid w:val="008B4A6A"/>
    <w:rsid w:val="008C7E27"/>
    <w:rsid w:val="008F7448"/>
    <w:rsid w:val="0090147A"/>
    <w:rsid w:val="009173EF"/>
    <w:rsid w:val="00921990"/>
    <w:rsid w:val="00932906"/>
    <w:rsid w:val="00961B0B"/>
    <w:rsid w:val="00961DC6"/>
    <w:rsid w:val="00962D33"/>
    <w:rsid w:val="00970CFD"/>
    <w:rsid w:val="00973009"/>
    <w:rsid w:val="00987906"/>
    <w:rsid w:val="0098791B"/>
    <w:rsid w:val="009B38C3"/>
    <w:rsid w:val="009B3DD8"/>
    <w:rsid w:val="009D788A"/>
    <w:rsid w:val="009D7D91"/>
    <w:rsid w:val="009E17BD"/>
    <w:rsid w:val="009E485A"/>
    <w:rsid w:val="00A04CEC"/>
    <w:rsid w:val="00A23C23"/>
    <w:rsid w:val="00A250B6"/>
    <w:rsid w:val="00A27F92"/>
    <w:rsid w:val="00A31AB0"/>
    <w:rsid w:val="00A32257"/>
    <w:rsid w:val="00A33051"/>
    <w:rsid w:val="00A36D20"/>
    <w:rsid w:val="00A45BB2"/>
    <w:rsid w:val="00A514A4"/>
    <w:rsid w:val="00A55622"/>
    <w:rsid w:val="00A72D40"/>
    <w:rsid w:val="00A81A1A"/>
    <w:rsid w:val="00A83502"/>
    <w:rsid w:val="00A94BAB"/>
    <w:rsid w:val="00AA225A"/>
    <w:rsid w:val="00AB1C48"/>
    <w:rsid w:val="00AB4D87"/>
    <w:rsid w:val="00AD15B3"/>
    <w:rsid w:val="00AD3606"/>
    <w:rsid w:val="00AD4A3D"/>
    <w:rsid w:val="00AD6026"/>
    <w:rsid w:val="00AD677D"/>
    <w:rsid w:val="00AF6E49"/>
    <w:rsid w:val="00AF776A"/>
    <w:rsid w:val="00B04A67"/>
    <w:rsid w:val="00B0583C"/>
    <w:rsid w:val="00B26B78"/>
    <w:rsid w:val="00B40A81"/>
    <w:rsid w:val="00B44910"/>
    <w:rsid w:val="00B47D63"/>
    <w:rsid w:val="00B61DC3"/>
    <w:rsid w:val="00B6613B"/>
    <w:rsid w:val="00B72267"/>
    <w:rsid w:val="00B76E95"/>
    <w:rsid w:val="00B76EB6"/>
    <w:rsid w:val="00B7737B"/>
    <w:rsid w:val="00B824C8"/>
    <w:rsid w:val="00B84B9D"/>
    <w:rsid w:val="00B9131F"/>
    <w:rsid w:val="00BA3546"/>
    <w:rsid w:val="00BB0646"/>
    <w:rsid w:val="00BB44AA"/>
    <w:rsid w:val="00BC251A"/>
    <w:rsid w:val="00BD032B"/>
    <w:rsid w:val="00BE01C6"/>
    <w:rsid w:val="00BE21AF"/>
    <w:rsid w:val="00BE2640"/>
    <w:rsid w:val="00BF1FDE"/>
    <w:rsid w:val="00C01189"/>
    <w:rsid w:val="00C0458D"/>
    <w:rsid w:val="00C250F1"/>
    <w:rsid w:val="00C3193B"/>
    <w:rsid w:val="00C3300B"/>
    <w:rsid w:val="00C35FC9"/>
    <w:rsid w:val="00C367BE"/>
    <w:rsid w:val="00C374DE"/>
    <w:rsid w:val="00C47AD4"/>
    <w:rsid w:val="00C52D81"/>
    <w:rsid w:val="00C55198"/>
    <w:rsid w:val="00C6520B"/>
    <w:rsid w:val="00C73448"/>
    <w:rsid w:val="00C9201C"/>
    <w:rsid w:val="00C97E7D"/>
    <w:rsid w:val="00CA6393"/>
    <w:rsid w:val="00CA6BA8"/>
    <w:rsid w:val="00CA7995"/>
    <w:rsid w:val="00CB0355"/>
    <w:rsid w:val="00CB18FF"/>
    <w:rsid w:val="00CD0C08"/>
    <w:rsid w:val="00CE03FB"/>
    <w:rsid w:val="00CE433C"/>
    <w:rsid w:val="00CF0161"/>
    <w:rsid w:val="00CF33F3"/>
    <w:rsid w:val="00CF4A2B"/>
    <w:rsid w:val="00D024CA"/>
    <w:rsid w:val="00D06183"/>
    <w:rsid w:val="00D10A39"/>
    <w:rsid w:val="00D11C17"/>
    <w:rsid w:val="00D22C42"/>
    <w:rsid w:val="00D65041"/>
    <w:rsid w:val="00D82F97"/>
    <w:rsid w:val="00DB1936"/>
    <w:rsid w:val="00DB195C"/>
    <w:rsid w:val="00DB384B"/>
    <w:rsid w:val="00DC0164"/>
    <w:rsid w:val="00DC34EE"/>
    <w:rsid w:val="00DD11ED"/>
    <w:rsid w:val="00DE1D56"/>
    <w:rsid w:val="00DF0189"/>
    <w:rsid w:val="00DF26C9"/>
    <w:rsid w:val="00E01246"/>
    <w:rsid w:val="00E06FD5"/>
    <w:rsid w:val="00E1093E"/>
    <w:rsid w:val="00E10E80"/>
    <w:rsid w:val="00E124F0"/>
    <w:rsid w:val="00E227F3"/>
    <w:rsid w:val="00E31041"/>
    <w:rsid w:val="00E545C6"/>
    <w:rsid w:val="00E60F04"/>
    <w:rsid w:val="00E65B24"/>
    <w:rsid w:val="00E804C9"/>
    <w:rsid w:val="00E854E4"/>
    <w:rsid w:val="00E86DBF"/>
    <w:rsid w:val="00E969AF"/>
    <w:rsid w:val="00EB0D6F"/>
    <w:rsid w:val="00EB2232"/>
    <w:rsid w:val="00EC5337"/>
    <w:rsid w:val="00ED10A7"/>
    <w:rsid w:val="00ED4AE6"/>
    <w:rsid w:val="00ED4E68"/>
    <w:rsid w:val="00EE49E8"/>
    <w:rsid w:val="00EF130C"/>
    <w:rsid w:val="00EF43A7"/>
    <w:rsid w:val="00F02531"/>
    <w:rsid w:val="00F048F3"/>
    <w:rsid w:val="00F1058F"/>
    <w:rsid w:val="00F16BAB"/>
    <w:rsid w:val="00F1766C"/>
    <w:rsid w:val="00F2150A"/>
    <w:rsid w:val="00F231D8"/>
    <w:rsid w:val="00F34F34"/>
    <w:rsid w:val="00F3564B"/>
    <w:rsid w:val="00F41209"/>
    <w:rsid w:val="00F44C00"/>
    <w:rsid w:val="00F45D2C"/>
    <w:rsid w:val="00F46C5F"/>
    <w:rsid w:val="00F632C0"/>
    <w:rsid w:val="00F641E1"/>
    <w:rsid w:val="00F7270B"/>
    <w:rsid w:val="00F731E3"/>
    <w:rsid w:val="00F91800"/>
    <w:rsid w:val="00F94A63"/>
    <w:rsid w:val="00FA1C28"/>
    <w:rsid w:val="00FB1279"/>
    <w:rsid w:val="00FB6B76"/>
    <w:rsid w:val="00FB7596"/>
    <w:rsid w:val="00FC5DBD"/>
    <w:rsid w:val="00FE4077"/>
    <w:rsid w:val="00FE500D"/>
    <w:rsid w:val="00FE77D2"/>
    <w:rsid w:val="00FF26C9"/>
    <w:rsid w:val="00FF39B1"/>
    <w:rsid w:val="00FF747C"/>
    <w:rsid w:val="0C033D9E"/>
    <w:rsid w:val="1157364D"/>
    <w:rsid w:val="212E17C3"/>
    <w:rsid w:val="3146925F"/>
    <w:rsid w:val="3C77B324"/>
    <w:rsid w:val="601B33A1"/>
    <w:rsid w:val="742B8B9E"/>
    <w:rsid w:val="7BBC5D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33E80C29-D038-40A6-A7E8-1DF7315D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199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customStyle="1" w:styleId="paragraph">
    <w:name w:val="paragraph"/>
    <w:basedOn w:val="Normal"/>
    <w:rsid w:val="00E0124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E01246"/>
  </w:style>
  <w:style w:type="character" w:customStyle="1" w:styleId="eop">
    <w:name w:val="eop"/>
    <w:basedOn w:val="DefaultParagraphFont"/>
    <w:rsid w:val="00E01246"/>
  </w:style>
  <w:style w:type="paragraph" w:styleId="Revision">
    <w:name w:val="Revision"/>
    <w:hidden/>
    <w:uiPriority w:val="99"/>
    <w:semiHidden/>
    <w:rsid w:val="0042094A"/>
    <w:rPr>
      <w:rFonts w:ascii="Calibri" w:hAnsi="Calibri"/>
      <w:sz w:val="24"/>
      <w:lang w:val="en-GB" w:eastAsia="en-US"/>
    </w:rPr>
  </w:style>
  <w:style w:type="character" w:styleId="CommentReference">
    <w:name w:val="annotation reference"/>
    <w:basedOn w:val="DefaultParagraphFont"/>
    <w:semiHidden/>
    <w:unhideWhenUsed/>
    <w:rsid w:val="0042094A"/>
    <w:rPr>
      <w:sz w:val="16"/>
      <w:szCs w:val="16"/>
    </w:rPr>
  </w:style>
  <w:style w:type="paragraph" w:styleId="CommentText">
    <w:name w:val="annotation text"/>
    <w:basedOn w:val="Normal"/>
    <w:link w:val="CommentTextChar"/>
    <w:unhideWhenUsed/>
    <w:rsid w:val="0042094A"/>
    <w:rPr>
      <w:sz w:val="20"/>
    </w:rPr>
  </w:style>
  <w:style w:type="character" w:customStyle="1" w:styleId="CommentTextChar">
    <w:name w:val="Comment Text Char"/>
    <w:basedOn w:val="DefaultParagraphFont"/>
    <w:link w:val="CommentText"/>
    <w:rsid w:val="0042094A"/>
    <w:rPr>
      <w:rFonts w:ascii="Calibri" w:hAnsi="Calibri"/>
      <w:lang w:val="en-GB" w:eastAsia="en-US"/>
    </w:rPr>
  </w:style>
  <w:style w:type="paragraph" w:styleId="CommentSubject">
    <w:name w:val="annotation subject"/>
    <w:basedOn w:val="CommentText"/>
    <w:next w:val="CommentText"/>
    <w:link w:val="CommentSubjectChar"/>
    <w:semiHidden/>
    <w:unhideWhenUsed/>
    <w:rsid w:val="0042094A"/>
    <w:rPr>
      <w:b/>
      <w:bCs/>
    </w:rPr>
  </w:style>
  <w:style w:type="character" w:customStyle="1" w:styleId="CommentSubjectChar">
    <w:name w:val="Comment Subject Char"/>
    <w:basedOn w:val="CommentTextChar"/>
    <w:link w:val="CommentSubject"/>
    <w:semiHidden/>
    <w:rsid w:val="0042094A"/>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5291">
      <w:bodyDiv w:val="1"/>
      <w:marLeft w:val="0"/>
      <w:marRight w:val="0"/>
      <w:marTop w:val="0"/>
      <w:marBottom w:val="0"/>
      <w:divBdr>
        <w:top w:val="none" w:sz="0" w:space="0" w:color="auto"/>
        <w:left w:val="none" w:sz="0" w:space="0" w:color="auto"/>
        <w:bottom w:val="none" w:sz="0" w:space="0" w:color="auto"/>
        <w:right w:val="none" w:sz="0" w:space="0" w:color="auto"/>
      </w:divBdr>
      <w:divsChild>
        <w:div w:id="430585114">
          <w:marLeft w:val="0"/>
          <w:marRight w:val="0"/>
          <w:marTop w:val="0"/>
          <w:marBottom w:val="0"/>
          <w:divBdr>
            <w:top w:val="none" w:sz="0" w:space="0" w:color="auto"/>
            <w:left w:val="none" w:sz="0" w:space="0" w:color="auto"/>
            <w:bottom w:val="none" w:sz="0" w:space="0" w:color="auto"/>
            <w:right w:val="none" w:sz="0" w:space="0" w:color="auto"/>
          </w:divBdr>
        </w:div>
        <w:div w:id="906840493">
          <w:marLeft w:val="0"/>
          <w:marRight w:val="0"/>
          <w:marTop w:val="0"/>
          <w:marBottom w:val="0"/>
          <w:divBdr>
            <w:top w:val="none" w:sz="0" w:space="0" w:color="auto"/>
            <w:left w:val="none" w:sz="0" w:space="0" w:color="auto"/>
            <w:bottom w:val="none" w:sz="0" w:space="0" w:color="auto"/>
            <w:right w:val="none" w:sz="0" w:space="0" w:color="auto"/>
          </w:divBdr>
        </w:div>
      </w:divsChild>
    </w:div>
    <w:div w:id="197670569">
      <w:bodyDiv w:val="1"/>
      <w:marLeft w:val="0"/>
      <w:marRight w:val="0"/>
      <w:marTop w:val="0"/>
      <w:marBottom w:val="0"/>
      <w:divBdr>
        <w:top w:val="none" w:sz="0" w:space="0" w:color="auto"/>
        <w:left w:val="none" w:sz="0" w:space="0" w:color="auto"/>
        <w:bottom w:val="none" w:sz="0" w:space="0" w:color="auto"/>
        <w:right w:val="none" w:sz="0" w:space="0" w:color="auto"/>
      </w:divBdr>
      <w:divsChild>
        <w:div w:id="713845973">
          <w:marLeft w:val="0"/>
          <w:marRight w:val="0"/>
          <w:marTop w:val="0"/>
          <w:marBottom w:val="0"/>
          <w:divBdr>
            <w:top w:val="none" w:sz="0" w:space="0" w:color="auto"/>
            <w:left w:val="none" w:sz="0" w:space="0" w:color="auto"/>
            <w:bottom w:val="none" w:sz="0" w:space="0" w:color="auto"/>
            <w:right w:val="none" w:sz="0" w:space="0" w:color="auto"/>
          </w:divBdr>
        </w:div>
        <w:div w:id="1722898736">
          <w:marLeft w:val="0"/>
          <w:marRight w:val="0"/>
          <w:marTop w:val="0"/>
          <w:marBottom w:val="0"/>
          <w:divBdr>
            <w:top w:val="none" w:sz="0" w:space="0" w:color="auto"/>
            <w:left w:val="none" w:sz="0" w:space="0" w:color="auto"/>
            <w:bottom w:val="none" w:sz="0" w:space="0" w:color="auto"/>
            <w:right w:val="none" w:sz="0" w:space="0" w:color="auto"/>
          </w:divBdr>
        </w:div>
      </w:divsChild>
    </w:div>
    <w:div w:id="262299053">
      <w:bodyDiv w:val="1"/>
      <w:marLeft w:val="0"/>
      <w:marRight w:val="0"/>
      <w:marTop w:val="0"/>
      <w:marBottom w:val="0"/>
      <w:divBdr>
        <w:top w:val="none" w:sz="0" w:space="0" w:color="auto"/>
        <w:left w:val="none" w:sz="0" w:space="0" w:color="auto"/>
        <w:bottom w:val="none" w:sz="0" w:space="0" w:color="auto"/>
        <w:right w:val="none" w:sz="0" w:space="0" w:color="auto"/>
      </w:divBdr>
      <w:divsChild>
        <w:div w:id="528373610">
          <w:marLeft w:val="0"/>
          <w:marRight w:val="0"/>
          <w:marTop w:val="0"/>
          <w:marBottom w:val="0"/>
          <w:divBdr>
            <w:top w:val="none" w:sz="0" w:space="0" w:color="auto"/>
            <w:left w:val="none" w:sz="0" w:space="0" w:color="auto"/>
            <w:bottom w:val="none" w:sz="0" w:space="0" w:color="auto"/>
            <w:right w:val="none" w:sz="0" w:space="0" w:color="auto"/>
          </w:divBdr>
        </w:div>
        <w:div w:id="531921790">
          <w:marLeft w:val="0"/>
          <w:marRight w:val="0"/>
          <w:marTop w:val="0"/>
          <w:marBottom w:val="0"/>
          <w:divBdr>
            <w:top w:val="none" w:sz="0" w:space="0" w:color="auto"/>
            <w:left w:val="none" w:sz="0" w:space="0" w:color="auto"/>
            <w:bottom w:val="none" w:sz="0" w:space="0" w:color="auto"/>
            <w:right w:val="none" w:sz="0" w:space="0" w:color="auto"/>
          </w:divBdr>
        </w:div>
        <w:div w:id="742414029">
          <w:marLeft w:val="0"/>
          <w:marRight w:val="0"/>
          <w:marTop w:val="0"/>
          <w:marBottom w:val="0"/>
          <w:divBdr>
            <w:top w:val="none" w:sz="0" w:space="0" w:color="auto"/>
            <w:left w:val="none" w:sz="0" w:space="0" w:color="auto"/>
            <w:bottom w:val="none" w:sz="0" w:space="0" w:color="auto"/>
            <w:right w:val="none" w:sz="0" w:space="0" w:color="auto"/>
          </w:divBdr>
        </w:div>
        <w:div w:id="805121685">
          <w:marLeft w:val="0"/>
          <w:marRight w:val="0"/>
          <w:marTop w:val="0"/>
          <w:marBottom w:val="0"/>
          <w:divBdr>
            <w:top w:val="none" w:sz="0" w:space="0" w:color="auto"/>
            <w:left w:val="none" w:sz="0" w:space="0" w:color="auto"/>
            <w:bottom w:val="none" w:sz="0" w:space="0" w:color="auto"/>
            <w:right w:val="none" w:sz="0" w:space="0" w:color="auto"/>
          </w:divBdr>
        </w:div>
        <w:div w:id="1061246639">
          <w:marLeft w:val="0"/>
          <w:marRight w:val="0"/>
          <w:marTop w:val="0"/>
          <w:marBottom w:val="0"/>
          <w:divBdr>
            <w:top w:val="none" w:sz="0" w:space="0" w:color="auto"/>
            <w:left w:val="none" w:sz="0" w:space="0" w:color="auto"/>
            <w:bottom w:val="none" w:sz="0" w:space="0" w:color="auto"/>
            <w:right w:val="none" w:sz="0" w:space="0" w:color="auto"/>
          </w:divBdr>
        </w:div>
      </w:divsChild>
    </w:div>
    <w:div w:id="508252180">
      <w:bodyDiv w:val="1"/>
      <w:marLeft w:val="0"/>
      <w:marRight w:val="0"/>
      <w:marTop w:val="0"/>
      <w:marBottom w:val="0"/>
      <w:divBdr>
        <w:top w:val="none" w:sz="0" w:space="0" w:color="auto"/>
        <w:left w:val="none" w:sz="0" w:space="0" w:color="auto"/>
        <w:bottom w:val="none" w:sz="0" w:space="0" w:color="auto"/>
        <w:right w:val="none" w:sz="0" w:space="0" w:color="auto"/>
      </w:divBdr>
      <w:divsChild>
        <w:div w:id="371423337">
          <w:marLeft w:val="0"/>
          <w:marRight w:val="0"/>
          <w:marTop w:val="0"/>
          <w:marBottom w:val="0"/>
          <w:divBdr>
            <w:top w:val="none" w:sz="0" w:space="0" w:color="auto"/>
            <w:left w:val="none" w:sz="0" w:space="0" w:color="auto"/>
            <w:bottom w:val="none" w:sz="0" w:space="0" w:color="auto"/>
            <w:right w:val="none" w:sz="0" w:space="0" w:color="auto"/>
          </w:divBdr>
        </w:div>
        <w:div w:id="418723452">
          <w:marLeft w:val="0"/>
          <w:marRight w:val="0"/>
          <w:marTop w:val="0"/>
          <w:marBottom w:val="0"/>
          <w:divBdr>
            <w:top w:val="none" w:sz="0" w:space="0" w:color="auto"/>
            <w:left w:val="none" w:sz="0" w:space="0" w:color="auto"/>
            <w:bottom w:val="none" w:sz="0" w:space="0" w:color="auto"/>
            <w:right w:val="none" w:sz="0" w:space="0" w:color="auto"/>
          </w:divBdr>
        </w:div>
        <w:div w:id="1261134992">
          <w:marLeft w:val="0"/>
          <w:marRight w:val="0"/>
          <w:marTop w:val="0"/>
          <w:marBottom w:val="0"/>
          <w:divBdr>
            <w:top w:val="none" w:sz="0" w:space="0" w:color="auto"/>
            <w:left w:val="none" w:sz="0" w:space="0" w:color="auto"/>
            <w:bottom w:val="none" w:sz="0" w:space="0" w:color="auto"/>
            <w:right w:val="none" w:sz="0" w:space="0" w:color="auto"/>
          </w:divBdr>
        </w:div>
        <w:div w:id="1315334215">
          <w:marLeft w:val="0"/>
          <w:marRight w:val="0"/>
          <w:marTop w:val="0"/>
          <w:marBottom w:val="0"/>
          <w:divBdr>
            <w:top w:val="none" w:sz="0" w:space="0" w:color="auto"/>
            <w:left w:val="none" w:sz="0" w:space="0" w:color="auto"/>
            <w:bottom w:val="none" w:sz="0" w:space="0" w:color="auto"/>
            <w:right w:val="none" w:sz="0" w:space="0" w:color="auto"/>
          </w:divBdr>
        </w:div>
        <w:div w:id="2033191474">
          <w:marLeft w:val="0"/>
          <w:marRight w:val="0"/>
          <w:marTop w:val="0"/>
          <w:marBottom w:val="0"/>
          <w:divBdr>
            <w:top w:val="none" w:sz="0" w:space="0" w:color="auto"/>
            <w:left w:val="none" w:sz="0" w:space="0" w:color="auto"/>
            <w:bottom w:val="none" w:sz="0" w:space="0" w:color="auto"/>
            <w:right w:val="none" w:sz="0" w:space="0" w:color="auto"/>
          </w:divBdr>
        </w:div>
        <w:div w:id="2133477433">
          <w:marLeft w:val="0"/>
          <w:marRight w:val="0"/>
          <w:marTop w:val="0"/>
          <w:marBottom w:val="0"/>
          <w:divBdr>
            <w:top w:val="none" w:sz="0" w:space="0" w:color="auto"/>
            <w:left w:val="none" w:sz="0" w:space="0" w:color="auto"/>
            <w:bottom w:val="none" w:sz="0" w:space="0" w:color="auto"/>
            <w:right w:val="none" w:sz="0" w:space="0" w:color="auto"/>
          </w:divBdr>
        </w:div>
      </w:divsChild>
    </w:div>
    <w:div w:id="645280350">
      <w:bodyDiv w:val="1"/>
      <w:marLeft w:val="0"/>
      <w:marRight w:val="0"/>
      <w:marTop w:val="0"/>
      <w:marBottom w:val="0"/>
      <w:divBdr>
        <w:top w:val="none" w:sz="0" w:space="0" w:color="auto"/>
        <w:left w:val="none" w:sz="0" w:space="0" w:color="auto"/>
        <w:bottom w:val="none" w:sz="0" w:space="0" w:color="auto"/>
        <w:right w:val="none" w:sz="0" w:space="0" w:color="auto"/>
      </w:divBdr>
      <w:divsChild>
        <w:div w:id="650716584">
          <w:marLeft w:val="0"/>
          <w:marRight w:val="0"/>
          <w:marTop w:val="0"/>
          <w:marBottom w:val="0"/>
          <w:divBdr>
            <w:top w:val="none" w:sz="0" w:space="0" w:color="auto"/>
            <w:left w:val="none" w:sz="0" w:space="0" w:color="auto"/>
            <w:bottom w:val="none" w:sz="0" w:space="0" w:color="auto"/>
            <w:right w:val="none" w:sz="0" w:space="0" w:color="auto"/>
          </w:divBdr>
        </w:div>
        <w:div w:id="817961628">
          <w:marLeft w:val="0"/>
          <w:marRight w:val="0"/>
          <w:marTop w:val="0"/>
          <w:marBottom w:val="0"/>
          <w:divBdr>
            <w:top w:val="none" w:sz="0" w:space="0" w:color="auto"/>
            <w:left w:val="none" w:sz="0" w:space="0" w:color="auto"/>
            <w:bottom w:val="none" w:sz="0" w:space="0" w:color="auto"/>
            <w:right w:val="none" w:sz="0" w:space="0" w:color="auto"/>
          </w:divBdr>
        </w:div>
        <w:div w:id="821509906">
          <w:marLeft w:val="0"/>
          <w:marRight w:val="0"/>
          <w:marTop w:val="0"/>
          <w:marBottom w:val="0"/>
          <w:divBdr>
            <w:top w:val="none" w:sz="0" w:space="0" w:color="auto"/>
            <w:left w:val="none" w:sz="0" w:space="0" w:color="auto"/>
            <w:bottom w:val="none" w:sz="0" w:space="0" w:color="auto"/>
            <w:right w:val="none" w:sz="0" w:space="0" w:color="auto"/>
          </w:divBdr>
        </w:div>
        <w:div w:id="1017269421">
          <w:marLeft w:val="0"/>
          <w:marRight w:val="0"/>
          <w:marTop w:val="0"/>
          <w:marBottom w:val="0"/>
          <w:divBdr>
            <w:top w:val="none" w:sz="0" w:space="0" w:color="auto"/>
            <w:left w:val="none" w:sz="0" w:space="0" w:color="auto"/>
            <w:bottom w:val="none" w:sz="0" w:space="0" w:color="auto"/>
            <w:right w:val="none" w:sz="0" w:space="0" w:color="auto"/>
          </w:divBdr>
        </w:div>
        <w:div w:id="1577084911">
          <w:marLeft w:val="0"/>
          <w:marRight w:val="0"/>
          <w:marTop w:val="0"/>
          <w:marBottom w:val="0"/>
          <w:divBdr>
            <w:top w:val="none" w:sz="0" w:space="0" w:color="auto"/>
            <w:left w:val="none" w:sz="0" w:space="0" w:color="auto"/>
            <w:bottom w:val="none" w:sz="0" w:space="0" w:color="auto"/>
            <w:right w:val="none" w:sz="0" w:space="0" w:color="auto"/>
          </w:divBdr>
        </w:div>
        <w:div w:id="1775784300">
          <w:marLeft w:val="0"/>
          <w:marRight w:val="0"/>
          <w:marTop w:val="0"/>
          <w:marBottom w:val="0"/>
          <w:divBdr>
            <w:top w:val="none" w:sz="0" w:space="0" w:color="auto"/>
            <w:left w:val="none" w:sz="0" w:space="0" w:color="auto"/>
            <w:bottom w:val="none" w:sz="0" w:space="0" w:color="auto"/>
            <w:right w:val="none" w:sz="0" w:space="0" w:color="auto"/>
          </w:divBdr>
        </w:div>
      </w:divsChild>
    </w:div>
    <w:div w:id="1468088991">
      <w:bodyDiv w:val="1"/>
      <w:marLeft w:val="0"/>
      <w:marRight w:val="0"/>
      <w:marTop w:val="0"/>
      <w:marBottom w:val="0"/>
      <w:divBdr>
        <w:top w:val="none" w:sz="0" w:space="0" w:color="auto"/>
        <w:left w:val="none" w:sz="0" w:space="0" w:color="auto"/>
        <w:bottom w:val="none" w:sz="0" w:space="0" w:color="auto"/>
        <w:right w:val="none" w:sz="0" w:space="0" w:color="auto"/>
      </w:divBdr>
      <w:divsChild>
        <w:div w:id="132794926">
          <w:marLeft w:val="0"/>
          <w:marRight w:val="0"/>
          <w:marTop w:val="0"/>
          <w:marBottom w:val="0"/>
          <w:divBdr>
            <w:top w:val="none" w:sz="0" w:space="0" w:color="auto"/>
            <w:left w:val="none" w:sz="0" w:space="0" w:color="auto"/>
            <w:bottom w:val="none" w:sz="0" w:space="0" w:color="auto"/>
            <w:right w:val="none" w:sz="0" w:space="0" w:color="auto"/>
          </w:divBdr>
        </w:div>
        <w:div w:id="1945845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00-CA-CIR-0277/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CB52BA-7AEF-42D4-AF59-959012BFA94A}">
  <ds:schemaRefs>
    <ds:schemaRef ds:uri="http://schemas.microsoft.com/sharepoint/v3/contenttype/forms"/>
  </ds:schemaRefs>
</ds:datastoreItem>
</file>

<file path=customXml/itemProps2.xml><?xml version="1.0" encoding="utf-8"?>
<ds:datastoreItem xmlns:ds="http://schemas.openxmlformats.org/officeDocument/2006/customXml" ds:itemID="{369BB1BE-DCE4-4946-AE63-2A1C764F0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11E2F2AC-2255-4DBF-9278-6619577B4509}">
  <ds:schemaRefs>
    <ds:schemaRef ds:uri="a1cf676c-2816-4389-ad5d-0f2e7c7e67c4"/>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434</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Report from the Radiocommunication Advisory Group on Council-related matters</vt:lpstr>
    </vt:vector>
  </TitlesOfParts>
  <Manager>General Secretariat</Manager>
  <Company>International Telecommunication Union (ITU)</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Radiocommunication Advisory Group on Council-related matters</dc:title>
  <dc:subject>Council 2025</dc:subject>
  <dc:creator>LRT</dc:creator>
  <cp:keywords>C25; C2025; Council 2025; ITU160</cp:keywords>
  <dc:description/>
  <cp:lastModifiedBy>GBS</cp:lastModifiedBy>
  <cp:revision>4</cp:revision>
  <cp:lastPrinted>2000-07-18T13:30:00Z</cp:lastPrinted>
  <dcterms:created xsi:type="dcterms:W3CDTF">2025-05-16T17:13:00Z</dcterms:created>
  <dcterms:modified xsi:type="dcterms:W3CDTF">2025-05-16T17:16:00Z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