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48ADE881" w:rsidR="00AD3606" w:rsidRPr="00C0458D" w:rsidRDefault="000F104D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>
              <w:rPr>
                <w:rFonts w:hint="eastAsia"/>
                <w:b/>
                <w:lang w:eastAsia="zh-CN"/>
              </w:rPr>
              <w:t>议项：</w:t>
            </w:r>
            <w:r w:rsidR="00104ACA" w:rsidRPr="00104ACA">
              <w:rPr>
                <w:b/>
              </w:rPr>
              <w:t>ADM 3</w:t>
            </w:r>
          </w:p>
        </w:tc>
        <w:tc>
          <w:tcPr>
            <w:tcW w:w="5245" w:type="dxa"/>
          </w:tcPr>
          <w:p w14:paraId="6779937E" w14:textId="7201186A" w:rsidR="00AD3606" w:rsidRPr="00C0458D" w:rsidRDefault="00791B9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="00104ACA" w:rsidRPr="00104ACA">
              <w:rPr>
                <w:b/>
              </w:rPr>
              <w:t>C25/59-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16220965" w:rsidR="00AD3606" w:rsidRPr="00C0458D" w:rsidRDefault="00104AC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04ACA">
              <w:rPr>
                <w:b/>
              </w:rPr>
              <w:t>2025</w:t>
            </w:r>
            <w:r w:rsidR="00791B97">
              <w:rPr>
                <w:rFonts w:hint="eastAsia"/>
                <w:b/>
                <w:lang w:eastAsia="zh-CN"/>
              </w:rPr>
              <w:t>年</w:t>
            </w:r>
            <w:r w:rsidR="003457FB">
              <w:rPr>
                <w:rFonts w:hint="eastAsia"/>
                <w:b/>
                <w:lang w:eastAsia="zh-CN"/>
              </w:rPr>
              <w:t>5</w:t>
            </w:r>
            <w:r w:rsidR="00791B97">
              <w:rPr>
                <w:rFonts w:hint="eastAsia"/>
                <w:b/>
                <w:lang w:eastAsia="zh-CN"/>
              </w:rPr>
              <w:t>月</w:t>
            </w:r>
            <w:r w:rsidR="001758EC" w:rsidRPr="00104ACA">
              <w:rPr>
                <w:b/>
              </w:rPr>
              <w:t>16</w:t>
            </w:r>
            <w:r w:rsidR="00791B9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2948B64" w:rsidR="00AD3606" w:rsidRPr="00C0458D" w:rsidRDefault="00791B97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29F7EE76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73609DBA" w:rsidR="00AD3606" w:rsidRPr="000F7289" w:rsidRDefault="00791B97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rPr>
                <w:rFonts w:hint="eastAsia"/>
                <w:lang w:eastAsia="zh-CN"/>
              </w:rPr>
              <w:t>秘书长的报告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28FFF864" w:rsidR="00AD3606" w:rsidRPr="000F7289" w:rsidRDefault="00FE4A83" w:rsidP="000F7289">
            <w:pPr>
              <w:pStyle w:val="Subtitle"/>
              <w:framePr w:hSpace="0" w:wrap="auto" w:xAlign="left" w:yAlign="inline"/>
              <w:rPr>
                <w:lang w:eastAsia="zh-CN"/>
              </w:rPr>
            </w:pPr>
            <w:bookmarkStart w:id="9" w:name="dtitle1" w:colFirst="0" w:colLast="0"/>
            <w:bookmarkEnd w:id="8"/>
            <w:r w:rsidRPr="00720D4F">
              <w:rPr>
                <w:rFonts w:hint="eastAsia"/>
                <w:caps/>
                <w:lang w:eastAsia="zh-CN"/>
              </w:rPr>
              <w:t>无线电通信顾问组关于理事会相关</w:t>
            </w:r>
            <w:r w:rsidR="00720D4F" w:rsidRPr="00720D4F">
              <w:rPr>
                <w:rFonts w:hint="eastAsia"/>
                <w:caps/>
                <w:lang w:val="en-US" w:eastAsia="zh-CN"/>
              </w:rPr>
              <w:t>问题</w:t>
            </w:r>
            <w:r w:rsidRPr="00720D4F">
              <w:rPr>
                <w:rFonts w:hint="eastAsia"/>
                <w:caps/>
                <w:lang w:eastAsia="zh-CN"/>
              </w:rPr>
              <w:t>的报告</w:t>
            </w:r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65D39699" w:rsidR="00AD3606" w:rsidRPr="00C0458D" w:rsidRDefault="00791B97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67D070EA" w14:textId="5DEC40FF" w:rsidR="00AD3606" w:rsidRPr="00C0458D" w:rsidRDefault="00FE4A83" w:rsidP="00104ACA">
            <w:pPr>
              <w:ind w:firstLineChars="200" w:firstLine="480"/>
              <w:rPr>
                <w:lang w:eastAsia="zh-CN"/>
              </w:rPr>
            </w:pPr>
            <w:r w:rsidRPr="00720D4F">
              <w:rPr>
                <w:rFonts w:hint="eastAsia"/>
                <w:lang w:val="en-US" w:eastAsia="zh-CN"/>
              </w:rPr>
              <w:t>本文件</w:t>
            </w:r>
            <w:r w:rsidR="001758EC" w:rsidRPr="00720D4F">
              <w:rPr>
                <w:rFonts w:hint="eastAsia"/>
                <w:lang w:val="en-US" w:eastAsia="zh-CN"/>
              </w:rPr>
              <w:t>载有无线电通信顾问组（</w:t>
            </w:r>
            <w:r w:rsidR="001758EC" w:rsidRPr="00720D4F">
              <w:rPr>
                <w:lang w:val="en-US" w:eastAsia="zh-CN"/>
              </w:rPr>
              <w:t>RAG</w:t>
            </w:r>
            <w:r w:rsidR="001758EC" w:rsidRPr="00720D4F">
              <w:rPr>
                <w:rFonts w:hint="eastAsia"/>
                <w:lang w:val="en-US" w:eastAsia="zh-CN"/>
              </w:rPr>
              <w:t>）</w:t>
            </w:r>
            <w:r w:rsidRPr="00720D4F">
              <w:rPr>
                <w:rFonts w:hint="eastAsia"/>
                <w:lang w:val="en-US" w:eastAsia="zh-CN"/>
              </w:rPr>
              <w:t>第</w:t>
            </w:r>
            <w:r w:rsidR="001758EC" w:rsidRPr="00720D4F">
              <w:rPr>
                <w:lang w:val="en-US" w:eastAsia="zh-CN"/>
              </w:rPr>
              <w:t>32</w:t>
            </w:r>
            <w:r w:rsidRPr="00720D4F">
              <w:rPr>
                <w:rFonts w:hint="eastAsia"/>
                <w:lang w:val="en-US" w:eastAsia="zh-CN"/>
              </w:rPr>
              <w:t>次</w:t>
            </w:r>
            <w:r w:rsidR="001758EC" w:rsidRPr="00720D4F">
              <w:rPr>
                <w:rFonts w:hint="eastAsia"/>
                <w:lang w:val="en-US" w:eastAsia="zh-CN"/>
              </w:rPr>
              <w:t>会议关于</w:t>
            </w:r>
            <w:r w:rsidRPr="00720D4F">
              <w:rPr>
                <w:rFonts w:hint="eastAsia"/>
                <w:lang w:val="en-US" w:eastAsia="zh-CN"/>
              </w:rPr>
              <w:t>理事会相关问题的结论</w:t>
            </w:r>
            <w:r w:rsidRPr="00FE4A83">
              <w:rPr>
                <w:rFonts w:hint="eastAsia"/>
                <w:lang w:val="en-US" w:eastAsia="zh-CN"/>
              </w:rPr>
              <w:t>摘要</w:t>
            </w:r>
            <w:r w:rsidR="001758EC">
              <w:rPr>
                <w:rFonts w:hint="eastAsia"/>
                <w:lang w:val="en-US" w:eastAsia="zh-CN"/>
              </w:rPr>
              <w:t>。</w:t>
            </w:r>
          </w:p>
          <w:p w14:paraId="4288AA6F" w14:textId="0BCE77A9" w:rsidR="00AD3606" w:rsidRDefault="00791B97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 w:rsidRPr="00791B97">
              <w:rPr>
                <w:rFonts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FFF2D9B" w14:textId="03FA7C5A" w:rsidR="00722551" w:rsidRDefault="00FE4A83" w:rsidP="000F104D">
            <w:pPr>
              <w:ind w:firstLineChars="200" w:firstLine="480"/>
              <w:rPr>
                <w:lang w:val="en-US" w:eastAsia="zh-CN"/>
              </w:rPr>
            </w:pPr>
            <w:r w:rsidRPr="00FE4A83">
              <w:rPr>
                <w:rFonts w:hint="eastAsia"/>
                <w:lang w:eastAsia="zh-CN"/>
              </w:rPr>
              <w:t>请理事会将本报告</w:t>
            </w:r>
            <w:r w:rsidRPr="001758EC">
              <w:rPr>
                <w:rFonts w:hint="eastAsia"/>
                <w:b/>
                <w:bCs/>
                <w:lang w:eastAsia="zh-CN"/>
              </w:rPr>
              <w:t>记录在案</w:t>
            </w:r>
            <w:r w:rsidR="001758EC">
              <w:rPr>
                <w:rFonts w:hint="eastAsia"/>
                <w:lang w:eastAsia="zh-CN"/>
              </w:rPr>
              <w:t>。</w:t>
            </w:r>
          </w:p>
          <w:p w14:paraId="7BB41EC2" w14:textId="77777777" w:rsidR="000F104D" w:rsidRDefault="000F104D" w:rsidP="000F104D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 w:rsidRPr="00A12D70">
              <w:rPr>
                <w:rFonts w:hint="eastAsia"/>
                <w:b/>
                <w:bCs/>
                <w:sz w:val="26"/>
                <w:szCs w:val="26"/>
                <w:lang w:eastAsia="zh-CN"/>
              </w:rPr>
              <w:t>与《战略规划》的关联</w:t>
            </w:r>
          </w:p>
          <w:p w14:paraId="480CE100" w14:textId="01446C4B" w:rsidR="000F104D" w:rsidRPr="00F16BAB" w:rsidRDefault="00FE4A83" w:rsidP="000F104D">
            <w:pPr>
              <w:ind w:firstLineChars="200" w:firstLine="480"/>
              <w:rPr>
                <w:lang w:eastAsia="zh-CN"/>
              </w:rPr>
            </w:pPr>
            <w:r w:rsidRPr="00720D4F">
              <w:rPr>
                <w:rFonts w:hint="eastAsia"/>
                <w:lang w:eastAsia="zh-CN"/>
              </w:rPr>
              <w:t>空间和地面业务</w:t>
            </w:r>
            <w:r w:rsidR="008F5744" w:rsidRPr="00720D4F">
              <w:rPr>
                <w:rFonts w:hint="eastAsia"/>
                <w:lang w:eastAsia="zh-CN"/>
              </w:rPr>
              <w:t>的</w:t>
            </w:r>
            <w:r w:rsidRPr="00720D4F">
              <w:rPr>
                <w:rFonts w:hint="eastAsia"/>
                <w:lang w:eastAsia="zh-CN"/>
              </w:rPr>
              <w:t>频谱使用</w:t>
            </w:r>
            <w:r w:rsidR="008F5744" w:rsidRPr="00720D4F">
              <w:rPr>
                <w:rFonts w:hint="eastAsia"/>
                <w:lang w:eastAsia="zh-CN"/>
              </w:rPr>
              <w:t>这一</w:t>
            </w:r>
            <w:r w:rsidR="001758EC" w:rsidRPr="00720D4F">
              <w:rPr>
                <w:rFonts w:hint="eastAsia"/>
                <w:lang w:eastAsia="zh-CN"/>
              </w:rPr>
              <w:t>主题</w:t>
            </w:r>
            <w:r w:rsidR="001758EC">
              <w:rPr>
                <w:rFonts w:hint="eastAsia"/>
                <w:lang w:eastAsia="zh-CN"/>
              </w:rPr>
              <w:t>重点；</w:t>
            </w:r>
            <w:r w:rsidR="001758EC" w:rsidRPr="00FE4A83">
              <w:rPr>
                <w:rFonts w:hint="eastAsia"/>
                <w:lang w:eastAsia="zh-CN"/>
              </w:rPr>
              <w:t>国际电联</w:t>
            </w:r>
            <w:r w:rsidR="001758EC">
              <w:rPr>
                <w:rFonts w:hint="eastAsia"/>
                <w:lang w:eastAsia="zh-CN"/>
              </w:rPr>
              <w:t>《</w:t>
            </w:r>
            <w:r w:rsidR="001758EC" w:rsidRPr="001758EC">
              <w:rPr>
                <w:rFonts w:hint="eastAsia"/>
                <w:lang w:eastAsia="zh-CN"/>
              </w:rPr>
              <w:t>行政规则</w:t>
            </w:r>
            <w:r w:rsidR="001758EC">
              <w:rPr>
                <w:rFonts w:hint="eastAsia"/>
                <w:lang w:eastAsia="zh-CN"/>
              </w:rPr>
              <w:t>》的</w:t>
            </w:r>
            <w:r w:rsidRPr="00FE4A83">
              <w:rPr>
                <w:rFonts w:hint="eastAsia"/>
                <w:lang w:eastAsia="zh-CN"/>
              </w:rPr>
              <w:t>制定和应用</w:t>
            </w:r>
            <w:r w:rsidR="001758EC">
              <w:rPr>
                <w:rFonts w:hint="eastAsia"/>
                <w:lang w:eastAsia="zh-CN"/>
              </w:rPr>
              <w:t>；</w:t>
            </w:r>
            <w:r w:rsidRPr="00FE4A83">
              <w:rPr>
                <w:rFonts w:hint="eastAsia"/>
                <w:lang w:eastAsia="zh-CN"/>
              </w:rPr>
              <w:t>资源</w:t>
            </w:r>
            <w:r w:rsidR="008F5744">
              <w:rPr>
                <w:rFonts w:hint="eastAsia"/>
                <w:lang w:eastAsia="zh-CN"/>
              </w:rPr>
              <w:t>的</w:t>
            </w:r>
            <w:r w:rsidRPr="00FE4A83">
              <w:rPr>
                <w:rFonts w:hint="eastAsia"/>
                <w:lang w:eastAsia="zh-CN"/>
              </w:rPr>
              <w:t>分配和管理</w:t>
            </w:r>
            <w:r w:rsidR="001758EC">
              <w:rPr>
                <w:rFonts w:hint="eastAsia"/>
                <w:lang w:eastAsia="zh-CN"/>
              </w:rPr>
              <w:t>，</w:t>
            </w:r>
            <w:r w:rsidRPr="00FE4A83">
              <w:rPr>
                <w:rFonts w:hint="eastAsia"/>
                <w:lang w:eastAsia="zh-CN"/>
              </w:rPr>
              <w:t>召集平台</w:t>
            </w:r>
            <w:r w:rsidR="001758EC">
              <w:rPr>
                <w:rFonts w:hint="eastAsia"/>
                <w:lang w:eastAsia="zh-CN"/>
              </w:rPr>
              <w:t>。</w:t>
            </w:r>
          </w:p>
          <w:p w14:paraId="3120A5D3" w14:textId="77777777" w:rsidR="000F104D" w:rsidRDefault="000F104D" w:rsidP="000F104D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4C866DE9" w14:textId="5CDE6341" w:rsidR="000F104D" w:rsidRPr="00453079" w:rsidRDefault="00FE4A83" w:rsidP="000F104D">
            <w:pPr>
              <w:spacing w:before="160"/>
              <w:ind w:firstLineChars="200" w:firstLine="480"/>
              <w:rPr>
                <w:szCs w:val="24"/>
                <w:lang w:eastAsia="zh-CN"/>
              </w:rPr>
            </w:pPr>
            <w:r w:rsidRPr="00FE4A83">
              <w:rPr>
                <w:rFonts w:hint="eastAsia"/>
                <w:szCs w:val="24"/>
                <w:lang w:val="en-US" w:eastAsia="zh-CN"/>
              </w:rPr>
              <w:t>对无线电通信部门</w:t>
            </w:r>
            <w:r w:rsidR="008F5744">
              <w:rPr>
                <w:rFonts w:hint="eastAsia"/>
                <w:szCs w:val="24"/>
                <w:lang w:val="en-US" w:eastAsia="zh-CN"/>
              </w:rPr>
              <w:t>（</w:t>
            </w:r>
            <w:r w:rsidR="008F5744" w:rsidRPr="00104ACA">
              <w:rPr>
                <w:szCs w:val="24"/>
                <w:lang w:val="en-US" w:eastAsia="zh-CN"/>
              </w:rPr>
              <w:t>BR</w:t>
            </w:r>
            <w:r w:rsidR="008F5744">
              <w:rPr>
                <w:rFonts w:hint="eastAsia"/>
                <w:szCs w:val="24"/>
                <w:lang w:val="en-US" w:eastAsia="zh-CN"/>
              </w:rPr>
              <w:t>）</w:t>
            </w:r>
            <w:r w:rsidRPr="00FE4A83">
              <w:rPr>
                <w:rFonts w:hint="eastAsia"/>
                <w:szCs w:val="24"/>
                <w:lang w:val="en-US" w:eastAsia="zh-CN"/>
              </w:rPr>
              <w:t>履行职责的预算影响</w:t>
            </w:r>
            <w:r w:rsidR="008F5744">
              <w:rPr>
                <w:rFonts w:hint="eastAsia"/>
                <w:szCs w:val="24"/>
                <w:lang w:val="en-US" w:eastAsia="zh-CN"/>
              </w:rPr>
              <w:t>；</w:t>
            </w:r>
            <w:r w:rsidR="00720D4F" w:rsidRPr="00720D4F">
              <w:rPr>
                <w:rFonts w:hint="eastAsia"/>
                <w:szCs w:val="24"/>
                <w:lang w:val="en-US" w:eastAsia="zh-CN"/>
              </w:rPr>
              <w:t>以六</w:t>
            </w:r>
            <w:r w:rsidR="00720D4F" w:rsidRPr="00FE4A83">
              <w:rPr>
                <w:rFonts w:hint="eastAsia"/>
                <w:szCs w:val="24"/>
                <w:lang w:val="en-US" w:eastAsia="zh-CN"/>
              </w:rPr>
              <w:t>种语文</w:t>
            </w:r>
            <w:r w:rsidR="00720D4F">
              <w:rPr>
                <w:rFonts w:hint="eastAsia"/>
                <w:szCs w:val="24"/>
                <w:lang w:val="en-US" w:eastAsia="zh-CN"/>
              </w:rPr>
              <w:t>举行</w:t>
            </w:r>
            <w:r w:rsidR="008F5744" w:rsidRPr="00104ACA">
              <w:rPr>
                <w:szCs w:val="24"/>
                <w:lang w:val="en-US" w:eastAsia="zh-CN"/>
              </w:rPr>
              <w:t>ITU-R</w:t>
            </w:r>
            <w:r w:rsidRPr="00FE4A83">
              <w:rPr>
                <w:rFonts w:hint="eastAsia"/>
                <w:szCs w:val="24"/>
                <w:lang w:val="en-US" w:eastAsia="zh-CN"/>
              </w:rPr>
              <w:t>研究组</w:t>
            </w:r>
            <w:r w:rsidR="008F5744">
              <w:rPr>
                <w:rFonts w:hint="eastAsia"/>
                <w:szCs w:val="24"/>
                <w:lang w:val="en-US" w:eastAsia="zh-CN"/>
              </w:rPr>
              <w:t>会议的</w:t>
            </w:r>
            <w:r w:rsidRPr="00FE4A83">
              <w:rPr>
                <w:rFonts w:hint="eastAsia"/>
                <w:szCs w:val="24"/>
                <w:lang w:val="en-US" w:eastAsia="zh-CN"/>
              </w:rPr>
              <w:t>口译</w:t>
            </w:r>
            <w:r w:rsidR="008F5744">
              <w:rPr>
                <w:rFonts w:hint="eastAsia"/>
                <w:szCs w:val="24"/>
                <w:lang w:val="en-US" w:eastAsia="zh-CN"/>
              </w:rPr>
              <w:t>费用（</w:t>
            </w:r>
            <w:r w:rsidR="008F5744" w:rsidRPr="00104ACA">
              <w:rPr>
                <w:szCs w:val="24"/>
                <w:lang w:val="en-US" w:eastAsia="zh-CN"/>
              </w:rPr>
              <w:t>104 300</w:t>
            </w:r>
            <w:r w:rsidR="008F5744" w:rsidRPr="00FE4A83">
              <w:rPr>
                <w:rFonts w:hint="eastAsia"/>
                <w:szCs w:val="24"/>
                <w:lang w:val="en-US" w:eastAsia="zh-CN"/>
              </w:rPr>
              <w:t>瑞郎</w:t>
            </w:r>
            <w:r w:rsidR="008F5744">
              <w:rPr>
                <w:rFonts w:hint="eastAsia"/>
                <w:szCs w:val="24"/>
                <w:lang w:val="en-US" w:eastAsia="zh-CN"/>
              </w:rPr>
              <w:t>）。</w:t>
            </w:r>
          </w:p>
          <w:p w14:paraId="08939791" w14:textId="77777777" w:rsidR="00C0458D" w:rsidRDefault="00C0458D">
            <w:pPr>
              <w:rPr>
                <w:lang w:eastAsia="zh-CN"/>
              </w:rPr>
            </w:pPr>
            <w:r>
              <w:rPr>
                <w:lang w:eastAsia="zh-CN"/>
              </w:rPr>
              <w:t>_______________</w:t>
            </w:r>
          </w:p>
          <w:p w14:paraId="212A584A" w14:textId="46B27838" w:rsidR="00AD3606" w:rsidRPr="00C0458D" w:rsidRDefault="00791B97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参考</w:t>
            </w:r>
            <w:r w:rsidR="00104ACA">
              <w:rPr>
                <w:rFonts w:hint="eastAsia"/>
                <w:b/>
                <w:bCs/>
                <w:sz w:val="26"/>
                <w:szCs w:val="26"/>
                <w:lang w:eastAsia="zh-CN"/>
              </w:rPr>
              <w:t>文件</w:t>
            </w:r>
          </w:p>
          <w:p w14:paraId="7089D4B7" w14:textId="276E53D1" w:rsidR="00AD3606" w:rsidRPr="00791B97" w:rsidRDefault="00FE4A83" w:rsidP="00A07996">
            <w:pPr>
              <w:spacing w:after="160"/>
              <w:rPr>
                <w:rFonts w:eastAsia="STKaiti"/>
                <w:sz w:val="22"/>
                <w:szCs w:val="22"/>
                <w:lang w:eastAsia="zh-CN"/>
              </w:rPr>
            </w:pPr>
            <w:r w:rsidRPr="00683744">
              <w:rPr>
                <w:rFonts w:ascii="STKaiti" w:eastAsia="STKaiti" w:hAnsi="STKaiti" w:hint="eastAsia"/>
                <w:lang w:eastAsia="zh-CN"/>
              </w:rPr>
              <w:t>无线电通信局</w:t>
            </w:r>
            <w:r w:rsidR="00683744">
              <w:rPr>
                <w:rFonts w:ascii="STKaiti" w:eastAsia="STKaiti" w:hAnsi="STKaiti" w:hint="eastAsia"/>
                <w:lang w:eastAsia="zh-CN"/>
              </w:rPr>
              <w:t>第</w:t>
            </w:r>
            <w:hyperlink r:id="rId11" w:history="1">
              <w:r w:rsidR="00683744" w:rsidRPr="00683744">
                <w:rPr>
                  <w:rStyle w:val="Hyperlink"/>
                  <w:lang w:eastAsia="zh-CN"/>
                </w:rPr>
                <w:t>CA/277</w:t>
              </w:r>
            </w:hyperlink>
            <w:r w:rsidRPr="00683744">
              <w:rPr>
                <w:rFonts w:ascii="STKaiti" w:eastAsia="STKaiti" w:hAnsi="STKaiti" w:hint="eastAsia"/>
                <w:lang w:eastAsia="zh-CN"/>
              </w:rPr>
              <w:t>号行政通函</w:t>
            </w:r>
            <w:r w:rsidR="00683744">
              <w:rPr>
                <w:rFonts w:ascii="STKaiti" w:eastAsia="STKaiti" w:hAnsi="STKaiti" w:hint="eastAsia"/>
                <w:lang w:eastAsia="zh-CN"/>
              </w:rPr>
              <w:t>：</w:t>
            </w:r>
            <w:r w:rsidR="00683744" w:rsidRPr="00683744">
              <w:rPr>
                <w:rFonts w:ascii="STKaiti" w:eastAsia="STKaiti" w:hAnsi="STKaiti" w:hint="eastAsia"/>
                <w:lang w:eastAsia="zh-CN"/>
              </w:rPr>
              <w:t>无线电通信顾问组第三十二次会议</w:t>
            </w:r>
            <w:r w:rsidR="00683744">
              <w:rPr>
                <w:rFonts w:ascii="STKaiti" w:eastAsia="STKaiti" w:hAnsi="STKaiti" w:hint="eastAsia"/>
                <w:lang w:eastAsia="zh-CN"/>
              </w:rPr>
              <w:t>（</w:t>
            </w:r>
            <w:r w:rsidR="00683744" w:rsidRPr="00683744">
              <w:rPr>
                <w:lang w:eastAsia="zh-CN"/>
              </w:rPr>
              <w:t>2025</w:t>
            </w:r>
            <w:r w:rsidR="00683744" w:rsidRPr="00683744">
              <w:rPr>
                <w:rFonts w:ascii="STKaiti" w:eastAsia="STKaiti" w:hAnsi="STKaiti" w:hint="eastAsia"/>
                <w:lang w:eastAsia="zh-CN"/>
              </w:rPr>
              <w:t>年</w:t>
            </w:r>
            <w:r w:rsidR="00683744" w:rsidRPr="00683744">
              <w:rPr>
                <w:rFonts w:hint="eastAsia"/>
                <w:lang w:eastAsia="zh-CN"/>
              </w:rPr>
              <w:t>4</w:t>
            </w:r>
            <w:r w:rsidR="00683744" w:rsidRPr="00683744">
              <w:rPr>
                <w:rFonts w:ascii="STKaiti" w:eastAsia="STKaiti" w:hAnsi="STKaiti" w:hint="eastAsia"/>
                <w:lang w:eastAsia="zh-CN"/>
              </w:rPr>
              <w:t>月</w:t>
            </w:r>
            <w:r w:rsidR="00683744" w:rsidRPr="00683744">
              <w:rPr>
                <w:lang w:eastAsia="zh-CN"/>
              </w:rPr>
              <w:t>14-17</w:t>
            </w:r>
            <w:r w:rsidR="00683744" w:rsidRPr="00683744">
              <w:rPr>
                <w:rFonts w:ascii="STKaiti" w:eastAsia="STKaiti" w:hAnsi="STKaiti" w:hint="eastAsia"/>
                <w:lang w:eastAsia="zh-CN"/>
              </w:rPr>
              <w:t>日</w:t>
            </w:r>
            <w:r w:rsidR="00683744">
              <w:rPr>
                <w:rFonts w:ascii="STKaiti" w:eastAsia="STKaiti" w:hAnsi="STKaiti" w:hint="eastAsia"/>
                <w:lang w:eastAsia="zh-CN"/>
              </w:rPr>
              <w:t>，</w:t>
            </w:r>
            <w:r w:rsidR="00683744" w:rsidRPr="00683744">
              <w:rPr>
                <w:rFonts w:ascii="STKaiti" w:eastAsia="STKaiti" w:hAnsi="STKaiti" w:hint="eastAsia"/>
                <w:lang w:eastAsia="zh-CN"/>
              </w:rPr>
              <w:t>日内瓦</w:t>
            </w:r>
            <w:r w:rsidR="00683744">
              <w:rPr>
                <w:rFonts w:ascii="STKaiti" w:eastAsia="STKaiti" w:hAnsi="STKaiti" w:hint="eastAsia"/>
                <w:lang w:eastAsia="zh-CN"/>
              </w:rPr>
              <w:t>）</w:t>
            </w:r>
            <w:r w:rsidR="00683744" w:rsidRPr="00683744">
              <w:rPr>
                <w:rFonts w:ascii="STKaiti" w:eastAsia="STKaiti" w:hAnsi="STKaiti" w:hint="eastAsia"/>
                <w:lang w:eastAsia="zh-CN"/>
              </w:rPr>
              <w:t>结论摘要</w:t>
            </w:r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10" w:name="_Hlk133421428"/>
      <w:bookmarkEnd w:id="2"/>
      <w:bookmarkEnd w:id="9"/>
    </w:p>
    <w:bookmarkEnd w:id="3"/>
    <w:bookmarkEnd w:id="4"/>
    <w:p w14:paraId="1CB32D69" w14:textId="77777777" w:rsidR="00104ACA" w:rsidRDefault="00104A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4DAEF4D" w14:textId="0EFE1083" w:rsidR="00104ACA" w:rsidRPr="00104ACA" w:rsidRDefault="00D618B0" w:rsidP="00D618B0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ind w:left="0" w:firstLine="0"/>
        <w:rPr>
          <w:lang w:val="en-US" w:eastAsia="zh-CN"/>
        </w:rPr>
      </w:pPr>
      <w:r w:rsidRPr="00104ACA">
        <w:rPr>
          <w:lang w:val="en-US" w:eastAsia="zh-CN"/>
        </w:rPr>
        <w:lastRenderedPageBreak/>
        <w:t>1</w:t>
      </w:r>
      <w:r w:rsidRPr="00104ACA">
        <w:rPr>
          <w:lang w:val="en-US" w:eastAsia="zh-CN"/>
        </w:rPr>
        <w:tab/>
      </w:r>
      <w:r w:rsidR="00FE4A83">
        <w:rPr>
          <w:rFonts w:hint="eastAsia"/>
          <w:lang w:val="en-US" w:eastAsia="zh-CN"/>
        </w:rPr>
        <w:t>引言</w:t>
      </w:r>
    </w:p>
    <w:p w14:paraId="1E1B3E9B" w14:textId="1189D1B4" w:rsidR="00104ACA" w:rsidRPr="00104ACA" w:rsidRDefault="00FE4A83" w:rsidP="00A23C7F">
      <w:pPr>
        <w:pStyle w:val="Normall"/>
        <w:ind w:firstLineChars="200" w:firstLine="480"/>
      </w:pPr>
      <w:r w:rsidRPr="00FE4A83">
        <w:rPr>
          <w:rFonts w:hint="eastAsia"/>
        </w:rPr>
        <w:t>无线电通信顾问组</w:t>
      </w:r>
      <w:r w:rsidR="00BF45C4">
        <w:rPr>
          <w:rFonts w:hint="eastAsia"/>
        </w:rPr>
        <w:t>（</w:t>
      </w:r>
      <w:r w:rsidR="00BF45C4" w:rsidRPr="00104ACA">
        <w:t>RAG</w:t>
      </w:r>
      <w:r w:rsidR="00BF45C4">
        <w:rPr>
          <w:rFonts w:hint="eastAsia"/>
        </w:rPr>
        <w:t>）</w:t>
      </w:r>
      <w:r w:rsidR="00BF45C4" w:rsidRPr="00FE4A83">
        <w:rPr>
          <w:rFonts w:hint="eastAsia"/>
        </w:rPr>
        <w:t>第</w:t>
      </w:r>
      <w:r w:rsidR="00BF45C4" w:rsidRPr="00104ACA">
        <w:t>32</w:t>
      </w:r>
      <w:r w:rsidR="00BF45C4" w:rsidRPr="00FE4A83">
        <w:rPr>
          <w:rFonts w:hint="eastAsia"/>
        </w:rPr>
        <w:t>次会议</w:t>
      </w:r>
      <w:r w:rsidRPr="00FE4A83">
        <w:rPr>
          <w:rFonts w:hint="eastAsia"/>
        </w:rPr>
        <w:t>于</w:t>
      </w:r>
      <w:r w:rsidR="00BF45C4" w:rsidRPr="00104ACA">
        <w:t>2025</w:t>
      </w:r>
      <w:r w:rsidRPr="00FE4A83">
        <w:rPr>
          <w:rFonts w:hint="eastAsia"/>
        </w:rPr>
        <w:t>年</w:t>
      </w:r>
      <w:r w:rsidRPr="00FE4A83">
        <w:rPr>
          <w:rFonts w:hint="eastAsia"/>
        </w:rPr>
        <w:t>4</w:t>
      </w:r>
      <w:r w:rsidRPr="00FE4A83">
        <w:rPr>
          <w:rFonts w:hint="eastAsia"/>
        </w:rPr>
        <w:t>月</w:t>
      </w:r>
      <w:r w:rsidR="00BF45C4" w:rsidRPr="00104ACA">
        <w:t>14</w:t>
      </w:r>
      <w:r w:rsidRPr="00FE4A83">
        <w:rPr>
          <w:rFonts w:hint="eastAsia"/>
        </w:rPr>
        <w:t>日至</w:t>
      </w:r>
      <w:r w:rsidR="00BF45C4" w:rsidRPr="00104ACA">
        <w:t>17</w:t>
      </w:r>
      <w:r w:rsidRPr="00FE4A83">
        <w:rPr>
          <w:rFonts w:hint="eastAsia"/>
        </w:rPr>
        <w:t>日</w:t>
      </w:r>
      <w:r w:rsidR="00BF45C4">
        <w:rPr>
          <w:rFonts w:hint="eastAsia"/>
        </w:rPr>
        <w:t>在瑞士日内瓦举行。</w:t>
      </w:r>
    </w:p>
    <w:p w14:paraId="163D8DCA" w14:textId="641DF067" w:rsidR="00104ACA" w:rsidRPr="00104ACA" w:rsidRDefault="006D5A93" w:rsidP="00A23C7F">
      <w:pPr>
        <w:pStyle w:val="Normall"/>
        <w:ind w:firstLineChars="200" w:firstLine="480"/>
      </w:pPr>
      <w:r w:rsidRPr="00104ACA">
        <w:t>RAG</w:t>
      </w:r>
      <w:r w:rsidR="00FE4A83" w:rsidRPr="00FE4A83">
        <w:rPr>
          <w:rFonts w:hint="eastAsia"/>
        </w:rPr>
        <w:t>审议了提交给</w:t>
      </w:r>
      <w:r w:rsidR="00B45C5C" w:rsidRPr="00B45C5C">
        <w:rPr>
          <w:rFonts w:hint="eastAsia"/>
        </w:rPr>
        <w:t>与理事们举行的</w:t>
      </w:r>
      <w:r w:rsidR="00FE4A83" w:rsidRPr="00FE4A83">
        <w:rPr>
          <w:rFonts w:hint="eastAsia"/>
        </w:rPr>
        <w:t>第二次虚拟专题吹风会的无线电通信部门</w:t>
      </w:r>
      <w:r w:rsidR="00B45C5C">
        <w:rPr>
          <w:rFonts w:hint="eastAsia"/>
        </w:rPr>
        <w:t>（</w:t>
      </w:r>
      <w:r w:rsidR="00B45C5C" w:rsidRPr="00104ACA">
        <w:t>BR</w:t>
      </w:r>
      <w:r w:rsidR="00B45C5C">
        <w:rPr>
          <w:rFonts w:hint="eastAsia"/>
        </w:rPr>
        <w:t>）</w:t>
      </w:r>
      <w:r w:rsidR="00B45C5C" w:rsidRPr="00104ACA">
        <w:t>2026-2027</w:t>
      </w:r>
      <w:r w:rsidR="00B45C5C" w:rsidRPr="00FE4A83">
        <w:rPr>
          <w:rFonts w:hint="eastAsia"/>
        </w:rPr>
        <w:t>年</w:t>
      </w:r>
      <w:r w:rsidR="00FE4A83" w:rsidRPr="00FE4A83">
        <w:rPr>
          <w:rFonts w:hint="eastAsia"/>
        </w:rPr>
        <w:t>预算草案</w:t>
      </w:r>
      <w:r w:rsidR="00B45C5C">
        <w:rPr>
          <w:rFonts w:hint="eastAsia"/>
        </w:rPr>
        <w:t>、</w:t>
      </w:r>
      <w:r w:rsidR="00FE4A83" w:rsidRPr="00FE4A83">
        <w:rPr>
          <w:rFonts w:hint="eastAsia"/>
        </w:rPr>
        <w:t>在日内</w:t>
      </w:r>
      <w:r w:rsidR="00FE4A83" w:rsidRPr="003022E8">
        <w:rPr>
          <w:rFonts w:hint="eastAsia"/>
        </w:rPr>
        <w:t>瓦以外</w:t>
      </w:r>
      <w:r w:rsidR="00B45C5C">
        <w:rPr>
          <w:rFonts w:hint="eastAsia"/>
        </w:rPr>
        <w:t>举办</w:t>
      </w:r>
      <w:r w:rsidR="00B45C5C" w:rsidRPr="00104ACA">
        <w:t>ITU-R</w:t>
      </w:r>
      <w:r w:rsidR="00FE4A83" w:rsidRPr="003022E8">
        <w:rPr>
          <w:rFonts w:hint="eastAsia"/>
        </w:rPr>
        <w:t>会议的问题以及</w:t>
      </w:r>
      <w:r w:rsidR="00B45C5C" w:rsidRPr="003022E8">
        <w:rPr>
          <w:rFonts w:hint="eastAsia"/>
        </w:rPr>
        <w:t>在同等地位上使用国际电联六种正式语文的问题。</w:t>
      </w:r>
    </w:p>
    <w:p w14:paraId="52752AD1" w14:textId="6B9C8AA3" w:rsidR="00104ACA" w:rsidRPr="00104ACA" w:rsidRDefault="00FE4A83" w:rsidP="00A23C7F">
      <w:pPr>
        <w:pStyle w:val="Normall"/>
        <w:ind w:firstLineChars="200" w:firstLine="480"/>
      </w:pPr>
      <w:r w:rsidRPr="00FE4A83">
        <w:rPr>
          <w:rFonts w:hint="eastAsia"/>
        </w:rPr>
        <w:t>本文件遵循</w:t>
      </w:r>
      <w:r w:rsidR="00422981" w:rsidRPr="00104ACA">
        <w:t>RAG</w:t>
      </w:r>
      <w:r w:rsidR="00422981">
        <w:rPr>
          <w:rFonts w:hint="eastAsia"/>
        </w:rPr>
        <w:t>对</w:t>
      </w:r>
      <w:r w:rsidR="00422981" w:rsidRPr="00104ACA">
        <w:t>BR</w:t>
      </w:r>
      <w:r w:rsidRPr="00FE4A83">
        <w:rPr>
          <w:rFonts w:hint="eastAsia"/>
        </w:rPr>
        <w:t>主任</w:t>
      </w:r>
      <w:r w:rsidR="003022E8">
        <w:rPr>
          <w:rFonts w:hint="eastAsia"/>
        </w:rPr>
        <w:t>提出</w:t>
      </w:r>
      <w:r w:rsidR="00422981">
        <w:rPr>
          <w:rFonts w:hint="eastAsia"/>
        </w:rPr>
        <w:t>的指导意见，</w:t>
      </w:r>
      <w:r w:rsidRPr="00FE4A83">
        <w:rPr>
          <w:rFonts w:hint="eastAsia"/>
        </w:rPr>
        <w:t>向理事会报告</w:t>
      </w:r>
      <w:r w:rsidR="00422981" w:rsidRPr="00104ACA">
        <w:t>RAG</w:t>
      </w:r>
      <w:r w:rsidRPr="00FE4A83">
        <w:rPr>
          <w:rFonts w:hint="eastAsia"/>
        </w:rPr>
        <w:t>第</w:t>
      </w:r>
      <w:r w:rsidR="00422981" w:rsidRPr="00104ACA">
        <w:t>32</w:t>
      </w:r>
      <w:r w:rsidRPr="00FE4A83">
        <w:rPr>
          <w:rFonts w:hint="eastAsia"/>
        </w:rPr>
        <w:t>次会议关于上述议题的结论</w:t>
      </w:r>
      <w:r w:rsidR="00422981">
        <w:rPr>
          <w:rFonts w:hint="eastAsia"/>
        </w:rPr>
        <w:t>。</w:t>
      </w:r>
    </w:p>
    <w:p w14:paraId="73F862BF" w14:textId="43CC3BB2" w:rsidR="00104ACA" w:rsidRPr="00104ACA" w:rsidRDefault="00D618B0" w:rsidP="00D618B0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120"/>
        <w:ind w:left="0" w:firstLine="0"/>
        <w:rPr>
          <w:lang w:eastAsia="zh-CN"/>
        </w:rPr>
      </w:pPr>
      <w:r w:rsidRPr="00104ACA">
        <w:rPr>
          <w:lang w:eastAsia="zh-CN"/>
        </w:rPr>
        <w:t>2</w:t>
      </w:r>
      <w:r w:rsidRPr="00104ACA">
        <w:rPr>
          <w:lang w:eastAsia="zh-CN"/>
        </w:rPr>
        <w:tab/>
      </w:r>
      <w:r w:rsidR="00104ACA" w:rsidRPr="00104ACA">
        <w:rPr>
          <w:lang w:eastAsia="zh-CN"/>
        </w:rPr>
        <w:t>2026-2027</w:t>
      </w:r>
      <w:r w:rsidR="00FE4A83" w:rsidRPr="00FE4A83">
        <w:rPr>
          <w:rFonts w:hint="eastAsia"/>
          <w:lang w:eastAsia="zh-CN"/>
        </w:rPr>
        <w:t>年预算草案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04ACA" w:rsidRPr="00104ACA" w14:paraId="33B9A1EA" w14:textId="77777777" w:rsidTr="00104AC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3CE3" w14:textId="2E8F239B" w:rsidR="00104ACA" w:rsidRPr="00104ACA" w:rsidRDefault="00AF1F0C" w:rsidP="00104A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lang w:val="en-US" w:eastAsia="zh-CN"/>
              </w:rPr>
            </w:pPr>
            <w:r w:rsidRPr="00AF1F0C">
              <w:rPr>
                <w:lang w:val="en-US" w:eastAsia="zh-CN"/>
              </w:rPr>
              <w:t>RAG</w:t>
            </w:r>
            <w:r w:rsidR="00FE4A83" w:rsidRPr="00AF1F0C">
              <w:rPr>
                <w:rFonts w:ascii="STKaiti" w:eastAsia="STKaiti" w:hAnsi="STKaiti" w:cs="Microsoft YaHei" w:hint="eastAsia"/>
                <w:lang w:val="en-US" w:eastAsia="zh-CN"/>
              </w:rPr>
              <w:t>关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切地注意到</w:t>
            </w:r>
            <w:r w:rsidR="003022E8" w:rsidRPr="003022E8">
              <w:rPr>
                <w:rFonts w:ascii="STKaiti" w:eastAsia="STKaiti" w:hAnsi="STKaiti" w:cs="Microsoft YaHei" w:hint="eastAsia"/>
                <w:lang w:val="en-US" w:eastAsia="zh-CN"/>
              </w:rPr>
              <w:t>削减</w:t>
            </w:r>
            <w:r w:rsidR="003022E8" w:rsidRPr="003022E8">
              <w:rPr>
                <w:lang w:val="en-US" w:eastAsia="zh-CN"/>
              </w:rPr>
              <w:t>BR</w:t>
            </w:r>
            <w:r w:rsidR="003022E8">
              <w:rPr>
                <w:rFonts w:eastAsiaTheme="minorEastAsia" w:hint="eastAsia"/>
                <w:lang w:val="en-US" w:eastAsia="zh-CN"/>
              </w:rPr>
              <w:t xml:space="preserve"> </w:t>
            </w:r>
            <w:r w:rsidRPr="00D020F8">
              <w:rPr>
                <w:lang w:val="en-US" w:eastAsia="zh-CN"/>
              </w:rPr>
              <w:t>2026-2027</w:t>
            </w:r>
            <w:r w:rsidR="00D020F8">
              <w:rPr>
                <w:rFonts w:ascii="STKaiti" w:eastAsia="STKaiti" w:hAnsi="STKaiti" w:cs="Microsoft YaHei" w:hint="eastAsia"/>
                <w:lang w:val="en-US" w:eastAsia="zh-CN"/>
              </w:rPr>
              <w:t>年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双年度</w:t>
            </w:r>
            <w:r w:rsidR="00D020F8" w:rsidRPr="00D020F8">
              <w:rPr>
                <w:rFonts w:ascii="STKaiti" w:eastAsia="STKaiti" w:hAnsi="STKaiti" w:cs="Microsoft YaHei" w:hint="eastAsia"/>
                <w:lang w:val="en-US" w:eastAsia="zh-CN"/>
              </w:rPr>
              <w:t>职员预算</w:t>
            </w:r>
            <w:r w:rsidR="00D020F8">
              <w:rPr>
                <w:rFonts w:ascii="STKaiti" w:eastAsia="STKaiti" w:hAnsi="STKaiti" w:cs="Microsoft YaHei" w:hint="eastAsia"/>
                <w:lang w:val="en-US" w:eastAsia="zh-CN"/>
              </w:rPr>
              <w:t>的</w:t>
            </w:r>
            <w:r w:rsidR="003022E8">
              <w:rPr>
                <w:rFonts w:ascii="STKaiti" w:eastAsia="STKaiti" w:hAnsi="STKaiti" w:cs="Microsoft YaHei" w:hint="eastAsia"/>
                <w:lang w:val="en-US" w:eastAsia="zh-CN"/>
              </w:rPr>
              <w:t>建议</w:t>
            </w:r>
            <w:r w:rsidR="00D020F8">
              <w:rPr>
                <w:rFonts w:ascii="STKaiti" w:eastAsia="STKaiti" w:hAnsi="STKaiti" w:cs="Microsoft YaHei" w:hint="eastAsia"/>
                <w:lang w:val="en-US" w:eastAsia="zh-CN"/>
              </w:rPr>
              <w:t>，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同时理解国际电联可能面临的财务困难</w:t>
            </w:r>
            <w:r w:rsidR="00D020F8">
              <w:rPr>
                <w:rFonts w:ascii="STKaiti" w:eastAsia="STKaiti" w:hAnsi="STKaiti" w:cs="Microsoft YaHei" w:hint="eastAsia"/>
                <w:lang w:val="en-US" w:eastAsia="zh-CN"/>
              </w:rPr>
              <w:t>，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强调</w:t>
            </w:r>
            <w:r w:rsidR="00D020F8">
              <w:rPr>
                <w:rFonts w:ascii="STKaiti" w:eastAsia="STKaiti" w:hAnsi="STKaiti" w:cs="Microsoft YaHei" w:hint="eastAsia"/>
                <w:lang w:val="en-US" w:eastAsia="zh-CN"/>
              </w:rPr>
              <w:t>有必要保留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无线电通信局履行</w:t>
            </w:r>
            <w:r w:rsidR="00D020F8" w:rsidRPr="00D020F8">
              <w:rPr>
                <w:rFonts w:ascii="STKaiti" w:eastAsia="STKaiti" w:hAnsi="STKaiti" w:cs="Microsoft YaHei" w:hint="eastAsia"/>
                <w:lang w:val="en-US" w:eastAsia="zh-CN"/>
              </w:rPr>
              <w:t>职责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所需的资源</w:t>
            </w:r>
            <w:r w:rsidR="00D020F8">
              <w:rPr>
                <w:rFonts w:ascii="STKaiti" w:eastAsia="STKaiti" w:hAnsi="STKaiti" w:cs="Microsoft YaHei" w:hint="eastAsia"/>
                <w:lang w:val="en-US" w:eastAsia="zh-CN"/>
              </w:rPr>
              <w:t>。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这应优先于国际电联计划开展的其他非核心活动</w:t>
            </w:r>
            <w:r w:rsidR="00D020F8">
              <w:rPr>
                <w:rFonts w:ascii="STKaiti" w:eastAsia="STKaiti" w:hAnsi="STKaiti" w:cs="Microsoft YaHei" w:hint="eastAsia"/>
                <w:lang w:val="en-US" w:eastAsia="zh-CN"/>
              </w:rPr>
              <w:t>。在此方面，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应始终遵守</w:t>
            </w:r>
            <w:r w:rsidR="00D020F8" w:rsidRPr="00D020F8">
              <w:rPr>
                <w:lang w:val="en-US" w:eastAsia="zh-CN"/>
              </w:rPr>
              <w:t>PP-22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第</w:t>
            </w:r>
            <w:r w:rsidR="00D020F8" w:rsidRPr="00D020F8">
              <w:rPr>
                <w:lang w:val="en-US" w:eastAsia="zh-CN"/>
              </w:rPr>
              <w:t>5</w:t>
            </w:r>
            <w:r w:rsidR="00FE4A83" w:rsidRPr="00FE4A83">
              <w:rPr>
                <w:rFonts w:ascii="STKaiti" w:eastAsia="STKaiti" w:hAnsi="STKaiti" w:cs="Microsoft YaHei" w:hint="eastAsia"/>
                <w:lang w:val="en-US" w:eastAsia="zh-CN"/>
              </w:rPr>
              <w:t>号决定</w:t>
            </w:r>
            <w:r w:rsidR="00FE4A83" w:rsidRPr="00FE4A83">
              <w:rPr>
                <w:rFonts w:ascii="STKaiti" w:eastAsia="STKaiti" w:hAnsi="STKaiti" w:hint="eastAsia"/>
                <w:lang w:val="en-US" w:eastAsia="zh-CN"/>
              </w:rPr>
              <w:t>。</w:t>
            </w:r>
          </w:p>
        </w:tc>
      </w:tr>
    </w:tbl>
    <w:p w14:paraId="7385527D" w14:textId="0D1AE7CB" w:rsidR="00104ACA" w:rsidRPr="0039031D" w:rsidRDefault="00D618B0" w:rsidP="00D618B0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120"/>
        <w:ind w:left="0" w:firstLine="0"/>
        <w:rPr>
          <w:lang w:eastAsia="zh-CN"/>
        </w:rPr>
      </w:pPr>
      <w:r w:rsidRPr="0039031D">
        <w:rPr>
          <w:lang w:eastAsia="zh-CN"/>
        </w:rPr>
        <w:t>3</w:t>
      </w:r>
      <w:r w:rsidRPr="0039031D">
        <w:rPr>
          <w:lang w:eastAsia="zh-CN"/>
        </w:rPr>
        <w:tab/>
      </w:r>
      <w:r w:rsidR="00FE4A83" w:rsidRPr="0039031D">
        <w:rPr>
          <w:rFonts w:hint="eastAsia"/>
          <w:lang w:eastAsia="zh-CN"/>
        </w:rPr>
        <w:t>在日内瓦以外</w:t>
      </w:r>
      <w:r w:rsidR="00B557D3" w:rsidRPr="0039031D">
        <w:rPr>
          <w:rFonts w:hint="eastAsia"/>
          <w:lang w:eastAsia="zh-CN"/>
        </w:rPr>
        <w:t>举办</w:t>
      </w:r>
      <w:r w:rsidR="00B557D3" w:rsidRPr="0039031D">
        <w:rPr>
          <w:lang w:eastAsia="zh-CN"/>
        </w:rPr>
        <w:t>ITU-R</w:t>
      </w:r>
      <w:r w:rsidR="00FE4A83" w:rsidRPr="0039031D">
        <w:rPr>
          <w:rFonts w:hint="eastAsia"/>
          <w:lang w:eastAsia="zh-CN"/>
        </w:rPr>
        <w:t>会议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04ACA" w:rsidRPr="00104ACA" w14:paraId="7AC1687C" w14:textId="77777777" w:rsidTr="00104AC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865C" w14:textId="53EE3F0A" w:rsidR="00104ACA" w:rsidRPr="00104ACA" w:rsidRDefault="00275E8F" w:rsidP="00104A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i/>
                <w:iCs/>
                <w:lang w:val="en-US" w:eastAsia="zh-CN"/>
              </w:rPr>
            </w:pPr>
            <w:r w:rsidRPr="00612B4C">
              <w:rPr>
                <w:lang w:val="en-US" w:eastAsia="zh-CN"/>
              </w:rPr>
              <w:t>RAG</w:t>
            </w:r>
            <w:r w:rsidRPr="0039031D">
              <w:rPr>
                <w:rFonts w:ascii="STKaiti" w:eastAsia="STKaiti" w:hAnsi="STKaiti" w:hint="eastAsia"/>
                <w:lang w:val="en-US" w:eastAsia="zh-CN"/>
              </w:rPr>
              <w:t>注意到在日内瓦以外举办</w:t>
            </w:r>
            <w:r w:rsidRPr="0039031D">
              <w:rPr>
                <w:lang w:val="en-US" w:eastAsia="zh-CN"/>
              </w:rPr>
              <w:t>ITU</w:t>
            </w:r>
            <w:r w:rsidRPr="00612B4C">
              <w:rPr>
                <w:lang w:val="en-US" w:eastAsia="zh-CN"/>
              </w:rPr>
              <w:t>-R</w:t>
            </w:r>
            <w:r w:rsidRPr="00612B4C">
              <w:rPr>
                <w:rFonts w:ascii="STKaiti" w:eastAsia="STKaiti" w:hAnsi="STKaiti" w:hint="eastAsia"/>
                <w:lang w:val="en-US" w:eastAsia="zh-CN"/>
              </w:rPr>
              <w:t>会议的问题，强调对国际电联所有三个部门的此类会议采用相同程序的重要性，</w:t>
            </w:r>
            <w:r w:rsidR="00612B4C">
              <w:rPr>
                <w:rFonts w:ascii="STKaiti" w:eastAsia="STKaiti" w:hAnsi="STKaiti" w:hint="eastAsia"/>
                <w:lang w:val="en-US" w:eastAsia="zh-CN"/>
              </w:rPr>
              <w:t>而</w:t>
            </w:r>
            <w:r w:rsidRPr="00612B4C">
              <w:rPr>
                <w:rFonts w:ascii="STKaiti" w:eastAsia="STKaiti" w:hAnsi="STKaiti" w:hint="eastAsia"/>
                <w:lang w:val="en-US" w:eastAsia="zh-CN"/>
              </w:rPr>
              <w:t>新办公楼的</w:t>
            </w:r>
            <w:r w:rsidR="0039031D">
              <w:rPr>
                <w:rFonts w:ascii="STKaiti" w:eastAsia="STKaiti" w:hAnsi="STKaiti" w:hint="eastAsia"/>
                <w:lang w:val="en-US" w:eastAsia="zh-CN"/>
              </w:rPr>
              <w:t>施工项目</w:t>
            </w:r>
            <w:r w:rsidRPr="00612B4C">
              <w:rPr>
                <w:rFonts w:ascii="STKaiti" w:eastAsia="STKaiti" w:hAnsi="STKaiti" w:hint="eastAsia"/>
                <w:lang w:val="en-US" w:eastAsia="zh-CN"/>
              </w:rPr>
              <w:t>将导致在日内瓦以外举办的会议数量增加。</w:t>
            </w:r>
            <w:r w:rsidRPr="00612B4C">
              <w:rPr>
                <w:lang w:val="en-US" w:eastAsia="zh-CN"/>
              </w:rPr>
              <w:t>RAG</w:t>
            </w:r>
            <w:r w:rsidRPr="00612B4C">
              <w:rPr>
                <w:rFonts w:ascii="STKaiti" w:eastAsia="STKaiti" w:hAnsi="STKaiti" w:hint="eastAsia"/>
                <w:lang w:val="en-US" w:eastAsia="zh-CN"/>
              </w:rPr>
              <w:t>鼓励各主管部门尽早向</w:t>
            </w:r>
            <w:r w:rsidR="00612B4C" w:rsidRPr="00612B4C">
              <w:rPr>
                <w:lang w:val="en-US" w:eastAsia="zh-CN"/>
              </w:rPr>
              <w:t>BR</w:t>
            </w:r>
            <w:r w:rsidRPr="00612B4C">
              <w:rPr>
                <w:rFonts w:ascii="STKaiti" w:eastAsia="STKaiti" w:hAnsi="STKaiti" w:hint="eastAsia"/>
                <w:lang w:val="en-US" w:eastAsia="zh-CN"/>
              </w:rPr>
              <w:t>发出</w:t>
            </w:r>
            <w:r w:rsidR="00612B4C" w:rsidRPr="00612B4C">
              <w:rPr>
                <w:rFonts w:ascii="STKaiti" w:eastAsia="STKaiti" w:hAnsi="STKaiti" w:hint="eastAsia"/>
                <w:lang w:val="en-US" w:eastAsia="zh-CN"/>
              </w:rPr>
              <w:t>承办</w:t>
            </w:r>
            <w:r w:rsidR="00612B4C" w:rsidRPr="00612B4C">
              <w:rPr>
                <w:lang w:val="en-US" w:eastAsia="zh-CN"/>
              </w:rPr>
              <w:t>ITU-R</w:t>
            </w:r>
            <w:r w:rsidRPr="00612B4C">
              <w:rPr>
                <w:rFonts w:ascii="STKaiti" w:eastAsia="STKaiti" w:hAnsi="STKaiti" w:hint="eastAsia"/>
                <w:lang w:val="en-US" w:eastAsia="zh-CN"/>
              </w:rPr>
              <w:t>会议的邀请</w:t>
            </w:r>
            <w:r w:rsidR="00612B4C" w:rsidRPr="00612B4C">
              <w:rPr>
                <w:rFonts w:ascii="STKaiti" w:eastAsia="STKaiti" w:hAnsi="STKaiti" w:hint="eastAsia"/>
                <w:lang w:val="en-US" w:eastAsia="zh-CN"/>
              </w:rPr>
              <w:t>，</w:t>
            </w:r>
            <w:r w:rsidRPr="00612B4C">
              <w:rPr>
                <w:rFonts w:ascii="STKaiti" w:eastAsia="STKaiti" w:hAnsi="STKaiti" w:hint="eastAsia"/>
                <w:lang w:val="en-US" w:eastAsia="zh-CN"/>
              </w:rPr>
              <w:t>最好是在研究组倒数第二次会议之前</w:t>
            </w:r>
            <w:r w:rsidR="00612B4C" w:rsidRPr="00612B4C">
              <w:rPr>
                <w:rFonts w:ascii="STKaiti" w:eastAsia="STKaiti" w:hAnsi="STKaiti" w:hint="eastAsia"/>
                <w:lang w:val="en-US" w:eastAsia="zh-CN"/>
              </w:rPr>
              <w:t>。</w:t>
            </w:r>
          </w:p>
        </w:tc>
      </w:tr>
    </w:tbl>
    <w:p w14:paraId="68D260EB" w14:textId="5C3B1F33" w:rsidR="00104ACA" w:rsidRPr="00B20D25" w:rsidRDefault="00D618B0" w:rsidP="00D618B0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120"/>
        <w:ind w:left="0" w:firstLine="0"/>
        <w:rPr>
          <w:lang w:val="es-ES" w:eastAsia="zh-CN"/>
        </w:rPr>
      </w:pPr>
      <w:r w:rsidRPr="00104ACA">
        <w:rPr>
          <w:lang w:eastAsia="zh-CN"/>
        </w:rPr>
        <w:t>4</w:t>
      </w:r>
      <w:r w:rsidRPr="00104ACA">
        <w:rPr>
          <w:lang w:eastAsia="zh-CN"/>
        </w:rPr>
        <w:tab/>
      </w:r>
      <w:r w:rsidR="00FE4A83" w:rsidRPr="00FE4A83">
        <w:rPr>
          <w:rFonts w:hint="eastAsia"/>
          <w:lang w:eastAsia="zh-CN"/>
        </w:rPr>
        <w:t>在同等地位上使用国际电联的六种正式语文</w:t>
      </w:r>
    </w:p>
    <w:p w14:paraId="69DD0B95" w14:textId="4254670D" w:rsidR="00104ACA" w:rsidRPr="00104ACA" w:rsidRDefault="00FE4A83" w:rsidP="0010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="STKaiti" w:eastAsia="STKaiti" w:hAnsi="STKaiti"/>
          <w:lang w:eastAsia="zh-CN"/>
        </w:rPr>
      </w:pPr>
      <w:r w:rsidRPr="00FE4A83">
        <w:rPr>
          <w:rFonts w:ascii="STKaiti" w:eastAsia="STKaiti" w:hAnsi="STKaiti" w:hint="eastAsia"/>
          <w:lang w:eastAsia="zh-CN"/>
        </w:rPr>
        <w:t>建议</w:t>
      </w:r>
      <w:r w:rsidR="000A1154">
        <w:rPr>
          <w:rFonts w:ascii="STKaiti" w:eastAsia="STKaiti" w:hAnsi="STKaiti" w:hint="eastAsia"/>
          <w:lang w:eastAsia="zh-CN"/>
        </w:rPr>
        <w:t>对于</w:t>
      </w:r>
      <w:r w:rsidRPr="00FE4A83">
        <w:rPr>
          <w:rFonts w:ascii="STKaiti" w:eastAsia="STKaiti" w:hAnsi="STKaiti" w:hint="eastAsia"/>
          <w:lang w:eastAsia="zh-CN"/>
        </w:rPr>
        <w:t>提供口译服务的会议</w:t>
      </w:r>
      <w:r w:rsidR="000A1154">
        <w:rPr>
          <w:rFonts w:ascii="STKaiti" w:eastAsia="STKaiti" w:hAnsi="STKaiti" w:hint="eastAsia"/>
          <w:lang w:eastAsia="zh-CN"/>
        </w:rPr>
        <w:t>，</w:t>
      </w:r>
      <w:r w:rsidR="000A1154" w:rsidRPr="000A1154">
        <w:rPr>
          <w:lang w:eastAsia="zh-CN"/>
        </w:rPr>
        <w:t>BR</w:t>
      </w:r>
      <w:r w:rsidRPr="00FE4A83">
        <w:rPr>
          <w:rFonts w:ascii="STKaiti" w:eastAsia="STKaiti" w:hAnsi="STKaiti" w:hint="eastAsia"/>
          <w:lang w:eastAsia="zh-CN"/>
        </w:rPr>
        <w:t>默认提供六种语文的口译服务</w:t>
      </w:r>
      <w:r w:rsidR="000A1154">
        <w:rPr>
          <w:rFonts w:ascii="STKaiti" w:eastAsia="STKaiti" w:hAnsi="STKaiti" w:hint="eastAsia"/>
          <w:lang w:eastAsia="zh-CN"/>
        </w:rPr>
        <w:t>，</w:t>
      </w:r>
      <w:r w:rsidRPr="00FE4A83">
        <w:rPr>
          <w:rFonts w:ascii="STKaiti" w:eastAsia="STKaiti" w:hAnsi="STKaiti" w:hint="eastAsia"/>
          <w:lang w:eastAsia="zh-CN"/>
        </w:rPr>
        <w:t>而</w:t>
      </w:r>
      <w:r w:rsidR="000A1154">
        <w:rPr>
          <w:rFonts w:ascii="STKaiti" w:eastAsia="STKaiti" w:hAnsi="STKaiti" w:hint="eastAsia"/>
          <w:lang w:eastAsia="zh-CN"/>
        </w:rPr>
        <w:t>不是</w:t>
      </w:r>
      <w:r w:rsidR="000A1154" w:rsidRPr="0039031D">
        <w:rPr>
          <w:rFonts w:ascii="STKaiti" w:eastAsia="STKaiti" w:hAnsi="STKaiti" w:hint="eastAsia"/>
          <w:lang w:eastAsia="zh-CN"/>
        </w:rPr>
        <w:t>应要求</w:t>
      </w:r>
      <w:r w:rsidRPr="0039031D">
        <w:rPr>
          <w:rFonts w:ascii="STKaiti" w:eastAsia="STKaiti" w:hAnsi="STKaiti" w:hint="eastAsia"/>
          <w:lang w:eastAsia="zh-CN"/>
        </w:rPr>
        <w:t>提供</w:t>
      </w:r>
      <w:r w:rsidR="000A1154" w:rsidRPr="0039031D">
        <w:rPr>
          <w:rFonts w:ascii="STKaiti" w:eastAsia="STKaiti" w:hAnsi="STKaiti" w:hint="eastAsia"/>
          <w:lang w:eastAsia="zh-CN"/>
        </w:rPr>
        <w:t>，如有需要，须经</w:t>
      </w:r>
      <w:r w:rsidRPr="0039031D">
        <w:rPr>
          <w:rFonts w:ascii="STKaiti" w:eastAsia="STKaiti" w:hAnsi="STKaiti" w:hint="eastAsia"/>
          <w:lang w:eastAsia="zh-CN"/>
        </w:rPr>
        <w:t>理事会进一步审议</w:t>
      </w:r>
      <w:r w:rsidR="000A1154" w:rsidRPr="0039031D">
        <w:rPr>
          <w:rFonts w:ascii="STKaiti" w:eastAsia="STKaiti" w:hAnsi="STKaiti" w:hint="eastAsia"/>
          <w:lang w:eastAsia="zh-CN"/>
        </w:rPr>
        <w:t>。</w:t>
      </w:r>
    </w:p>
    <w:p w14:paraId="52958905" w14:textId="69B5DE56" w:rsidR="0090147A" w:rsidRPr="004C0C1A" w:rsidRDefault="00104ACA" w:rsidP="004C0C1A">
      <w:pPr>
        <w:spacing w:before="840"/>
        <w:jc w:val="center"/>
        <w:rPr>
          <w:lang w:eastAsia="zh-CN"/>
        </w:rPr>
      </w:pPr>
      <w:r w:rsidRPr="00104ACA">
        <w:rPr>
          <w:lang w:eastAsia="zh-CN"/>
        </w:rPr>
        <w:t>______________</w:t>
      </w:r>
      <w:bookmarkEnd w:id="5"/>
      <w:bookmarkEnd w:id="10"/>
    </w:p>
    <w:sectPr w:rsidR="0090147A" w:rsidRPr="004C0C1A" w:rsidSect="00AD36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26213" w14:textId="77777777" w:rsidR="00713F3D" w:rsidRDefault="00713F3D">
      <w:r>
        <w:separator/>
      </w:r>
    </w:p>
  </w:endnote>
  <w:endnote w:type="continuationSeparator" w:id="0">
    <w:p w14:paraId="0E25DA49" w14:textId="77777777" w:rsidR="00713F3D" w:rsidRDefault="0071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A139" w14:textId="77777777" w:rsidR="005761E1" w:rsidRDefault="00576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0FCBED4E" w:rsidR="00EE49E8" w:rsidRDefault="005761E1" w:rsidP="00EE49E8">
          <w:pPr>
            <w:pStyle w:val="Header"/>
            <w:jc w:val="left"/>
            <w:rPr>
              <w:noProof/>
            </w:rPr>
          </w:pPr>
          <w:r w:rsidRPr="005761E1">
            <w:rPr>
              <w:noProof/>
            </w:rPr>
            <w:t>2501236</w:t>
          </w:r>
        </w:p>
      </w:tc>
      <w:tc>
        <w:tcPr>
          <w:tcW w:w="8261" w:type="dxa"/>
        </w:tcPr>
        <w:p w14:paraId="6F6B3A01" w14:textId="3F434C75" w:rsidR="00EE49E8" w:rsidRPr="00E06FD5" w:rsidRDefault="00EE49E8" w:rsidP="00A07996">
          <w:pPr>
            <w:pStyle w:val="Header"/>
            <w:tabs>
              <w:tab w:val="left" w:pos="67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104ACA" w:rsidRPr="00623AE3">
            <w:rPr>
              <w:bCs/>
            </w:rPr>
            <w:t>C</w:t>
          </w:r>
          <w:r w:rsidR="00104ACA">
            <w:rPr>
              <w:bCs/>
            </w:rPr>
            <w:t>25</w:t>
          </w:r>
          <w:r w:rsidR="00104ACA" w:rsidRPr="00623AE3">
            <w:rPr>
              <w:bCs/>
            </w:rPr>
            <w:t>/</w:t>
          </w:r>
          <w:r w:rsidR="00104ACA">
            <w:rPr>
              <w:bCs/>
            </w:rPr>
            <w:t>59</w:t>
          </w:r>
          <w:r w:rsidR="00104ACA" w:rsidRPr="00623AE3">
            <w:rPr>
              <w:bCs/>
            </w:rPr>
            <w:t>-</w:t>
          </w:r>
          <w:r w:rsidR="00356410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4A67D68" w:rsidR="00EE49E8" w:rsidRPr="006B77F1" w:rsidRDefault="00DE460B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6E6CD506" w:rsidR="00EE49E8" w:rsidRPr="00E06FD5" w:rsidRDefault="00EE49E8" w:rsidP="00A07996">
          <w:pPr>
            <w:pStyle w:val="Header"/>
            <w:tabs>
              <w:tab w:val="left" w:pos="67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DE460B" w:rsidRPr="00623AE3">
            <w:rPr>
              <w:bCs/>
            </w:rPr>
            <w:t>C</w:t>
          </w:r>
          <w:r w:rsidR="00DE460B">
            <w:rPr>
              <w:bCs/>
            </w:rPr>
            <w:t>25</w:t>
          </w:r>
          <w:r w:rsidR="00DE460B" w:rsidRPr="00623AE3">
            <w:rPr>
              <w:bCs/>
            </w:rPr>
            <w:t>/</w:t>
          </w:r>
          <w:r w:rsidR="00DE460B">
            <w:rPr>
              <w:bCs/>
            </w:rPr>
            <w:t>59</w:t>
          </w:r>
          <w:r w:rsidR="00DE460B" w:rsidRPr="00623AE3">
            <w:rPr>
              <w:bCs/>
            </w:rPr>
            <w:t>-</w:t>
          </w:r>
          <w:r w:rsidR="005A47FF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676F" w14:textId="77777777" w:rsidR="00713F3D" w:rsidRDefault="00713F3D">
      <w:r>
        <w:t>____________________</w:t>
      </w:r>
    </w:p>
  </w:footnote>
  <w:footnote w:type="continuationSeparator" w:id="0">
    <w:p w14:paraId="178E7C09" w14:textId="77777777" w:rsidR="00713F3D" w:rsidRDefault="0071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D0C2" w14:textId="77777777" w:rsidR="005761E1" w:rsidRDefault="00576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B567" w14:textId="77777777" w:rsidR="005761E1" w:rsidRDefault="00576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5A47FF" w:rsidRPr="00784011" w14:paraId="064E4940" w14:textId="77777777" w:rsidTr="009F4F03">
      <w:trPr>
        <w:trHeight w:val="1104"/>
        <w:jc w:val="center"/>
      </w:trPr>
      <w:tc>
        <w:tcPr>
          <w:tcW w:w="4390" w:type="dxa"/>
          <w:vAlign w:val="center"/>
        </w:tcPr>
        <w:p w14:paraId="6D1271EB" w14:textId="77777777" w:rsidR="005A47FF" w:rsidRPr="009621F8" w:rsidRDefault="005A47FF" w:rsidP="005A47FF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799E43D" wp14:editId="65D5F7E9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A934AF" w14:textId="77777777" w:rsidR="005A47FF" w:rsidRDefault="005A47FF" w:rsidP="005A47F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1572891" w14:textId="77777777" w:rsidR="005A47FF" w:rsidRDefault="005A47FF" w:rsidP="005A47F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BC1A6A" w14:textId="77777777" w:rsidR="005A47FF" w:rsidRPr="00784011" w:rsidRDefault="005A47FF" w:rsidP="005A47FF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3A13E37B" w:rsidR="00AD3606" w:rsidRPr="005A47FF" w:rsidRDefault="005A47FF" w:rsidP="005A47FF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49A4E" wp14:editId="4BF09B6B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3F93D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665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2F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2D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4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D0A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C4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E5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8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4D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65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5F302B"/>
    <w:multiLevelType w:val="hybridMultilevel"/>
    <w:tmpl w:val="4B3E0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9"/>
  </w:num>
  <w:num w:numId="2" w16cid:durableId="526060877">
    <w:abstractNumId w:val="7"/>
  </w:num>
  <w:num w:numId="3" w16cid:durableId="1517227191">
    <w:abstractNumId w:val="6"/>
  </w:num>
  <w:num w:numId="4" w16cid:durableId="2083940608">
    <w:abstractNumId w:val="5"/>
  </w:num>
  <w:num w:numId="5" w16cid:durableId="1440831355">
    <w:abstractNumId w:val="4"/>
  </w:num>
  <w:num w:numId="6" w16cid:durableId="1469274345">
    <w:abstractNumId w:val="8"/>
  </w:num>
  <w:num w:numId="7" w16cid:durableId="1595625436">
    <w:abstractNumId w:val="3"/>
  </w:num>
  <w:num w:numId="8" w16cid:durableId="1047339128">
    <w:abstractNumId w:val="2"/>
  </w:num>
  <w:num w:numId="9" w16cid:durableId="637880343">
    <w:abstractNumId w:val="1"/>
  </w:num>
  <w:num w:numId="10" w16cid:durableId="1781563013">
    <w:abstractNumId w:val="0"/>
  </w:num>
  <w:num w:numId="11" w16cid:durableId="1859080470">
    <w:abstractNumId w:val="8"/>
  </w:num>
  <w:num w:numId="12" w16cid:durableId="155414043">
    <w:abstractNumId w:val="3"/>
  </w:num>
  <w:num w:numId="13" w16cid:durableId="2041319012">
    <w:abstractNumId w:val="2"/>
  </w:num>
  <w:num w:numId="14" w16cid:durableId="954947632">
    <w:abstractNumId w:val="1"/>
  </w:num>
  <w:num w:numId="15" w16cid:durableId="1399134059">
    <w:abstractNumId w:val="0"/>
  </w:num>
  <w:num w:numId="16" w16cid:durableId="738600626">
    <w:abstractNumId w:val="8"/>
  </w:num>
  <w:num w:numId="17" w16cid:durableId="224611617">
    <w:abstractNumId w:val="3"/>
  </w:num>
  <w:num w:numId="18" w16cid:durableId="525951670">
    <w:abstractNumId w:val="2"/>
  </w:num>
  <w:num w:numId="19" w16cid:durableId="74590421">
    <w:abstractNumId w:val="1"/>
  </w:num>
  <w:num w:numId="20" w16cid:durableId="1917863451">
    <w:abstractNumId w:val="0"/>
  </w:num>
  <w:num w:numId="21" w16cid:durableId="1168716127">
    <w:abstractNumId w:val="8"/>
  </w:num>
  <w:num w:numId="22" w16cid:durableId="85929431">
    <w:abstractNumId w:val="3"/>
  </w:num>
  <w:num w:numId="23" w16cid:durableId="676469403">
    <w:abstractNumId w:val="2"/>
  </w:num>
  <w:num w:numId="24" w16cid:durableId="945383661">
    <w:abstractNumId w:val="1"/>
  </w:num>
  <w:num w:numId="25" w16cid:durableId="1134104765">
    <w:abstractNumId w:val="0"/>
  </w:num>
  <w:num w:numId="26" w16cid:durableId="1328559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7948"/>
    <w:rsid w:val="000210D4"/>
    <w:rsid w:val="0006007D"/>
    <w:rsid w:val="00063016"/>
    <w:rsid w:val="00066795"/>
    <w:rsid w:val="000745AB"/>
    <w:rsid w:val="00076AF6"/>
    <w:rsid w:val="00085CF2"/>
    <w:rsid w:val="000A1154"/>
    <w:rsid w:val="000A5F1E"/>
    <w:rsid w:val="000B1705"/>
    <w:rsid w:val="000D0034"/>
    <w:rsid w:val="000D75B2"/>
    <w:rsid w:val="000F104D"/>
    <w:rsid w:val="000F5DDB"/>
    <w:rsid w:val="000F6A9D"/>
    <w:rsid w:val="000F7289"/>
    <w:rsid w:val="000F7FCA"/>
    <w:rsid w:val="00104ACA"/>
    <w:rsid w:val="001121F5"/>
    <w:rsid w:val="0011568F"/>
    <w:rsid w:val="001400DC"/>
    <w:rsid w:val="00140CE1"/>
    <w:rsid w:val="00172FB7"/>
    <w:rsid w:val="0017539C"/>
    <w:rsid w:val="001758EC"/>
    <w:rsid w:val="00175AC2"/>
    <w:rsid w:val="0017609F"/>
    <w:rsid w:val="0019018D"/>
    <w:rsid w:val="001A3154"/>
    <w:rsid w:val="001A7D1D"/>
    <w:rsid w:val="001B51DD"/>
    <w:rsid w:val="001C628E"/>
    <w:rsid w:val="001E0F7B"/>
    <w:rsid w:val="001F5569"/>
    <w:rsid w:val="002119FD"/>
    <w:rsid w:val="002130E0"/>
    <w:rsid w:val="00221F46"/>
    <w:rsid w:val="00235FC4"/>
    <w:rsid w:val="00240B32"/>
    <w:rsid w:val="00264425"/>
    <w:rsid w:val="00265875"/>
    <w:rsid w:val="0027303B"/>
    <w:rsid w:val="00275E8F"/>
    <w:rsid w:val="00280689"/>
    <w:rsid w:val="0028109B"/>
    <w:rsid w:val="002A2188"/>
    <w:rsid w:val="002A2DA2"/>
    <w:rsid w:val="002B1F58"/>
    <w:rsid w:val="002B5C7F"/>
    <w:rsid w:val="002C1C7A"/>
    <w:rsid w:val="002C54E2"/>
    <w:rsid w:val="0030160F"/>
    <w:rsid w:val="003022E8"/>
    <w:rsid w:val="00320223"/>
    <w:rsid w:val="00322D0D"/>
    <w:rsid w:val="003457FB"/>
    <w:rsid w:val="00346896"/>
    <w:rsid w:val="00356410"/>
    <w:rsid w:val="003600B8"/>
    <w:rsid w:val="00361465"/>
    <w:rsid w:val="003877F5"/>
    <w:rsid w:val="0039031D"/>
    <w:rsid w:val="003936D3"/>
    <w:rsid w:val="003942D4"/>
    <w:rsid w:val="003958A8"/>
    <w:rsid w:val="003B29C2"/>
    <w:rsid w:val="003C2533"/>
    <w:rsid w:val="003D5A7F"/>
    <w:rsid w:val="003F2C4A"/>
    <w:rsid w:val="0040435A"/>
    <w:rsid w:val="0040719A"/>
    <w:rsid w:val="00416A24"/>
    <w:rsid w:val="00422981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A689F"/>
    <w:rsid w:val="004B25A1"/>
    <w:rsid w:val="004C0C1A"/>
    <w:rsid w:val="004D1851"/>
    <w:rsid w:val="004D599D"/>
    <w:rsid w:val="004E2EA5"/>
    <w:rsid w:val="004E3AEB"/>
    <w:rsid w:val="0050223C"/>
    <w:rsid w:val="005243FF"/>
    <w:rsid w:val="005448DF"/>
    <w:rsid w:val="00564FBC"/>
    <w:rsid w:val="00565382"/>
    <w:rsid w:val="005761E1"/>
    <w:rsid w:val="005800BC"/>
    <w:rsid w:val="00582442"/>
    <w:rsid w:val="005A47FF"/>
    <w:rsid w:val="005C6A42"/>
    <w:rsid w:val="005F3269"/>
    <w:rsid w:val="00612B4C"/>
    <w:rsid w:val="00623AE3"/>
    <w:rsid w:val="00630C4D"/>
    <w:rsid w:val="00644EC6"/>
    <w:rsid w:val="0064737F"/>
    <w:rsid w:val="006535F1"/>
    <w:rsid w:val="0065557D"/>
    <w:rsid w:val="00657101"/>
    <w:rsid w:val="00660D50"/>
    <w:rsid w:val="00662984"/>
    <w:rsid w:val="006716BB"/>
    <w:rsid w:val="00683744"/>
    <w:rsid w:val="006B1859"/>
    <w:rsid w:val="006B6680"/>
    <w:rsid w:val="006B6DCC"/>
    <w:rsid w:val="006B77F1"/>
    <w:rsid w:val="006C5ECF"/>
    <w:rsid w:val="006D5A93"/>
    <w:rsid w:val="006E19A8"/>
    <w:rsid w:val="006F34A8"/>
    <w:rsid w:val="00702DEF"/>
    <w:rsid w:val="00706861"/>
    <w:rsid w:val="00713F3D"/>
    <w:rsid w:val="00720D4F"/>
    <w:rsid w:val="00722551"/>
    <w:rsid w:val="00733898"/>
    <w:rsid w:val="00734D0B"/>
    <w:rsid w:val="0075051B"/>
    <w:rsid w:val="0077110E"/>
    <w:rsid w:val="00783697"/>
    <w:rsid w:val="00791B97"/>
    <w:rsid w:val="00793188"/>
    <w:rsid w:val="00794D34"/>
    <w:rsid w:val="007A3FCD"/>
    <w:rsid w:val="007B19CF"/>
    <w:rsid w:val="007D01AF"/>
    <w:rsid w:val="0080492B"/>
    <w:rsid w:val="00810DC9"/>
    <w:rsid w:val="00813E5E"/>
    <w:rsid w:val="0083581B"/>
    <w:rsid w:val="00845BBD"/>
    <w:rsid w:val="00863874"/>
    <w:rsid w:val="00864AFF"/>
    <w:rsid w:val="00865925"/>
    <w:rsid w:val="008B4A6A"/>
    <w:rsid w:val="008C7E27"/>
    <w:rsid w:val="008E3277"/>
    <w:rsid w:val="008F5744"/>
    <w:rsid w:val="008F7448"/>
    <w:rsid w:val="0090147A"/>
    <w:rsid w:val="009173EF"/>
    <w:rsid w:val="00932906"/>
    <w:rsid w:val="00961B0B"/>
    <w:rsid w:val="00962D33"/>
    <w:rsid w:val="0096453C"/>
    <w:rsid w:val="009836D5"/>
    <w:rsid w:val="009B38C3"/>
    <w:rsid w:val="009E17BD"/>
    <w:rsid w:val="009E485A"/>
    <w:rsid w:val="009F6CB3"/>
    <w:rsid w:val="00A04CEC"/>
    <w:rsid w:val="00A07996"/>
    <w:rsid w:val="00A23C7F"/>
    <w:rsid w:val="00A272DB"/>
    <w:rsid w:val="00A27F92"/>
    <w:rsid w:val="00A32257"/>
    <w:rsid w:val="00A36D20"/>
    <w:rsid w:val="00A514A4"/>
    <w:rsid w:val="00A537B9"/>
    <w:rsid w:val="00A55622"/>
    <w:rsid w:val="00A64A5B"/>
    <w:rsid w:val="00A73930"/>
    <w:rsid w:val="00A83502"/>
    <w:rsid w:val="00A875ED"/>
    <w:rsid w:val="00A94BAB"/>
    <w:rsid w:val="00AD15B3"/>
    <w:rsid w:val="00AD3606"/>
    <w:rsid w:val="00AD4A3D"/>
    <w:rsid w:val="00AD677D"/>
    <w:rsid w:val="00AE7CDE"/>
    <w:rsid w:val="00AF1F0C"/>
    <w:rsid w:val="00AF6E49"/>
    <w:rsid w:val="00B02F5C"/>
    <w:rsid w:val="00B04A67"/>
    <w:rsid w:val="00B0583C"/>
    <w:rsid w:val="00B20D25"/>
    <w:rsid w:val="00B21AC7"/>
    <w:rsid w:val="00B40A81"/>
    <w:rsid w:val="00B44910"/>
    <w:rsid w:val="00B44AE8"/>
    <w:rsid w:val="00B45C5C"/>
    <w:rsid w:val="00B557D3"/>
    <w:rsid w:val="00B676A3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D6C19"/>
    <w:rsid w:val="00BE01C6"/>
    <w:rsid w:val="00BE0B5F"/>
    <w:rsid w:val="00BE2640"/>
    <w:rsid w:val="00BE6A41"/>
    <w:rsid w:val="00BF1FDE"/>
    <w:rsid w:val="00BF45C4"/>
    <w:rsid w:val="00C01189"/>
    <w:rsid w:val="00C0458D"/>
    <w:rsid w:val="00C31EC2"/>
    <w:rsid w:val="00C374DE"/>
    <w:rsid w:val="00C47AD4"/>
    <w:rsid w:val="00C52D81"/>
    <w:rsid w:val="00C55198"/>
    <w:rsid w:val="00C6520B"/>
    <w:rsid w:val="00C75800"/>
    <w:rsid w:val="00CA30CC"/>
    <w:rsid w:val="00CA6393"/>
    <w:rsid w:val="00CA7995"/>
    <w:rsid w:val="00CB18FF"/>
    <w:rsid w:val="00CB56B7"/>
    <w:rsid w:val="00CD0C08"/>
    <w:rsid w:val="00CD0C73"/>
    <w:rsid w:val="00CE03FB"/>
    <w:rsid w:val="00CE433C"/>
    <w:rsid w:val="00CE4F48"/>
    <w:rsid w:val="00CF0161"/>
    <w:rsid w:val="00CF33F3"/>
    <w:rsid w:val="00CF4A2B"/>
    <w:rsid w:val="00D020F8"/>
    <w:rsid w:val="00D024CA"/>
    <w:rsid w:val="00D06183"/>
    <w:rsid w:val="00D22C42"/>
    <w:rsid w:val="00D618B0"/>
    <w:rsid w:val="00D618CB"/>
    <w:rsid w:val="00D65041"/>
    <w:rsid w:val="00D702E5"/>
    <w:rsid w:val="00D71435"/>
    <w:rsid w:val="00DB1936"/>
    <w:rsid w:val="00DB384B"/>
    <w:rsid w:val="00DD11ED"/>
    <w:rsid w:val="00DE460B"/>
    <w:rsid w:val="00DF0189"/>
    <w:rsid w:val="00DF1E68"/>
    <w:rsid w:val="00DF26C9"/>
    <w:rsid w:val="00E06FD5"/>
    <w:rsid w:val="00E10E80"/>
    <w:rsid w:val="00E124F0"/>
    <w:rsid w:val="00E214A6"/>
    <w:rsid w:val="00E227F3"/>
    <w:rsid w:val="00E40872"/>
    <w:rsid w:val="00E545C6"/>
    <w:rsid w:val="00E60754"/>
    <w:rsid w:val="00E60F04"/>
    <w:rsid w:val="00E65B24"/>
    <w:rsid w:val="00E854E4"/>
    <w:rsid w:val="00E86DBF"/>
    <w:rsid w:val="00E969AF"/>
    <w:rsid w:val="00EB0D6F"/>
    <w:rsid w:val="00EB2232"/>
    <w:rsid w:val="00EB4DCD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53ADA"/>
    <w:rsid w:val="00F632C0"/>
    <w:rsid w:val="00F641E1"/>
    <w:rsid w:val="00F94A63"/>
    <w:rsid w:val="00FA1C28"/>
    <w:rsid w:val="00FA5BA6"/>
    <w:rsid w:val="00FB1279"/>
    <w:rsid w:val="00FB6B76"/>
    <w:rsid w:val="00FB7596"/>
    <w:rsid w:val="00FE4077"/>
    <w:rsid w:val="00FE4A83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DecNo">
    <w:name w:val="Dec_No"/>
    <w:basedOn w:val="ResNo"/>
    <w:rsid w:val="00EB4DCD"/>
  </w:style>
  <w:style w:type="paragraph" w:customStyle="1" w:styleId="Dectitle">
    <w:name w:val="Dec_title"/>
    <w:basedOn w:val="Restitle"/>
    <w:rsid w:val="00EB4DCD"/>
  </w:style>
  <w:style w:type="paragraph" w:customStyle="1" w:styleId="Normall">
    <w:name w:val="Normall"/>
    <w:basedOn w:val="Normal"/>
    <w:rsid w:val="00A23C7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-CIR-0277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F2AC-2255-4DBF-9278-6619577B4509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737</Words>
  <Characters>243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Radiocommunication Advisory Group on Council-related matters</vt:lpstr>
    </vt:vector>
  </TitlesOfParts>
  <Manager>General Secretariat</Manager>
  <Company>International Telecommunication Union (ITU)</Company>
  <LinksUpToDate>false</LinksUpToDate>
  <CharactersWithSpaces>975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Radiocommunication Advisory Group on Council-related matters</dc:title>
  <dc:subject>ITU Council 2025</dc:subject>
  <cp:keywords>C25; C2025; Council 2025; ITU160</cp:keywords>
  <dc:description/>
  <cp:lastPrinted>2000-07-18T13:30:00Z</cp:lastPrinted>
  <dcterms:created xsi:type="dcterms:W3CDTF">2025-06-04T10:50:00Z</dcterms:created>
  <dcterms:modified xsi:type="dcterms:W3CDTF">2025-06-04T12:03:00Z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