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46A199A6">
        <w:trPr>
          <w:cantSplit/>
          <w:trHeight w:val="23"/>
        </w:trPr>
        <w:tc>
          <w:tcPr>
            <w:tcW w:w="3969" w:type="dxa"/>
            <w:vMerge w:val="restart"/>
            <w:tcMar>
              <w:left w:w="0" w:type="dxa"/>
            </w:tcMar>
          </w:tcPr>
          <w:p w14:paraId="7147B863" w14:textId="3A20242D"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735CF1">
              <w:rPr>
                <w:b/>
              </w:rPr>
              <w:t>PL 3</w:t>
            </w:r>
          </w:p>
        </w:tc>
        <w:tc>
          <w:tcPr>
            <w:tcW w:w="5245" w:type="dxa"/>
          </w:tcPr>
          <w:p w14:paraId="6779937E" w14:textId="769AE24B"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735CF1">
              <w:rPr>
                <w:b/>
              </w:rPr>
              <w:t>58</w:t>
            </w:r>
            <w:r w:rsidRPr="00C0458D">
              <w:rPr>
                <w:b/>
              </w:rPr>
              <w:t>-E</w:t>
            </w:r>
          </w:p>
        </w:tc>
      </w:tr>
      <w:tr w:rsidR="00AD3606" w:rsidRPr="00C0458D" w14:paraId="3E3F9DA5" w14:textId="77777777" w:rsidTr="46A199A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5761AD3A" w:rsidR="00AD3606" w:rsidRPr="00C0458D" w:rsidRDefault="00735CF1" w:rsidP="00AD3606">
            <w:pPr>
              <w:tabs>
                <w:tab w:val="left" w:pos="851"/>
              </w:tabs>
              <w:spacing w:before="0"/>
              <w:jc w:val="right"/>
              <w:rPr>
                <w:b/>
              </w:rPr>
            </w:pPr>
            <w:r>
              <w:rPr>
                <w:b/>
              </w:rPr>
              <w:t>1</w:t>
            </w:r>
            <w:r w:rsidR="000308EC">
              <w:rPr>
                <w:b/>
              </w:rPr>
              <w:t>6</w:t>
            </w:r>
            <w:r>
              <w:rPr>
                <w:b/>
              </w:rPr>
              <w:t xml:space="preserve"> May 2025</w:t>
            </w:r>
          </w:p>
        </w:tc>
      </w:tr>
      <w:tr w:rsidR="00AD3606" w:rsidRPr="00C0458D" w14:paraId="75730376" w14:textId="77777777" w:rsidTr="46A199A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46A199A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46A199A6">
        <w:trPr>
          <w:cantSplit/>
        </w:trPr>
        <w:tc>
          <w:tcPr>
            <w:tcW w:w="9214" w:type="dxa"/>
            <w:gridSpan w:val="2"/>
            <w:tcMar>
              <w:left w:w="0" w:type="dxa"/>
            </w:tcMar>
          </w:tcPr>
          <w:p w14:paraId="2016C4A0" w14:textId="77777777" w:rsidR="00AD3606" w:rsidRPr="000F7289" w:rsidRDefault="00AD3606" w:rsidP="000F7289">
            <w:pPr>
              <w:pStyle w:val="Source"/>
              <w:framePr w:hSpace="0" w:wrap="auto" w:vAnchor="margin" w:hAnchor="text" w:xAlign="left" w:yAlign="inline"/>
            </w:pPr>
            <w:bookmarkStart w:id="8" w:name="dsource" w:colFirst="0" w:colLast="0"/>
            <w:bookmarkEnd w:id="7"/>
            <w:r w:rsidRPr="000F7289">
              <w:t>Report by the Secretary-General</w:t>
            </w:r>
          </w:p>
        </w:tc>
      </w:tr>
      <w:tr w:rsidR="00AD3606" w:rsidRPr="00C0458D" w14:paraId="3A759762" w14:textId="77777777" w:rsidTr="46A199A6">
        <w:trPr>
          <w:cantSplit/>
        </w:trPr>
        <w:tc>
          <w:tcPr>
            <w:tcW w:w="9214" w:type="dxa"/>
            <w:gridSpan w:val="2"/>
            <w:tcMar>
              <w:left w:w="0" w:type="dxa"/>
            </w:tcMar>
          </w:tcPr>
          <w:p w14:paraId="2A2DCF47" w14:textId="0B4784AD" w:rsidR="00AD3606" w:rsidRPr="00F62643" w:rsidRDefault="00735CF1" w:rsidP="00F62643">
            <w:pPr>
              <w:pStyle w:val="Subtitle"/>
              <w:framePr w:hSpace="0" w:wrap="auto" w:xAlign="left" w:yAlign="inline"/>
              <w:rPr>
                <w:lang w:val="en-US"/>
              </w:rPr>
            </w:pPr>
            <w:bookmarkStart w:id="9" w:name="dtitle1" w:colFirst="0" w:colLast="0"/>
            <w:bookmarkEnd w:id="8"/>
            <w:r w:rsidRPr="00F62643">
              <w:rPr>
                <w:lang w:val="en-US"/>
              </w:rPr>
              <w:t>REPORT ON THE PROPOSED VENUES FOR RA-27, WRC-27 AND CPM31-1</w:t>
            </w:r>
          </w:p>
        </w:tc>
      </w:tr>
      <w:tr w:rsidR="00AD3606" w:rsidRPr="00C0458D" w14:paraId="72B25568" w14:textId="77777777" w:rsidTr="46A199A6">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316744B7" w14:textId="223CBD52" w:rsidR="00E06399" w:rsidRPr="00D36BE8" w:rsidRDefault="00735CF1" w:rsidP="00A2082F">
            <w:pPr>
              <w:jc w:val="both"/>
              <w:rPr>
                <w:lang w:val="en-US"/>
              </w:rPr>
            </w:pPr>
            <w:r>
              <w:t>ITU Council-24</w:t>
            </w:r>
            <w:r w:rsidR="00E06399">
              <w:rPr>
                <w:lang w:val="en-US"/>
              </w:rPr>
              <w:t xml:space="preserve"> </w:t>
            </w:r>
            <w:r w:rsidR="00F76B1E">
              <w:rPr>
                <w:lang w:val="en-US"/>
              </w:rPr>
              <w:t xml:space="preserve">noted the </w:t>
            </w:r>
            <w:r w:rsidR="00462487">
              <w:rPr>
                <w:lang w:val="en-US"/>
              </w:rPr>
              <w:t xml:space="preserve">expression of interest by the </w:t>
            </w:r>
            <w:r w:rsidR="005A3DCE" w:rsidRPr="009A4299">
              <w:rPr>
                <w:rFonts w:asciiTheme="minorHAnsi" w:eastAsiaTheme="minorHAnsi" w:hAnsiTheme="minorHAnsi" w:cstheme="minorBidi"/>
                <w:szCs w:val="24"/>
              </w:rPr>
              <w:t>Administration</w:t>
            </w:r>
            <w:r w:rsidR="00533B4A">
              <w:rPr>
                <w:rFonts w:asciiTheme="minorHAnsi" w:eastAsiaTheme="minorHAnsi" w:hAnsiTheme="minorHAnsi" w:cstheme="minorBidi"/>
                <w:szCs w:val="24"/>
              </w:rPr>
              <w:t>s</w:t>
            </w:r>
            <w:r w:rsidR="005A3DCE" w:rsidRPr="009A4299">
              <w:rPr>
                <w:rFonts w:asciiTheme="minorHAnsi" w:eastAsiaTheme="minorHAnsi" w:hAnsiTheme="minorHAnsi" w:cstheme="minorBidi"/>
                <w:szCs w:val="24"/>
              </w:rPr>
              <w:t xml:space="preserve"> of </w:t>
            </w:r>
            <w:r w:rsidR="00F77D68" w:rsidRPr="009A4299">
              <w:rPr>
                <w:rFonts w:asciiTheme="minorHAnsi" w:eastAsiaTheme="minorHAnsi" w:hAnsiTheme="minorHAnsi" w:cstheme="minorBidi"/>
                <w:szCs w:val="24"/>
              </w:rPr>
              <w:t>Rwanda</w:t>
            </w:r>
            <w:r w:rsidR="00F77D68">
              <w:rPr>
                <w:lang w:val="en-US"/>
              </w:rPr>
              <w:t xml:space="preserve"> </w:t>
            </w:r>
            <w:r w:rsidR="00F77D68" w:rsidRPr="009A4299">
              <w:rPr>
                <w:rFonts w:asciiTheme="minorHAnsi" w:eastAsiaTheme="minorHAnsi" w:hAnsiTheme="minorHAnsi" w:cstheme="minorBidi"/>
                <w:szCs w:val="24"/>
              </w:rPr>
              <w:t>and</w:t>
            </w:r>
            <w:r w:rsidR="00533B4A">
              <w:rPr>
                <w:rFonts w:asciiTheme="minorHAnsi" w:eastAsiaTheme="minorHAnsi" w:hAnsiTheme="minorHAnsi" w:cstheme="minorBidi"/>
                <w:szCs w:val="24"/>
              </w:rPr>
              <w:t xml:space="preserve"> </w:t>
            </w:r>
            <w:r w:rsidR="00533B4A" w:rsidRPr="009A4299">
              <w:rPr>
                <w:rFonts w:asciiTheme="minorHAnsi" w:eastAsiaTheme="minorHAnsi" w:hAnsiTheme="minorHAnsi" w:cstheme="minorBidi"/>
                <w:szCs w:val="24"/>
              </w:rPr>
              <w:t>China to host the RA-27, WRC-27 and CPM31-1</w:t>
            </w:r>
            <w:r w:rsidR="00533B4A">
              <w:rPr>
                <w:rFonts w:asciiTheme="minorHAnsi" w:eastAsiaTheme="minorHAnsi" w:hAnsiTheme="minorHAnsi" w:cstheme="minorBidi"/>
                <w:szCs w:val="24"/>
              </w:rPr>
              <w:t xml:space="preserve">. </w:t>
            </w:r>
            <w:r w:rsidR="00F77D68">
              <w:rPr>
                <w:rFonts w:asciiTheme="minorHAnsi" w:eastAsiaTheme="minorHAnsi" w:hAnsiTheme="minorHAnsi" w:cstheme="minorBidi"/>
                <w:szCs w:val="24"/>
              </w:rPr>
              <w:t xml:space="preserve">The </w:t>
            </w:r>
            <w:r>
              <w:rPr>
                <w:lang w:val="en-US"/>
              </w:rPr>
              <w:t>Radiocommunication Bureau (BR)</w:t>
            </w:r>
            <w:r w:rsidR="00E06399">
              <w:rPr>
                <w:lang w:val="en-US"/>
              </w:rPr>
              <w:t xml:space="preserve"> </w:t>
            </w:r>
            <w:r w:rsidR="00A40F32">
              <w:rPr>
                <w:lang w:val="en-US"/>
              </w:rPr>
              <w:t xml:space="preserve">communicated to these Administrations the ITU requirements for hosting </w:t>
            </w:r>
            <w:r w:rsidR="00D36BE8">
              <w:rPr>
                <w:lang w:val="en-US"/>
              </w:rPr>
              <w:t xml:space="preserve">these events. The BR </w:t>
            </w:r>
            <w:r w:rsidR="00E06399">
              <w:rPr>
                <w:lang w:val="en-US"/>
              </w:rPr>
              <w:t>Director visit</w:t>
            </w:r>
            <w:r w:rsidR="00F77D68">
              <w:rPr>
                <w:lang w:val="en-US"/>
              </w:rPr>
              <w:t xml:space="preserve">ed </w:t>
            </w:r>
            <w:r w:rsidR="00E06399">
              <w:rPr>
                <w:lang w:val="en-US"/>
              </w:rPr>
              <w:t>the proposed venues in Kigali (Rwanda) and Shanghai (China)</w:t>
            </w:r>
            <w:r w:rsidR="00AE31AD">
              <w:rPr>
                <w:lang w:val="en-US"/>
              </w:rPr>
              <w:t>.</w:t>
            </w:r>
          </w:p>
          <w:p w14:paraId="67D070EA" w14:textId="1E277741" w:rsidR="00AD3606" w:rsidRPr="00C0458D" w:rsidRDefault="000247B1" w:rsidP="00A2082F">
            <w:pPr>
              <w:jc w:val="both"/>
            </w:pPr>
            <w:r>
              <w:t xml:space="preserve">This document </w:t>
            </w:r>
            <w:r w:rsidR="00AE31AD">
              <w:t xml:space="preserve">reports back on the </w:t>
            </w:r>
            <w:r w:rsidR="00AE31AD">
              <w:rPr>
                <w:lang w:val="en-US"/>
              </w:rPr>
              <w:t>assessment of</w:t>
            </w:r>
            <w:r w:rsidR="00F86DDA">
              <w:rPr>
                <w:lang w:val="en-US"/>
              </w:rPr>
              <w:t xml:space="preserve"> </w:t>
            </w:r>
            <w:r w:rsidR="003F4347" w:rsidRPr="00D27D17">
              <w:rPr>
                <w:lang w:val="en-US"/>
              </w:rPr>
              <w:t xml:space="preserve">the proposed venues with </w:t>
            </w:r>
            <w:r w:rsidR="00DE0ADC">
              <w:rPr>
                <w:lang w:val="en-US"/>
              </w:rPr>
              <w:t>respect</w:t>
            </w:r>
            <w:r w:rsidR="00F86DDA">
              <w:rPr>
                <w:lang w:val="en-US"/>
              </w:rPr>
              <w:t xml:space="preserve"> to the </w:t>
            </w:r>
            <w:r w:rsidR="00FE0D0C">
              <w:rPr>
                <w:lang w:val="en-US"/>
              </w:rPr>
              <w:t xml:space="preserve">ITU </w:t>
            </w:r>
            <w:r w:rsidR="003F4347" w:rsidRPr="00D27D17">
              <w:rPr>
                <w:lang w:val="en-US"/>
              </w:rPr>
              <w:t xml:space="preserve">basic requirements necessary to host </w:t>
            </w:r>
            <w:r w:rsidR="00737B59">
              <w:rPr>
                <w:lang w:val="en-US"/>
              </w:rPr>
              <w:t>WRC-27 and its associated events</w:t>
            </w:r>
            <w:r w:rsidR="003F4347" w:rsidRPr="00D27D17">
              <w:rPr>
                <w:lang w:val="en-US"/>
              </w:rPr>
              <w:t>.</w:t>
            </w:r>
          </w:p>
          <w:p w14:paraId="4288AA6F" w14:textId="77777777" w:rsidR="00AD3606" w:rsidRDefault="00AD3606" w:rsidP="00A2082F">
            <w:pPr>
              <w:spacing w:before="160"/>
              <w:jc w:val="both"/>
              <w:rPr>
                <w:b/>
                <w:bCs/>
                <w:sz w:val="26"/>
                <w:szCs w:val="26"/>
              </w:rPr>
            </w:pPr>
            <w:r w:rsidRPr="00C0458D">
              <w:rPr>
                <w:b/>
                <w:bCs/>
                <w:sz w:val="26"/>
                <w:szCs w:val="26"/>
              </w:rPr>
              <w:t>Action required</w:t>
            </w:r>
            <w:r w:rsidR="00F16BAB" w:rsidRPr="00C0458D">
              <w:rPr>
                <w:b/>
                <w:bCs/>
                <w:sz w:val="26"/>
                <w:szCs w:val="26"/>
              </w:rPr>
              <w:t xml:space="preserve"> by the Council</w:t>
            </w:r>
          </w:p>
          <w:p w14:paraId="0FFF2D9B" w14:textId="4E3E0C3F" w:rsidR="00722551" w:rsidRDefault="0003048C" w:rsidP="00A2082F">
            <w:pPr>
              <w:jc w:val="both"/>
            </w:pPr>
            <w:r>
              <w:t xml:space="preserve">The Council is invited </w:t>
            </w:r>
            <w:r w:rsidRPr="00563325">
              <w:t xml:space="preserve">to </w:t>
            </w:r>
            <w:r w:rsidRPr="46A199A6">
              <w:rPr>
                <w:b/>
                <w:bCs/>
              </w:rPr>
              <w:t>note</w:t>
            </w:r>
            <w:r>
              <w:t xml:space="preserve"> this report</w:t>
            </w:r>
            <w:r w:rsidR="008E4533">
              <w:t xml:space="preserve">, </w:t>
            </w:r>
            <w:r w:rsidR="008E4533" w:rsidRPr="46A199A6">
              <w:rPr>
                <w:b/>
                <w:bCs/>
              </w:rPr>
              <w:t>decide</w:t>
            </w:r>
            <w:r w:rsidR="008E4533">
              <w:t xml:space="preserve"> </w:t>
            </w:r>
            <w:r w:rsidR="008E4533" w:rsidRPr="46A199A6">
              <w:rPr>
                <w:lang w:val="en-US"/>
              </w:rPr>
              <w:t>on the venue and dates of the WRC-27 and associated events,</w:t>
            </w:r>
            <w:r w:rsidR="008E4533">
              <w:t xml:space="preserve"> </w:t>
            </w:r>
            <w:r w:rsidR="00C861EB">
              <w:t xml:space="preserve">and </w:t>
            </w:r>
            <w:r w:rsidR="00FE23DE" w:rsidRPr="46A199A6">
              <w:rPr>
                <w:b/>
                <w:bCs/>
                <w:lang w:val="en-US"/>
              </w:rPr>
              <w:t>approve</w:t>
            </w:r>
            <w:r w:rsidR="00C861EB" w:rsidRPr="46A199A6">
              <w:rPr>
                <w:b/>
                <w:bCs/>
                <w:lang w:val="en-US"/>
              </w:rPr>
              <w:t xml:space="preserve"> </w:t>
            </w:r>
            <w:r w:rsidR="00E5352F" w:rsidRPr="46A199A6">
              <w:rPr>
                <w:lang w:val="en-US"/>
              </w:rPr>
              <w:t xml:space="preserve">the draft decision </w:t>
            </w:r>
            <w:hyperlink w:anchor="Annex" w:history="1">
              <w:r w:rsidR="2562E5CC" w:rsidRPr="00563325">
                <w:rPr>
                  <w:rStyle w:val="Hyperlink"/>
                  <w:lang w:val="en-US"/>
                </w:rPr>
                <w:t>annexed</w:t>
              </w:r>
            </w:hyperlink>
            <w:r w:rsidR="0018287C" w:rsidRPr="46A199A6">
              <w:rPr>
                <w:lang w:val="en-US"/>
              </w:rPr>
              <w:t xml:space="preserve"> </w:t>
            </w:r>
            <w:r w:rsidR="00537F34" w:rsidRPr="46A199A6">
              <w:rPr>
                <w:lang w:val="en-US"/>
              </w:rPr>
              <w:t>to this document</w:t>
            </w:r>
            <w:r>
              <w:t>.</w:t>
            </w:r>
          </w:p>
          <w:p w14:paraId="4B855F83" w14:textId="7E0F2BB7" w:rsidR="00722551" w:rsidRDefault="00722551" w:rsidP="00A2082F">
            <w:pPr>
              <w:spacing w:before="160"/>
              <w:jc w:val="both"/>
              <w:rPr>
                <w:b/>
                <w:bCs/>
                <w:sz w:val="26"/>
                <w:szCs w:val="26"/>
              </w:rPr>
            </w:pPr>
            <w:r>
              <w:rPr>
                <w:b/>
                <w:bCs/>
                <w:sz w:val="26"/>
                <w:szCs w:val="26"/>
              </w:rPr>
              <w:t>Relevant link</w:t>
            </w:r>
            <w:r w:rsidR="004B25A1">
              <w:rPr>
                <w:b/>
                <w:bCs/>
                <w:sz w:val="26"/>
                <w:szCs w:val="26"/>
              </w:rPr>
              <w:t>(s)</w:t>
            </w:r>
            <w:r>
              <w:rPr>
                <w:b/>
                <w:bCs/>
                <w:sz w:val="26"/>
                <w:szCs w:val="26"/>
              </w:rPr>
              <w:t xml:space="preserve"> with the Strategic Plan</w:t>
            </w:r>
          </w:p>
          <w:p w14:paraId="3F7CA66D" w14:textId="41983A48" w:rsidR="00E31041" w:rsidRPr="006B14C7" w:rsidRDefault="00B9527A" w:rsidP="00A2082F">
            <w:pPr>
              <w:jc w:val="both"/>
            </w:pPr>
            <w:r>
              <w:t xml:space="preserve">Thematic Priority </w:t>
            </w:r>
            <w:r w:rsidR="00ED018E">
              <w:t>of Spectrum use for space and terrestrial services</w:t>
            </w:r>
            <w:r w:rsidR="00735CF1">
              <w:t>; development and application of the ITU Administrative Regulations; allocation and management of resources, convening platforms</w:t>
            </w:r>
            <w:r w:rsidR="00ED018E">
              <w:t xml:space="preserve">. </w:t>
            </w:r>
          </w:p>
          <w:p w14:paraId="6A77059B" w14:textId="270D1307" w:rsidR="00722551" w:rsidRDefault="00722551" w:rsidP="00A2082F">
            <w:pPr>
              <w:spacing w:before="160"/>
              <w:jc w:val="both"/>
              <w:rPr>
                <w:b/>
                <w:bCs/>
                <w:sz w:val="26"/>
                <w:szCs w:val="26"/>
              </w:rPr>
            </w:pPr>
            <w:r>
              <w:rPr>
                <w:b/>
                <w:bCs/>
                <w:sz w:val="26"/>
                <w:szCs w:val="26"/>
              </w:rPr>
              <w:t>Financial implications</w:t>
            </w:r>
          </w:p>
          <w:p w14:paraId="3609BFD9" w14:textId="17432A37" w:rsidR="00FD275B" w:rsidRDefault="00FD275B" w:rsidP="00A2082F">
            <w:pPr>
              <w:jc w:val="both"/>
              <w:rPr>
                <w:lang w:val="en-US"/>
              </w:rPr>
            </w:pPr>
            <w:r w:rsidRPr="68641FFE">
              <w:rPr>
                <w:lang w:val="en-US"/>
              </w:rPr>
              <w:t xml:space="preserve">ITU to confirm or release the CICG booking for WRC-27 and its associated event 18 months before the starting date of the events. If the booking is not released before </w:t>
            </w:r>
            <w:r w:rsidR="002C16A5" w:rsidRPr="68641FFE">
              <w:rPr>
                <w:lang w:val="en-US"/>
              </w:rPr>
              <w:t>the</w:t>
            </w:r>
            <w:r w:rsidRPr="68641FFE">
              <w:rPr>
                <w:lang w:val="en-US"/>
              </w:rPr>
              <w:t xml:space="preserve"> deadline and the CICG is ultimately not used, ITU will incur increasing penalties (depending on the actual date of cancellation) up to a maximum of CHF</w:t>
            </w:r>
            <w:r w:rsidR="00845778" w:rsidRPr="68641FFE">
              <w:rPr>
                <w:lang w:val="en-US"/>
              </w:rPr>
              <w:t> </w:t>
            </w:r>
            <w:proofErr w:type="gramStart"/>
            <w:r>
              <w:t>1</w:t>
            </w:r>
            <w:r w:rsidR="00845778">
              <w:t> </w:t>
            </w:r>
            <w:r>
              <w:t>789</w:t>
            </w:r>
            <w:r w:rsidR="00845778">
              <w:t> </w:t>
            </w:r>
            <w:r>
              <w:t>650</w:t>
            </w:r>
            <w:proofErr w:type="gramEnd"/>
            <w:r>
              <w:t xml:space="preserve"> corresponding to the total cost of </w:t>
            </w:r>
            <w:r w:rsidR="13226D99">
              <w:t>rental</w:t>
            </w:r>
            <w:r w:rsidRPr="68641FFE">
              <w:rPr>
                <w:lang w:val="en-US"/>
              </w:rPr>
              <w:t>.</w:t>
            </w:r>
          </w:p>
          <w:p w14:paraId="08939791" w14:textId="77777777" w:rsidR="00C0458D" w:rsidRDefault="00C0458D">
            <w:r>
              <w:t>_______________</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7089D4B7" w14:textId="39E80A7C" w:rsidR="00B76E95" w:rsidRPr="00845778" w:rsidRDefault="00845778" w:rsidP="00AA672C">
            <w:pPr>
              <w:spacing w:after="160"/>
              <w:rPr>
                <w:i/>
                <w:iCs/>
                <w:sz w:val="22"/>
                <w:szCs w:val="22"/>
              </w:rPr>
            </w:pPr>
            <w:hyperlink r:id="rId11" w:history="1">
              <w:r>
                <w:rPr>
                  <w:rStyle w:val="Hyperlink"/>
                  <w:i/>
                  <w:iCs/>
                  <w:sz w:val="22"/>
                  <w:szCs w:val="22"/>
                </w:rPr>
                <w:t xml:space="preserve">Nos. </w:t>
              </w:r>
              <w:r w:rsidR="003E1008" w:rsidRPr="00845778">
                <w:rPr>
                  <w:rStyle w:val="Hyperlink"/>
                  <w:i/>
                  <w:iCs/>
                  <w:sz w:val="22"/>
                  <w:szCs w:val="22"/>
                </w:rPr>
                <w:t>42, 47, 7</w:t>
              </w:r>
              <w:r>
                <w:rPr>
                  <w:rStyle w:val="Hyperlink"/>
                  <w:i/>
                  <w:iCs/>
                  <w:sz w:val="22"/>
                  <w:szCs w:val="22"/>
                </w:rPr>
                <w:t>5 of the Convention</w:t>
              </w:r>
            </w:hyperlink>
            <w:r w:rsidR="003E1008" w:rsidRPr="00845778">
              <w:rPr>
                <w:i/>
                <w:iCs/>
                <w:sz w:val="22"/>
                <w:szCs w:val="22"/>
              </w:rPr>
              <w:t>;</w:t>
            </w:r>
            <w:r w:rsidR="00880BC4" w:rsidRPr="00845778">
              <w:rPr>
                <w:i/>
                <w:iCs/>
                <w:sz w:val="22"/>
                <w:szCs w:val="22"/>
              </w:rPr>
              <w:t xml:space="preserve"> </w:t>
            </w:r>
            <w:hyperlink r:id="rId12" w:history="1">
              <w:r w:rsidR="00880BC4" w:rsidRPr="00845778">
                <w:rPr>
                  <w:rStyle w:val="Hyperlink"/>
                  <w:i/>
                  <w:iCs/>
                  <w:sz w:val="22"/>
                  <w:szCs w:val="22"/>
                </w:rPr>
                <w:t>Resolution 813 (WRC-23)</w:t>
              </w:r>
            </w:hyperlink>
            <w:r w:rsidRPr="00845778">
              <w:rPr>
                <w:i/>
                <w:iCs/>
                <w:sz w:val="22"/>
                <w:szCs w:val="22"/>
              </w:rPr>
              <w:t xml:space="preserve">; </w:t>
            </w:r>
            <w:r w:rsidR="00AA672C">
              <w:rPr>
                <w:i/>
                <w:iCs/>
                <w:sz w:val="22"/>
                <w:szCs w:val="22"/>
              </w:rPr>
              <w:t xml:space="preserve">Circular letter </w:t>
            </w:r>
            <w:hyperlink r:id="rId13" w:history="1">
              <w:r w:rsidR="00AA672C" w:rsidRPr="00AA672C">
                <w:rPr>
                  <w:rStyle w:val="Hyperlink"/>
                  <w:i/>
                  <w:iCs/>
                  <w:sz w:val="22"/>
                  <w:szCs w:val="22"/>
                  <w:lang w:val="en-US"/>
                </w:rPr>
                <w:t>CL 24/49</w:t>
              </w:r>
            </w:hyperlink>
            <w:r w:rsidR="00AA672C">
              <w:rPr>
                <w:i/>
                <w:iCs/>
                <w:sz w:val="22"/>
                <w:szCs w:val="22"/>
              </w:rPr>
              <w:t xml:space="preserve">; </w:t>
            </w:r>
            <w:r w:rsidR="00AA672C" w:rsidRPr="00845778">
              <w:rPr>
                <w:i/>
                <w:iCs/>
                <w:sz w:val="22"/>
                <w:szCs w:val="22"/>
              </w:rPr>
              <w:t xml:space="preserve">Council Document </w:t>
            </w:r>
            <w:hyperlink r:id="rId14" w:history="1">
              <w:r w:rsidR="00AA672C" w:rsidRPr="00845778">
                <w:rPr>
                  <w:rStyle w:val="Hyperlink"/>
                  <w:i/>
                  <w:iCs/>
                  <w:sz w:val="22"/>
                  <w:szCs w:val="22"/>
                </w:rPr>
                <w:t>C24/64</w:t>
              </w:r>
            </w:hyperlink>
            <w:r w:rsidR="00AA672C" w:rsidRPr="00845778">
              <w:rPr>
                <w:i/>
                <w:iCs/>
                <w:sz w:val="22"/>
                <w:szCs w:val="22"/>
              </w:rPr>
              <w:t>;</w:t>
            </w:r>
            <w:r w:rsidR="00AA672C">
              <w:rPr>
                <w:i/>
                <w:iCs/>
                <w:sz w:val="22"/>
                <w:szCs w:val="22"/>
              </w:rPr>
              <w:t xml:space="preserve"> </w:t>
            </w:r>
            <w:hyperlink r:id="rId15" w:history="1">
              <w:r w:rsidR="00AA672C" w:rsidRPr="00AA672C">
                <w:rPr>
                  <w:rStyle w:val="Hyperlink"/>
                  <w:i/>
                  <w:iCs/>
                  <w:sz w:val="22"/>
                  <w:szCs w:val="22"/>
                </w:rPr>
                <w:t>Council Resolution 1422 (C24</w:t>
              </w:r>
            </w:hyperlink>
            <w:r w:rsidR="00AA672C">
              <w:rPr>
                <w:i/>
                <w:iCs/>
                <w:sz w:val="22"/>
                <w:szCs w:val="22"/>
              </w:rPr>
              <w:t>)</w:t>
            </w:r>
          </w:p>
        </w:tc>
      </w:tr>
    </w:tbl>
    <w:p w14:paraId="3E836A6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457141AC" w14:textId="731280D5" w:rsidR="00141F16" w:rsidRPr="008E257F" w:rsidRDefault="00E4574E" w:rsidP="008D6FB8">
      <w:pPr>
        <w:pStyle w:val="Heading1"/>
        <w:numPr>
          <w:ilvl w:val="0"/>
          <w:numId w:val="2"/>
        </w:numPr>
        <w:tabs>
          <w:tab w:val="clear" w:pos="567"/>
          <w:tab w:val="clear" w:pos="1134"/>
          <w:tab w:val="clear" w:pos="1701"/>
          <w:tab w:val="clear" w:pos="2268"/>
          <w:tab w:val="clear" w:pos="2835"/>
        </w:tabs>
        <w:spacing w:before="120" w:after="120"/>
        <w:ind w:left="0" w:firstLine="0"/>
        <w:jc w:val="both"/>
        <w:rPr>
          <w:lang w:val="en-US"/>
        </w:rPr>
      </w:pPr>
      <w:r>
        <w:rPr>
          <w:lang w:val="en-US"/>
        </w:rPr>
        <w:lastRenderedPageBreak/>
        <w:t>Background</w:t>
      </w:r>
    </w:p>
    <w:p w14:paraId="702DD9F6" w14:textId="18B237DF" w:rsidR="002D4EC3" w:rsidRDefault="002D4EC3" w:rsidP="008D6FB8">
      <w:pPr>
        <w:tabs>
          <w:tab w:val="clear" w:pos="567"/>
          <w:tab w:val="clear" w:pos="1134"/>
          <w:tab w:val="clear" w:pos="1701"/>
          <w:tab w:val="clear" w:pos="2268"/>
          <w:tab w:val="clear" w:pos="2835"/>
        </w:tabs>
        <w:spacing w:after="120"/>
        <w:jc w:val="both"/>
        <w:rPr>
          <w:lang w:val="en-US"/>
        </w:rPr>
      </w:pPr>
      <w:r>
        <w:rPr>
          <w:lang w:val="en-US"/>
        </w:rPr>
        <w:t>The Secretary</w:t>
      </w:r>
      <w:r w:rsidR="00845778">
        <w:rPr>
          <w:lang w:val="en-US"/>
        </w:rPr>
        <w:t>-</w:t>
      </w:r>
      <w:r>
        <w:rPr>
          <w:lang w:val="en-US"/>
        </w:rPr>
        <w:t xml:space="preserve">General received formal letters of invitation from the Administrations of Rwanda (on </w:t>
      </w:r>
      <w:r w:rsidRPr="009A4299">
        <w:rPr>
          <w:szCs w:val="24"/>
        </w:rPr>
        <w:t>28 September 2022</w:t>
      </w:r>
      <w:r>
        <w:rPr>
          <w:szCs w:val="24"/>
        </w:rPr>
        <w:t>)</w:t>
      </w:r>
      <w:r w:rsidRPr="009A4299">
        <w:rPr>
          <w:szCs w:val="24"/>
        </w:rPr>
        <w:t xml:space="preserve"> </w:t>
      </w:r>
      <w:r>
        <w:rPr>
          <w:lang w:val="en-US"/>
        </w:rPr>
        <w:t xml:space="preserve">and China (on </w:t>
      </w:r>
      <w:r w:rsidRPr="005377F6">
        <w:t>30 May 2024</w:t>
      </w:r>
      <w:r>
        <w:t xml:space="preserve">) </w:t>
      </w:r>
      <w:r>
        <w:rPr>
          <w:lang w:val="en-US"/>
        </w:rPr>
        <w:t xml:space="preserve">to host the upcoming 2027 World Radiocommunication Conference (WRC-27) and its associated events (i.e. the Radiocommunication Assembly 2027 and the first session of the Conference Preparatory Meeting for WRC-31). As usual, the ITU has also made a booking at the </w:t>
      </w:r>
      <w:r w:rsidR="008D6FB8">
        <w:rPr>
          <w:lang w:val="en-US"/>
        </w:rPr>
        <w:t>International Conference Center Geneva (</w:t>
      </w:r>
      <w:r>
        <w:rPr>
          <w:lang w:val="en-US"/>
        </w:rPr>
        <w:t>CICG</w:t>
      </w:r>
      <w:r w:rsidR="008D6FB8">
        <w:rPr>
          <w:lang w:val="en-US"/>
        </w:rPr>
        <w:t>)</w:t>
      </w:r>
      <w:r>
        <w:rPr>
          <w:lang w:val="en-US"/>
        </w:rPr>
        <w:t xml:space="preserve"> for these events, which must be confirmed or released 18 months before the starting date of the first event (i.e. the RA-27).</w:t>
      </w:r>
    </w:p>
    <w:p w14:paraId="2A0FAEC0" w14:textId="2BD0331C" w:rsidR="002D4EC3" w:rsidRDefault="002D4EC3" w:rsidP="008D6FB8">
      <w:pPr>
        <w:tabs>
          <w:tab w:val="clear" w:pos="567"/>
          <w:tab w:val="clear" w:pos="1134"/>
          <w:tab w:val="clear" w:pos="1701"/>
          <w:tab w:val="clear" w:pos="2268"/>
          <w:tab w:val="clear" w:pos="2835"/>
        </w:tabs>
        <w:spacing w:after="120"/>
        <w:jc w:val="both"/>
        <w:rPr>
          <w:lang w:val="en-US"/>
        </w:rPr>
      </w:pPr>
      <w:r>
        <w:rPr>
          <w:lang w:val="en-US"/>
        </w:rPr>
        <w:t xml:space="preserve">During the 2024 </w:t>
      </w:r>
      <w:r w:rsidR="00845778">
        <w:rPr>
          <w:lang w:val="en-US"/>
        </w:rPr>
        <w:t xml:space="preserve">session of the </w:t>
      </w:r>
      <w:r>
        <w:rPr>
          <w:lang w:val="en-US"/>
        </w:rPr>
        <w:t>Council, it was agreed that the BR Director would visit the proposed venues in Kigali and Shanghai and report back on the findings, so that the Council could decide where the WRC-27 and its associated events will take place.</w:t>
      </w:r>
    </w:p>
    <w:p w14:paraId="36AFC34F" w14:textId="77777777" w:rsidR="002D4EC3" w:rsidRPr="0088282A" w:rsidRDefault="002D4EC3" w:rsidP="008D6FB8">
      <w:pPr>
        <w:tabs>
          <w:tab w:val="clear" w:pos="567"/>
          <w:tab w:val="clear" w:pos="1134"/>
          <w:tab w:val="clear" w:pos="1701"/>
          <w:tab w:val="clear" w:pos="2268"/>
          <w:tab w:val="clear" w:pos="2835"/>
        </w:tabs>
        <w:spacing w:after="120"/>
        <w:jc w:val="both"/>
        <w:rPr>
          <w:lang w:val="en-US"/>
        </w:rPr>
      </w:pPr>
      <w:r w:rsidRPr="00D27D17">
        <w:rPr>
          <w:lang w:val="en-US"/>
        </w:rPr>
        <w:t>This report focuses solely on the compliance of the proposed venues with the basic requirements necessary to host the WRC-27 and its associated events.</w:t>
      </w:r>
    </w:p>
    <w:p w14:paraId="121B9922" w14:textId="7143F072" w:rsidR="00742A47" w:rsidRDefault="002D4EC3" w:rsidP="008D6FB8">
      <w:pPr>
        <w:pStyle w:val="Heading1"/>
        <w:numPr>
          <w:ilvl w:val="0"/>
          <w:numId w:val="2"/>
        </w:numPr>
        <w:tabs>
          <w:tab w:val="clear" w:pos="567"/>
          <w:tab w:val="clear" w:pos="1134"/>
          <w:tab w:val="clear" w:pos="1701"/>
          <w:tab w:val="clear" w:pos="2268"/>
          <w:tab w:val="clear" w:pos="2835"/>
        </w:tabs>
        <w:spacing w:after="120"/>
        <w:ind w:left="0" w:firstLine="0"/>
        <w:jc w:val="both"/>
      </w:pPr>
      <w:r>
        <w:t xml:space="preserve">Site </w:t>
      </w:r>
      <w:r w:rsidR="00270E14">
        <w:t>v</w:t>
      </w:r>
      <w:r>
        <w:t>isits</w:t>
      </w:r>
    </w:p>
    <w:p w14:paraId="6CCB5EEB" w14:textId="77777777" w:rsidR="003C0A22" w:rsidRPr="003C0A22" w:rsidRDefault="003C0A22" w:rsidP="008D6FB8">
      <w:pPr>
        <w:tabs>
          <w:tab w:val="clear" w:pos="567"/>
          <w:tab w:val="clear" w:pos="1134"/>
          <w:tab w:val="clear" w:pos="1701"/>
          <w:tab w:val="clear" w:pos="2268"/>
          <w:tab w:val="clear" w:pos="2835"/>
        </w:tabs>
        <w:spacing w:after="120"/>
        <w:jc w:val="both"/>
        <w:rPr>
          <w:lang w:val="en-US"/>
        </w:rPr>
      </w:pPr>
      <w:r w:rsidRPr="003C0A22">
        <w:rPr>
          <w:lang w:val="en-US"/>
        </w:rPr>
        <w:t xml:space="preserve">The BR Director visited the venues proposed by Rwanda and China during the month of February 2025. These visits were intended to discuss the basic requirements for the successful holding of the WRC-27 and its associated events. Once a host country and city </w:t>
      </w:r>
      <w:proofErr w:type="gramStart"/>
      <w:r w:rsidRPr="003C0A22">
        <w:rPr>
          <w:lang w:val="en-US"/>
        </w:rPr>
        <w:t>would be</w:t>
      </w:r>
      <w:proofErr w:type="gramEnd"/>
      <w:r w:rsidRPr="003C0A22">
        <w:rPr>
          <w:lang w:val="en-US"/>
        </w:rPr>
        <w:t xml:space="preserve"> selected by the Council, there will be a detailed Host Country Agreement with the full set of requirements for the WRC-27 and its associated events, and more comprehensive site visits will be organized, as per usual practice.</w:t>
      </w:r>
    </w:p>
    <w:p w14:paraId="51055688" w14:textId="77777777" w:rsidR="003C0A22" w:rsidRDefault="003C0A22" w:rsidP="008D6FB8">
      <w:pPr>
        <w:tabs>
          <w:tab w:val="clear" w:pos="567"/>
          <w:tab w:val="clear" w:pos="1134"/>
          <w:tab w:val="clear" w:pos="1701"/>
          <w:tab w:val="clear" w:pos="2268"/>
          <w:tab w:val="clear" w:pos="2835"/>
        </w:tabs>
        <w:spacing w:after="120"/>
        <w:jc w:val="both"/>
        <w:rPr>
          <w:lang w:val="en-US"/>
        </w:rPr>
      </w:pPr>
      <w:r w:rsidRPr="003C0A22">
        <w:rPr>
          <w:lang w:val="en-US"/>
        </w:rPr>
        <w:t>The main aspects considered during the visits included the following:</w:t>
      </w:r>
    </w:p>
    <w:tbl>
      <w:tblPr>
        <w:tblStyle w:val="TableGrid"/>
        <w:tblW w:w="0" w:type="auto"/>
        <w:tblLook w:val="04A0" w:firstRow="1" w:lastRow="0" w:firstColumn="1" w:lastColumn="0" w:noHBand="0" w:noVBand="1"/>
      </w:tblPr>
      <w:tblGrid>
        <w:gridCol w:w="3681"/>
        <w:gridCol w:w="5335"/>
      </w:tblGrid>
      <w:tr w:rsidR="003C0A22" w14:paraId="58CCDE4D" w14:textId="77777777">
        <w:tc>
          <w:tcPr>
            <w:tcW w:w="3681" w:type="dxa"/>
          </w:tcPr>
          <w:p w14:paraId="54D56E4E" w14:textId="77777777" w:rsidR="003C0A22" w:rsidRDefault="003C0A22" w:rsidP="008D6FB8">
            <w:pPr>
              <w:spacing w:before="60" w:after="60"/>
              <w:rPr>
                <w:lang w:val="en-US"/>
              </w:rPr>
            </w:pPr>
            <w:r w:rsidRPr="00444D00">
              <w:rPr>
                <w:lang w:val="en-US"/>
              </w:rPr>
              <w:t>Conference venue</w:t>
            </w:r>
          </w:p>
        </w:tc>
        <w:tc>
          <w:tcPr>
            <w:tcW w:w="5335" w:type="dxa"/>
          </w:tcPr>
          <w:p w14:paraId="1AF58A71" w14:textId="77777777" w:rsidR="003C0A22" w:rsidRDefault="003C0A22" w:rsidP="008D6FB8">
            <w:pPr>
              <w:spacing w:before="60" w:after="60"/>
              <w:jc w:val="both"/>
              <w:rPr>
                <w:lang w:val="en-US"/>
              </w:rPr>
            </w:pPr>
            <w:r>
              <w:rPr>
                <w:lang w:val="en-US"/>
              </w:rPr>
              <w:t>M</w:t>
            </w:r>
            <w:r w:rsidRPr="00444D00">
              <w:rPr>
                <w:lang w:val="en-US"/>
              </w:rPr>
              <w:t>eeting rooms flexibility and capacity, office space, private meeting facilities, exhibition space, internet traffic capacity and reliability, delegate services</w:t>
            </w:r>
            <w:r>
              <w:rPr>
                <w:lang w:val="en-US"/>
              </w:rPr>
              <w:t>, local staff support</w:t>
            </w:r>
          </w:p>
        </w:tc>
      </w:tr>
      <w:tr w:rsidR="003C0A22" w14:paraId="49874FFD" w14:textId="77777777">
        <w:tc>
          <w:tcPr>
            <w:tcW w:w="3681" w:type="dxa"/>
          </w:tcPr>
          <w:p w14:paraId="4679143A" w14:textId="77777777" w:rsidR="003C0A22" w:rsidRPr="00444D00" w:rsidRDefault="003C0A22" w:rsidP="008D6FB8">
            <w:pPr>
              <w:spacing w:before="60" w:after="60"/>
              <w:rPr>
                <w:lang w:val="en-US"/>
              </w:rPr>
            </w:pPr>
            <w:r>
              <w:rPr>
                <w:lang w:val="en-US"/>
              </w:rPr>
              <w:t>Accommodation</w:t>
            </w:r>
          </w:p>
        </w:tc>
        <w:tc>
          <w:tcPr>
            <w:tcW w:w="5335" w:type="dxa"/>
          </w:tcPr>
          <w:p w14:paraId="2E09D042" w14:textId="77777777" w:rsidR="003C0A22" w:rsidRPr="00444D00" w:rsidRDefault="003C0A22" w:rsidP="008D6FB8">
            <w:pPr>
              <w:spacing w:before="60" w:after="60"/>
              <w:jc w:val="both"/>
              <w:rPr>
                <w:lang w:val="en-US"/>
              </w:rPr>
            </w:pPr>
            <w:r>
              <w:rPr>
                <w:lang w:val="en-US"/>
              </w:rPr>
              <w:t>Hotels safety and capacity, proximity of hotels to the venue</w:t>
            </w:r>
          </w:p>
        </w:tc>
      </w:tr>
      <w:tr w:rsidR="003C0A22" w:rsidRPr="00554BD6" w14:paraId="49851E90" w14:textId="77777777">
        <w:tc>
          <w:tcPr>
            <w:tcW w:w="3681" w:type="dxa"/>
          </w:tcPr>
          <w:p w14:paraId="671478D8" w14:textId="77777777" w:rsidR="003C0A22" w:rsidRDefault="003C0A22" w:rsidP="008D6FB8">
            <w:pPr>
              <w:spacing w:before="60" w:after="60"/>
              <w:rPr>
                <w:lang w:val="en-US"/>
              </w:rPr>
            </w:pPr>
            <w:r>
              <w:rPr>
                <w:lang w:val="en-US"/>
              </w:rPr>
              <w:t>Transportation</w:t>
            </w:r>
          </w:p>
        </w:tc>
        <w:tc>
          <w:tcPr>
            <w:tcW w:w="5335" w:type="dxa"/>
          </w:tcPr>
          <w:p w14:paraId="176CF1CE" w14:textId="77777777" w:rsidR="003C0A22" w:rsidRDefault="003C0A22" w:rsidP="008D6FB8">
            <w:pPr>
              <w:spacing w:before="60" w:after="60"/>
              <w:jc w:val="both"/>
              <w:rPr>
                <w:lang w:val="en-US"/>
              </w:rPr>
            </w:pPr>
            <w:r>
              <w:rPr>
                <w:lang w:val="en-US"/>
              </w:rPr>
              <w:t>International flights deserving the city, local transportation between hotels and the venue with flexible timings</w:t>
            </w:r>
          </w:p>
        </w:tc>
      </w:tr>
      <w:tr w:rsidR="003C0A22" w14:paraId="34323623" w14:textId="77777777">
        <w:tc>
          <w:tcPr>
            <w:tcW w:w="3681" w:type="dxa"/>
          </w:tcPr>
          <w:p w14:paraId="12F25308" w14:textId="77777777" w:rsidR="003C0A22" w:rsidRDefault="003C0A22" w:rsidP="008D6FB8">
            <w:pPr>
              <w:spacing w:before="60" w:after="60"/>
              <w:rPr>
                <w:lang w:val="en-US"/>
              </w:rPr>
            </w:pPr>
            <w:r>
              <w:rPr>
                <w:lang w:val="en-US"/>
              </w:rPr>
              <w:t>Visa issues</w:t>
            </w:r>
          </w:p>
        </w:tc>
        <w:tc>
          <w:tcPr>
            <w:tcW w:w="5335" w:type="dxa"/>
          </w:tcPr>
          <w:p w14:paraId="75680FC7" w14:textId="77777777" w:rsidR="003C0A22" w:rsidRDefault="003C0A22" w:rsidP="008D6FB8">
            <w:pPr>
              <w:spacing w:before="60" w:after="60"/>
              <w:jc w:val="both"/>
              <w:rPr>
                <w:lang w:val="en-US"/>
              </w:rPr>
            </w:pPr>
            <w:r>
              <w:rPr>
                <w:lang w:val="en-US"/>
              </w:rPr>
              <w:t>Authorization to delegates and staff to enter and remain in the country throughout the WRC-27 and associated events, visa support services provided by the host country</w:t>
            </w:r>
          </w:p>
        </w:tc>
      </w:tr>
      <w:tr w:rsidR="003C0A22" w14:paraId="1591694C" w14:textId="77777777">
        <w:tc>
          <w:tcPr>
            <w:tcW w:w="3681" w:type="dxa"/>
          </w:tcPr>
          <w:p w14:paraId="0553A579" w14:textId="77777777" w:rsidR="003C0A22" w:rsidRDefault="003C0A22" w:rsidP="008D6FB8">
            <w:pPr>
              <w:spacing w:before="60" w:after="60"/>
              <w:rPr>
                <w:lang w:val="en-US"/>
              </w:rPr>
            </w:pPr>
            <w:r>
              <w:rPr>
                <w:lang w:val="en-US"/>
              </w:rPr>
              <w:t>Internet</w:t>
            </w:r>
          </w:p>
        </w:tc>
        <w:tc>
          <w:tcPr>
            <w:tcW w:w="5335" w:type="dxa"/>
          </w:tcPr>
          <w:p w14:paraId="74FFD4BE" w14:textId="116FD126" w:rsidR="003C0A22" w:rsidRPr="00E13CDE" w:rsidRDefault="003C0A22" w:rsidP="008D6FB8">
            <w:pPr>
              <w:spacing w:before="60" w:after="60"/>
              <w:jc w:val="both"/>
            </w:pPr>
            <w:r w:rsidRPr="00E13CDE">
              <w:t xml:space="preserve">Provision of an open and secure </w:t>
            </w:r>
            <w:r w:rsidR="00845778">
              <w:t>I</w:t>
            </w:r>
            <w:r w:rsidRPr="00E13CDE">
              <w:t>nternet environment for all delegates and ITU staff both at the WRC-27 events venue and in the hotels</w:t>
            </w:r>
          </w:p>
        </w:tc>
      </w:tr>
      <w:tr w:rsidR="003C0A22" w14:paraId="5BA311B0" w14:textId="77777777">
        <w:tc>
          <w:tcPr>
            <w:tcW w:w="3681" w:type="dxa"/>
          </w:tcPr>
          <w:p w14:paraId="06814E39" w14:textId="77777777" w:rsidR="003C0A22" w:rsidRDefault="003C0A22" w:rsidP="008D6FB8">
            <w:pPr>
              <w:spacing w:before="60" w:after="60"/>
              <w:rPr>
                <w:lang w:val="en-US"/>
              </w:rPr>
            </w:pPr>
            <w:r>
              <w:rPr>
                <w:lang w:val="en-US"/>
              </w:rPr>
              <w:t>Regulatory compliance</w:t>
            </w:r>
          </w:p>
        </w:tc>
        <w:tc>
          <w:tcPr>
            <w:tcW w:w="5335" w:type="dxa"/>
          </w:tcPr>
          <w:p w14:paraId="29A28A5E" w14:textId="77777777" w:rsidR="003C0A22" w:rsidRPr="00E13CDE" w:rsidRDefault="003C0A22" w:rsidP="008D6FB8">
            <w:pPr>
              <w:spacing w:before="60" w:after="60"/>
              <w:jc w:val="both"/>
            </w:pPr>
            <w:r w:rsidRPr="00E13CDE">
              <w:t>Adherence to ITU rules for staff travel, application of the provisions of the 1947 Convention on the Privileges and Immunities of the Specialized Agencies as approved by the United Nations General Assembly</w:t>
            </w:r>
          </w:p>
        </w:tc>
      </w:tr>
      <w:tr w:rsidR="003C0A22" w14:paraId="28BFFCBB" w14:textId="77777777">
        <w:tc>
          <w:tcPr>
            <w:tcW w:w="3681" w:type="dxa"/>
          </w:tcPr>
          <w:p w14:paraId="19EA691A" w14:textId="09B761A6" w:rsidR="003C0A22" w:rsidRDefault="003C0A22" w:rsidP="008D6FB8">
            <w:pPr>
              <w:spacing w:before="60" w:after="60"/>
              <w:rPr>
                <w:lang w:val="en-US"/>
              </w:rPr>
            </w:pPr>
            <w:r>
              <w:rPr>
                <w:lang w:val="en-US"/>
              </w:rPr>
              <w:lastRenderedPageBreak/>
              <w:t>Local amenities and medical facilities</w:t>
            </w:r>
          </w:p>
        </w:tc>
        <w:tc>
          <w:tcPr>
            <w:tcW w:w="5335" w:type="dxa"/>
          </w:tcPr>
          <w:p w14:paraId="50CECDF4" w14:textId="77777777" w:rsidR="003C0A22" w:rsidRPr="00E13CDE" w:rsidRDefault="003C0A22" w:rsidP="008D6FB8">
            <w:pPr>
              <w:spacing w:before="60" w:after="60"/>
              <w:jc w:val="both"/>
              <w:rPr>
                <w:lang w:val="en-US"/>
              </w:rPr>
            </w:pPr>
            <w:r w:rsidRPr="00066EAF">
              <w:rPr>
                <w:lang w:val="en-US"/>
              </w:rPr>
              <w:t>Dining options for the delegates, quick access to high-quality medical facilities in case of emergencies</w:t>
            </w:r>
          </w:p>
        </w:tc>
      </w:tr>
      <w:tr w:rsidR="003C0A22" w14:paraId="257B5956" w14:textId="77777777">
        <w:tc>
          <w:tcPr>
            <w:tcW w:w="3681" w:type="dxa"/>
          </w:tcPr>
          <w:p w14:paraId="684F6BC5" w14:textId="77777777" w:rsidR="003C0A22" w:rsidRDefault="003C0A22" w:rsidP="008D6FB8">
            <w:pPr>
              <w:spacing w:before="60" w:after="60"/>
              <w:rPr>
                <w:lang w:val="en-US"/>
              </w:rPr>
            </w:pPr>
            <w:r>
              <w:rPr>
                <w:lang w:val="en-US"/>
              </w:rPr>
              <w:t>Safety</w:t>
            </w:r>
          </w:p>
        </w:tc>
        <w:tc>
          <w:tcPr>
            <w:tcW w:w="5335" w:type="dxa"/>
          </w:tcPr>
          <w:p w14:paraId="49E65C9A" w14:textId="77777777" w:rsidR="003C0A22" w:rsidRPr="00066EAF" w:rsidRDefault="003C0A22" w:rsidP="008D6FB8">
            <w:pPr>
              <w:spacing w:before="60" w:after="60"/>
              <w:jc w:val="both"/>
              <w:rPr>
                <w:lang w:val="en-US"/>
              </w:rPr>
            </w:pPr>
            <w:r>
              <w:rPr>
                <w:lang w:val="en-US"/>
              </w:rPr>
              <w:t xml:space="preserve">Reputation of the host city regarding safety of visitors. </w:t>
            </w:r>
          </w:p>
        </w:tc>
      </w:tr>
    </w:tbl>
    <w:p w14:paraId="7A42289E" w14:textId="511C2A3D" w:rsidR="00A81A1A" w:rsidRDefault="00DC297F" w:rsidP="008D6FB8">
      <w:pPr>
        <w:pStyle w:val="Heading1"/>
        <w:numPr>
          <w:ilvl w:val="0"/>
          <w:numId w:val="2"/>
        </w:numPr>
        <w:tabs>
          <w:tab w:val="clear" w:pos="567"/>
          <w:tab w:val="clear" w:pos="1134"/>
          <w:tab w:val="clear" w:pos="1701"/>
          <w:tab w:val="clear" w:pos="2268"/>
          <w:tab w:val="clear" w:pos="2835"/>
        </w:tabs>
        <w:spacing w:before="480" w:after="120"/>
        <w:ind w:left="0" w:firstLine="0"/>
        <w:jc w:val="both"/>
      </w:pPr>
      <w:r>
        <w:t>Venue proposed by Rwanda</w:t>
      </w:r>
    </w:p>
    <w:p w14:paraId="755779DD" w14:textId="222146B0" w:rsidR="00FC22F9" w:rsidRDefault="00FC22F9" w:rsidP="008D6FB8">
      <w:pPr>
        <w:tabs>
          <w:tab w:val="clear" w:pos="567"/>
          <w:tab w:val="clear" w:pos="1134"/>
          <w:tab w:val="clear" w:pos="1701"/>
          <w:tab w:val="clear" w:pos="2268"/>
          <w:tab w:val="clear" w:pos="2835"/>
        </w:tabs>
        <w:spacing w:after="120"/>
        <w:jc w:val="both"/>
        <w:rPr>
          <w:lang w:val="en-US"/>
        </w:rPr>
      </w:pPr>
      <w:r>
        <w:rPr>
          <w:lang w:val="en-US"/>
        </w:rPr>
        <w:t>The Kigali Convention Center (KCC), which hosted the ITU World Telecommunication Development Conference in 2022, has enough large</w:t>
      </w:r>
      <w:r w:rsidR="003F6DDA">
        <w:rPr>
          <w:lang w:val="en-US"/>
        </w:rPr>
        <w:t>-</w:t>
      </w:r>
      <w:r>
        <w:rPr>
          <w:lang w:val="en-US"/>
        </w:rPr>
        <w:t>sized conference rooms as well</w:t>
      </w:r>
      <w:r w:rsidR="008D6FB8">
        <w:rPr>
          <w:lang w:val="en-US"/>
        </w:rPr>
        <w:t xml:space="preserve"> as</w:t>
      </w:r>
      <w:r>
        <w:rPr>
          <w:lang w:val="en-US"/>
        </w:rPr>
        <w:t xml:space="preserve"> an ample terrace that could be used to install dining facilities and organize social events, but the number of medium and small-sized meeting rooms is insufficient for the numerous parallel meetings required during a WRC.</w:t>
      </w:r>
    </w:p>
    <w:p w14:paraId="37EB1A88" w14:textId="77777777" w:rsidR="00FC22F9" w:rsidRDefault="00FC22F9" w:rsidP="008D6FB8">
      <w:pPr>
        <w:tabs>
          <w:tab w:val="clear" w:pos="567"/>
          <w:tab w:val="clear" w:pos="1134"/>
          <w:tab w:val="clear" w:pos="1701"/>
          <w:tab w:val="clear" w:pos="2268"/>
          <w:tab w:val="clear" w:pos="2835"/>
        </w:tabs>
        <w:spacing w:after="120"/>
        <w:jc w:val="both"/>
        <w:rPr>
          <w:lang w:val="en-US"/>
        </w:rPr>
      </w:pPr>
      <w:r>
        <w:rPr>
          <w:lang w:val="en-US"/>
        </w:rPr>
        <w:t xml:space="preserve">However, an additional (smaller) conference center, which will be inaugurated in 2025, is currently being built across the street from KCC and will be connected to it via a walkway. The organizing committee considers that this new facility should provide the required additional meeting rooms lacking in the KCC. </w:t>
      </w:r>
    </w:p>
    <w:p w14:paraId="5165A800" w14:textId="28AC974C" w:rsidR="00FC22F9" w:rsidRDefault="00FC22F9" w:rsidP="008D6FB8">
      <w:pPr>
        <w:tabs>
          <w:tab w:val="clear" w:pos="567"/>
          <w:tab w:val="clear" w:pos="1134"/>
          <w:tab w:val="clear" w:pos="1701"/>
          <w:tab w:val="clear" w:pos="2268"/>
          <w:tab w:val="clear" w:pos="2835"/>
        </w:tabs>
        <w:spacing w:after="120"/>
        <w:jc w:val="both"/>
        <w:rPr>
          <w:lang w:val="en-US"/>
        </w:rPr>
      </w:pPr>
      <w:r>
        <w:rPr>
          <w:lang w:val="en-US"/>
        </w:rPr>
        <w:t>Kigali currently has a 10</w:t>
      </w:r>
      <w:r w:rsidR="008D6FB8">
        <w:rPr>
          <w:lang w:val="en-US"/>
        </w:rPr>
        <w:t> </w:t>
      </w:r>
      <w:r>
        <w:rPr>
          <w:lang w:val="en-US"/>
        </w:rPr>
        <w:t xml:space="preserve">000-hotel room capacity, with new hotels being built. </w:t>
      </w:r>
      <w:proofErr w:type="gramStart"/>
      <w:r>
        <w:rPr>
          <w:lang w:val="en-US"/>
        </w:rPr>
        <w:t>In particular, a</w:t>
      </w:r>
      <w:proofErr w:type="gramEnd"/>
      <w:r>
        <w:rPr>
          <w:lang w:val="en-US"/>
        </w:rPr>
        <w:t xml:space="preserve"> new hotel would be part of the new convention center across the street from the KCC.</w:t>
      </w:r>
    </w:p>
    <w:p w14:paraId="43EAE49D" w14:textId="77777777" w:rsidR="00FC22F9" w:rsidRDefault="00FC22F9" w:rsidP="008D6FB8">
      <w:pPr>
        <w:tabs>
          <w:tab w:val="clear" w:pos="567"/>
          <w:tab w:val="clear" w:pos="1134"/>
          <w:tab w:val="clear" w:pos="1701"/>
          <w:tab w:val="clear" w:pos="2268"/>
          <w:tab w:val="clear" w:pos="2835"/>
        </w:tabs>
        <w:spacing w:after="120"/>
        <w:jc w:val="both"/>
        <w:rPr>
          <w:lang w:val="en-US"/>
        </w:rPr>
      </w:pPr>
      <w:r>
        <w:rPr>
          <w:lang w:val="en-US"/>
        </w:rPr>
        <w:t>Eight major airlines operate at Kigali Airport. The national airline (</w:t>
      </w:r>
      <w:proofErr w:type="spellStart"/>
      <w:r>
        <w:rPr>
          <w:lang w:val="en-US"/>
        </w:rPr>
        <w:t>RwandAir</w:t>
      </w:r>
      <w:proofErr w:type="spellEnd"/>
      <w:r>
        <w:rPr>
          <w:lang w:val="en-US"/>
        </w:rPr>
        <w:t>) travels to 25 destinations and will offer a 15% discount in air tickets for delegates to the WRC-27.</w:t>
      </w:r>
    </w:p>
    <w:p w14:paraId="255121FF" w14:textId="77777777" w:rsidR="00FC22F9" w:rsidRDefault="00FC22F9" w:rsidP="008D6FB8">
      <w:pPr>
        <w:tabs>
          <w:tab w:val="clear" w:pos="567"/>
          <w:tab w:val="clear" w:pos="1134"/>
          <w:tab w:val="clear" w:pos="1701"/>
          <w:tab w:val="clear" w:pos="2268"/>
          <w:tab w:val="clear" w:pos="2835"/>
        </w:tabs>
        <w:spacing w:after="120"/>
        <w:jc w:val="both"/>
        <w:rPr>
          <w:lang w:val="en-US"/>
        </w:rPr>
      </w:pPr>
      <w:r>
        <w:rPr>
          <w:lang w:val="en-US"/>
        </w:rPr>
        <w:t xml:space="preserve">Rwanda does not request visa for citizens from any country; all visas are granted on arrival. </w:t>
      </w:r>
    </w:p>
    <w:p w14:paraId="3491E7A3" w14:textId="77777777" w:rsidR="00FC22F9" w:rsidRDefault="00FC22F9" w:rsidP="008D6FB8">
      <w:pPr>
        <w:tabs>
          <w:tab w:val="clear" w:pos="567"/>
          <w:tab w:val="clear" w:pos="1134"/>
          <w:tab w:val="clear" w:pos="1701"/>
          <w:tab w:val="clear" w:pos="2268"/>
          <w:tab w:val="clear" w:pos="2835"/>
        </w:tabs>
        <w:spacing w:after="120"/>
        <w:jc w:val="both"/>
        <w:rPr>
          <w:lang w:val="en-US"/>
        </w:rPr>
      </w:pPr>
      <w:r>
        <w:rPr>
          <w:lang w:val="en-US"/>
        </w:rPr>
        <w:t>Safety for travelers is reported to be among the best in Africa. Medical facilities will be made available for participants.</w:t>
      </w:r>
    </w:p>
    <w:p w14:paraId="5C70344D" w14:textId="77777777" w:rsidR="00FC22F9" w:rsidRDefault="00FC22F9" w:rsidP="008D6FB8">
      <w:pPr>
        <w:tabs>
          <w:tab w:val="clear" w:pos="567"/>
          <w:tab w:val="clear" w:pos="1134"/>
          <w:tab w:val="clear" w:pos="1701"/>
          <w:tab w:val="clear" w:pos="2268"/>
          <w:tab w:val="clear" w:pos="2835"/>
        </w:tabs>
        <w:spacing w:after="120"/>
        <w:jc w:val="both"/>
        <w:rPr>
          <w:lang w:val="en-US"/>
        </w:rPr>
      </w:pPr>
      <w:r>
        <w:rPr>
          <w:lang w:val="en-US"/>
        </w:rPr>
        <w:t xml:space="preserve">The organizing committee assured that robust Internet connectivity will be provided by adding dedicated resources to those existing in the convention center. </w:t>
      </w:r>
    </w:p>
    <w:p w14:paraId="238721BE" w14:textId="404CF87B" w:rsidR="00DC297F" w:rsidRPr="00FC22F9" w:rsidRDefault="00FC22F9" w:rsidP="008D6FB8">
      <w:pPr>
        <w:tabs>
          <w:tab w:val="clear" w:pos="567"/>
          <w:tab w:val="clear" w:pos="1134"/>
          <w:tab w:val="clear" w:pos="1701"/>
          <w:tab w:val="clear" w:pos="2268"/>
          <w:tab w:val="clear" w:pos="2835"/>
        </w:tabs>
        <w:spacing w:after="120"/>
        <w:jc w:val="both"/>
        <w:rPr>
          <w:lang w:val="en-US"/>
        </w:rPr>
      </w:pPr>
      <w:r>
        <w:rPr>
          <w:lang w:val="en-US"/>
        </w:rPr>
        <w:t xml:space="preserve">Rwanda is a signatory to the </w:t>
      </w:r>
      <w:r w:rsidRPr="0036547F">
        <w:t>Convention on the Privileges and Immunities of the Specialized Agencies as approved by the United Nations General Assembly on 21 November 1947</w:t>
      </w:r>
      <w:r>
        <w:t xml:space="preserve">, which ensures regulatory compliance </w:t>
      </w:r>
      <w:proofErr w:type="gramStart"/>
      <w:r>
        <w:t>with regard to</w:t>
      </w:r>
      <w:proofErr w:type="gramEnd"/>
      <w:r>
        <w:t xml:space="preserve"> ITU rules for both staff and delegates.</w:t>
      </w:r>
    </w:p>
    <w:p w14:paraId="4FE179B5" w14:textId="51BC129D" w:rsidR="00FC22F9" w:rsidRDefault="00FC22F9" w:rsidP="008D6FB8">
      <w:pPr>
        <w:pStyle w:val="Heading1"/>
        <w:numPr>
          <w:ilvl w:val="0"/>
          <w:numId w:val="2"/>
        </w:numPr>
        <w:tabs>
          <w:tab w:val="clear" w:pos="567"/>
          <w:tab w:val="clear" w:pos="1134"/>
          <w:tab w:val="clear" w:pos="1701"/>
          <w:tab w:val="clear" w:pos="2268"/>
          <w:tab w:val="clear" w:pos="2835"/>
        </w:tabs>
        <w:spacing w:after="120"/>
        <w:ind w:left="0" w:firstLine="0"/>
        <w:jc w:val="both"/>
      </w:pPr>
      <w:r>
        <w:t>Venue proposed by China</w:t>
      </w:r>
    </w:p>
    <w:p w14:paraId="514C6265" w14:textId="70E89321"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The Shanghai Expo Center is a high-standard complex providing well-equipped facilities that largely comply with ITU requirements for organizing the WRC-27. The complex consolidates in a single venue the required large, small and medium</w:t>
      </w:r>
      <w:r w:rsidR="006F7329">
        <w:rPr>
          <w:lang w:val="en-US"/>
        </w:rPr>
        <w:t>-</w:t>
      </w:r>
      <w:r>
        <w:rPr>
          <w:lang w:val="en-US"/>
        </w:rPr>
        <w:t>s</w:t>
      </w:r>
      <w:r w:rsidR="00507E3B">
        <w:rPr>
          <w:lang w:val="en-US"/>
        </w:rPr>
        <w:t>i</w:t>
      </w:r>
      <w:r>
        <w:rPr>
          <w:lang w:val="en-US"/>
        </w:rPr>
        <w:t>ze</w:t>
      </w:r>
      <w:r w:rsidR="00507E3B">
        <w:rPr>
          <w:lang w:val="en-US"/>
        </w:rPr>
        <w:t>d</w:t>
      </w:r>
      <w:r>
        <w:rPr>
          <w:lang w:val="en-US"/>
        </w:rPr>
        <w:t xml:space="preserve"> conference rooms, as well as the necessary number of meeting rooms and offices for ITU staff. It has dining facilities for 5</w:t>
      </w:r>
      <w:r w:rsidR="008D6FB8">
        <w:rPr>
          <w:lang w:val="en-US"/>
        </w:rPr>
        <w:t> </w:t>
      </w:r>
      <w:r>
        <w:rPr>
          <w:lang w:val="en-US"/>
        </w:rPr>
        <w:t>000 delegates and available space for social events. It is adjacent to a hotel where the hosts have planned to accommodate the ITU staff during the WRC-27 and its associated events.</w:t>
      </w:r>
    </w:p>
    <w:p w14:paraId="76AFC6EA" w14:textId="4118E830"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Shanghai has three airports operating 1</w:t>
      </w:r>
      <w:r w:rsidR="008D6FB8">
        <w:rPr>
          <w:lang w:val="en-US"/>
        </w:rPr>
        <w:t> </w:t>
      </w:r>
      <w:r>
        <w:rPr>
          <w:lang w:val="en-US"/>
        </w:rPr>
        <w:t>100 daily flights, with most major airlines serving the city. The organizing committee will work with the major Chinese airlines to provide discounted air tickets for WRC-27 delegates.</w:t>
      </w:r>
    </w:p>
    <w:p w14:paraId="506EFE03" w14:textId="4B59EBCF"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Regarding accommodation, there is a very large hotel offering in the city, as it receives 300</w:t>
      </w:r>
      <w:r w:rsidR="00D47AB9">
        <w:rPr>
          <w:lang w:val="en-US"/>
        </w:rPr>
        <w:t> </w:t>
      </w:r>
      <w:r>
        <w:rPr>
          <w:lang w:val="en-US"/>
        </w:rPr>
        <w:t>million domestic and foreign visitors every year.</w:t>
      </w:r>
    </w:p>
    <w:p w14:paraId="4D138E6F" w14:textId="77777777"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lastRenderedPageBreak/>
        <w:t>For delegates coming from countries requiring a visa to enter China, the organizing committee has committed to providing the necessary support for all participants to obtain their necessary visa, while they are working on increasing the number of countries for which visa requirements would be waived.</w:t>
      </w:r>
    </w:p>
    <w:p w14:paraId="024C0DE5" w14:textId="77777777"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Shanghai is considered very safe for travelers.</w:t>
      </w:r>
      <w:r w:rsidRPr="00347DFD">
        <w:rPr>
          <w:lang w:val="en-US"/>
        </w:rPr>
        <w:t xml:space="preserve"> Medical facilities will be made available</w:t>
      </w:r>
      <w:r>
        <w:rPr>
          <w:lang w:val="en-US"/>
        </w:rPr>
        <w:t xml:space="preserve"> for participants both in the Expo Center and in nearby medical centers.</w:t>
      </w:r>
    </w:p>
    <w:p w14:paraId="3ABDCE4D" w14:textId="77777777"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 xml:space="preserve">The organizing committee assured that open Internet </w:t>
      </w:r>
      <w:proofErr w:type="gramStart"/>
      <w:r>
        <w:rPr>
          <w:lang w:val="en-US"/>
        </w:rPr>
        <w:t>connectivity</w:t>
      </w:r>
      <w:proofErr w:type="gramEnd"/>
      <w:r>
        <w:rPr>
          <w:lang w:val="en-US"/>
        </w:rPr>
        <w:t xml:space="preserve"> will be provided throughout the venue as well as in all official hotels during the whole duration of the WRC-27 and its associated events.</w:t>
      </w:r>
    </w:p>
    <w:p w14:paraId="1EA03E16" w14:textId="77777777"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 xml:space="preserve">The organizing committee has offered to provide complementary lunches for all participants during the whole conference, as well as </w:t>
      </w:r>
      <w:proofErr w:type="gramStart"/>
      <w:r>
        <w:rPr>
          <w:lang w:val="en-US"/>
        </w:rPr>
        <w:t>all</w:t>
      </w:r>
      <w:proofErr w:type="gramEnd"/>
      <w:r>
        <w:rPr>
          <w:lang w:val="en-US"/>
        </w:rPr>
        <w:t xml:space="preserve">-day coffee and tea </w:t>
      </w:r>
      <w:proofErr w:type="gramStart"/>
      <w:r>
        <w:rPr>
          <w:lang w:val="en-US"/>
        </w:rPr>
        <w:t>services</w:t>
      </w:r>
      <w:proofErr w:type="gramEnd"/>
      <w:r>
        <w:rPr>
          <w:lang w:val="en-US"/>
        </w:rPr>
        <w:t xml:space="preserve">. </w:t>
      </w:r>
    </w:p>
    <w:p w14:paraId="047AA1DF" w14:textId="77777777"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 xml:space="preserve">China is a signatory to the </w:t>
      </w:r>
      <w:r w:rsidRPr="0036547F">
        <w:t>Convention on the Privileges and Immunities of the Specialized Agencies as approved by the United Nations General Assembly on 21 November 1947</w:t>
      </w:r>
      <w:r>
        <w:t xml:space="preserve">, which ensures regulatory compliance </w:t>
      </w:r>
      <w:proofErr w:type="gramStart"/>
      <w:r>
        <w:t>with regard to</w:t>
      </w:r>
      <w:proofErr w:type="gramEnd"/>
      <w:r>
        <w:t xml:space="preserve"> ITU rules for both staff and delegates.</w:t>
      </w:r>
    </w:p>
    <w:p w14:paraId="7D57B4A7" w14:textId="77777777" w:rsidR="000812C2" w:rsidRDefault="000812C2" w:rsidP="008D6FB8">
      <w:pPr>
        <w:pStyle w:val="Heading1"/>
        <w:numPr>
          <w:ilvl w:val="0"/>
          <w:numId w:val="2"/>
        </w:numPr>
        <w:tabs>
          <w:tab w:val="clear" w:pos="567"/>
          <w:tab w:val="clear" w:pos="1134"/>
          <w:tab w:val="clear" w:pos="1701"/>
          <w:tab w:val="clear" w:pos="2268"/>
          <w:tab w:val="clear" w:pos="2835"/>
        </w:tabs>
        <w:spacing w:after="120"/>
        <w:ind w:left="0" w:firstLine="0"/>
        <w:jc w:val="both"/>
      </w:pPr>
      <w:r w:rsidRPr="000812C2">
        <w:t>Existing CICG booking in Geneva</w:t>
      </w:r>
    </w:p>
    <w:p w14:paraId="28BA53CB" w14:textId="4D4BFC4A" w:rsidR="000812C2" w:rsidRDefault="000812C2" w:rsidP="008D6FB8">
      <w:pPr>
        <w:tabs>
          <w:tab w:val="clear" w:pos="567"/>
          <w:tab w:val="clear" w:pos="1134"/>
          <w:tab w:val="clear" w:pos="1701"/>
          <w:tab w:val="clear" w:pos="2268"/>
          <w:tab w:val="clear" w:pos="2835"/>
        </w:tabs>
        <w:spacing w:after="120"/>
        <w:jc w:val="both"/>
        <w:rPr>
          <w:lang w:val="en-US"/>
        </w:rPr>
      </w:pPr>
      <w:r w:rsidRPr="5B8B0969">
        <w:rPr>
          <w:lang w:val="en-US"/>
        </w:rPr>
        <w:t>As is customary, ITU booked the CICG in Geneva for the holding of the WRC-27 and its associated events in case there were no invitations from Member States to host these events. The booking is from 11 October to 12 November 2027, covering both RA-27 and WRC-27.</w:t>
      </w:r>
    </w:p>
    <w:p w14:paraId="3917C1AF" w14:textId="273BF3E6" w:rsidR="000812C2" w:rsidRDefault="000812C2" w:rsidP="1E5B33CA">
      <w:pPr>
        <w:tabs>
          <w:tab w:val="clear" w:pos="567"/>
          <w:tab w:val="clear" w:pos="1134"/>
          <w:tab w:val="clear" w:pos="1701"/>
          <w:tab w:val="clear" w:pos="2268"/>
          <w:tab w:val="clear" w:pos="2835"/>
        </w:tabs>
        <w:spacing w:after="120"/>
        <w:jc w:val="both"/>
        <w:rPr>
          <w:lang w:val="en-US"/>
        </w:rPr>
      </w:pPr>
      <w:r w:rsidRPr="6CAB1898">
        <w:rPr>
          <w:lang w:val="en-US"/>
        </w:rPr>
        <w:t xml:space="preserve">It is important to note that the CICG has tightened the conditions that govern such bookings, and they now </w:t>
      </w:r>
      <w:r w:rsidR="3073586E" w:rsidRPr="6CAB1898">
        <w:rPr>
          <w:lang w:val="en-US"/>
        </w:rPr>
        <w:t xml:space="preserve">charge a rental fee </w:t>
      </w:r>
      <w:r w:rsidR="1147618B" w:rsidRPr="6CAB1898">
        <w:rPr>
          <w:lang w:val="en-US"/>
        </w:rPr>
        <w:t xml:space="preserve">at a reduced rate based on a sliding scale </w:t>
      </w:r>
      <w:r w:rsidR="062FBCC1" w:rsidRPr="6CAB1898">
        <w:rPr>
          <w:rFonts w:eastAsia="Calibri" w:cs="Calibri"/>
          <w:szCs w:val="24"/>
          <w:lang w:val="en-US"/>
        </w:rPr>
        <w:t xml:space="preserve">from 20 per cent to 5 per cent of the total rental cost </w:t>
      </w:r>
      <w:r w:rsidR="17C771B9" w:rsidRPr="6CAB1898">
        <w:rPr>
          <w:rFonts w:eastAsia="Calibri" w:cs="Calibri"/>
          <w:szCs w:val="24"/>
          <w:lang w:val="en-US"/>
        </w:rPr>
        <w:t>together</w:t>
      </w:r>
      <w:r w:rsidR="3707286F" w:rsidRPr="6CAB1898">
        <w:rPr>
          <w:rFonts w:eastAsia="Calibri" w:cs="Calibri"/>
          <w:szCs w:val="24"/>
          <w:lang w:val="en-US"/>
        </w:rPr>
        <w:t xml:space="preserve"> with the strict </w:t>
      </w:r>
      <w:r w:rsidRPr="6CAB1898">
        <w:rPr>
          <w:lang w:val="en-US"/>
        </w:rPr>
        <w:t>require</w:t>
      </w:r>
      <w:r w:rsidR="55DF7B95" w:rsidRPr="6CAB1898">
        <w:rPr>
          <w:lang w:val="en-US"/>
        </w:rPr>
        <w:t>ment</w:t>
      </w:r>
      <w:r w:rsidRPr="6CAB1898">
        <w:rPr>
          <w:lang w:val="en-US"/>
        </w:rPr>
        <w:t xml:space="preserve"> </w:t>
      </w:r>
      <w:r w:rsidR="3EB4C98C" w:rsidRPr="6CAB1898">
        <w:rPr>
          <w:lang w:val="en-US"/>
        </w:rPr>
        <w:t xml:space="preserve">for </w:t>
      </w:r>
      <w:r w:rsidRPr="6CAB1898">
        <w:rPr>
          <w:lang w:val="en-US"/>
        </w:rPr>
        <w:t xml:space="preserve">ITU to confirm or release the booking 18 months before the starting date of the event. </w:t>
      </w:r>
    </w:p>
    <w:p w14:paraId="0F2D6698" w14:textId="54579694" w:rsidR="000812C2" w:rsidRDefault="746788AE" w:rsidP="008D6FB8">
      <w:pPr>
        <w:tabs>
          <w:tab w:val="clear" w:pos="567"/>
          <w:tab w:val="clear" w:pos="1134"/>
          <w:tab w:val="clear" w:pos="1701"/>
          <w:tab w:val="clear" w:pos="2268"/>
          <w:tab w:val="clear" w:pos="2835"/>
        </w:tabs>
        <w:spacing w:after="120"/>
        <w:jc w:val="both"/>
        <w:rPr>
          <w:lang w:val="en-US"/>
        </w:rPr>
      </w:pPr>
      <w:r w:rsidRPr="6CAB1898">
        <w:rPr>
          <w:lang w:val="en-US"/>
        </w:rPr>
        <w:t xml:space="preserve">Therefore, </w:t>
      </w:r>
      <w:r w:rsidR="128AD0E1" w:rsidRPr="6CAB1898">
        <w:rPr>
          <w:lang w:val="en-US"/>
        </w:rPr>
        <w:t>i</w:t>
      </w:r>
      <w:r w:rsidR="28A3E585" w:rsidRPr="6CAB1898">
        <w:rPr>
          <w:lang w:val="en-US"/>
        </w:rPr>
        <w:t xml:space="preserve">f the </w:t>
      </w:r>
      <w:r w:rsidR="2CAF4FBB" w:rsidRPr="6CAB1898">
        <w:rPr>
          <w:lang w:val="en-US"/>
        </w:rPr>
        <w:t xml:space="preserve">conference takes place in </w:t>
      </w:r>
      <w:r w:rsidR="2B238FF0" w:rsidRPr="6CAB1898">
        <w:rPr>
          <w:lang w:val="en-US"/>
        </w:rPr>
        <w:t>Geneva</w:t>
      </w:r>
      <w:r w:rsidR="2CAF4FBB" w:rsidRPr="6CAB1898">
        <w:rPr>
          <w:lang w:val="en-US"/>
        </w:rPr>
        <w:t>, the rental and technical service</w:t>
      </w:r>
      <w:r w:rsidR="5FF9BD85" w:rsidRPr="6CAB1898">
        <w:rPr>
          <w:lang w:val="en-US"/>
        </w:rPr>
        <w:t xml:space="preserve"> costs</w:t>
      </w:r>
      <w:r w:rsidR="3CDD2F67" w:rsidRPr="6CAB1898">
        <w:rPr>
          <w:lang w:val="en-US"/>
        </w:rPr>
        <w:t xml:space="preserve"> of CICG</w:t>
      </w:r>
      <w:r w:rsidR="5FF9BD85" w:rsidRPr="6CAB1898">
        <w:rPr>
          <w:lang w:val="en-US"/>
        </w:rPr>
        <w:t xml:space="preserve"> </w:t>
      </w:r>
      <w:r w:rsidR="2CAF4FBB" w:rsidRPr="6CAB1898">
        <w:rPr>
          <w:lang w:val="en-US"/>
        </w:rPr>
        <w:t xml:space="preserve">would </w:t>
      </w:r>
      <w:r w:rsidR="08A92297" w:rsidRPr="6CAB1898">
        <w:rPr>
          <w:lang w:val="en-US"/>
        </w:rPr>
        <w:t>be</w:t>
      </w:r>
      <w:r w:rsidR="79C470BB" w:rsidRPr="6CAB1898">
        <w:rPr>
          <w:lang w:val="en-US"/>
        </w:rPr>
        <w:t xml:space="preserve"> </w:t>
      </w:r>
      <w:r w:rsidR="2CAF4FBB" w:rsidRPr="6CAB1898">
        <w:rPr>
          <w:lang w:val="en-US"/>
        </w:rPr>
        <w:t xml:space="preserve">approximately </w:t>
      </w:r>
      <w:r w:rsidR="00D47AB9">
        <w:rPr>
          <w:lang w:val="en-US"/>
        </w:rPr>
        <w:t>KCHF </w:t>
      </w:r>
      <w:r w:rsidR="2CAF4FBB" w:rsidRPr="6CAB1898">
        <w:rPr>
          <w:lang w:val="en-US"/>
        </w:rPr>
        <w:t>500.</w:t>
      </w:r>
      <w:r w:rsidR="52C51A9F" w:rsidRPr="6CAB1898">
        <w:rPr>
          <w:lang w:val="en-US"/>
        </w:rPr>
        <w:t xml:space="preserve"> </w:t>
      </w:r>
      <w:r w:rsidR="04E1ECF9" w:rsidRPr="6CAB1898">
        <w:rPr>
          <w:lang w:val="en-US"/>
        </w:rPr>
        <w:t>However, i</w:t>
      </w:r>
      <w:r w:rsidR="000812C2" w:rsidRPr="6CAB1898">
        <w:rPr>
          <w:lang w:val="en-US"/>
        </w:rPr>
        <w:t>f the booking is not released before that deadline</w:t>
      </w:r>
      <w:r w:rsidR="755DEBF0" w:rsidRPr="6CAB1898">
        <w:rPr>
          <w:lang w:val="en-US"/>
        </w:rPr>
        <w:t>,</w:t>
      </w:r>
      <w:r w:rsidR="000812C2" w:rsidRPr="6CAB1898">
        <w:rPr>
          <w:lang w:val="en-US"/>
        </w:rPr>
        <w:t xml:space="preserve"> </w:t>
      </w:r>
      <w:r w:rsidR="42120DD6" w:rsidRPr="6CAB1898">
        <w:rPr>
          <w:lang w:val="en-US"/>
        </w:rPr>
        <w:t>a contract is signed</w:t>
      </w:r>
      <w:r w:rsidR="36B0B8D1" w:rsidRPr="6CAB1898">
        <w:rPr>
          <w:lang w:val="en-US"/>
        </w:rPr>
        <w:t>,</w:t>
      </w:r>
      <w:r w:rsidR="000812C2" w:rsidRPr="6CAB1898">
        <w:rPr>
          <w:lang w:val="en-US"/>
        </w:rPr>
        <w:t xml:space="preserve"> </w:t>
      </w:r>
      <w:r w:rsidR="75CCC9C1" w:rsidRPr="6CAB1898">
        <w:rPr>
          <w:lang w:val="en-US"/>
        </w:rPr>
        <w:t xml:space="preserve">and </w:t>
      </w:r>
      <w:r w:rsidR="000812C2" w:rsidRPr="6CAB1898">
        <w:rPr>
          <w:lang w:val="en-US"/>
        </w:rPr>
        <w:t>the CICG is ultimately not used to host RA-27 and WRC-27, ITU will incur increasing penalties (depending on the actual date of cancellation) up to a maximum of CHF</w:t>
      </w:r>
      <w:r w:rsidR="004D6F76" w:rsidRPr="6CAB1898">
        <w:rPr>
          <w:lang w:val="en-US"/>
        </w:rPr>
        <w:t> </w:t>
      </w:r>
      <w:r w:rsidR="000812C2">
        <w:t>1</w:t>
      </w:r>
      <w:r w:rsidR="004D6F76">
        <w:t> </w:t>
      </w:r>
      <w:r w:rsidR="000812C2">
        <w:t>789</w:t>
      </w:r>
      <w:r w:rsidR="004D6F76">
        <w:t> </w:t>
      </w:r>
      <w:r w:rsidR="000812C2">
        <w:t>650</w:t>
      </w:r>
      <w:r w:rsidR="004D6F76">
        <w:t>,</w:t>
      </w:r>
      <w:r w:rsidR="000812C2">
        <w:t xml:space="preserve"> corresponding to the total cost of </w:t>
      </w:r>
      <w:r w:rsidR="2106174C">
        <w:t>rental</w:t>
      </w:r>
      <w:r w:rsidR="000812C2" w:rsidRPr="6CAB1898">
        <w:rPr>
          <w:lang w:val="en-US"/>
        </w:rPr>
        <w:t>.</w:t>
      </w:r>
    </w:p>
    <w:p w14:paraId="5BC59282" w14:textId="66C444A8" w:rsidR="000812C2" w:rsidRDefault="000812C2" w:rsidP="008D6FB8">
      <w:pPr>
        <w:tabs>
          <w:tab w:val="clear" w:pos="567"/>
          <w:tab w:val="clear" w:pos="1134"/>
          <w:tab w:val="clear" w:pos="1701"/>
          <w:tab w:val="clear" w:pos="2268"/>
          <w:tab w:val="clear" w:pos="2835"/>
        </w:tabs>
        <w:spacing w:after="120"/>
        <w:jc w:val="both"/>
        <w:rPr>
          <w:lang w:val="en-US"/>
        </w:rPr>
      </w:pPr>
      <w:bookmarkStart w:id="11" w:name="_Hlk196753330"/>
      <w:r>
        <w:rPr>
          <w:lang w:val="en-US"/>
        </w:rPr>
        <w:t>It is important to note that the deadline for confirming or releasing the CICG booking is 11</w:t>
      </w:r>
      <w:r w:rsidR="00D47AB9">
        <w:rPr>
          <w:lang w:val="en-US"/>
        </w:rPr>
        <w:t> </w:t>
      </w:r>
      <w:r>
        <w:rPr>
          <w:lang w:val="en-US"/>
        </w:rPr>
        <w:t>April</w:t>
      </w:r>
      <w:r w:rsidR="00D47AB9">
        <w:rPr>
          <w:lang w:val="en-US"/>
        </w:rPr>
        <w:t> </w:t>
      </w:r>
      <w:r>
        <w:rPr>
          <w:lang w:val="en-US"/>
        </w:rPr>
        <w:t>2026, which is prior to the scheduled 2026 Council session.</w:t>
      </w:r>
      <w:bookmarkEnd w:id="11"/>
    </w:p>
    <w:p w14:paraId="1EAE7A50" w14:textId="77777777" w:rsidR="000812C2" w:rsidRDefault="000812C2" w:rsidP="008D6FB8">
      <w:pPr>
        <w:pStyle w:val="Heading1"/>
        <w:numPr>
          <w:ilvl w:val="0"/>
          <w:numId w:val="2"/>
        </w:numPr>
        <w:tabs>
          <w:tab w:val="clear" w:pos="567"/>
          <w:tab w:val="clear" w:pos="1134"/>
          <w:tab w:val="clear" w:pos="1701"/>
          <w:tab w:val="clear" w:pos="2268"/>
          <w:tab w:val="clear" w:pos="2835"/>
        </w:tabs>
        <w:spacing w:after="120"/>
        <w:ind w:left="0" w:firstLine="0"/>
        <w:jc w:val="both"/>
      </w:pPr>
      <w:r w:rsidRPr="000812C2">
        <w:t>Conference preparation</w:t>
      </w:r>
    </w:p>
    <w:p w14:paraId="0A26BB5C" w14:textId="0B36AF55" w:rsidR="000812C2" w:rsidRPr="00950DA1" w:rsidRDefault="000812C2" w:rsidP="008D6FB8">
      <w:pPr>
        <w:tabs>
          <w:tab w:val="clear" w:pos="567"/>
          <w:tab w:val="clear" w:pos="1134"/>
          <w:tab w:val="clear" w:pos="1701"/>
          <w:tab w:val="clear" w:pos="2268"/>
          <w:tab w:val="clear" w:pos="2835"/>
        </w:tabs>
        <w:spacing w:after="120"/>
        <w:jc w:val="both"/>
        <w:rPr>
          <w:lang w:val="en-US"/>
        </w:rPr>
      </w:pPr>
      <w:r>
        <w:rPr>
          <w:lang w:val="en-US"/>
        </w:rPr>
        <w:t>The preparation of the WRC-27 and associated events requires a two-year preparation period to ensure all necessary requirements are in place, such as the adequate provision of premises, facilities and services, security and safety measures, local staff engagement, travel and transportation arrangements, etc.</w:t>
      </w:r>
    </w:p>
    <w:p w14:paraId="0AEE768A" w14:textId="77777777" w:rsidR="000812C2" w:rsidRDefault="000812C2" w:rsidP="008D6FB8">
      <w:pPr>
        <w:pStyle w:val="Heading1"/>
        <w:numPr>
          <w:ilvl w:val="0"/>
          <w:numId w:val="2"/>
        </w:numPr>
        <w:tabs>
          <w:tab w:val="clear" w:pos="567"/>
          <w:tab w:val="clear" w:pos="1134"/>
          <w:tab w:val="clear" w:pos="1701"/>
          <w:tab w:val="clear" w:pos="2268"/>
          <w:tab w:val="clear" w:pos="2835"/>
        </w:tabs>
        <w:spacing w:after="120"/>
        <w:ind w:left="0" w:firstLine="0"/>
        <w:jc w:val="both"/>
      </w:pPr>
      <w:r w:rsidRPr="000812C2">
        <w:t>Conclusion</w:t>
      </w:r>
    </w:p>
    <w:p w14:paraId="794655DC" w14:textId="77777777"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With Rwanda’s building plans and China’s current facilities, both offers comply in principle with the minimum requirements for the organization of the WRC-27 and its associated events.</w:t>
      </w:r>
    </w:p>
    <w:p w14:paraId="1A58CEF0" w14:textId="7519BF8A" w:rsidR="000812C2" w:rsidRDefault="000812C2" w:rsidP="008D6FB8">
      <w:pPr>
        <w:tabs>
          <w:tab w:val="clear" w:pos="567"/>
          <w:tab w:val="clear" w:pos="1134"/>
          <w:tab w:val="clear" w:pos="1701"/>
          <w:tab w:val="clear" w:pos="2268"/>
          <w:tab w:val="clear" w:pos="2835"/>
        </w:tabs>
        <w:spacing w:after="120"/>
        <w:jc w:val="both"/>
        <w:rPr>
          <w:lang w:val="en-US"/>
        </w:rPr>
      </w:pPr>
      <w:r>
        <w:rPr>
          <w:lang w:val="en-US"/>
        </w:rPr>
        <w:t xml:space="preserve">Considering the complexities behind the organization of a WRC, either Administration would need at least two years to work with the ITU team to properly prepare for such an event. In </w:t>
      </w:r>
      <w:r>
        <w:rPr>
          <w:lang w:val="en-US"/>
        </w:rPr>
        <w:lastRenderedPageBreak/>
        <w:t>addition, ITU must confirm or release the existing booking of the CICG at the beginning of April 2026 at the latest.</w:t>
      </w:r>
    </w:p>
    <w:p w14:paraId="5C0783F5" w14:textId="041A869F" w:rsidR="000812C2" w:rsidRDefault="000812C2" w:rsidP="008D6FB8">
      <w:pPr>
        <w:tabs>
          <w:tab w:val="clear" w:pos="567"/>
          <w:tab w:val="clear" w:pos="1134"/>
          <w:tab w:val="clear" w:pos="1701"/>
          <w:tab w:val="clear" w:pos="2268"/>
          <w:tab w:val="clear" w:pos="2835"/>
        </w:tabs>
        <w:spacing w:after="120"/>
        <w:jc w:val="both"/>
        <w:rPr>
          <w:lang w:val="en-US"/>
        </w:rPr>
      </w:pPr>
      <w:r w:rsidRPr="596672C7">
        <w:rPr>
          <w:lang w:val="en-US"/>
        </w:rPr>
        <w:t xml:space="preserve">In view of the above, the Council is invited to </w:t>
      </w:r>
      <w:proofErr w:type="gramStart"/>
      <w:r w:rsidRPr="596672C7">
        <w:rPr>
          <w:lang w:val="en-US"/>
        </w:rPr>
        <w:t>make a decision</w:t>
      </w:r>
      <w:proofErr w:type="gramEnd"/>
      <w:r w:rsidRPr="596672C7">
        <w:rPr>
          <w:lang w:val="en-US"/>
        </w:rPr>
        <w:t xml:space="preserve"> on the venue </w:t>
      </w:r>
      <w:r w:rsidR="01334329" w:rsidRPr="596672C7">
        <w:rPr>
          <w:lang w:val="en-US"/>
        </w:rPr>
        <w:t xml:space="preserve">and the dates </w:t>
      </w:r>
      <w:r w:rsidRPr="596672C7">
        <w:rPr>
          <w:lang w:val="en-US"/>
        </w:rPr>
        <w:t>of the WRC-27 and associated events at its 2025 session</w:t>
      </w:r>
      <w:r w:rsidR="00537F34" w:rsidRPr="596672C7">
        <w:rPr>
          <w:lang w:val="en-US"/>
        </w:rPr>
        <w:t>,</w:t>
      </w:r>
      <w:r w:rsidR="671536B3" w:rsidRPr="596672C7">
        <w:rPr>
          <w:lang w:val="en-US"/>
        </w:rPr>
        <w:t xml:space="preserve"> </w:t>
      </w:r>
      <w:r w:rsidR="00537F34" w:rsidRPr="596672C7">
        <w:rPr>
          <w:lang w:val="en-US"/>
        </w:rPr>
        <w:t xml:space="preserve">as per </w:t>
      </w:r>
      <w:r w:rsidR="008444B4" w:rsidRPr="596672C7">
        <w:rPr>
          <w:lang w:val="en-US"/>
        </w:rPr>
        <w:t>the draft decision annexed to this document</w:t>
      </w:r>
      <w:r w:rsidR="13CEFDD9" w:rsidRPr="596672C7">
        <w:rPr>
          <w:lang w:val="en-US"/>
        </w:rPr>
        <w:t xml:space="preserve">, </w:t>
      </w:r>
      <w:proofErr w:type="gramStart"/>
      <w:r w:rsidR="13CEFDD9" w:rsidRPr="596672C7">
        <w:rPr>
          <w:lang w:val="en-US"/>
        </w:rPr>
        <w:t>taking into account</w:t>
      </w:r>
      <w:proofErr w:type="gramEnd"/>
      <w:r w:rsidR="13CEFDD9" w:rsidRPr="596672C7">
        <w:rPr>
          <w:lang w:val="en-US"/>
        </w:rPr>
        <w:t xml:space="preserve"> the venues proposed and existing booking in Geneva, as well as the dates already reserved for the CICG</w:t>
      </w:r>
      <w:r w:rsidRPr="596672C7">
        <w:rPr>
          <w:lang w:val="en-US"/>
        </w:rPr>
        <w:t>.</w:t>
      </w:r>
    </w:p>
    <w:p w14:paraId="4422853D" w14:textId="356BD6D3" w:rsidR="004D6F76" w:rsidRPr="004D6F76" w:rsidRDefault="004D6F76" w:rsidP="004D6F76">
      <w:pPr>
        <w:tabs>
          <w:tab w:val="clear" w:pos="567"/>
          <w:tab w:val="clear" w:pos="1134"/>
          <w:tab w:val="clear" w:pos="1701"/>
          <w:tab w:val="clear" w:pos="2268"/>
          <w:tab w:val="clear" w:pos="2835"/>
        </w:tabs>
        <w:overflowPunct/>
        <w:autoSpaceDE/>
        <w:autoSpaceDN/>
        <w:adjustRightInd/>
        <w:spacing w:before="2160"/>
        <w:textAlignment w:val="auto"/>
        <w:rPr>
          <w:i/>
          <w:iCs/>
        </w:rPr>
      </w:pPr>
      <w:r w:rsidRPr="004D6F76">
        <w:rPr>
          <w:b/>
          <w:bCs/>
          <w:i/>
          <w:iCs/>
        </w:rPr>
        <w:t>Annex:</w:t>
      </w:r>
      <w:r w:rsidRPr="004D6F76">
        <w:rPr>
          <w:i/>
          <w:iCs/>
        </w:rPr>
        <w:t xml:space="preserve"> 1</w:t>
      </w:r>
    </w:p>
    <w:p w14:paraId="1B4650DC" w14:textId="73DB6E47" w:rsidR="005B0B67" w:rsidRDefault="005B0B67">
      <w:pPr>
        <w:tabs>
          <w:tab w:val="clear" w:pos="567"/>
          <w:tab w:val="clear" w:pos="1134"/>
          <w:tab w:val="clear" w:pos="1701"/>
          <w:tab w:val="clear" w:pos="2268"/>
          <w:tab w:val="clear" w:pos="2835"/>
        </w:tabs>
        <w:overflowPunct/>
        <w:autoSpaceDE/>
        <w:autoSpaceDN/>
        <w:adjustRightInd/>
        <w:spacing w:before="0"/>
        <w:textAlignment w:val="auto"/>
      </w:pPr>
      <w:r>
        <w:br w:type="page"/>
      </w:r>
    </w:p>
    <w:p w14:paraId="0D7F1BA5" w14:textId="244733D3" w:rsidR="00EE74E9" w:rsidRDefault="00EE74E9" w:rsidP="00F31ED3">
      <w:pPr>
        <w:pStyle w:val="AnnexNo"/>
      </w:pPr>
      <w:bookmarkStart w:id="12" w:name="Annex"/>
      <w:r>
        <w:lastRenderedPageBreak/>
        <w:t>ANNEX</w:t>
      </w:r>
      <w:bookmarkEnd w:id="12"/>
    </w:p>
    <w:p w14:paraId="1322EEBD" w14:textId="00115487" w:rsidR="00B26460" w:rsidRDefault="00C109DD" w:rsidP="00F31ED3">
      <w:pPr>
        <w:pStyle w:val="AnnexNo"/>
      </w:pPr>
      <w:r w:rsidRPr="00F31ED3">
        <w:t xml:space="preserve">DRAFT </w:t>
      </w:r>
      <w:r w:rsidR="005B0B67" w:rsidRPr="00F31ED3">
        <w:t xml:space="preserve">DECISION </w:t>
      </w:r>
      <w:r w:rsidR="00F31ED3" w:rsidRPr="00F31ED3">
        <w:t>[…]</w:t>
      </w:r>
    </w:p>
    <w:p w14:paraId="0B79118C" w14:textId="527A082B" w:rsidR="004C6751" w:rsidRPr="00C0113A" w:rsidRDefault="005B0B67" w:rsidP="00F31ED3">
      <w:pPr>
        <w:pStyle w:val="Annextitle"/>
      </w:pPr>
      <w:r w:rsidRPr="00C0113A">
        <w:t>Place and dates of the World Radiocommunication Conference (WRC-2</w:t>
      </w:r>
      <w:r w:rsidR="004C6751" w:rsidRPr="00C0113A">
        <w:t>7</w:t>
      </w:r>
      <w:r w:rsidRPr="00C0113A">
        <w:t>) and Radiocommunication Assembly (RA-2</w:t>
      </w:r>
      <w:r w:rsidR="004C6751" w:rsidRPr="00C0113A">
        <w:t>7</w:t>
      </w:r>
      <w:r w:rsidRPr="00C0113A">
        <w:t>)</w:t>
      </w:r>
    </w:p>
    <w:p w14:paraId="04C2F2AE" w14:textId="6B8DBDF0" w:rsidR="004C6751" w:rsidRDefault="005B0B67" w:rsidP="00F31ED3">
      <w:pPr>
        <w:pStyle w:val="Normalaftertitle"/>
      </w:pPr>
      <w:r w:rsidRPr="005B0B67">
        <w:t>The ITU Council,</w:t>
      </w:r>
    </w:p>
    <w:p w14:paraId="7B06336C" w14:textId="6D16C85C" w:rsidR="004C6751" w:rsidRPr="00D4662B" w:rsidRDefault="005B0B67" w:rsidP="00F31ED3">
      <w:pPr>
        <w:pStyle w:val="Call"/>
      </w:pPr>
      <w:r w:rsidRPr="00D4662B">
        <w:t>noting</w:t>
      </w:r>
    </w:p>
    <w:p w14:paraId="7239481C" w14:textId="4E466ECB" w:rsidR="004C6751" w:rsidRDefault="005B0B67" w:rsidP="004C6751">
      <w:r w:rsidRPr="005B0B67">
        <w:t>that Resolution 81</w:t>
      </w:r>
      <w:r w:rsidR="00D4662B">
        <w:t>3</w:t>
      </w:r>
      <w:r w:rsidRPr="005B0B67">
        <w:t xml:space="preserve"> of the World Radiocommunication Conference (</w:t>
      </w:r>
      <w:r w:rsidR="00D4662B">
        <w:t>Dubai</w:t>
      </w:r>
      <w:r w:rsidRPr="005B0B67">
        <w:t>, 20</w:t>
      </w:r>
      <w:r w:rsidR="00D4662B">
        <w:t>23</w:t>
      </w:r>
      <w:r w:rsidRPr="005B0B67">
        <w:t xml:space="preserve">): </w:t>
      </w:r>
    </w:p>
    <w:p w14:paraId="2C4464F1" w14:textId="26F38173" w:rsidR="004C6751" w:rsidRDefault="005B0B67" w:rsidP="004C6751">
      <w:r w:rsidRPr="00F31ED3">
        <w:rPr>
          <w:i/>
          <w:iCs/>
        </w:rPr>
        <w:t>a)</w:t>
      </w:r>
      <w:r w:rsidR="00D4662B">
        <w:tab/>
      </w:r>
      <w:r w:rsidRPr="005B0B67">
        <w:t>resolved to recommend to the Council that a world radiocommunication conference be held in 202</w:t>
      </w:r>
      <w:r w:rsidR="00D4662B">
        <w:t>7</w:t>
      </w:r>
      <w:r w:rsidRPr="005B0B67">
        <w:t xml:space="preserve"> for a maximum period of four </w:t>
      </w:r>
      <w:proofErr w:type="gramStart"/>
      <w:r w:rsidRPr="005B0B67">
        <w:t>weeks;</w:t>
      </w:r>
      <w:proofErr w:type="gramEnd"/>
    </w:p>
    <w:p w14:paraId="0B71358A" w14:textId="029B373E" w:rsidR="00651922" w:rsidRDefault="005B0B67" w:rsidP="004C6751">
      <w:r w:rsidRPr="00F31ED3">
        <w:rPr>
          <w:i/>
          <w:iCs/>
        </w:rPr>
        <w:t>b)</w:t>
      </w:r>
      <w:r w:rsidR="00D4662B">
        <w:tab/>
      </w:r>
      <w:r w:rsidRPr="005B0B67">
        <w:t>recommended its agenda, and invited the Council to finalize the agenda and arrange for the convening of the 202</w:t>
      </w:r>
      <w:r w:rsidR="001E3AAA">
        <w:t>7</w:t>
      </w:r>
      <w:r w:rsidRPr="005B0B67">
        <w:t xml:space="preserve"> World Radiocommunication Conference (WRC-</w:t>
      </w:r>
      <w:r w:rsidR="001E3AAA">
        <w:t>27</w:t>
      </w:r>
      <w:r w:rsidRPr="005B0B67">
        <w:t>) and to initiate as soon as possible the necessary consultation with the Member States,</w:t>
      </w:r>
    </w:p>
    <w:p w14:paraId="0582EE4A" w14:textId="7580E67A" w:rsidR="00651922" w:rsidRPr="001E3AAA" w:rsidRDefault="005B0B67" w:rsidP="00F31ED3">
      <w:pPr>
        <w:pStyle w:val="Call"/>
      </w:pPr>
      <w:r w:rsidRPr="001E3AAA">
        <w:t>noting further</w:t>
      </w:r>
    </w:p>
    <w:p w14:paraId="07F0959C" w14:textId="6567F28B" w:rsidR="00651922" w:rsidRDefault="005B0B67" w:rsidP="004C6751">
      <w:r w:rsidRPr="005B0B67">
        <w:t xml:space="preserve">Council Resolution </w:t>
      </w:r>
      <w:r w:rsidR="00F21CB7">
        <w:t>1422</w:t>
      </w:r>
      <w:r w:rsidR="00F31ED3">
        <w:t xml:space="preserve"> (C24)</w:t>
      </w:r>
      <w:r w:rsidRPr="005B0B67">
        <w:t xml:space="preserve">, which received the agreement of </w:t>
      </w:r>
      <w:proofErr w:type="gramStart"/>
      <w:r w:rsidRPr="005B0B67">
        <w:t>the required majority of</w:t>
      </w:r>
      <w:proofErr w:type="gramEnd"/>
      <w:r w:rsidRPr="005B0B67">
        <w:t xml:space="preserve"> the Member States of ITU, established the agenda of the WRC-2</w:t>
      </w:r>
      <w:r w:rsidR="00F21CB7">
        <w:t>7</w:t>
      </w:r>
      <w:r w:rsidRPr="005B0B67">
        <w:t>,</w:t>
      </w:r>
    </w:p>
    <w:p w14:paraId="571A23D4" w14:textId="0B026247" w:rsidR="00651922" w:rsidRPr="00F21CB7" w:rsidRDefault="005B0B67" w:rsidP="00F31ED3">
      <w:pPr>
        <w:pStyle w:val="Call"/>
      </w:pPr>
      <w:r w:rsidRPr="00F21CB7">
        <w:t>decides</w:t>
      </w:r>
    </w:p>
    <w:p w14:paraId="68CB865B" w14:textId="16106909" w:rsidR="00651922" w:rsidRDefault="005B0B67" w:rsidP="004C6751">
      <w:r w:rsidRPr="005B0B67">
        <w:t xml:space="preserve">that, subject to the concurrence of </w:t>
      </w:r>
      <w:proofErr w:type="gramStart"/>
      <w:r w:rsidRPr="005B0B67">
        <w:t>the majority of</w:t>
      </w:r>
      <w:proofErr w:type="gramEnd"/>
      <w:r w:rsidRPr="005B0B67">
        <w:t xml:space="preserve"> the Member States of the Union, the next World Radiocommunication Conference will take place </w:t>
      </w:r>
      <w:r w:rsidR="000137B4" w:rsidRPr="00D47AB9">
        <w:t xml:space="preserve">in </w:t>
      </w:r>
      <w:r w:rsidR="008800B9" w:rsidRPr="00D47AB9">
        <w:t>[LOCATION]</w:t>
      </w:r>
      <w:r w:rsidRPr="00D47AB9">
        <w:t xml:space="preserve"> from </w:t>
      </w:r>
      <w:r w:rsidR="008800B9" w:rsidRPr="00D47AB9">
        <w:t xml:space="preserve">[DATES </w:t>
      </w:r>
      <w:r w:rsidRPr="00D47AB9">
        <w:t>202</w:t>
      </w:r>
      <w:r w:rsidR="008800B9" w:rsidRPr="00D47AB9">
        <w:t>7]</w:t>
      </w:r>
      <w:r w:rsidRPr="00D47AB9">
        <w:t>, preceded by the 202</w:t>
      </w:r>
      <w:r w:rsidR="008800B9" w:rsidRPr="00D47AB9">
        <w:t>7</w:t>
      </w:r>
      <w:r w:rsidRPr="00D47AB9">
        <w:t xml:space="preserve"> Radiocommunication Assembly (RA-2</w:t>
      </w:r>
      <w:r w:rsidR="008800B9" w:rsidRPr="00D47AB9">
        <w:t>7</w:t>
      </w:r>
      <w:r w:rsidRPr="00D47AB9">
        <w:t xml:space="preserve">) from </w:t>
      </w:r>
      <w:r w:rsidR="008800B9" w:rsidRPr="00D47AB9">
        <w:t>[DATES 2027]</w:t>
      </w:r>
      <w:r w:rsidRPr="00D47AB9">
        <w:t>,</w:t>
      </w:r>
      <w:r w:rsidRPr="005B0B67">
        <w:t xml:space="preserve"> </w:t>
      </w:r>
    </w:p>
    <w:p w14:paraId="3BD4E4D7" w14:textId="6E4292B0" w:rsidR="00C0113A" w:rsidRDefault="005B0B67" w:rsidP="00F31ED3">
      <w:pPr>
        <w:pStyle w:val="Call"/>
      </w:pPr>
      <w:r w:rsidRPr="005B0B67">
        <w:t>instructs the Secretary-General</w:t>
      </w:r>
    </w:p>
    <w:p w14:paraId="60576DDC" w14:textId="7489BF28" w:rsidR="00C0113A" w:rsidRDefault="00C0113A" w:rsidP="004C6751">
      <w:r>
        <w:t>1</w:t>
      </w:r>
      <w:r w:rsidR="000137B4">
        <w:tab/>
      </w:r>
      <w:r w:rsidR="005B0B67" w:rsidRPr="00F31ED3">
        <w:rPr>
          <w:spacing w:val="-2"/>
        </w:rPr>
        <w:t>to carry out a consultation with all Member States on the exact dates and place</w:t>
      </w:r>
      <w:r w:rsidR="005B0B67" w:rsidRPr="005B0B67">
        <w:t xml:space="preserve"> of RA-2</w:t>
      </w:r>
      <w:r w:rsidR="000137B4">
        <w:t>7</w:t>
      </w:r>
      <w:r w:rsidR="005B0B67" w:rsidRPr="005B0B67">
        <w:t xml:space="preserve"> and </w:t>
      </w:r>
      <w:r w:rsidRPr="005B0B67">
        <w:t>WRC-</w:t>
      </w:r>
      <w:proofErr w:type="gramStart"/>
      <w:r w:rsidRPr="005B0B67">
        <w:t>2</w:t>
      </w:r>
      <w:r w:rsidR="000137B4">
        <w:t>7</w:t>
      </w:r>
      <w:r w:rsidRPr="005B0B67">
        <w:t>;</w:t>
      </w:r>
      <w:proofErr w:type="gramEnd"/>
    </w:p>
    <w:p w14:paraId="4B45FD2E" w14:textId="1D894DCF" w:rsidR="00C0113A" w:rsidRDefault="00C0113A" w:rsidP="004C6751">
      <w:r>
        <w:t>2</w:t>
      </w:r>
      <w:r w:rsidR="000137B4">
        <w:tab/>
      </w:r>
      <w:r w:rsidR="005B0B67" w:rsidRPr="005B0B67">
        <w:t xml:space="preserve">to make all the necessary arrangements, in agreement with the Director of the Radiocommunication Bureau, for the convening of the Conference. </w:t>
      </w:r>
    </w:p>
    <w:p w14:paraId="35C6D0A5" w14:textId="47CE77E8" w:rsidR="007A3FCD" w:rsidRPr="00C0458D" w:rsidRDefault="007A3FCD" w:rsidP="00F31ED3">
      <w:pPr>
        <w:spacing w:before="720"/>
        <w:jc w:val="center"/>
      </w:pPr>
      <w:r>
        <w:t>______________</w:t>
      </w:r>
    </w:p>
    <w:sectPr w:rsidR="007A3FCD" w:rsidRPr="00C0458D" w:rsidSect="00AD3606">
      <w:headerReference w:type="default" r:id="rId1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125E" w14:textId="77777777" w:rsidR="004922FA" w:rsidRDefault="004922FA">
      <w:r>
        <w:separator/>
      </w:r>
    </w:p>
  </w:endnote>
  <w:endnote w:type="continuationSeparator" w:id="0">
    <w:p w14:paraId="4AFA47DC" w14:textId="77777777" w:rsidR="004922FA" w:rsidRDefault="004922FA">
      <w:r>
        <w:continuationSeparator/>
      </w:r>
    </w:p>
  </w:endnote>
  <w:endnote w:type="continuationNotice" w:id="1">
    <w:p w14:paraId="67A4A0C8" w14:textId="77777777" w:rsidR="004922FA" w:rsidRDefault="004922F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02455D">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5A3AB7AE"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F31ED3">
            <w:rPr>
              <w:bCs/>
            </w:rPr>
            <w:t>58</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78CFDD27"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F31ED3">
            <w:rPr>
              <w:bCs/>
            </w:rPr>
            <w:t>58</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AB20" w14:textId="77777777" w:rsidR="004922FA" w:rsidRDefault="004922FA">
      <w:r>
        <w:t>____________________</w:t>
      </w:r>
    </w:p>
  </w:footnote>
  <w:footnote w:type="continuationSeparator" w:id="0">
    <w:p w14:paraId="2B4F1706" w14:textId="77777777" w:rsidR="004922FA" w:rsidRDefault="004922FA">
      <w:r>
        <w:continuationSeparator/>
      </w:r>
    </w:p>
  </w:footnote>
  <w:footnote w:type="continuationNotice" w:id="1">
    <w:p w14:paraId="06477003" w14:textId="77777777" w:rsidR="004922FA" w:rsidRDefault="004922F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146925F" w14:paraId="26541EC4" w14:textId="77777777" w:rsidTr="3146925F">
      <w:trPr>
        <w:trHeight w:val="300"/>
      </w:trPr>
      <w:tc>
        <w:tcPr>
          <w:tcW w:w="3020" w:type="dxa"/>
        </w:tcPr>
        <w:p w14:paraId="45714FB8" w14:textId="1AE5A1F4" w:rsidR="3146925F" w:rsidRDefault="3146925F" w:rsidP="3146925F">
          <w:pPr>
            <w:pStyle w:val="Header"/>
            <w:ind w:left="-115"/>
            <w:jc w:val="left"/>
          </w:pPr>
        </w:p>
      </w:tc>
      <w:tc>
        <w:tcPr>
          <w:tcW w:w="3020" w:type="dxa"/>
        </w:tcPr>
        <w:p w14:paraId="512B3549" w14:textId="1748C652" w:rsidR="3146925F" w:rsidRDefault="3146925F" w:rsidP="3146925F">
          <w:pPr>
            <w:pStyle w:val="Header"/>
          </w:pPr>
        </w:p>
      </w:tc>
      <w:tc>
        <w:tcPr>
          <w:tcW w:w="3020" w:type="dxa"/>
        </w:tcPr>
        <w:p w14:paraId="3BC02BA2" w14:textId="03978289" w:rsidR="3146925F" w:rsidRDefault="3146925F" w:rsidP="3146925F">
          <w:pPr>
            <w:pStyle w:val="Header"/>
            <w:ind w:right="-115"/>
            <w:jc w:val="right"/>
          </w:pPr>
        </w:p>
      </w:tc>
    </w:tr>
  </w:tbl>
  <w:p w14:paraId="21159D4A" w14:textId="28B96120" w:rsidR="3146925F" w:rsidRDefault="3146925F" w:rsidP="31469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02455D">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3"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FB5BA"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7797"/>
        </w:tabs>
        <w:ind w:left="7797" w:hanging="360"/>
      </w:pPr>
      <w:rPr>
        <w:rFonts w:ascii="Symbol" w:hAnsi="Symbol" w:hint="default"/>
      </w:rPr>
    </w:lvl>
  </w:abstractNum>
  <w:abstractNum w:abstractNumId="1" w15:restartNumberingAfterBreak="0">
    <w:nsid w:val="275F302B"/>
    <w:multiLevelType w:val="hybridMultilevel"/>
    <w:tmpl w:val="4B3E0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B023B5"/>
    <w:multiLevelType w:val="hybridMultilevel"/>
    <w:tmpl w:val="D6D2CF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4816267">
    <w:abstractNumId w:val="0"/>
  </w:num>
  <w:num w:numId="2" w16cid:durableId="628976584">
    <w:abstractNumId w:val="1"/>
  </w:num>
  <w:num w:numId="3" w16cid:durableId="65118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04CF"/>
    <w:rsid w:val="00001F2A"/>
    <w:rsid w:val="000137B4"/>
    <w:rsid w:val="000143E9"/>
    <w:rsid w:val="000210D4"/>
    <w:rsid w:val="0002455D"/>
    <w:rsid w:val="000247B1"/>
    <w:rsid w:val="00025CF2"/>
    <w:rsid w:val="0003048C"/>
    <w:rsid w:val="000308EC"/>
    <w:rsid w:val="00033657"/>
    <w:rsid w:val="00036E85"/>
    <w:rsid w:val="00041302"/>
    <w:rsid w:val="0006007D"/>
    <w:rsid w:val="00063016"/>
    <w:rsid w:val="00066795"/>
    <w:rsid w:val="000745AB"/>
    <w:rsid w:val="00076AF6"/>
    <w:rsid w:val="00077335"/>
    <w:rsid w:val="000812C2"/>
    <w:rsid w:val="00085CF2"/>
    <w:rsid w:val="000B1705"/>
    <w:rsid w:val="000C1241"/>
    <w:rsid w:val="000D4F6A"/>
    <w:rsid w:val="000D6A3B"/>
    <w:rsid w:val="000D75B2"/>
    <w:rsid w:val="000E1C0B"/>
    <w:rsid w:val="000E2733"/>
    <w:rsid w:val="000E679B"/>
    <w:rsid w:val="000F5DDB"/>
    <w:rsid w:val="000F7289"/>
    <w:rsid w:val="001121F5"/>
    <w:rsid w:val="00121F5D"/>
    <w:rsid w:val="00132156"/>
    <w:rsid w:val="001400DC"/>
    <w:rsid w:val="00140CE1"/>
    <w:rsid w:val="00141F16"/>
    <w:rsid w:val="00146299"/>
    <w:rsid w:val="001672E7"/>
    <w:rsid w:val="00167E5C"/>
    <w:rsid w:val="0017539C"/>
    <w:rsid w:val="00175AC2"/>
    <w:rsid w:val="0017609F"/>
    <w:rsid w:val="0018287C"/>
    <w:rsid w:val="001A3154"/>
    <w:rsid w:val="001A6EF9"/>
    <w:rsid w:val="001A7D1D"/>
    <w:rsid w:val="001B51DD"/>
    <w:rsid w:val="001C628E"/>
    <w:rsid w:val="001C6D23"/>
    <w:rsid w:val="001D2AF8"/>
    <w:rsid w:val="001E0F7B"/>
    <w:rsid w:val="001E3AAA"/>
    <w:rsid w:val="001F5569"/>
    <w:rsid w:val="00201525"/>
    <w:rsid w:val="002043CD"/>
    <w:rsid w:val="002119FD"/>
    <w:rsid w:val="002130E0"/>
    <w:rsid w:val="002143DD"/>
    <w:rsid w:val="00221F46"/>
    <w:rsid w:val="00252208"/>
    <w:rsid w:val="002569B3"/>
    <w:rsid w:val="00256E22"/>
    <w:rsid w:val="00264425"/>
    <w:rsid w:val="0026555F"/>
    <w:rsid w:val="00265875"/>
    <w:rsid w:val="00270E14"/>
    <w:rsid w:val="00271F50"/>
    <w:rsid w:val="0027303B"/>
    <w:rsid w:val="0028109B"/>
    <w:rsid w:val="002A2188"/>
    <w:rsid w:val="002B1EEE"/>
    <w:rsid w:val="002B1F58"/>
    <w:rsid w:val="002C16A5"/>
    <w:rsid w:val="002C1C7A"/>
    <w:rsid w:val="002C54E2"/>
    <w:rsid w:val="002D3D45"/>
    <w:rsid w:val="002D4EC3"/>
    <w:rsid w:val="002E22AC"/>
    <w:rsid w:val="0030160F"/>
    <w:rsid w:val="003133EA"/>
    <w:rsid w:val="00320223"/>
    <w:rsid w:val="00322D0D"/>
    <w:rsid w:val="00361465"/>
    <w:rsid w:val="00361CB1"/>
    <w:rsid w:val="00384392"/>
    <w:rsid w:val="003877F5"/>
    <w:rsid w:val="003936D3"/>
    <w:rsid w:val="003942D4"/>
    <w:rsid w:val="003958A8"/>
    <w:rsid w:val="0039620B"/>
    <w:rsid w:val="003B2026"/>
    <w:rsid w:val="003B29C2"/>
    <w:rsid w:val="003C0A22"/>
    <w:rsid w:val="003C15D5"/>
    <w:rsid w:val="003C2533"/>
    <w:rsid w:val="003D2EF9"/>
    <w:rsid w:val="003D5A7F"/>
    <w:rsid w:val="003D79A7"/>
    <w:rsid w:val="003E1008"/>
    <w:rsid w:val="003E4F13"/>
    <w:rsid w:val="003E5D45"/>
    <w:rsid w:val="003F4347"/>
    <w:rsid w:val="003F691A"/>
    <w:rsid w:val="003F6DDA"/>
    <w:rsid w:val="0040435A"/>
    <w:rsid w:val="00416A24"/>
    <w:rsid w:val="0042094A"/>
    <w:rsid w:val="00427BFF"/>
    <w:rsid w:val="00431D9E"/>
    <w:rsid w:val="00433CE8"/>
    <w:rsid w:val="00434A5C"/>
    <w:rsid w:val="00445FE4"/>
    <w:rsid w:val="00447815"/>
    <w:rsid w:val="00453079"/>
    <w:rsid w:val="004544D9"/>
    <w:rsid w:val="00457455"/>
    <w:rsid w:val="00462487"/>
    <w:rsid w:val="00467F12"/>
    <w:rsid w:val="00472BAD"/>
    <w:rsid w:val="0047300D"/>
    <w:rsid w:val="004811F8"/>
    <w:rsid w:val="00484009"/>
    <w:rsid w:val="00485264"/>
    <w:rsid w:val="00490E72"/>
    <w:rsid w:val="00491157"/>
    <w:rsid w:val="00491516"/>
    <w:rsid w:val="00491BA9"/>
    <w:rsid w:val="004921C8"/>
    <w:rsid w:val="004922FA"/>
    <w:rsid w:val="00495B0B"/>
    <w:rsid w:val="004A1B8B"/>
    <w:rsid w:val="004B25A1"/>
    <w:rsid w:val="004B3230"/>
    <w:rsid w:val="004C049F"/>
    <w:rsid w:val="004C6751"/>
    <w:rsid w:val="004C6C3B"/>
    <w:rsid w:val="004D1851"/>
    <w:rsid w:val="004D599D"/>
    <w:rsid w:val="004D6F76"/>
    <w:rsid w:val="004E2EA5"/>
    <w:rsid w:val="004E3AEB"/>
    <w:rsid w:val="004E660C"/>
    <w:rsid w:val="004F20F1"/>
    <w:rsid w:val="004F62DE"/>
    <w:rsid w:val="004F7005"/>
    <w:rsid w:val="0050223C"/>
    <w:rsid w:val="0050741B"/>
    <w:rsid w:val="00507E3B"/>
    <w:rsid w:val="0052145D"/>
    <w:rsid w:val="005243FF"/>
    <w:rsid w:val="005262DC"/>
    <w:rsid w:val="00533B4A"/>
    <w:rsid w:val="00537F34"/>
    <w:rsid w:val="0054569C"/>
    <w:rsid w:val="00563325"/>
    <w:rsid w:val="00564FBC"/>
    <w:rsid w:val="005800BC"/>
    <w:rsid w:val="00580188"/>
    <w:rsid w:val="00582442"/>
    <w:rsid w:val="005A3DCE"/>
    <w:rsid w:val="005A727B"/>
    <w:rsid w:val="005B0B67"/>
    <w:rsid w:val="005B6352"/>
    <w:rsid w:val="005C3648"/>
    <w:rsid w:val="005E71EA"/>
    <w:rsid w:val="005F0734"/>
    <w:rsid w:val="005F3269"/>
    <w:rsid w:val="005F3F04"/>
    <w:rsid w:val="006220B4"/>
    <w:rsid w:val="00623AE3"/>
    <w:rsid w:val="00625B90"/>
    <w:rsid w:val="00630C4D"/>
    <w:rsid w:val="00641F63"/>
    <w:rsid w:val="00644EC6"/>
    <w:rsid w:val="0064737F"/>
    <w:rsid w:val="00651922"/>
    <w:rsid w:val="006535F1"/>
    <w:rsid w:val="0065557D"/>
    <w:rsid w:val="00660D50"/>
    <w:rsid w:val="00662984"/>
    <w:rsid w:val="00666006"/>
    <w:rsid w:val="006716BB"/>
    <w:rsid w:val="006A2838"/>
    <w:rsid w:val="006B1859"/>
    <w:rsid w:val="006B3863"/>
    <w:rsid w:val="006B6680"/>
    <w:rsid w:val="006B6DCC"/>
    <w:rsid w:val="006B77F1"/>
    <w:rsid w:val="006C5ECF"/>
    <w:rsid w:val="006E1497"/>
    <w:rsid w:val="006E6BF7"/>
    <w:rsid w:val="006F4721"/>
    <w:rsid w:val="006F7329"/>
    <w:rsid w:val="006F7A76"/>
    <w:rsid w:val="00702DEF"/>
    <w:rsid w:val="00705F4D"/>
    <w:rsid w:val="00706861"/>
    <w:rsid w:val="00716C20"/>
    <w:rsid w:val="00722551"/>
    <w:rsid w:val="0072353C"/>
    <w:rsid w:val="00735CF1"/>
    <w:rsid w:val="00737B59"/>
    <w:rsid w:val="00742A47"/>
    <w:rsid w:val="0075051B"/>
    <w:rsid w:val="00765150"/>
    <w:rsid w:val="0077110E"/>
    <w:rsid w:val="00793188"/>
    <w:rsid w:val="00794D34"/>
    <w:rsid w:val="007A3FCD"/>
    <w:rsid w:val="007B19CF"/>
    <w:rsid w:val="007B6CDC"/>
    <w:rsid w:val="007C08A0"/>
    <w:rsid w:val="007C2550"/>
    <w:rsid w:val="007D01AF"/>
    <w:rsid w:val="007D2DE2"/>
    <w:rsid w:val="007D5E80"/>
    <w:rsid w:val="007E1C2D"/>
    <w:rsid w:val="008064B9"/>
    <w:rsid w:val="00813E5E"/>
    <w:rsid w:val="0083581B"/>
    <w:rsid w:val="0084259D"/>
    <w:rsid w:val="008444B4"/>
    <w:rsid w:val="00844981"/>
    <w:rsid w:val="00845778"/>
    <w:rsid w:val="00853439"/>
    <w:rsid w:val="0085482D"/>
    <w:rsid w:val="00863874"/>
    <w:rsid w:val="00864AFF"/>
    <w:rsid w:val="00865925"/>
    <w:rsid w:val="008701DB"/>
    <w:rsid w:val="008800B9"/>
    <w:rsid w:val="00880BC4"/>
    <w:rsid w:val="00881A2E"/>
    <w:rsid w:val="008B2FF1"/>
    <w:rsid w:val="008B4A6A"/>
    <w:rsid w:val="008C2BBF"/>
    <w:rsid w:val="008C7E27"/>
    <w:rsid w:val="008D1DDC"/>
    <w:rsid w:val="008D4E3B"/>
    <w:rsid w:val="008D6FB8"/>
    <w:rsid w:val="008E4533"/>
    <w:rsid w:val="008F7448"/>
    <w:rsid w:val="0090147A"/>
    <w:rsid w:val="0090547A"/>
    <w:rsid w:val="00916C23"/>
    <w:rsid w:val="009173EF"/>
    <w:rsid w:val="00921990"/>
    <w:rsid w:val="0092229E"/>
    <w:rsid w:val="00932906"/>
    <w:rsid w:val="00961B0B"/>
    <w:rsid w:val="00961DC6"/>
    <w:rsid w:val="00962D33"/>
    <w:rsid w:val="00973060"/>
    <w:rsid w:val="00986E9D"/>
    <w:rsid w:val="00987906"/>
    <w:rsid w:val="009B1BF2"/>
    <w:rsid w:val="009B38C3"/>
    <w:rsid w:val="009B3DD8"/>
    <w:rsid w:val="009C50CD"/>
    <w:rsid w:val="009D788A"/>
    <w:rsid w:val="009E17BD"/>
    <w:rsid w:val="009E485A"/>
    <w:rsid w:val="009F21F0"/>
    <w:rsid w:val="009F3F05"/>
    <w:rsid w:val="00A04CEC"/>
    <w:rsid w:val="00A2082F"/>
    <w:rsid w:val="00A23C23"/>
    <w:rsid w:val="00A2738C"/>
    <w:rsid w:val="00A27F92"/>
    <w:rsid w:val="00A31AB0"/>
    <w:rsid w:val="00A32257"/>
    <w:rsid w:val="00A33051"/>
    <w:rsid w:val="00A36D20"/>
    <w:rsid w:val="00A40F32"/>
    <w:rsid w:val="00A448CF"/>
    <w:rsid w:val="00A514A4"/>
    <w:rsid w:val="00A55622"/>
    <w:rsid w:val="00A72D40"/>
    <w:rsid w:val="00A81A1A"/>
    <w:rsid w:val="00A83502"/>
    <w:rsid w:val="00A94BAB"/>
    <w:rsid w:val="00AA225A"/>
    <w:rsid w:val="00AA5628"/>
    <w:rsid w:val="00AA672C"/>
    <w:rsid w:val="00AB4D87"/>
    <w:rsid w:val="00AC05E3"/>
    <w:rsid w:val="00AC6BF4"/>
    <w:rsid w:val="00AC7A87"/>
    <w:rsid w:val="00AD15B3"/>
    <w:rsid w:val="00AD3606"/>
    <w:rsid w:val="00AD4A3D"/>
    <w:rsid w:val="00AD6026"/>
    <w:rsid w:val="00AD677D"/>
    <w:rsid w:val="00AE31AD"/>
    <w:rsid w:val="00AF6E49"/>
    <w:rsid w:val="00B04A67"/>
    <w:rsid w:val="00B0583C"/>
    <w:rsid w:val="00B26460"/>
    <w:rsid w:val="00B26B78"/>
    <w:rsid w:val="00B40A81"/>
    <w:rsid w:val="00B42DD6"/>
    <w:rsid w:val="00B438A7"/>
    <w:rsid w:val="00B44910"/>
    <w:rsid w:val="00B47D63"/>
    <w:rsid w:val="00B50769"/>
    <w:rsid w:val="00B61DC3"/>
    <w:rsid w:val="00B6613B"/>
    <w:rsid w:val="00B72267"/>
    <w:rsid w:val="00B76E95"/>
    <w:rsid w:val="00B76EB6"/>
    <w:rsid w:val="00B7737B"/>
    <w:rsid w:val="00B81565"/>
    <w:rsid w:val="00B824C8"/>
    <w:rsid w:val="00B84B9D"/>
    <w:rsid w:val="00B9131F"/>
    <w:rsid w:val="00B9527A"/>
    <w:rsid w:val="00BB0646"/>
    <w:rsid w:val="00BB44AA"/>
    <w:rsid w:val="00BB507D"/>
    <w:rsid w:val="00BC251A"/>
    <w:rsid w:val="00BD032B"/>
    <w:rsid w:val="00BE01C6"/>
    <w:rsid w:val="00BE2640"/>
    <w:rsid w:val="00BF1FDE"/>
    <w:rsid w:val="00BF258F"/>
    <w:rsid w:val="00C0113A"/>
    <w:rsid w:val="00C01189"/>
    <w:rsid w:val="00C026D0"/>
    <w:rsid w:val="00C0458D"/>
    <w:rsid w:val="00C109DD"/>
    <w:rsid w:val="00C269BA"/>
    <w:rsid w:val="00C3193B"/>
    <w:rsid w:val="00C35FC9"/>
    <w:rsid w:val="00C37052"/>
    <w:rsid w:val="00C374DE"/>
    <w:rsid w:val="00C47AD4"/>
    <w:rsid w:val="00C52761"/>
    <w:rsid w:val="00C52D81"/>
    <w:rsid w:val="00C55198"/>
    <w:rsid w:val="00C6520B"/>
    <w:rsid w:val="00C861EB"/>
    <w:rsid w:val="00C91915"/>
    <w:rsid w:val="00C9201C"/>
    <w:rsid w:val="00C9617C"/>
    <w:rsid w:val="00C97E7D"/>
    <w:rsid w:val="00CA6393"/>
    <w:rsid w:val="00CA6BA8"/>
    <w:rsid w:val="00CA7995"/>
    <w:rsid w:val="00CB0355"/>
    <w:rsid w:val="00CB18FF"/>
    <w:rsid w:val="00CD0C08"/>
    <w:rsid w:val="00CE03FB"/>
    <w:rsid w:val="00CE433C"/>
    <w:rsid w:val="00CF0161"/>
    <w:rsid w:val="00CF33F3"/>
    <w:rsid w:val="00CF4A2B"/>
    <w:rsid w:val="00CF54A5"/>
    <w:rsid w:val="00D024CA"/>
    <w:rsid w:val="00D03DD0"/>
    <w:rsid w:val="00D06183"/>
    <w:rsid w:val="00D10A39"/>
    <w:rsid w:val="00D11C17"/>
    <w:rsid w:val="00D22C42"/>
    <w:rsid w:val="00D36BE8"/>
    <w:rsid w:val="00D4662B"/>
    <w:rsid w:val="00D47AB9"/>
    <w:rsid w:val="00D65041"/>
    <w:rsid w:val="00D70C3D"/>
    <w:rsid w:val="00D82F97"/>
    <w:rsid w:val="00DB1936"/>
    <w:rsid w:val="00DB195C"/>
    <w:rsid w:val="00DB384B"/>
    <w:rsid w:val="00DC297F"/>
    <w:rsid w:val="00DD11ED"/>
    <w:rsid w:val="00DE0ADC"/>
    <w:rsid w:val="00DF0189"/>
    <w:rsid w:val="00DF26C9"/>
    <w:rsid w:val="00E01246"/>
    <w:rsid w:val="00E06399"/>
    <w:rsid w:val="00E06FD5"/>
    <w:rsid w:val="00E1093E"/>
    <w:rsid w:val="00E10E80"/>
    <w:rsid w:val="00E124F0"/>
    <w:rsid w:val="00E227F3"/>
    <w:rsid w:val="00E31041"/>
    <w:rsid w:val="00E40610"/>
    <w:rsid w:val="00E4574E"/>
    <w:rsid w:val="00E5352F"/>
    <w:rsid w:val="00E545C6"/>
    <w:rsid w:val="00E60F04"/>
    <w:rsid w:val="00E65B24"/>
    <w:rsid w:val="00E74BD0"/>
    <w:rsid w:val="00E77BFA"/>
    <w:rsid w:val="00E804C9"/>
    <w:rsid w:val="00E83E40"/>
    <w:rsid w:val="00E85417"/>
    <w:rsid w:val="00E854E4"/>
    <w:rsid w:val="00E86DBF"/>
    <w:rsid w:val="00E969AF"/>
    <w:rsid w:val="00EB0D6F"/>
    <w:rsid w:val="00EB2232"/>
    <w:rsid w:val="00EC5337"/>
    <w:rsid w:val="00ED018E"/>
    <w:rsid w:val="00ED10A7"/>
    <w:rsid w:val="00ED4AE6"/>
    <w:rsid w:val="00ED4E68"/>
    <w:rsid w:val="00EE145D"/>
    <w:rsid w:val="00EE49E8"/>
    <w:rsid w:val="00EE74E9"/>
    <w:rsid w:val="00EF130C"/>
    <w:rsid w:val="00EF43A7"/>
    <w:rsid w:val="00F02531"/>
    <w:rsid w:val="00F048F3"/>
    <w:rsid w:val="00F1058F"/>
    <w:rsid w:val="00F16BAB"/>
    <w:rsid w:val="00F1751F"/>
    <w:rsid w:val="00F1766C"/>
    <w:rsid w:val="00F2150A"/>
    <w:rsid w:val="00F21CB7"/>
    <w:rsid w:val="00F231D8"/>
    <w:rsid w:val="00F242F0"/>
    <w:rsid w:val="00F31ED3"/>
    <w:rsid w:val="00F3564B"/>
    <w:rsid w:val="00F41209"/>
    <w:rsid w:val="00F42D2B"/>
    <w:rsid w:val="00F44C00"/>
    <w:rsid w:val="00F45D2C"/>
    <w:rsid w:val="00F46C5F"/>
    <w:rsid w:val="00F62643"/>
    <w:rsid w:val="00F632C0"/>
    <w:rsid w:val="00F641E1"/>
    <w:rsid w:val="00F7270B"/>
    <w:rsid w:val="00F76B1E"/>
    <w:rsid w:val="00F77D68"/>
    <w:rsid w:val="00F86DDA"/>
    <w:rsid w:val="00F94A63"/>
    <w:rsid w:val="00FA1C28"/>
    <w:rsid w:val="00FB1279"/>
    <w:rsid w:val="00FB4DC4"/>
    <w:rsid w:val="00FB6B76"/>
    <w:rsid w:val="00FB7596"/>
    <w:rsid w:val="00FC22F9"/>
    <w:rsid w:val="00FC5DBD"/>
    <w:rsid w:val="00FD275B"/>
    <w:rsid w:val="00FE0D0C"/>
    <w:rsid w:val="00FE23DE"/>
    <w:rsid w:val="00FE4077"/>
    <w:rsid w:val="00FE500D"/>
    <w:rsid w:val="00FE63F3"/>
    <w:rsid w:val="00FE77D2"/>
    <w:rsid w:val="00FF26C9"/>
    <w:rsid w:val="00FF39B1"/>
    <w:rsid w:val="01334329"/>
    <w:rsid w:val="01EEA102"/>
    <w:rsid w:val="04E1ECF9"/>
    <w:rsid w:val="062FBCC1"/>
    <w:rsid w:val="080679B8"/>
    <w:rsid w:val="08A92297"/>
    <w:rsid w:val="1147618B"/>
    <w:rsid w:val="126B4399"/>
    <w:rsid w:val="128AD0E1"/>
    <w:rsid w:val="13226D99"/>
    <w:rsid w:val="13CEFDD9"/>
    <w:rsid w:val="17C771B9"/>
    <w:rsid w:val="1E5B33CA"/>
    <w:rsid w:val="2106174C"/>
    <w:rsid w:val="226B203D"/>
    <w:rsid w:val="2562E5CC"/>
    <w:rsid w:val="28A3E585"/>
    <w:rsid w:val="29C690C6"/>
    <w:rsid w:val="2B238FF0"/>
    <w:rsid w:val="2B338DAB"/>
    <w:rsid w:val="2CAF4FBB"/>
    <w:rsid w:val="3073586E"/>
    <w:rsid w:val="3146925F"/>
    <w:rsid w:val="36B0B8D1"/>
    <w:rsid w:val="3707286F"/>
    <w:rsid w:val="386C0A7D"/>
    <w:rsid w:val="395E85E4"/>
    <w:rsid w:val="3A0405FB"/>
    <w:rsid w:val="3CDD2F67"/>
    <w:rsid w:val="3EB4C98C"/>
    <w:rsid w:val="3FC2F113"/>
    <w:rsid w:val="3FDC386F"/>
    <w:rsid w:val="42120DD6"/>
    <w:rsid w:val="427C7203"/>
    <w:rsid w:val="433B7CD2"/>
    <w:rsid w:val="46A199A6"/>
    <w:rsid w:val="4BBB991B"/>
    <w:rsid w:val="4ED66656"/>
    <w:rsid w:val="52C51A9F"/>
    <w:rsid w:val="55DF7B95"/>
    <w:rsid w:val="596672C7"/>
    <w:rsid w:val="5B8B0969"/>
    <w:rsid w:val="5F17FC59"/>
    <w:rsid w:val="5FF9BD85"/>
    <w:rsid w:val="618A8215"/>
    <w:rsid w:val="65664E94"/>
    <w:rsid w:val="671536B3"/>
    <w:rsid w:val="67E8C0AB"/>
    <w:rsid w:val="68641FFE"/>
    <w:rsid w:val="6CAB1898"/>
    <w:rsid w:val="6D0AC92D"/>
    <w:rsid w:val="6E8ADAC3"/>
    <w:rsid w:val="71B0C809"/>
    <w:rsid w:val="746788AE"/>
    <w:rsid w:val="748DC75D"/>
    <w:rsid w:val="755DEBF0"/>
    <w:rsid w:val="75CCC9C1"/>
    <w:rsid w:val="761A6CC6"/>
    <w:rsid w:val="797A5027"/>
    <w:rsid w:val="79C470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DF4EB52E-54FD-4FF1-A226-38BDB586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99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paragraph">
    <w:name w:val="paragraph"/>
    <w:basedOn w:val="Normal"/>
    <w:rsid w:val="00E01246"/>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E01246"/>
  </w:style>
  <w:style w:type="character" w:customStyle="1" w:styleId="eop">
    <w:name w:val="eop"/>
    <w:basedOn w:val="DefaultParagraphFont"/>
    <w:rsid w:val="00E01246"/>
  </w:style>
  <w:style w:type="paragraph" w:styleId="Revision">
    <w:name w:val="Revision"/>
    <w:hidden/>
    <w:uiPriority w:val="99"/>
    <w:semiHidden/>
    <w:rsid w:val="0042094A"/>
    <w:rPr>
      <w:rFonts w:ascii="Calibri" w:hAnsi="Calibri"/>
      <w:sz w:val="24"/>
      <w:lang w:val="en-GB" w:eastAsia="en-US"/>
    </w:rPr>
  </w:style>
  <w:style w:type="character" w:styleId="CommentReference">
    <w:name w:val="annotation reference"/>
    <w:basedOn w:val="DefaultParagraphFont"/>
    <w:semiHidden/>
    <w:unhideWhenUsed/>
    <w:rsid w:val="0042094A"/>
    <w:rPr>
      <w:sz w:val="16"/>
      <w:szCs w:val="16"/>
    </w:rPr>
  </w:style>
  <w:style w:type="paragraph" w:styleId="CommentText">
    <w:name w:val="annotation text"/>
    <w:basedOn w:val="Normal"/>
    <w:link w:val="CommentTextChar"/>
    <w:unhideWhenUsed/>
    <w:rsid w:val="0042094A"/>
    <w:rPr>
      <w:sz w:val="20"/>
    </w:rPr>
  </w:style>
  <w:style w:type="character" w:customStyle="1" w:styleId="CommentTextChar">
    <w:name w:val="Comment Text Char"/>
    <w:basedOn w:val="DefaultParagraphFont"/>
    <w:link w:val="CommentText"/>
    <w:rsid w:val="0042094A"/>
    <w:rPr>
      <w:rFonts w:ascii="Calibri" w:hAnsi="Calibri"/>
      <w:lang w:val="en-GB" w:eastAsia="en-US"/>
    </w:rPr>
  </w:style>
  <w:style w:type="paragraph" w:styleId="CommentSubject">
    <w:name w:val="annotation subject"/>
    <w:basedOn w:val="CommentText"/>
    <w:next w:val="CommentText"/>
    <w:link w:val="CommentSubjectChar"/>
    <w:semiHidden/>
    <w:unhideWhenUsed/>
    <w:rsid w:val="0042094A"/>
    <w:rPr>
      <w:b/>
      <w:bCs/>
    </w:rPr>
  </w:style>
  <w:style w:type="character" w:customStyle="1" w:styleId="CommentSubjectChar">
    <w:name w:val="Comment Subject Char"/>
    <w:basedOn w:val="CommentTextChar"/>
    <w:link w:val="CommentSubject"/>
    <w:semiHidden/>
    <w:rsid w:val="0042094A"/>
    <w:rPr>
      <w:rFonts w:ascii="Calibri" w:hAnsi="Calibri"/>
      <w:b/>
      <w:bCs/>
      <w:lang w:val="en-GB" w:eastAsia="en-US"/>
    </w:rPr>
  </w:style>
  <w:style w:type="paragraph" w:styleId="ListParagraph">
    <w:name w:val="List Paragraph"/>
    <w:basedOn w:val="Normal"/>
    <w:uiPriority w:val="34"/>
    <w:qFormat/>
    <w:rsid w:val="003C0A22"/>
    <w:pPr>
      <w:ind w:left="720"/>
      <w:contextualSpacing/>
    </w:pPr>
  </w:style>
  <w:style w:type="character" w:customStyle="1" w:styleId="Heading1Char">
    <w:name w:val="Heading 1 Char"/>
    <w:basedOn w:val="DefaultParagraphFont"/>
    <w:link w:val="Heading1"/>
    <w:rsid w:val="00FC22F9"/>
    <w:rPr>
      <w:rFonts w:ascii="Calibri" w:hAnsi="Calibri"/>
      <w:b/>
      <w:sz w:val="28"/>
      <w:lang w:val="en-GB" w:eastAsia="en-US"/>
    </w:rPr>
  </w:style>
  <w:style w:type="paragraph" w:customStyle="1" w:styleId="Pa41">
    <w:name w:val="Pa41"/>
    <w:basedOn w:val="Normal"/>
    <w:next w:val="Normal"/>
    <w:uiPriority w:val="99"/>
    <w:rsid w:val="00B9527A"/>
    <w:pPr>
      <w:tabs>
        <w:tab w:val="clear" w:pos="567"/>
        <w:tab w:val="clear" w:pos="1134"/>
        <w:tab w:val="clear" w:pos="1701"/>
        <w:tab w:val="clear" w:pos="2268"/>
        <w:tab w:val="clear" w:pos="2835"/>
      </w:tabs>
      <w:overflowPunct/>
      <w:spacing w:before="0" w:line="171" w:lineRule="atLeast"/>
      <w:textAlignment w:val="auto"/>
    </w:pPr>
    <w:rPr>
      <w:rFonts w:ascii="Calibri Light" w:hAnsi="Calibri Light" w:cs="Calibri Light"/>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291">
      <w:bodyDiv w:val="1"/>
      <w:marLeft w:val="0"/>
      <w:marRight w:val="0"/>
      <w:marTop w:val="0"/>
      <w:marBottom w:val="0"/>
      <w:divBdr>
        <w:top w:val="none" w:sz="0" w:space="0" w:color="auto"/>
        <w:left w:val="none" w:sz="0" w:space="0" w:color="auto"/>
        <w:bottom w:val="none" w:sz="0" w:space="0" w:color="auto"/>
        <w:right w:val="none" w:sz="0" w:space="0" w:color="auto"/>
      </w:divBdr>
      <w:divsChild>
        <w:div w:id="430585114">
          <w:marLeft w:val="0"/>
          <w:marRight w:val="0"/>
          <w:marTop w:val="0"/>
          <w:marBottom w:val="0"/>
          <w:divBdr>
            <w:top w:val="none" w:sz="0" w:space="0" w:color="auto"/>
            <w:left w:val="none" w:sz="0" w:space="0" w:color="auto"/>
            <w:bottom w:val="none" w:sz="0" w:space="0" w:color="auto"/>
            <w:right w:val="none" w:sz="0" w:space="0" w:color="auto"/>
          </w:divBdr>
        </w:div>
        <w:div w:id="906840493">
          <w:marLeft w:val="0"/>
          <w:marRight w:val="0"/>
          <w:marTop w:val="0"/>
          <w:marBottom w:val="0"/>
          <w:divBdr>
            <w:top w:val="none" w:sz="0" w:space="0" w:color="auto"/>
            <w:left w:val="none" w:sz="0" w:space="0" w:color="auto"/>
            <w:bottom w:val="none" w:sz="0" w:space="0" w:color="auto"/>
            <w:right w:val="none" w:sz="0" w:space="0" w:color="auto"/>
          </w:divBdr>
        </w:div>
      </w:divsChild>
    </w:div>
    <w:div w:id="197670569">
      <w:bodyDiv w:val="1"/>
      <w:marLeft w:val="0"/>
      <w:marRight w:val="0"/>
      <w:marTop w:val="0"/>
      <w:marBottom w:val="0"/>
      <w:divBdr>
        <w:top w:val="none" w:sz="0" w:space="0" w:color="auto"/>
        <w:left w:val="none" w:sz="0" w:space="0" w:color="auto"/>
        <w:bottom w:val="none" w:sz="0" w:space="0" w:color="auto"/>
        <w:right w:val="none" w:sz="0" w:space="0" w:color="auto"/>
      </w:divBdr>
      <w:divsChild>
        <w:div w:id="713845973">
          <w:marLeft w:val="0"/>
          <w:marRight w:val="0"/>
          <w:marTop w:val="0"/>
          <w:marBottom w:val="0"/>
          <w:divBdr>
            <w:top w:val="none" w:sz="0" w:space="0" w:color="auto"/>
            <w:left w:val="none" w:sz="0" w:space="0" w:color="auto"/>
            <w:bottom w:val="none" w:sz="0" w:space="0" w:color="auto"/>
            <w:right w:val="none" w:sz="0" w:space="0" w:color="auto"/>
          </w:divBdr>
        </w:div>
        <w:div w:id="1722898736">
          <w:marLeft w:val="0"/>
          <w:marRight w:val="0"/>
          <w:marTop w:val="0"/>
          <w:marBottom w:val="0"/>
          <w:divBdr>
            <w:top w:val="none" w:sz="0" w:space="0" w:color="auto"/>
            <w:left w:val="none" w:sz="0" w:space="0" w:color="auto"/>
            <w:bottom w:val="none" w:sz="0" w:space="0" w:color="auto"/>
            <w:right w:val="none" w:sz="0" w:space="0" w:color="auto"/>
          </w:divBdr>
        </w:div>
      </w:divsChild>
    </w:div>
    <w:div w:id="262299053">
      <w:bodyDiv w:val="1"/>
      <w:marLeft w:val="0"/>
      <w:marRight w:val="0"/>
      <w:marTop w:val="0"/>
      <w:marBottom w:val="0"/>
      <w:divBdr>
        <w:top w:val="none" w:sz="0" w:space="0" w:color="auto"/>
        <w:left w:val="none" w:sz="0" w:space="0" w:color="auto"/>
        <w:bottom w:val="none" w:sz="0" w:space="0" w:color="auto"/>
        <w:right w:val="none" w:sz="0" w:space="0" w:color="auto"/>
      </w:divBdr>
      <w:divsChild>
        <w:div w:id="528373610">
          <w:marLeft w:val="0"/>
          <w:marRight w:val="0"/>
          <w:marTop w:val="0"/>
          <w:marBottom w:val="0"/>
          <w:divBdr>
            <w:top w:val="none" w:sz="0" w:space="0" w:color="auto"/>
            <w:left w:val="none" w:sz="0" w:space="0" w:color="auto"/>
            <w:bottom w:val="none" w:sz="0" w:space="0" w:color="auto"/>
            <w:right w:val="none" w:sz="0" w:space="0" w:color="auto"/>
          </w:divBdr>
        </w:div>
        <w:div w:id="531921790">
          <w:marLeft w:val="0"/>
          <w:marRight w:val="0"/>
          <w:marTop w:val="0"/>
          <w:marBottom w:val="0"/>
          <w:divBdr>
            <w:top w:val="none" w:sz="0" w:space="0" w:color="auto"/>
            <w:left w:val="none" w:sz="0" w:space="0" w:color="auto"/>
            <w:bottom w:val="none" w:sz="0" w:space="0" w:color="auto"/>
            <w:right w:val="none" w:sz="0" w:space="0" w:color="auto"/>
          </w:divBdr>
        </w:div>
        <w:div w:id="742414029">
          <w:marLeft w:val="0"/>
          <w:marRight w:val="0"/>
          <w:marTop w:val="0"/>
          <w:marBottom w:val="0"/>
          <w:divBdr>
            <w:top w:val="none" w:sz="0" w:space="0" w:color="auto"/>
            <w:left w:val="none" w:sz="0" w:space="0" w:color="auto"/>
            <w:bottom w:val="none" w:sz="0" w:space="0" w:color="auto"/>
            <w:right w:val="none" w:sz="0" w:space="0" w:color="auto"/>
          </w:divBdr>
        </w:div>
        <w:div w:id="805121685">
          <w:marLeft w:val="0"/>
          <w:marRight w:val="0"/>
          <w:marTop w:val="0"/>
          <w:marBottom w:val="0"/>
          <w:divBdr>
            <w:top w:val="none" w:sz="0" w:space="0" w:color="auto"/>
            <w:left w:val="none" w:sz="0" w:space="0" w:color="auto"/>
            <w:bottom w:val="none" w:sz="0" w:space="0" w:color="auto"/>
            <w:right w:val="none" w:sz="0" w:space="0" w:color="auto"/>
          </w:divBdr>
        </w:div>
        <w:div w:id="1061246639">
          <w:marLeft w:val="0"/>
          <w:marRight w:val="0"/>
          <w:marTop w:val="0"/>
          <w:marBottom w:val="0"/>
          <w:divBdr>
            <w:top w:val="none" w:sz="0" w:space="0" w:color="auto"/>
            <w:left w:val="none" w:sz="0" w:space="0" w:color="auto"/>
            <w:bottom w:val="none" w:sz="0" w:space="0" w:color="auto"/>
            <w:right w:val="none" w:sz="0" w:space="0" w:color="auto"/>
          </w:divBdr>
        </w:div>
      </w:divsChild>
    </w:div>
    <w:div w:id="508252180">
      <w:bodyDiv w:val="1"/>
      <w:marLeft w:val="0"/>
      <w:marRight w:val="0"/>
      <w:marTop w:val="0"/>
      <w:marBottom w:val="0"/>
      <w:divBdr>
        <w:top w:val="none" w:sz="0" w:space="0" w:color="auto"/>
        <w:left w:val="none" w:sz="0" w:space="0" w:color="auto"/>
        <w:bottom w:val="none" w:sz="0" w:space="0" w:color="auto"/>
        <w:right w:val="none" w:sz="0" w:space="0" w:color="auto"/>
      </w:divBdr>
      <w:divsChild>
        <w:div w:id="371423337">
          <w:marLeft w:val="0"/>
          <w:marRight w:val="0"/>
          <w:marTop w:val="0"/>
          <w:marBottom w:val="0"/>
          <w:divBdr>
            <w:top w:val="none" w:sz="0" w:space="0" w:color="auto"/>
            <w:left w:val="none" w:sz="0" w:space="0" w:color="auto"/>
            <w:bottom w:val="none" w:sz="0" w:space="0" w:color="auto"/>
            <w:right w:val="none" w:sz="0" w:space="0" w:color="auto"/>
          </w:divBdr>
        </w:div>
        <w:div w:id="418723452">
          <w:marLeft w:val="0"/>
          <w:marRight w:val="0"/>
          <w:marTop w:val="0"/>
          <w:marBottom w:val="0"/>
          <w:divBdr>
            <w:top w:val="none" w:sz="0" w:space="0" w:color="auto"/>
            <w:left w:val="none" w:sz="0" w:space="0" w:color="auto"/>
            <w:bottom w:val="none" w:sz="0" w:space="0" w:color="auto"/>
            <w:right w:val="none" w:sz="0" w:space="0" w:color="auto"/>
          </w:divBdr>
        </w:div>
        <w:div w:id="1261134992">
          <w:marLeft w:val="0"/>
          <w:marRight w:val="0"/>
          <w:marTop w:val="0"/>
          <w:marBottom w:val="0"/>
          <w:divBdr>
            <w:top w:val="none" w:sz="0" w:space="0" w:color="auto"/>
            <w:left w:val="none" w:sz="0" w:space="0" w:color="auto"/>
            <w:bottom w:val="none" w:sz="0" w:space="0" w:color="auto"/>
            <w:right w:val="none" w:sz="0" w:space="0" w:color="auto"/>
          </w:divBdr>
        </w:div>
        <w:div w:id="1315334215">
          <w:marLeft w:val="0"/>
          <w:marRight w:val="0"/>
          <w:marTop w:val="0"/>
          <w:marBottom w:val="0"/>
          <w:divBdr>
            <w:top w:val="none" w:sz="0" w:space="0" w:color="auto"/>
            <w:left w:val="none" w:sz="0" w:space="0" w:color="auto"/>
            <w:bottom w:val="none" w:sz="0" w:space="0" w:color="auto"/>
            <w:right w:val="none" w:sz="0" w:space="0" w:color="auto"/>
          </w:divBdr>
        </w:div>
        <w:div w:id="2033191474">
          <w:marLeft w:val="0"/>
          <w:marRight w:val="0"/>
          <w:marTop w:val="0"/>
          <w:marBottom w:val="0"/>
          <w:divBdr>
            <w:top w:val="none" w:sz="0" w:space="0" w:color="auto"/>
            <w:left w:val="none" w:sz="0" w:space="0" w:color="auto"/>
            <w:bottom w:val="none" w:sz="0" w:space="0" w:color="auto"/>
            <w:right w:val="none" w:sz="0" w:space="0" w:color="auto"/>
          </w:divBdr>
        </w:div>
        <w:div w:id="2133477433">
          <w:marLeft w:val="0"/>
          <w:marRight w:val="0"/>
          <w:marTop w:val="0"/>
          <w:marBottom w:val="0"/>
          <w:divBdr>
            <w:top w:val="none" w:sz="0" w:space="0" w:color="auto"/>
            <w:left w:val="none" w:sz="0" w:space="0" w:color="auto"/>
            <w:bottom w:val="none" w:sz="0" w:space="0" w:color="auto"/>
            <w:right w:val="none" w:sz="0" w:space="0" w:color="auto"/>
          </w:divBdr>
        </w:div>
      </w:divsChild>
    </w:div>
    <w:div w:id="645280350">
      <w:bodyDiv w:val="1"/>
      <w:marLeft w:val="0"/>
      <w:marRight w:val="0"/>
      <w:marTop w:val="0"/>
      <w:marBottom w:val="0"/>
      <w:divBdr>
        <w:top w:val="none" w:sz="0" w:space="0" w:color="auto"/>
        <w:left w:val="none" w:sz="0" w:space="0" w:color="auto"/>
        <w:bottom w:val="none" w:sz="0" w:space="0" w:color="auto"/>
        <w:right w:val="none" w:sz="0" w:space="0" w:color="auto"/>
      </w:divBdr>
      <w:divsChild>
        <w:div w:id="650716584">
          <w:marLeft w:val="0"/>
          <w:marRight w:val="0"/>
          <w:marTop w:val="0"/>
          <w:marBottom w:val="0"/>
          <w:divBdr>
            <w:top w:val="none" w:sz="0" w:space="0" w:color="auto"/>
            <w:left w:val="none" w:sz="0" w:space="0" w:color="auto"/>
            <w:bottom w:val="none" w:sz="0" w:space="0" w:color="auto"/>
            <w:right w:val="none" w:sz="0" w:space="0" w:color="auto"/>
          </w:divBdr>
        </w:div>
        <w:div w:id="817961628">
          <w:marLeft w:val="0"/>
          <w:marRight w:val="0"/>
          <w:marTop w:val="0"/>
          <w:marBottom w:val="0"/>
          <w:divBdr>
            <w:top w:val="none" w:sz="0" w:space="0" w:color="auto"/>
            <w:left w:val="none" w:sz="0" w:space="0" w:color="auto"/>
            <w:bottom w:val="none" w:sz="0" w:space="0" w:color="auto"/>
            <w:right w:val="none" w:sz="0" w:space="0" w:color="auto"/>
          </w:divBdr>
        </w:div>
        <w:div w:id="821509906">
          <w:marLeft w:val="0"/>
          <w:marRight w:val="0"/>
          <w:marTop w:val="0"/>
          <w:marBottom w:val="0"/>
          <w:divBdr>
            <w:top w:val="none" w:sz="0" w:space="0" w:color="auto"/>
            <w:left w:val="none" w:sz="0" w:space="0" w:color="auto"/>
            <w:bottom w:val="none" w:sz="0" w:space="0" w:color="auto"/>
            <w:right w:val="none" w:sz="0" w:space="0" w:color="auto"/>
          </w:divBdr>
        </w:div>
        <w:div w:id="1017269421">
          <w:marLeft w:val="0"/>
          <w:marRight w:val="0"/>
          <w:marTop w:val="0"/>
          <w:marBottom w:val="0"/>
          <w:divBdr>
            <w:top w:val="none" w:sz="0" w:space="0" w:color="auto"/>
            <w:left w:val="none" w:sz="0" w:space="0" w:color="auto"/>
            <w:bottom w:val="none" w:sz="0" w:space="0" w:color="auto"/>
            <w:right w:val="none" w:sz="0" w:space="0" w:color="auto"/>
          </w:divBdr>
        </w:div>
        <w:div w:id="1577084911">
          <w:marLeft w:val="0"/>
          <w:marRight w:val="0"/>
          <w:marTop w:val="0"/>
          <w:marBottom w:val="0"/>
          <w:divBdr>
            <w:top w:val="none" w:sz="0" w:space="0" w:color="auto"/>
            <w:left w:val="none" w:sz="0" w:space="0" w:color="auto"/>
            <w:bottom w:val="none" w:sz="0" w:space="0" w:color="auto"/>
            <w:right w:val="none" w:sz="0" w:space="0" w:color="auto"/>
          </w:divBdr>
        </w:div>
        <w:div w:id="1775784300">
          <w:marLeft w:val="0"/>
          <w:marRight w:val="0"/>
          <w:marTop w:val="0"/>
          <w:marBottom w:val="0"/>
          <w:divBdr>
            <w:top w:val="none" w:sz="0" w:space="0" w:color="auto"/>
            <w:left w:val="none" w:sz="0" w:space="0" w:color="auto"/>
            <w:bottom w:val="none" w:sz="0" w:space="0" w:color="auto"/>
            <w:right w:val="none" w:sz="0" w:space="0" w:color="auto"/>
          </w:divBdr>
        </w:div>
      </w:divsChild>
    </w:div>
    <w:div w:id="952518449">
      <w:bodyDiv w:val="1"/>
      <w:marLeft w:val="0"/>
      <w:marRight w:val="0"/>
      <w:marTop w:val="0"/>
      <w:marBottom w:val="0"/>
      <w:divBdr>
        <w:top w:val="none" w:sz="0" w:space="0" w:color="auto"/>
        <w:left w:val="none" w:sz="0" w:space="0" w:color="auto"/>
        <w:bottom w:val="none" w:sz="0" w:space="0" w:color="auto"/>
        <w:right w:val="none" w:sz="0" w:space="0" w:color="auto"/>
      </w:divBdr>
    </w:div>
    <w:div w:id="1259169571">
      <w:bodyDiv w:val="1"/>
      <w:marLeft w:val="0"/>
      <w:marRight w:val="0"/>
      <w:marTop w:val="0"/>
      <w:marBottom w:val="0"/>
      <w:divBdr>
        <w:top w:val="none" w:sz="0" w:space="0" w:color="auto"/>
        <w:left w:val="none" w:sz="0" w:space="0" w:color="auto"/>
        <w:bottom w:val="none" w:sz="0" w:space="0" w:color="auto"/>
        <w:right w:val="none" w:sz="0" w:space="0" w:color="auto"/>
      </w:divBdr>
    </w:div>
    <w:div w:id="1468088991">
      <w:bodyDiv w:val="1"/>
      <w:marLeft w:val="0"/>
      <w:marRight w:val="0"/>
      <w:marTop w:val="0"/>
      <w:marBottom w:val="0"/>
      <w:divBdr>
        <w:top w:val="none" w:sz="0" w:space="0" w:color="auto"/>
        <w:left w:val="none" w:sz="0" w:space="0" w:color="auto"/>
        <w:bottom w:val="none" w:sz="0" w:space="0" w:color="auto"/>
        <w:right w:val="none" w:sz="0" w:space="0" w:color="auto"/>
      </w:divBdr>
      <w:divsChild>
        <w:div w:id="132794926">
          <w:marLeft w:val="0"/>
          <w:marRight w:val="0"/>
          <w:marTop w:val="0"/>
          <w:marBottom w:val="0"/>
          <w:divBdr>
            <w:top w:val="none" w:sz="0" w:space="0" w:color="auto"/>
            <w:left w:val="none" w:sz="0" w:space="0" w:color="auto"/>
            <w:bottom w:val="none" w:sz="0" w:space="0" w:color="auto"/>
            <w:right w:val="none" w:sz="0" w:space="0" w:color="auto"/>
          </w:divBdr>
        </w:div>
        <w:div w:id="194584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4-SG-CIR-0049/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dms_pub/itu-r/opb/act/r-act-wrc.16-2024-pdf-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Convention-E.pdf" TargetMode="External"/><Relationship Id="rId5" Type="http://schemas.openxmlformats.org/officeDocument/2006/relationships/numbering" Target="numbering.xml"/><Relationship Id="rId15" Type="http://schemas.openxmlformats.org/officeDocument/2006/relationships/hyperlink" Target="https://www.itu.int/md/S24-CL-C-0125/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06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A7A31BB-EDB3-40DA-A34D-E9E9CD31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4.xml><?xml version="1.0" encoding="utf-8"?>
<ds:datastoreItem xmlns:ds="http://schemas.openxmlformats.org/officeDocument/2006/customXml" ds:itemID="{11E2F2AC-2255-4DBF-9278-6619577B4509}">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http://www.w3.org/XML/1998/namespace"/>
    <ds:schemaRef ds:uri="a1cf676c-2816-4389-ad5d-0f2e7c7e67c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1837</Words>
  <Characters>10476</Characters>
  <Application>Microsoft Office Word</Application>
  <DocSecurity>0</DocSecurity>
  <Lines>87</Lines>
  <Paragraphs>24</Paragraphs>
  <ScaleCrop>false</ScaleCrop>
  <Manager>General Secretariat</Manager>
  <Company>International Telecommunication Union (ITU)</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Council on the proposed venues for RA-27, WRC-27 and CPM31-1</dc:title>
  <dc:subject>Council 2025</dc:subject>
  <dc:creator>LRT</dc:creator>
  <cp:keywords>C25; C2025; Council 2025; ITU160</cp:keywords>
  <dc:description/>
  <cp:lastModifiedBy>GBS</cp:lastModifiedBy>
  <cp:revision>2</cp:revision>
  <cp:lastPrinted>2000-07-19T16:30:00Z</cp:lastPrinted>
  <dcterms:created xsi:type="dcterms:W3CDTF">2025-05-16T15:21:00Z</dcterms:created>
  <dcterms:modified xsi:type="dcterms:W3CDTF">2025-05-16T15:21:00Z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