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0C4FD0" w14:paraId="3A8DD269" w14:textId="77777777" w:rsidTr="00C538FC">
        <w:trPr>
          <w:cantSplit/>
          <w:trHeight w:val="23"/>
        </w:trPr>
        <w:tc>
          <w:tcPr>
            <w:tcW w:w="3969" w:type="dxa"/>
            <w:vMerge w:val="restart"/>
            <w:tcMar>
              <w:left w:w="0" w:type="dxa"/>
            </w:tcMar>
          </w:tcPr>
          <w:p w14:paraId="7DFA7C5A" w14:textId="5130B130" w:rsidR="00FE57F6" w:rsidRPr="000C4FD0" w:rsidRDefault="00BB6FD8" w:rsidP="00C538FC">
            <w:pPr>
              <w:tabs>
                <w:tab w:val="left" w:pos="851"/>
              </w:tabs>
              <w:spacing w:before="0" w:line="240" w:lineRule="atLeast"/>
              <w:rPr>
                <w:b/>
              </w:rPr>
            </w:pPr>
            <w:bookmarkStart w:id="0" w:name="_Hlk133421839"/>
            <w:r w:rsidRPr="000C4FD0">
              <w:rPr>
                <w:b/>
              </w:rPr>
              <w:t>Orden del día</w:t>
            </w:r>
            <w:r w:rsidR="00FE57F6" w:rsidRPr="000C4FD0">
              <w:rPr>
                <w:b/>
              </w:rPr>
              <w:t xml:space="preserve">: </w:t>
            </w:r>
            <w:r w:rsidR="009E77FD" w:rsidRPr="000C4FD0">
              <w:rPr>
                <w:b/>
              </w:rPr>
              <w:t>ADM 2</w:t>
            </w:r>
          </w:p>
        </w:tc>
        <w:tc>
          <w:tcPr>
            <w:tcW w:w="5245" w:type="dxa"/>
          </w:tcPr>
          <w:p w14:paraId="0D8175B8" w14:textId="66975EED" w:rsidR="00FE57F6" w:rsidRPr="000C4FD0" w:rsidRDefault="00FE57F6" w:rsidP="00C538FC">
            <w:pPr>
              <w:tabs>
                <w:tab w:val="left" w:pos="851"/>
              </w:tabs>
              <w:spacing w:before="0" w:line="240" w:lineRule="atLeast"/>
              <w:jc w:val="right"/>
              <w:rPr>
                <w:b/>
              </w:rPr>
            </w:pPr>
            <w:r w:rsidRPr="000C4FD0">
              <w:rPr>
                <w:b/>
              </w:rPr>
              <w:t>Document</w:t>
            </w:r>
            <w:r w:rsidR="00F24B71" w:rsidRPr="000C4FD0">
              <w:rPr>
                <w:b/>
              </w:rPr>
              <w:t>o</w:t>
            </w:r>
            <w:r w:rsidRPr="000C4FD0">
              <w:rPr>
                <w:b/>
              </w:rPr>
              <w:t xml:space="preserve"> C2</w:t>
            </w:r>
            <w:r w:rsidR="00BB6FD8" w:rsidRPr="000C4FD0">
              <w:rPr>
                <w:b/>
              </w:rPr>
              <w:t>5</w:t>
            </w:r>
            <w:r w:rsidRPr="000C4FD0">
              <w:rPr>
                <w:b/>
              </w:rPr>
              <w:t>/</w:t>
            </w:r>
            <w:r w:rsidR="009E77FD" w:rsidRPr="000C4FD0">
              <w:rPr>
                <w:b/>
              </w:rPr>
              <w:t>57</w:t>
            </w:r>
            <w:r w:rsidRPr="000C4FD0">
              <w:rPr>
                <w:b/>
              </w:rPr>
              <w:t>-</w:t>
            </w:r>
            <w:r w:rsidR="00F24B71" w:rsidRPr="000C4FD0">
              <w:rPr>
                <w:b/>
              </w:rPr>
              <w:t>S</w:t>
            </w:r>
          </w:p>
        </w:tc>
      </w:tr>
      <w:tr w:rsidR="00FE57F6" w:rsidRPr="000C4FD0" w14:paraId="475E8E49" w14:textId="77777777" w:rsidTr="00C538FC">
        <w:trPr>
          <w:cantSplit/>
        </w:trPr>
        <w:tc>
          <w:tcPr>
            <w:tcW w:w="3969" w:type="dxa"/>
            <w:vMerge/>
          </w:tcPr>
          <w:p w14:paraId="6DCDD351" w14:textId="77777777" w:rsidR="00FE57F6" w:rsidRPr="000C4FD0" w:rsidRDefault="00FE57F6" w:rsidP="00C538FC">
            <w:pPr>
              <w:tabs>
                <w:tab w:val="left" w:pos="851"/>
              </w:tabs>
              <w:spacing w:line="240" w:lineRule="atLeast"/>
              <w:rPr>
                <w:b/>
              </w:rPr>
            </w:pPr>
          </w:p>
        </w:tc>
        <w:tc>
          <w:tcPr>
            <w:tcW w:w="5245" w:type="dxa"/>
          </w:tcPr>
          <w:p w14:paraId="0C30CE14" w14:textId="72AFC486" w:rsidR="00FE57F6" w:rsidRPr="000C4FD0" w:rsidRDefault="00BA4D1B" w:rsidP="00C538FC">
            <w:pPr>
              <w:tabs>
                <w:tab w:val="left" w:pos="851"/>
              </w:tabs>
              <w:spacing w:before="0"/>
              <w:jc w:val="right"/>
              <w:rPr>
                <w:b/>
              </w:rPr>
            </w:pPr>
            <w:r>
              <w:rPr>
                <w:b/>
              </w:rPr>
              <w:t>16 de mayo</w:t>
            </w:r>
            <w:r w:rsidR="009E77FD" w:rsidRPr="000C4FD0">
              <w:rPr>
                <w:b/>
              </w:rPr>
              <w:t xml:space="preserve"> de 2025</w:t>
            </w:r>
          </w:p>
        </w:tc>
      </w:tr>
      <w:tr w:rsidR="00FE57F6" w:rsidRPr="000C4FD0" w14:paraId="26838651" w14:textId="77777777" w:rsidTr="00C538FC">
        <w:trPr>
          <w:cantSplit/>
          <w:trHeight w:val="23"/>
        </w:trPr>
        <w:tc>
          <w:tcPr>
            <w:tcW w:w="3969" w:type="dxa"/>
            <w:vMerge/>
          </w:tcPr>
          <w:p w14:paraId="11856921" w14:textId="77777777" w:rsidR="00FE57F6" w:rsidRPr="000C4FD0" w:rsidRDefault="00FE57F6" w:rsidP="00C538FC">
            <w:pPr>
              <w:tabs>
                <w:tab w:val="left" w:pos="851"/>
              </w:tabs>
              <w:spacing w:line="240" w:lineRule="atLeast"/>
              <w:rPr>
                <w:b/>
              </w:rPr>
            </w:pPr>
          </w:p>
        </w:tc>
        <w:tc>
          <w:tcPr>
            <w:tcW w:w="5245" w:type="dxa"/>
          </w:tcPr>
          <w:p w14:paraId="461ECBF6" w14:textId="77777777" w:rsidR="00FE57F6" w:rsidRPr="000C4FD0" w:rsidRDefault="00F24B71" w:rsidP="00C538FC">
            <w:pPr>
              <w:tabs>
                <w:tab w:val="left" w:pos="851"/>
              </w:tabs>
              <w:spacing w:before="0" w:line="240" w:lineRule="atLeast"/>
              <w:jc w:val="right"/>
              <w:rPr>
                <w:b/>
                <w:bCs/>
              </w:rPr>
            </w:pPr>
            <w:r w:rsidRPr="000C4FD0">
              <w:rPr>
                <w:rFonts w:cstheme="minorHAnsi"/>
                <w:b/>
                <w:bCs/>
              </w:rPr>
              <w:t>Original: inglés</w:t>
            </w:r>
          </w:p>
        </w:tc>
      </w:tr>
      <w:tr w:rsidR="00FE57F6" w:rsidRPr="000C4FD0" w14:paraId="79DE4E3A" w14:textId="77777777" w:rsidTr="00C538FC">
        <w:trPr>
          <w:cantSplit/>
          <w:trHeight w:val="23"/>
        </w:trPr>
        <w:tc>
          <w:tcPr>
            <w:tcW w:w="3969" w:type="dxa"/>
          </w:tcPr>
          <w:p w14:paraId="1EC4A51F" w14:textId="77777777" w:rsidR="00FE57F6" w:rsidRPr="000C4FD0" w:rsidRDefault="00FE57F6" w:rsidP="0058767B">
            <w:pPr>
              <w:tabs>
                <w:tab w:val="left" w:pos="851"/>
              </w:tabs>
              <w:spacing w:before="0" w:line="240" w:lineRule="atLeast"/>
              <w:rPr>
                <w:b/>
              </w:rPr>
            </w:pPr>
          </w:p>
        </w:tc>
        <w:tc>
          <w:tcPr>
            <w:tcW w:w="5245" w:type="dxa"/>
          </w:tcPr>
          <w:p w14:paraId="78FF6BFA" w14:textId="77777777" w:rsidR="00FE57F6" w:rsidRPr="000C4FD0" w:rsidRDefault="00FE57F6" w:rsidP="0058767B">
            <w:pPr>
              <w:tabs>
                <w:tab w:val="left" w:pos="851"/>
              </w:tabs>
              <w:spacing w:before="0" w:line="240" w:lineRule="atLeast"/>
              <w:jc w:val="right"/>
              <w:rPr>
                <w:b/>
              </w:rPr>
            </w:pPr>
          </w:p>
        </w:tc>
      </w:tr>
      <w:tr w:rsidR="00FE57F6" w:rsidRPr="000C4FD0" w14:paraId="2ACA60E7" w14:textId="77777777" w:rsidTr="00C538FC">
        <w:trPr>
          <w:cantSplit/>
        </w:trPr>
        <w:tc>
          <w:tcPr>
            <w:tcW w:w="9214" w:type="dxa"/>
            <w:gridSpan w:val="2"/>
            <w:tcMar>
              <w:left w:w="0" w:type="dxa"/>
            </w:tcMar>
          </w:tcPr>
          <w:p w14:paraId="606C0360" w14:textId="77777777" w:rsidR="00FE57F6" w:rsidRPr="000C4FD0" w:rsidRDefault="00157AC4" w:rsidP="0045470D">
            <w:pPr>
              <w:pStyle w:val="Source"/>
              <w:spacing w:before="600"/>
              <w:jc w:val="left"/>
              <w:rPr>
                <w:sz w:val="34"/>
                <w:szCs w:val="34"/>
              </w:rPr>
            </w:pPr>
            <w:r w:rsidRPr="000C4FD0">
              <w:rPr>
                <w:rFonts w:cstheme="minorHAnsi"/>
                <w:sz w:val="34"/>
                <w:szCs w:val="34"/>
              </w:rPr>
              <w:t>Informe de la Secretaria General</w:t>
            </w:r>
          </w:p>
        </w:tc>
      </w:tr>
      <w:tr w:rsidR="00FE57F6" w:rsidRPr="000C4FD0" w14:paraId="27702F51" w14:textId="77777777" w:rsidTr="00C538FC">
        <w:trPr>
          <w:cantSplit/>
        </w:trPr>
        <w:tc>
          <w:tcPr>
            <w:tcW w:w="9214" w:type="dxa"/>
            <w:gridSpan w:val="2"/>
            <w:tcMar>
              <w:left w:w="0" w:type="dxa"/>
            </w:tcMar>
          </w:tcPr>
          <w:p w14:paraId="30F44E64" w14:textId="54DE5F52" w:rsidR="00FE57F6" w:rsidRPr="000C4FD0" w:rsidRDefault="0058767B" w:rsidP="0058767B">
            <w:pPr>
              <w:pStyle w:val="Subtitle"/>
              <w:framePr w:hSpace="0" w:wrap="auto" w:vAnchor="margin" w:hAnchor="text" w:xAlign="left" w:yAlign="inline"/>
              <w:spacing w:after="120"/>
            </w:pPr>
            <w:r w:rsidRPr="000C4FD0">
              <w:t>INFORMES DE LA DCI SOBRE CUESTIONES QUE AFECTAN A TODO EL SISTEMA DE LAS NACIONES UNIDAS PARA 2023-2024 Y RECOMENDACIONES A LOS ÓRGANOS LEGISLATIVOS</w:t>
            </w:r>
          </w:p>
        </w:tc>
      </w:tr>
      <w:tr w:rsidR="00FE57F6" w:rsidRPr="00BA4D1B" w14:paraId="5F95D06C" w14:textId="77777777" w:rsidTr="00043A49">
        <w:tc>
          <w:tcPr>
            <w:tcW w:w="9214" w:type="dxa"/>
            <w:gridSpan w:val="2"/>
            <w:tcBorders>
              <w:top w:val="single" w:sz="4" w:space="0" w:color="auto"/>
              <w:bottom w:val="single" w:sz="4" w:space="0" w:color="auto"/>
            </w:tcBorders>
            <w:tcMar>
              <w:left w:w="0" w:type="dxa"/>
            </w:tcMar>
          </w:tcPr>
          <w:p w14:paraId="15D3F9DD" w14:textId="77777777" w:rsidR="00FE57F6" w:rsidRPr="000C4FD0" w:rsidRDefault="00F24B71" w:rsidP="0058767B">
            <w:pPr>
              <w:rPr>
                <w:b/>
                <w:bCs/>
                <w:sz w:val="26"/>
                <w:szCs w:val="26"/>
              </w:rPr>
            </w:pPr>
            <w:r w:rsidRPr="000C4FD0">
              <w:rPr>
                <w:b/>
                <w:bCs/>
                <w:sz w:val="26"/>
                <w:szCs w:val="26"/>
              </w:rPr>
              <w:t>Finalidad</w:t>
            </w:r>
          </w:p>
          <w:p w14:paraId="0025590C" w14:textId="3C205675" w:rsidR="00FE57F6" w:rsidRPr="000C4FD0" w:rsidRDefault="009E77FD" w:rsidP="0058767B">
            <w:pPr>
              <w:jc w:val="both"/>
            </w:pPr>
            <w:r w:rsidRPr="000C4FD0">
              <w:t>En este documento se presenta un cuadro recapitulativo de los informes de la Dependencia Común de Inspección (DCI) del programa de trabajo de 2023/2024 disponibles desde la última reunión del Consejo y se detallan las recomendaciones para los órganos rectores de la</w:t>
            </w:r>
            <w:r w:rsidR="00557896">
              <w:t> </w:t>
            </w:r>
            <w:r w:rsidRPr="000C4FD0">
              <w:t>UIT, así como las observaciones de la Secretaría, si procede. Se proporcionan enlaces a los informes completos, elementos destacados y comentarios de la Junta de los Jefes Ejecutivos</w:t>
            </w:r>
            <w:r w:rsidR="00557896">
              <w:t> </w:t>
            </w:r>
            <w:r w:rsidRPr="000C4FD0">
              <w:t>(JJE) disponibles.</w:t>
            </w:r>
          </w:p>
          <w:p w14:paraId="33D5D8F5" w14:textId="77777777" w:rsidR="00FE57F6" w:rsidRPr="000C4FD0" w:rsidRDefault="00F24B71" w:rsidP="0058767B">
            <w:pPr>
              <w:rPr>
                <w:b/>
                <w:bCs/>
                <w:sz w:val="26"/>
                <w:szCs w:val="26"/>
              </w:rPr>
            </w:pPr>
            <w:r w:rsidRPr="000C4FD0">
              <w:rPr>
                <w:b/>
                <w:bCs/>
                <w:sz w:val="26"/>
                <w:szCs w:val="26"/>
              </w:rPr>
              <w:t xml:space="preserve">Acción solicitada </w:t>
            </w:r>
            <w:r w:rsidR="00677A97" w:rsidRPr="000C4FD0">
              <w:rPr>
                <w:b/>
                <w:bCs/>
                <w:sz w:val="26"/>
                <w:szCs w:val="26"/>
              </w:rPr>
              <w:t>al</w:t>
            </w:r>
            <w:r w:rsidRPr="000C4FD0">
              <w:rPr>
                <w:b/>
                <w:bCs/>
                <w:sz w:val="26"/>
                <w:szCs w:val="26"/>
              </w:rPr>
              <w:t xml:space="preserve"> Consejo</w:t>
            </w:r>
          </w:p>
          <w:p w14:paraId="2DF1004E" w14:textId="70F4D999" w:rsidR="00F92BED" w:rsidRPr="000C4FD0" w:rsidRDefault="009E77FD" w:rsidP="0058767B">
            <w:pPr>
              <w:spacing w:before="160"/>
              <w:jc w:val="both"/>
              <w:rPr>
                <w:szCs w:val="24"/>
              </w:rPr>
            </w:pPr>
            <w:r w:rsidRPr="000C4FD0">
              <w:rPr>
                <w:szCs w:val="24"/>
              </w:rPr>
              <w:t xml:space="preserve">Se invita al Consejo a </w:t>
            </w:r>
            <w:r w:rsidRPr="000C4FD0">
              <w:rPr>
                <w:b/>
                <w:bCs/>
                <w:szCs w:val="24"/>
              </w:rPr>
              <w:t xml:space="preserve">examinar </w:t>
            </w:r>
            <w:r w:rsidRPr="000C4FD0">
              <w:rPr>
                <w:szCs w:val="24"/>
              </w:rPr>
              <w:t xml:space="preserve">las seis recomendaciones dirigidas a los órganos legislativos (Recomendación 5 del Examen de la aplicación del principio de reconocimiento mutuo; las Recomendaciones 2 y 3 de La presupuestación en las organizaciones del sistema de las Naciones Unidas; la Recomendación 2 del Análisis del examen realizado y las medidas adoptadas por las organizaciones del sistema de las Naciones Unidas con respecto a los informes y recomendaciones de la Dependencia Común de Inspección; la Recomendación 7 del Examen de la calidad, la eficacia, la eficiencia y la sostenibilidad de los planes de seguro médico en las organizaciones del sistema de las Naciones Unidas; y la Recomendación 5 del Examen del empleo de personal que no es de plantilla y modalidades de contratación conexas en las organizaciones del sistema de las Naciones Unidas) y a </w:t>
            </w:r>
            <w:r w:rsidRPr="000C4FD0">
              <w:rPr>
                <w:b/>
                <w:bCs/>
                <w:szCs w:val="24"/>
              </w:rPr>
              <w:t xml:space="preserve">tomar una decisión </w:t>
            </w:r>
            <w:r w:rsidRPr="000C4FD0">
              <w:rPr>
                <w:szCs w:val="24"/>
              </w:rPr>
              <w:t>sobre su aceptación.</w:t>
            </w:r>
          </w:p>
          <w:p w14:paraId="11A57546" w14:textId="77777777" w:rsidR="00F92BED" w:rsidRPr="000C4FD0" w:rsidRDefault="00F92BED" w:rsidP="0058767B">
            <w:pPr>
              <w:keepNext/>
              <w:keepLines/>
              <w:rPr>
                <w:b/>
                <w:bCs/>
                <w:sz w:val="26"/>
                <w:szCs w:val="26"/>
              </w:rPr>
            </w:pPr>
            <w:r w:rsidRPr="000C4FD0">
              <w:rPr>
                <w:b/>
                <w:bCs/>
                <w:sz w:val="26"/>
                <w:szCs w:val="26"/>
              </w:rPr>
              <w:t>Vínculo(s) pertinente(s) con el Plan Estratégico</w:t>
            </w:r>
          </w:p>
          <w:p w14:paraId="1390B61B" w14:textId="25420163" w:rsidR="00F92BED" w:rsidRPr="000C4FD0" w:rsidRDefault="009E77FD" w:rsidP="00043A49">
            <w:pPr>
              <w:keepNext/>
              <w:keepLines/>
            </w:pPr>
            <w:r w:rsidRPr="000C4FD0">
              <w:t>Excelencia en materia de recursos humanos e innovación institucional.</w:t>
            </w:r>
          </w:p>
          <w:p w14:paraId="31A6DBB6" w14:textId="77777777" w:rsidR="00F92BED" w:rsidRPr="000C4FD0" w:rsidRDefault="00F92BED" w:rsidP="0058767B">
            <w:pPr>
              <w:keepNext/>
              <w:keepLines/>
              <w:rPr>
                <w:b/>
                <w:bCs/>
                <w:sz w:val="26"/>
                <w:szCs w:val="26"/>
              </w:rPr>
            </w:pPr>
            <w:r w:rsidRPr="000C4FD0">
              <w:rPr>
                <w:b/>
                <w:bCs/>
                <w:sz w:val="26"/>
                <w:szCs w:val="26"/>
              </w:rPr>
              <w:t>Repercusiones financieras</w:t>
            </w:r>
          </w:p>
          <w:p w14:paraId="6947ADE8" w14:textId="3924D3F7" w:rsidR="00F92BED" w:rsidRPr="000C4FD0" w:rsidRDefault="009E77FD" w:rsidP="00043A49">
            <w:pPr>
              <w:keepNext/>
              <w:keepLines/>
            </w:pPr>
            <w:r w:rsidRPr="000C4FD0">
              <w:t>Ninguna repercusión financiera; se aplicará con arreglo a los recursos actuales tanto humanos como financieros.</w:t>
            </w:r>
            <w:r w:rsidR="0058767B">
              <w:t xml:space="preserve"> </w:t>
            </w:r>
          </w:p>
          <w:p w14:paraId="7DE7807C" w14:textId="77777777" w:rsidR="00FE57F6" w:rsidRPr="000C4FD0" w:rsidRDefault="00FE57F6" w:rsidP="0058767B">
            <w:pPr>
              <w:keepNext/>
              <w:keepLines/>
              <w:rPr>
                <w:caps/>
                <w:sz w:val="22"/>
              </w:rPr>
            </w:pPr>
            <w:r w:rsidRPr="000C4FD0">
              <w:rPr>
                <w:sz w:val="22"/>
              </w:rPr>
              <w:t>__________________</w:t>
            </w:r>
          </w:p>
          <w:p w14:paraId="353901C5" w14:textId="012D5347" w:rsidR="00FE57F6" w:rsidRPr="000C4FD0" w:rsidRDefault="00F24B71" w:rsidP="0058767B">
            <w:pPr>
              <w:keepNext/>
              <w:keepLines/>
              <w:rPr>
                <w:b/>
                <w:bCs/>
                <w:sz w:val="26"/>
                <w:szCs w:val="26"/>
              </w:rPr>
            </w:pPr>
            <w:r w:rsidRPr="000C4FD0">
              <w:rPr>
                <w:b/>
                <w:bCs/>
                <w:sz w:val="26"/>
                <w:szCs w:val="26"/>
              </w:rPr>
              <w:t>Referencia</w:t>
            </w:r>
            <w:r w:rsidR="00F92BED" w:rsidRPr="000C4FD0">
              <w:rPr>
                <w:b/>
                <w:bCs/>
                <w:sz w:val="26"/>
                <w:szCs w:val="26"/>
              </w:rPr>
              <w:t>s</w:t>
            </w:r>
          </w:p>
          <w:p w14:paraId="6705AB9F" w14:textId="5AFE6665" w:rsidR="00FE57F6" w:rsidRPr="0058767B" w:rsidRDefault="00557896" w:rsidP="0058767B">
            <w:pPr>
              <w:keepNext/>
              <w:keepLines/>
              <w:spacing w:after="120"/>
              <w:rPr>
                <w:i/>
                <w:iCs/>
                <w:sz w:val="22"/>
                <w:szCs w:val="22"/>
                <w:lang w:val="es-ES"/>
              </w:rPr>
            </w:pPr>
            <w:r w:rsidRPr="0058767B">
              <w:rPr>
                <w:i/>
                <w:iCs/>
                <w:sz w:val="22"/>
                <w:szCs w:val="22"/>
              </w:rPr>
              <w:t xml:space="preserve">Informes </w:t>
            </w:r>
            <w:hyperlink r:id="rId7" w:history="1">
              <w:proofErr w:type="spellStart"/>
              <w:r w:rsidRPr="0058767B">
                <w:rPr>
                  <w:rStyle w:val="Hyperlink"/>
                  <w:i/>
                  <w:iCs/>
                  <w:sz w:val="22"/>
                  <w:szCs w:val="22"/>
                </w:rPr>
                <w:t>C24</w:t>
              </w:r>
              <w:proofErr w:type="spellEnd"/>
              <w:r w:rsidRPr="0058767B">
                <w:rPr>
                  <w:rStyle w:val="Hyperlink"/>
                  <w:i/>
                  <w:iCs/>
                  <w:sz w:val="22"/>
                  <w:szCs w:val="22"/>
                </w:rPr>
                <w:t>/57</w:t>
              </w:r>
            </w:hyperlink>
            <w:r w:rsidR="00BA4D1B" w:rsidRPr="0058767B">
              <w:rPr>
                <w:i/>
                <w:iCs/>
                <w:sz w:val="22"/>
                <w:szCs w:val="22"/>
                <w:lang w:val="es-ES"/>
              </w:rPr>
              <w:t xml:space="preserve">, </w:t>
            </w:r>
            <w:hyperlink r:id="rId8" w:history="1">
              <w:proofErr w:type="spellStart"/>
              <w:r w:rsidR="00BA4D1B" w:rsidRPr="0058767B">
                <w:rPr>
                  <w:rStyle w:val="Hyperlink"/>
                  <w:i/>
                  <w:iCs/>
                  <w:sz w:val="22"/>
                  <w:szCs w:val="22"/>
                </w:rPr>
                <w:t>C23</w:t>
              </w:r>
              <w:proofErr w:type="spellEnd"/>
              <w:r w:rsidR="00BA4D1B" w:rsidRPr="0058767B">
                <w:rPr>
                  <w:rStyle w:val="Hyperlink"/>
                  <w:i/>
                  <w:iCs/>
                  <w:sz w:val="22"/>
                  <w:szCs w:val="22"/>
                </w:rPr>
                <w:t>/57</w:t>
              </w:r>
            </w:hyperlink>
            <w:r w:rsidR="00BA4D1B" w:rsidRPr="0058767B">
              <w:rPr>
                <w:i/>
                <w:iCs/>
                <w:sz w:val="22"/>
                <w:szCs w:val="22"/>
              </w:rPr>
              <w:t xml:space="preserve"> y</w:t>
            </w:r>
            <w:r w:rsidR="00BA4D1B" w:rsidRPr="0058767B">
              <w:rPr>
                <w:i/>
                <w:iCs/>
                <w:sz w:val="22"/>
                <w:szCs w:val="22"/>
                <w:lang w:val="es-ES"/>
              </w:rPr>
              <w:t xml:space="preserve"> </w:t>
            </w:r>
            <w:hyperlink r:id="rId9" w:history="1">
              <w:proofErr w:type="spellStart"/>
              <w:r w:rsidR="00BA4D1B" w:rsidRPr="0058767B">
                <w:rPr>
                  <w:rStyle w:val="Hyperlink"/>
                  <w:i/>
                  <w:iCs/>
                  <w:sz w:val="22"/>
                  <w:szCs w:val="22"/>
                </w:rPr>
                <w:t>C22</w:t>
              </w:r>
              <w:proofErr w:type="spellEnd"/>
              <w:r w:rsidR="00BA4D1B" w:rsidRPr="0058767B">
                <w:rPr>
                  <w:rStyle w:val="Hyperlink"/>
                  <w:i/>
                  <w:iCs/>
                  <w:sz w:val="22"/>
                  <w:szCs w:val="22"/>
                </w:rPr>
                <w:t>/61</w:t>
              </w:r>
            </w:hyperlink>
            <w:r w:rsidR="0058767B" w:rsidRPr="0058767B">
              <w:rPr>
                <w:i/>
                <w:iCs/>
                <w:sz w:val="22"/>
                <w:szCs w:val="22"/>
              </w:rPr>
              <w:t xml:space="preserve"> del Consejo</w:t>
            </w:r>
          </w:p>
        </w:tc>
      </w:tr>
      <w:bookmarkEnd w:id="0"/>
    </w:tbl>
    <w:p w14:paraId="72D93544" w14:textId="77777777" w:rsidR="00043A49" w:rsidRPr="0058767B" w:rsidRDefault="00043A49" w:rsidP="0058767B">
      <w:pPr>
        <w:spacing w:before="0"/>
        <w:rPr>
          <w:sz w:val="12"/>
          <w:szCs w:val="12"/>
          <w:lang w:val="es-ES"/>
        </w:rPr>
        <w:sectPr w:rsidR="00043A49" w:rsidRPr="0058767B"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04B7A5F4" w14:textId="77777777" w:rsidR="00EA795C" w:rsidRPr="000C4FD0" w:rsidRDefault="00EA795C" w:rsidP="00F15D3B">
      <w:pPr>
        <w:pStyle w:val="Annextitle"/>
        <w:spacing w:before="120"/>
      </w:pPr>
      <w:r w:rsidRPr="000C4FD0">
        <w:rPr>
          <w:bCs/>
        </w:rPr>
        <w:lastRenderedPageBreak/>
        <w:t>Informes de la DCI para todo el sistema de las Naciones Unidas de 2023-2024</w:t>
      </w:r>
    </w:p>
    <w:tbl>
      <w:tblPr>
        <w:tblStyle w:val="TableGrid"/>
        <w:tblW w:w="5000" w:type="pct"/>
        <w:tblInd w:w="-147" w:type="dxa"/>
        <w:tblLayout w:type="fixed"/>
        <w:tblLook w:val="04A0" w:firstRow="1" w:lastRow="0" w:firstColumn="1" w:lastColumn="0" w:noHBand="0" w:noVBand="1"/>
      </w:tblPr>
      <w:tblGrid>
        <w:gridCol w:w="2380"/>
        <w:gridCol w:w="11608"/>
      </w:tblGrid>
      <w:tr w:rsidR="00EA795C" w:rsidRPr="000C4FD0" w14:paraId="72BF247C" w14:textId="77777777" w:rsidTr="002706C3">
        <w:trPr>
          <w:trHeight w:val="405"/>
        </w:trPr>
        <w:tc>
          <w:tcPr>
            <w:tcW w:w="14176" w:type="dxa"/>
            <w:gridSpan w:val="2"/>
            <w:shd w:val="clear" w:color="auto" w:fill="FFFF00"/>
          </w:tcPr>
          <w:p w14:paraId="14663EAC" w14:textId="125D3E61" w:rsidR="00EA795C" w:rsidRPr="00F90CDB" w:rsidRDefault="00EA795C" w:rsidP="00B3656F">
            <w:pPr>
              <w:autoSpaceDN/>
              <w:jc w:val="center"/>
              <w:rPr>
                <w:rFonts w:cs="Calibri"/>
                <w:b/>
                <w:bCs/>
                <w:color w:val="000000"/>
                <w:szCs w:val="24"/>
                <w:lang w:val="es-ES"/>
              </w:rPr>
            </w:pPr>
            <w:proofErr w:type="spellStart"/>
            <w:r w:rsidRPr="00F90CDB">
              <w:rPr>
                <w:rFonts w:cs="Calibri"/>
                <w:b/>
                <w:bCs/>
                <w:color w:val="000000"/>
                <w:szCs w:val="24"/>
                <w:lang w:val="es-ES"/>
              </w:rPr>
              <w:t>JIU</w:t>
            </w:r>
            <w:proofErr w:type="spellEnd"/>
            <w:r w:rsidRPr="00F90CDB">
              <w:rPr>
                <w:rFonts w:cs="Calibri"/>
                <w:b/>
                <w:bCs/>
                <w:color w:val="000000"/>
                <w:szCs w:val="24"/>
                <w:lang w:val="es-ES"/>
              </w:rPr>
              <w:t>/</w:t>
            </w:r>
            <w:proofErr w:type="spellStart"/>
            <w:r w:rsidRPr="00F90CDB">
              <w:rPr>
                <w:rFonts w:cs="Calibri"/>
                <w:b/>
                <w:bCs/>
                <w:color w:val="000000"/>
                <w:szCs w:val="24"/>
                <w:lang w:val="es-ES"/>
              </w:rPr>
              <w:t>REP</w:t>
            </w:r>
            <w:proofErr w:type="spellEnd"/>
            <w:r w:rsidRPr="00F90CDB">
              <w:rPr>
                <w:rFonts w:cs="Calibri"/>
                <w:b/>
                <w:bCs/>
                <w:color w:val="000000"/>
                <w:szCs w:val="24"/>
                <w:lang w:val="es-ES"/>
              </w:rPr>
              <w:t xml:space="preserve">/2024/4 </w:t>
            </w:r>
            <w:hyperlink r:id="rId13" w:history="1">
              <w:r w:rsidR="00F90CDB" w:rsidRPr="00F90CDB">
                <w:rPr>
                  <w:rStyle w:val="Hyperlink"/>
                  <w:rFonts w:cs="Calibri"/>
                  <w:b/>
                  <w:bCs/>
                  <w:szCs w:val="24"/>
                  <w:lang w:val="es-ES"/>
                </w:rPr>
                <w:t>Examen de la aplicación del principio de reconocimiento mutuo en el sistema de las Naciones Unidas</w:t>
              </w:r>
            </w:hyperlink>
            <w:r w:rsidRPr="00F90CDB">
              <w:rPr>
                <w:color w:val="000000"/>
                <w:szCs w:val="24"/>
                <w:lang w:val="es-ES"/>
              </w:rPr>
              <w:br/>
            </w:r>
            <w:r w:rsidRPr="00F90CDB">
              <w:rPr>
                <w:b/>
                <w:bCs/>
                <w:color w:val="000000"/>
                <w:szCs w:val="24"/>
                <w:lang w:val="es-ES"/>
              </w:rPr>
              <w:t>Coordinador de la UIT: Alassane Ba</w:t>
            </w:r>
          </w:p>
          <w:p w14:paraId="317F1115" w14:textId="5D00470F" w:rsidR="00EA795C" w:rsidRPr="000C4FD0" w:rsidRDefault="006262D5" w:rsidP="00B3656F">
            <w:pPr>
              <w:tabs>
                <w:tab w:val="clear" w:pos="567"/>
                <w:tab w:val="clear" w:pos="1134"/>
                <w:tab w:val="clear" w:pos="1701"/>
                <w:tab w:val="clear" w:pos="2268"/>
                <w:tab w:val="clear" w:pos="2835"/>
              </w:tabs>
              <w:overflowPunct/>
              <w:autoSpaceDE/>
              <w:autoSpaceDN/>
              <w:adjustRightInd/>
              <w:spacing w:before="0"/>
              <w:ind w:left="360" w:hanging="360"/>
              <w:jc w:val="center"/>
              <w:textAlignment w:val="auto"/>
              <w:rPr>
                <w:rFonts w:cs="Calibri"/>
                <w:b/>
                <w:color w:val="000000"/>
                <w:sz w:val="20"/>
                <w:szCs w:val="20"/>
              </w:rPr>
            </w:pPr>
            <w:r w:rsidRPr="000C4FD0">
              <w:rPr>
                <w:color w:val="000000"/>
              </w:rPr>
              <w:t>•</w:t>
            </w:r>
            <w:r w:rsidR="00EA795C" w:rsidRPr="000C4FD0">
              <w:rPr>
                <w:color w:val="000000"/>
              </w:rPr>
              <w:tab/>
            </w:r>
            <w:hyperlink r:id="rId14" w:history="1">
              <w:r w:rsidR="00EA795C" w:rsidRPr="000C4FD0">
                <w:rPr>
                  <w:rStyle w:val="Hyperlink"/>
                  <w:b/>
                  <w:bCs/>
                </w:rPr>
                <w:t>Elementos destacados</w:t>
              </w:r>
            </w:hyperlink>
          </w:p>
        </w:tc>
      </w:tr>
      <w:tr w:rsidR="00EA795C" w:rsidRPr="000C4FD0" w14:paraId="1650EC4A" w14:textId="77777777" w:rsidTr="002706C3">
        <w:trPr>
          <w:trHeight w:val="570"/>
        </w:trPr>
        <w:tc>
          <w:tcPr>
            <w:tcW w:w="2410" w:type="dxa"/>
            <w:shd w:val="clear" w:color="auto" w:fill="E1EBF7"/>
          </w:tcPr>
          <w:p w14:paraId="29E7A70A" w14:textId="44B2E307" w:rsidR="00EA795C" w:rsidRPr="000C4FD0" w:rsidRDefault="00EA795C" w:rsidP="00B3656F">
            <w:pPr>
              <w:jc w:val="right"/>
              <w:rPr>
                <w:rFonts w:cs="Calibri"/>
                <w:b/>
                <w:bCs/>
                <w:szCs w:val="24"/>
              </w:rPr>
            </w:pPr>
            <w:r w:rsidRPr="000C4FD0">
              <w:rPr>
                <w:b/>
                <w:bCs/>
                <w:color w:val="000000"/>
                <w:szCs w:val="24"/>
              </w:rPr>
              <w:t>Recomendación dirigida a los órganos legislativos/rectores</w:t>
            </w:r>
          </w:p>
        </w:tc>
        <w:tc>
          <w:tcPr>
            <w:tcW w:w="11766" w:type="dxa"/>
            <w:shd w:val="clear" w:color="auto" w:fill="FFFFFF" w:themeFill="background1"/>
          </w:tcPr>
          <w:p w14:paraId="370001C6" w14:textId="77777777" w:rsidR="00EA795C" w:rsidRPr="000C4FD0" w:rsidRDefault="00EA795C" w:rsidP="00EA795C">
            <w:pPr>
              <w:rPr>
                <w:rFonts w:cs="Calibri"/>
                <w:szCs w:val="24"/>
              </w:rPr>
            </w:pPr>
            <w:r w:rsidRPr="000C4FD0">
              <w:rPr>
                <w:b/>
                <w:bCs/>
                <w:szCs w:val="24"/>
                <w:highlight w:val="cyan"/>
              </w:rPr>
              <w:t>Recomendación 5</w:t>
            </w:r>
            <w:r w:rsidRPr="000C4FD0">
              <w:rPr>
                <w:szCs w:val="24"/>
              </w:rPr>
              <w:t>: Antes de finales de 2026, los órganos legislativos y los órganos rectores de las organizaciones del sistema de las Naciones Unidas deberían solicitar a los jefes ejecutivos de las organizaciones signatarias de la Declaración de Reconocimiento Mutuo que aún no lo hayan hecho que incluyan en sus informes periódicos las mejoras de eficiencia resultantes de la aplicación del principio de reconocimiento mutuo a fin de garantizar un seguimiento y una supervisión adecuados.</w:t>
            </w:r>
          </w:p>
        </w:tc>
      </w:tr>
      <w:tr w:rsidR="00EA795C" w:rsidRPr="000C4FD0" w14:paraId="3E265B33" w14:textId="77777777" w:rsidTr="002706C3">
        <w:tc>
          <w:tcPr>
            <w:tcW w:w="2410" w:type="dxa"/>
            <w:shd w:val="clear" w:color="auto" w:fill="EAF1DD" w:themeFill="accent3" w:themeFillTint="33"/>
          </w:tcPr>
          <w:p w14:paraId="398580D1" w14:textId="1A6B55E0" w:rsidR="00EA795C" w:rsidRPr="000C4FD0" w:rsidRDefault="00EA795C" w:rsidP="00B3656F">
            <w:pPr>
              <w:jc w:val="right"/>
              <w:rPr>
                <w:rFonts w:cs="Calibri"/>
                <w:b/>
                <w:bCs/>
                <w:szCs w:val="24"/>
              </w:rPr>
            </w:pPr>
            <w:r w:rsidRPr="000C4FD0">
              <w:rPr>
                <w:b/>
                <w:bCs/>
                <w:color w:val="000000"/>
                <w:szCs w:val="24"/>
              </w:rPr>
              <w:t>Acción solicitad</w:t>
            </w:r>
            <w:r w:rsidR="002706C3" w:rsidRPr="000C4FD0">
              <w:rPr>
                <w:b/>
                <w:bCs/>
                <w:color w:val="000000"/>
                <w:szCs w:val="24"/>
              </w:rPr>
              <w:t>a</w:t>
            </w:r>
          </w:p>
        </w:tc>
        <w:tc>
          <w:tcPr>
            <w:tcW w:w="11766" w:type="dxa"/>
          </w:tcPr>
          <w:p w14:paraId="51AB92AA" w14:textId="77777777" w:rsidR="00EA795C" w:rsidRPr="000C4FD0" w:rsidRDefault="00EA795C" w:rsidP="00B3656F">
            <w:pPr>
              <w:rPr>
                <w:rFonts w:cs="Calibri"/>
                <w:b/>
                <w:bCs/>
                <w:szCs w:val="24"/>
              </w:rPr>
            </w:pPr>
            <w:r w:rsidRPr="000C4FD0">
              <w:rPr>
                <w:color w:val="000000"/>
                <w:szCs w:val="24"/>
              </w:rPr>
              <w:t>(</w:t>
            </w:r>
            <w:r w:rsidRPr="000C4FD0">
              <w:rPr>
                <w:b/>
                <w:bCs/>
                <w:color w:val="000000"/>
                <w:szCs w:val="24"/>
                <w:highlight w:val="green"/>
              </w:rPr>
              <w:t>Aceptar</w:t>
            </w:r>
            <w:r w:rsidRPr="000C4FD0">
              <w:rPr>
                <w:color w:val="000000"/>
                <w:szCs w:val="24"/>
              </w:rPr>
              <w:t>, No aceptar, No pertinente o Requiere consideraciones ulteriores)</w:t>
            </w:r>
          </w:p>
        </w:tc>
      </w:tr>
      <w:tr w:rsidR="00EA795C" w:rsidRPr="000C4FD0" w14:paraId="7DD29AB7" w14:textId="77777777" w:rsidTr="002706C3">
        <w:tc>
          <w:tcPr>
            <w:tcW w:w="2410" w:type="dxa"/>
          </w:tcPr>
          <w:p w14:paraId="60858C64" w14:textId="57A5C9DB" w:rsidR="00EA795C" w:rsidRPr="000C4FD0" w:rsidRDefault="00EA795C" w:rsidP="00B3656F">
            <w:pPr>
              <w:jc w:val="right"/>
              <w:rPr>
                <w:rFonts w:cs="Calibri"/>
                <w:b/>
                <w:bCs/>
                <w:szCs w:val="24"/>
              </w:rPr>
            </w:pPr>
            <w:r w:rsidRPr="000C4FD0">
              <w:rPr>
                <w:b/>
                <w:bCs/>
                <w:color w:val="000000"/>
                <w:szCs w:val="24"/>
              </w:rPr>
              <w:t>Observaciones de la UIT sobre pertinencia y repercusiones en materia de recursos humanos y financieros</w:t>
            </w:r>
          </w:p>
        </w:tc>
        <w:tc>
          <w:tcPr>
            <w:tcW w:w="11766" w:type="dxa"/>
          </w:tcPr>
          <w:p w14:paraId="50D45BCD" w14:textId="3444CF6F" w:rsidR="00EA795C" w:rsidRPr="000C4FD0" w:rsidRDefault="00EA795C" w:rsidP="00B3656F">
            <w:pPr>
              <w:rPr>
                <w:szCs w:val="24"/>
              </w:rPr>
            </w:pPr>
            <w:r w:rsidRPr="000C4FD0">
              <w:rPr>
                <w:color w:val="000000"/>
                <w:szCs w:val="24"/>
              </w:rPr>
              <w:t>La UIT es parte signataria de la Declaración de Reconocimiento Mutuo.</w:t>
            </w:r>
            <w:r w:rsidR="00BA4D1B">
              <w:rPr>
                <w:color w:val="000000"/>
                <w:szCs w:val="24"/>
              </w:rPr>
              <w:t xml:space="preserve"> </w:t>
            </w:r>
            <w:r w:rsidRPr="000C4FD0">
              <w:rPr>
                <w:color w:val="000000"/>
                <w:szCs w:val="24"/>
              </w:rPr>
              <w:t>La UIT debería aceptar esta recomendación y las mejoras de eficiencia resultantes de la aplicación del principio de reconocimiento mutuo se mencionarán en sus informes periódicos.</w:t>
            </w:r>
            <w:r w:rsidR="00BA4D1B">
              <w:rPr>
                <w:color w:val="000000"/>
                <w:szCs w:val="24"/>
              </w:rPr>
              <w:t xml:space="preserve"> </w:t>
            </w:r>
            <w:r w:rsidRPr="000C4FD0">
              <w:rPr>
                <w:color w:val="000000"/>
                <w:szCs w:val="24"/>
              </w:rPr>
              <w:t>En consonancia con la Recomendación 2 y la elaboración de las directrices operacionales por la Red de Recursos Humanos de la JJE, la UIT prevé utilizar la Declaración de Reconocimiento Mutuo para aumentar la eficiencia. Las compras y contrataciones se llevarán a cabo a través de la Red de Adquisiciones.</w:t>
            </w:r>
          </w:p>
        </w:tc>
      </w:tr>
      <w:tr w:rsidR="00EA795C" w:rsidRPr="000C4FD0" w14:paraId="6C0B100F" w14:textId="77777777" w:rsidTr="002706C3">
        <w:tc>
          <w:tcPr>
            <w:tcW w:w="2410" w:type="dxa"/>
          </w:tcPr>
          <w:p w14:paraId="1386571E" w14:textId="22CA2DF2" w:rsidR="00EA795C" w:rsidRPr="000C4FD0" w:rsidRDefault="00EA795C" w:rsidP="00B3656F">
            <w:pPr>
              <w:jc w:val="right"/>
              <w:rPr>
                <w:rFonts w:cs="Calibri"/>
                <w:b/>
                <w:bCs/>
                <w:szCs w:val="24"/>
              </w:rPr>
            </w:pPr>
            <w:r w:rsidRPr="000C4FD0">
              <w:rPr>
                <w:b/>
                <w:bCs/>
                <w:color w:val="000000"/>
                <w:szCs w:val="24"/>
              </w:rPr>
              <w:t>Observaciones de la JJE para todo el sistema de las Naciones Unidas</w:t>
            </w:r>
          </w:p>
        </w:tc>
        <w:tc>
          <w:tcPr>
            <w:tcW w:w="11766" w:type="dxa"/>
          </w:tcPr>
          <w:p w14:paraId="23C8DE76" w14:textId="73AEF50E" w:rsidR="00EA795C" w:rsidRPr="000C4FD0" w:rsidRDefault="00EA795C" w:rsidP="00B3656F">
            <w:pPr>
              <w:rPr>
                <w:rFonts w:cs="Calibri"/>
                <w:b/>
                <w:bCs/>
                <w:szCs w:val="24"/>
              </w:rPr>
            </w:pPr>
            <w:r w:rsidRPr="000C4FD0">
              <w:rPr>
                <w:b/>
                <w:bCs/>
                <w:color w:val="FF0000"/>
                <w:szCs w:val="24"/>
              </w:rPr>
              <w:t>No disponibles todavía</w:t>
            </w:r>
            <w:r w:rsidR="002706C3" w:rsidRPr="000C4FD0">
              <w:rPr>
                <w:b/>
                <w:bCs/>
                <w:color w:val="FF0000"/>
                <w:szCs w:val="24"/>
              </w:rPr>
              <w:t>.</w:t>
            </w:r>
          </w:p>
        </w:tc>
      </w:tr>
      <w:tr w:rsidR="00EA795C" w:rsidRPr="000C4FD0" w14:paraId="65284A26" w14:textId="77777777" w:rsidTr="002706C3">
        <w:tc>
          <w:tcPr>
            <w:tcW w:w="2410" w:type="dxa"/>
          </w:tcPr>
          <w:p w14:paraId="7F73FC51" w14:textId="77777777" w:rsidR="00EA795C" w:rsidRPr="000C4FD0" w:rsidRDefault="00EA795C" w:rsidP="00B3656F">
            <w:pPr>
              <w:jc w:val="right"/>
              <w:rPr>
                <w:rFonts w:cs="Calibri"/>
                <w:szCs w:val="24"/>
              </w:rPr>
            </w:pPr>
            <w:r w:rsidRPr="000C4FD0">
              <w:rPr>
                <w:b/>
                <w:bCs/>
                <w:color w:val="000000"/>
                <w:szCs w:val="24"/>
              </w:rPr>
              <w:t>Estado de aplicación</w:t>
            </w:r>
          </w:p>
        </w:tc>
        <w:tc>
          <w:tcPr>
            <w:tcW w:w="11766" w:type="dxa"/>
          </w:tcPr>
          <w:p w14:paraId="1FA3ACC8" w14:textId="73284D10" w:rsidR="00EA795C" w:rsidRPr="000C4FD0" w:rsidRDefault="00EA795C" w:rsidP="00B3656F">
            <w:pPr>
              <w:rPr>
                <w:rFonts w:cs="Calibri"/>
                <w:szCs w:val="24"/>
              </w:rPr>
            </w:pPr>
            <w:r w:rsidRPr="000C4FD0">
              <w:rPr>
                <w:color w:val="000000"/>
                <w:szCs w:val="24"/>
              </w:rPr>
              <w:t>En curso</w:t>
            </w:r>
            <w:r w:rsidR="002706C3" w:rsidRPr="000C4FD0">
              <w:rPr>
                <w:color w:val="000000"/>
                <w:szCs w:val="24"/>
              </w:rPr>
              <w:t>.</w:t>
            </w:r>
          </w:p>
        </w:tc>
      </w:tr>
      <w:tr w:rsidR="00EA795C" w:rsidRPr="000C4FD0" w14:paraId="34ACD052" w14:textId="77777777" w:rsidTr="002706C3">
        <w:trPr>
          <w:trHeight w:val="405"/>
        </w:trPr>
        <w:tc>
          <w:tcPr>
            <w:tcW w:w="14176" w:type="dxa"/>
            <w:gridSpan w:val="2"/>
            <w:shd w:val="clear" w:color="auto" w:fill="FFFF00"/>
          </w:tcPr>
          <w:p w14:paraId="55B1774F" w14:textId="3C6CE8E4" w:rsidR="00EA795C" w:rsidRPr="000C4FD0" w:rsidRDefault="00EA795C" w:rsidP="00B3656F">
            <w:pPr>
              <w:keepNext/>
              <w:tabs>
                <w:tab w:val="clear" w:pos="567"/>
                <w:tab w:val="clear" w:pos="1134"/>
                <w:tab w:val="clear" w:pos="1701"/>
                <w:tab w:val="clear" w:pos="2268"/>
                <w:tab w:val="clear" w:pos="2835"/>
              </w:tabs>
              <w:overflowPunct/>
              <w:autoSpaceDE/>
              <w:adjustRightInd/>
              <w:jc w:val="center"/>
              <w:textAlignment w:val="auto"/>
              <w:rPr>
                <w:rFonts w:cs="Calibri"/>
                <w:b/>
                <w:bCs/>
                <w:szCs w:val="24"/>
              </w:rPr>
            </w:pPr>
            <w:proofErr w:type="spellStart"/>
            <w:r w:rsidRPr="000C4FD0">
              <w:rPr>
                <w:b/>
                <w:bCs/>
                <w:color w:val="000000"/>
                <w:szCs w:val="24"/>
              </w:rPr>
              <w:lastRenderedPageBreak/>
              <w:t>JIU</w:t>
            </w:r>
            <w:proofErr w:type="spellEnd"/>
            <w:r w:rsidRPr="000C4FD0">
              <w:rPr>
                <w:b/>
                <w:bCs/>
                <w:color w:val="000000"/>
                <w:szCs w:val="24"/>
              </w:rPr>
              <w:t>/</w:t>
            </w:r>
            <w:proofErr w:type="spellStart"/>
            <w:r w:rsidRPr="000C4FD0">
              <w:rPr>
                <w:b/>
                <w:bCs/>
                <w:color w:val="000000"/>
                <w:szCs w:val="24"/>
              </w:rPr>
              <w:t>REP</w:t>
            </w:r>
            <w:proofErr w:type="spellEnd"/>
            <w:r w:rsidRPr="000C4FD0">
              <w:rPr>
                <w:b/>
                <w:bCs/>
                <w:color w:val="000000"/>
                <w:szCs w:val="24"/>
              </w:rPr>
              <w:t xml:space="preserve">/2024/3 (Parte I) </w:t>
            </w:r>
            <w:hyperlink r:id="rId15" w:history="1">
              <w:r w:rsidR="006262D5" w:rsidRPr="000C4FD0">
                <w:rPr>
                  <w:rStyle w:val="Hyperlink"/>
                  <w:b/>
                  <w:bCs/>
                  <w:szCs w:val="24"/>
                </w:rPr>
                <w:t xml:space="preserve">La presupuestación en las organizaciones del sistema de las Naciones Unidas </w:t>
              </w:r>
              <w:r w:rsidR="00546777">
                <w:rPr>
                  <w:rStyle w:val="Hyperlink"/>
                  <w:b/>
                  <w:bCs/>
                  <w:szCs w:val="24"/>
                </w:rPr>
                <w:t xml:space="preserve">– </w:t>
              </w:r>
              <w:r w:rsidR="006262D5" w:rsidRPr="000C4FD0">
                <w:rPr>
                  <w:rStyle w:val="Hyperlink"/>
                  <w:b/>
                  <w:bCs/>
                  <w:szCs w:val="24"/>
                </w:rPr>
                <w:t xml:space="preserve">Parte I </w:t>
              </w:r>
              <w:r w:rsidR="002706C3" w:rsidRPr="000C4FD0">
                <w:rPr>
                  <w:rStyle w:val="Hyperlink"/>
                  <w:b/>
                  <w:bCs/>
                  <w:szCs w:val="24"/>
                </w:rPr>
                <w:t>–</w:t>
              </w:r>
              <w:r w:rsidR="006262D5" w:rsidRPr="000C4FD0">
                <w:rPr>
                  <w:rStyle w:val="Hyperlink"/>
                  <w:b/>
                  <w:bCs/>
                  <w:szCs w:val="24"/>
                </w:rPr>
                <w:t xml:space="preserve"> Análisis comparativo</w:t>
              </w:r>
            </w:hyperlink>
            <w:r w:rsidR="006262D5" w:rsidRPr="000C4FD0">
              <w:rPr>
                <w:rStyle w:val="Hyperlink"/>
                <w:b/>
                <w:bCs/>
                <w:szCs w:val="24"/>
              </w:rPr>
              <w:br/>
            </w:r>
            <w:proofErr w:type="spellStart"/>
            <w:r w:rsidRPr="000C4FD0">
              <w:rPr>
                <w:b/>
                <w:bCs/>
                <w:color w:val="000000"/>
                <w:szCs w:val="24"/>
              </w:rPr>
              <w:t>JIU</w:t>
            </w:r>
            <w:proofErr w:type="spellEnd"/>
            <w:r w:rsidRPr="000C4FD0">
              <w:rPr>
                <w:b/>
                <w:bCs/>
                <w:color w:val="000000"/>
                <w:szCs w:val="24"/>
              </w:rPr>
              <w:t>/</w:t>
            </w:r>
            <w:proofErr w:type="spellStart"/>
            <w:r w:rsidRPr="000C4FD0">
              <w:rPr>
                <w:b/>
                <w:bCs/>
                <w:color w:val="000000"/>
                <w:szCs w:val="24"/>
              </w:rPr>
              <w:t>REP</w:t>
            </w:r>
            <w:proofErr w:type="spellEnd"/>
            <w:r w:rsidRPr="000C4FD0">
              <w:rPr>
                <w:b/>
                <w:bCs/>
                <w:color w:val="000000"/>
                <w:szCs w:val="24"/>
              </w:rPr>
              <w:t>/2024/3 (Parte II)</w:t>
            </w:r>
            <w:r w:rsidRPr="000C4FD0">
              <w:rPr>
                <w:color w:val="000000"/>
                <w:szCs w:val="24"/>
              </w:rPr>
              <w:t xml:space="preserve"> </w:t>
            </w:r>
            <w:hyperlink r:id="rId16" w:history="1">
              <w:r w:rsidR="00F90CDB">
                <w:rPr>
                  <w:rStyle w:val="Hyperlink"/>
                  <w:rFonts w:cs="Calibri"/>
                  <w:b/>
                  <w:bCs/>
                  <w:szCs w:val="24"/>
                </w:rPr>
                <w:t xml:space="preserve">La presupuestación en las organizaciones del sistema de las Naciones Unidas </w:t>
              </w:r>
              <w:r w:rsidR="00546777">
                <w:rPr>
                  <w:rStyle w:val="Hyperlink"/>
                  <w:rFonts w:cs="Calibri"/>
                  <w:b/>
                  <w:bCs/>
                  <w:szCs w:val="24"/>
                </w:rPr>
                <w:t>–</w:t>
              </w:r>
              <w:r w:rsidR="00F90CDB">
                <w:rPr>
                  <w:rStyle w:val="Hyperlink"/>
                  <w:rFonts w:cs="Calibri"/>
                  <w:b/>
                  <w:bCs/>
                  <w:szCs w:val="24"/>
                </w:rPr>
                <w:t xml:space="preserve"> Parte II </w:t>
              </w:r>
              <w:r w:rsidR="00546777">
                <w:rPr>
                  <w:rStyle w:val="Hyperlink"/>
                  <w:rFonts w:cs="Calibri"/>
                  <w:b/>
                  <w:bCs/>
                  <w:szCs w:val="24"/>
                </w:rPr>
                <w:t>–</w:t>
              </w:r>
              <w:r w:rsidR="00F90CDB">
                <w:rPr>
                  <w:rStyle w:val="Hyperlink"/>
                  <w:rFonts w:cs="Calibri"/>
                  <w:b/>
                  <w:bCs/>
                  <w:szCs w:val="24"/>
                </w:rPr>
                <w:t xml:space="preserve"> Cuadros de referencia</w:t>
              </w:r>
            </w:hyperlink>
            <w:r w:rsidRPr="000C4FD0">
              <w:rPr>
                <w:b/>
                <w:bCs/>
                <w:color w:val="000000"/>
                <w:szCs w:val="24"/>
              </w:rPr>
              <w:br/>
              <w:t>Coordinador de la UIT: Jean-Paul Lovato</w:t>
            </w:r>
          </w:p>
          <w:p w14:paraId="143AF3EF" w14:textId="77777777" w:rsidR="00EA795C" w:rsidRPr="000C4FD0" w:rsidRDefault="00EA795C" w:rsidP="00B3656F">
            <w:pPr>
              <w:keepNext/>
              <w:tabs>
                <w:tab w:val="clear" w:pos="567"/>
                <w:tab w:val="clear" w:pos="1134"/>
                <w:tab w:val="clear" w:pos="1701"/>
                <w:tab w:val="clear" w:pos="2268"/>
                <w:tab w:val="clear" w:pos="2835"/>
              </w:tabs>
              <w:overflowPunct/>
              <w:autoSpaceDE/>
              <w:adjustRightInd/>
              <w:spacing w:before="0"/>
              <w:ind w:left="720" w:hanging="360"/>
              <w:jc w:val="center"/>
              <w:textAlignment w:val="auto"/>
              <w:rPr>
                <w:rFonts w:cs="Calibri"/>
                <w:b/>
                <w:bCs/>
                <w:color w:val="000000"/>
                <w:szCs w:val="24"/>
              </w:rPr>
            </w:pPr>
            <w:r w:rsidRPr="000C4FD0">
              <w:rPr>
                <w:rFonts w:ascii="Symbol" w:hAnsi="Symbol" w:cs="Calibri"/>
                <w:bCs/>
                <w:color w:val="000000"/>
                <w:szCs w:val="24"/>
              </w:rPr>
              <w:t></w:t>
            </w:r>
            <w:r w:rsidRPr="000C4FD0">
              <w:rPr>
                <w:color w:val="000000"/>
                <w:szCs w:val="24"/>
              </w:rPr>
              <w:tab/>
            </w:r>
            <w:hyperlink r:id="rId17" w:history="1">
              <w:r w:rsidRPr="000C4FD0">
                <w:rPr>
                  <w:rStyle w:val="Hyperlink"/>
                  <w:b/>
                  <w:bCs/>
                  <w:szCs w:val="24"/>
                </w:rPr>
                <w:t>Elementos destacados</w:t>
              </w:r>
            </w:hyperlink>
          </w:p>
        </w:tc>
      </w:tr>
      <w:tr w:rsidR="00EA795C" w:rsidRPr="000C4FD0" w14:paraId="65D159B0" w14:textId="77777777" w:rsidTr="002706C3">
        <w:trPr>
          <w:trHeight w:val="653"/>
        </w:trPr>
        <w:tc>
          <w:tcPr>
            <w:tcW w:w="2410" w:type="dxa"/>
            <w:shd w:val="clear" w:color="auto" w:fill="E1EBF7"/>
          </w:tcPr>
          <w:p w14:paraId="64C0B1FA" w14:textId="41515FE6" w:rsidR="00EA795C" w:rsidRPr="000C4FD0" w:rsidRDefault="00EA795C" w:rsidP="00B3656F">
            <w:pPr>
              <w:keepNext/>
              <w:jc w:val="right"/>
              <w:rPr>
                <w:rFonts w:cs="Calibri"/>
                <w:b/>
                <w:bCs/>
                <w:szCs w:val="24"/>
              </w:rPr>
            </w:pPr>
            <w:r w:rsidRPr="000C4FD0">
              <w:rPr>
                <w:b/>
                <w:bCs/>
                <w:color w:val="000000"/>
                <w:szCs w:val="24"/>
              </w:rPr>
              <w:t>Recomendación dirigida a los órganos legislativos/rectores</w:t>
            </w:r>
          </w:p>
        </w:tc>
        <w:tc>
          <w:tcPr>
            <w:tcW w:w="11766" w:type="dxa"/>
            <w:shd w:val="clear" w:color="auto" w:fill="FFFFFF" w:themeFill="background1"/>
          </w:tcPr>
          <w:p w14:paraId="4F78BC01" w14:textId="660783E1" w:rsidR="00EA795C" w:rsidRPr="000C4FD0" w:rsidRDefault="00EA795C" w:rsidP="00B3656F">
            <w:pPr>
              <w:keepNext/>
              <w:rPr>
                <w:rFonts w:cs="Calibri"/>
                <w:szCs w:val="24"/>
              </w:rPr>
            </w:pPr>
            <w:r w:rsidRPr="000C4FD0">
              <w:rPr>
                <w:b/>
                <w:bCs/>
                <w:color w:val="000000"/>
                <w:szCs w:val="24"/>
                <w:highlight w:val="cyan"/>
              </w:rPr>
              <w:t>Recomendación 2</w:t>
            </w:r>
            <w:r w:rsidRPr="000C4FD0">
              <w:rPr>
                <w:b/>
                <w:bCs/>
                <w:color w:val="000000"/>
                <w:szCs w:val="24"/>
              </w:rPr>
              <w:t>:</w:t>
            </w:r>
            <w:r w:rsidRPr="000C4FD0">
              <w:rPr>
                <w:color w:val="000000"/>
                <w:szCs w:val="24"/>
              </w:rPr>
              <w:t xml:space="preserve"> Los órganos legislativos y los órganos rectores de las organizaciones participantes en la DCI deberían solicitar a las jefaturas ejecutivas de las organizaciones respectivas que, en su calidad de miembros de la</w:t>
            </w:r>
            <w:r w:rsidR="005943E8" w:rsidRPr="000C4FD0">
              <w:rPr>
                <w:color w:val="000000"/>
                <w:szCs w:val="24"/>
              </w:rPr>
              <w:t> </w:t>
            </w:r>
            <w:r w:rsidRPr="000C4FD0">
              <w:rPr>
                <w:color w:val="000000"/>
                <w:szCs w:val="24"/>
              </w:rPr>
              <w:t>JJE, actualicen para el final de 2027 la clasificación estándar de los objetos de gasto y la publiquen para que se utilice como documento de referencia en la presupuestación, entre otros fines.</w:t>
            </w:r>
          </w:p>
        </w:tc>
      </w:tr>
      <w:tr w:rsidR="00EA795C" w:rsidRPr="000C4FD0" w14:paraId="6750BD1D" w14:textId="77777777" w:rsidTr="002706C3">
        <w:tc>
          <w:tcPr>
            <w:tcW w:w="2410" w:type="dxa"/>
            <w:shd w:val="clear" w:color="auto" w:fill="EAF1DD" w:themeFill="accent3" w:themeFillTint="33"/>
          </w:tcPr>
          <w:p w14:paraId="2B6AA149" w14:textId="69D8E33A" w:rsidR="00EA795C" w:rsidRPr="000C4FD0" w:rsidRDefault="00EA795C" w:rsidP="00B3656F">
            <w:pPr>
              <w:keepNext/>
              <w:jc w:val="right"/>
              <w:rPr>
                <w:rFonts w:cs="Calibri"/>
                <w:b/>
                <w:bCs/>
                <w:szCs w:val="24"/>
              </w:rPr>
            </w:pPr>
            <w:r w:rsidRPr="000C4FD0">
              <w:rPr>
                <w:b/>
                <w:bCs/>
                <w:color w:val="000000"/>
                <w:szCs w:val="24"/>
              </w:rPr>
              <w:t>Acción solicitada</w:t>
            </w:r>
          </w:p>
        </w:tc>
        <w:tc>
          <w:tcPr>
            <w:tcW w:w="11766" w:type="dxa"/>
          </w:tcPr>
          <w:p w14:paraId="34BA3A06" w14:textId="77777777" w:rsidR="00EA795C" w:rsidRPr="000C4FD0" w:rsidRDefault="00EA795C" w:rsidP="00B3656F">
            <w:pPr>
              <w:keepNext/>
              <w:rPr>
                <w:rFonts w:cs="Calibri"/>
                <w:b/>
                <w:bCs/>
                <w:szCs w:val="24"/>
              </w:rPr>
            </w:pPr>
            <w:r w:rsidRPr="000C4FD0">
              <w:rPr>
                <w:color w:val="000000"/>
                <w:szCs w:val="24"/>
              </w:rPr>
              <w:t>(</w:t>
            </w:r>
            <w:r w:rsidRPr="000C4FD0">
              <w:rPr>
                <w:b/>
                <w:bCs/>
                <w:color w:val="000000"/>
                <w:szCs w:val="24"/>
                <w:highlight w:val="green"/>
              </w:rPr>
              <w:t>Aceptar</w:t>
            </w:r>
            <w:r w:rsidRPr="000C4FD0">
              <w:rPr>
                <w:color w:val="000000"/>
                <w:szCs w:val="24"/>
              </w:rPr>
              <w:t>, No aceptar, No pertinente o Requiere consideraciones ulteriores)</w:t>
            </w:r>
          </w:p>
        </w:tc>
      </w:tr>
      <w:tr w:rsidR="00EA795C" w:rsidRPr="000C4FD0" w14:paraId="3CC8D520" w14:textId="77777777" w:rsidTr="002706C3">
        <w:tc>
          <w:tcPr>
            <w:tcW w:w="2410" w:type="dxa"/>
          </w:tcPr>
          <w:p w14:paraId="1F73DF93" w14:textId="77777777" w:rsidR="00EA795C" w:rsidRPr="000C4FD0" w:rsidRDefault="00EA795C" w:rsidP="00B3656F">
            <w:pPr>
              <w:jc w:val="right"/>
              <w:rPr>
                <w:rFonts w:cs="Calibri"/>
                <w:b/>
                <w:bCs/>
                <w:szCs w:val="24"/>
              </w:rPr>
            </w:pPr>
            <w:r w:rsidRPr="000C4FD0">
              <w:rPr>
                <w:b/>
                <w:bCs/>
                <w:color w:val="000000"/>
                <w:szCs w:val="24"/>
              </w:rPr>
              <w:t>Observaciones de la UIT sobre pertinencia y repercusiones en materia de recursos humanos y financieros</w:t>
            </w:r>
          </w:p>
        </w:tc>
        <w:tc>
          <w:tcPr>
            <w:tcW w:w="11766" w:type="dxa"/>
          </w:tcPr>
          <w:p w14:paraId="3B54BC4E" w14:textId="77777777" w:rsidR="00EA795C" w:rsidRPr="000C4FD0" w:rsidRDefault="00EA795C" w:rsidP="00B3656F">
            <w:pPr>
              <w:rPr>
                <w:rFonts w:asciiTheme="minorHAnsi" w:hAnsiTheme="minorHAnsi"/>
                <w:szCs w:val="24"/>
              </w:rPr>
            </w:pPr>
            <w:r w:rsidRPr="000C4FD0">
              <w:rPr>
                <w:color w:val="000000"/>
                <w:szCs w:val="24"/>
              </w:rPr>
              <w:t>La UIT ya dispone de una clasificación normalizada de los objetos de gasto, de conformidad con el Reglamento Financiero vigente. Además, los estados financieros están accesibles para el público una vez aprobados por los órganos rectores. Las categorías de gastos se utilizan en la preparación y establecimiento de los presupuestos.</w:t>
            </w:r>
          </w:p>
        </w:tc>
      </w:tr>
      <w:tr w:rsidR="00EA795C" w:rsidRPr="000C4FD0" w14:paraId="18DAE9BD" w14:textId="77777777" w:rsidTr="002706C3">
        <w:tc>
          <w:tcPr>
            <w:tcW w:w="2410" w:type="dxa"/>
          </w:tcPr>
          <w:p w14:paraId="7FA50FD4" w14:textId="40921EC2" w:rsidR="00EA795C" w:rsidRPr="000C4FD0" w:rsidRDefault="00EA795C" w:rsidP="00B3656F">
            <w:pPr>
              <w:jc w:val="right"/>
              <w:rPr>
                <w:rFonts w:cs="Calibri"/>
                <w:b/>
                <w:bCs/>
                <w:szCs w:val="24"/>
              </w:rPr>
            </w:pPr>
            <w:r w:rsidRPr="000C4FD0">
              <w:rPr>
                <w:b/>
                <w:bCs/>
                <w:color w:val="000000"/>
                <w:szCs w:val="24"/>
              </w:rPr>
              <w:t>Observaciones de la JJE para todo el sistema de las Naciones Unidas</w:t>
            </w:r>
          </w:p>
        </w:tc>
        <w:tc>
          <w:tcPr>
            <w:tcW w:w="11766" w:type="dxa"/>
          </w:tcPr>
          <w:p w14:paraId="7A5D24BC" w14:textId="56C112A5" w:rsidR="00EA795C" w:rsidRPr="000C4FD0" w:rsidRDefault="00EA795C" w:rsidP="00B3656F">
            <w:pPr>
              <w:rPr>
                <w:rFonts w:cs="Calibri"/>
                <w:szCs w:val="24"/>
              </w:rPr>
            </w:pPr>
            <w:r w:rsidRPr="000C4FD0">
              <w:rPr>
                <w:color w:val="000000"/>
                <w:szCs w:val="24"/>
              </w:rPr>
              <w:t>Si bien apoyan parcialmente la recomendación de actualizar la clasificación normalizada de objetos de gasto a efectos de referencia, algunas organizaciones señalan que la clasificación de referencia no debería impedir que las organizaciones adapten sus planes contables de gastos para apoyar y facilitar la presupuestación basada en los resultados. Además, varias organizaciones consideran que esta recomendación ya se ha aplicado, con referencia a una política conjunta de recuperación de costos armonizada de varias organizaciones, que fue aprobada conjuntamente por las Juntas Ejecutivas de esas entidades.</w:t>
            </w:r>
          </w:p>
          <w:p w14:paraId="62572FB7" w14:textId="77777777" w:rsidR="00EA795C" w:rsidRPr="000C4FD0" w:rsidRDefault="00EA795C" w:rsidP="00B3656F">
            <w:pPr>
              <w:rPr>
                <w:rFonts w:cs="Calibri"/>
                <w:szCs w:val="24"/>
              </w:rPr>
            </w:pPr>
            <w:r w:rsidRPr="000C4FD0">
              <w:rPr>
                <w:color w:val="000000"/>
                <w:szCs w:val="24"/>
              </w:rPr>
              <w:t>Otras organizaciones señalan que las categorías de costos se derivan del plan contable y reflejan el mandato específico de una organización, y que los intentos de armonización pueden contravenir las mejores prácticas de los planes contables. Además, se hizo hincapié en el reto que supone alinear la clasificación de los objetos de gasto de las distintas organizaciones de las Naciones Unidas, que tienen diferentes mandatos y modalidades operativas. A este respecto, toda propuesta de actualización de la clasificación normalizada de objetos de gasto debería utilizarse principalmente a efectos de presentación de informes interinstitucionales y no con fines de presupuestación, habida cuenta de las especificidades de los mandatos y modalidades operativas de las organizaciones.</w:t>
            </w:r>
          </w:p>
          <w:p w14:paraId="45CE5D37" w14:textId="77777777" w:rsidR="00EA795C" w:rsidRPr="000C4FD0" w:rsidRDefault="00EA795C" w:rsidP="00B3656F">
            <w:pPr>
              <w:rPr>
                <w:rFonts w:cs="Calibri"/>
                <w:b/>
                <w:bCs/>
                <w:szCs w:val="24"/>
              </w:rPr>
            </w:pPr>
            <w:r w:rsidRPr="000C4FD0">
              <w:rPr>
                <w:color w:val="000000"/>
                <w:szCs w:val="24"/>
              </w:rPr>
              <w:lastRenderedPageBreak/>
              <w:t>En cuanto al calendario de aplicación, las organizaciones subrayan que no pueden comprometerse con los plazos propuestos, ya que se requerirá un acuerdo colectivo de los miembros de la Red de Finanzas y Presupuesto y el proceso puede llevar más tiempo.</w:t>
            </w:r>
          </w:p>
        </w:tc>
      </w:tr>
      <w:tr w:rsidR="00EA795C" w:rsidRPr="000C4FD0" w14:paraId="7FA6F7D4" w14:textId="77777777" w:rsidTr="002706C3">
        <w:tc>
          <w:tcPr>
            <w:tcW w:w="2410" w:type="dxa"/>
          </w:tcPr>
          <w:p w14:paraId="2145BA93" w14:textId="77777777" w:rsidR="00EA795C" w:rsidRPr="000C4FD0" w:rsidRDefault="00EA795C" w:rsidP="00B3656F">
            <w:pPr>
              <w:jc w:val="right"/>
              <w:rPr>
                <w:rFonts w:cs="Calibri"/>
                <w:szCs w:val="24"/>
              </w:rPr>
            </w:pPr>
            <w:r w:rsidRPr="000C4FD0">
              <w:rPr>
                <w:b/>
                <w:bCs/>
                <w:color w:val="000000"/>
                <w:szCs w:val="24"/>
              </w:rPr>
              <w:lastRenderedPageBreak/>
              <w:t>Estado de aplicación</w:t>
            </w:r>
          </w:p>
        </w:tc>
        <w:tc>
          <w:tcPr>
            <w:tcW w:w="11766" w:type="dxa"/>
          </w:tcPr>
          <w:p w14:paraId="0B1354C0" w14:textId="77777777" w:rsidR="00EA795C" w:rsidRPr="000C4FD0" w:rsidRDefault="00EA795C" w:rsidP="00B3656F">
            <w:pPr>
              <w:rPr>
                <w:rFonts w:cs="Calibri"/>
                <w:szCs w:val="24"/>
              </w:rPr>
            </w:pPr>
            <w:r w:rsidRPr="000C4FD0">
              <w:rPr>
                <w:color w:val="000000"/>
                <w:szCs w:val="24"/>
              </w:rPr>
              <w:t>Se aplicará en el marco de la transformación financiera que se llevando a cabo actualmente en la UIT.</w:t>
            </w:r>
          </w:p>
        </w:tc>
      </w:tr>
      <w:tr w:rsidR="00EA795C" w:rsidRPr="000C4FD0" w14:paraId="655D696F" w14:textId="77777777" w:rsidTr="002706C3">
        <w:trPr>
          <w:trHeight w:val="129"/>
        </w:trPr>
        <w:tc>
          <w:tcPr>
            <w:tcW w:w="14176" w:type="dxa"/>
            <w:gridSpan w:val="2"/>
            <w:shd w:val="clear" w:color="auto" w:fill="F2F2F2" w:themeFill="background1" w:themeFillShade="F2"/>
          </w:tcPr>
          <w:p w14:paraId="437E750E" w14:textId="77777777" w:rsidR="00EA795C" w:rsidRPr="000C4FD0" w:rsidRDefault="00EA795C" w:rsidP="00B3656F">
            <w:pPr>
              <w:spacing w:before="0"/>
              <w:rPr>
                <w:rFonts w:asciiTheme="minorHAnsi" w:hAnsiTheme="minorHAnsi"/>
                <w:szCs w:val="24"/>
              </w:rPr>
            </w:pPr>
          </w:p>
        </w:tc>
      </w:tr>
      <w:tr w:rsidR="00EA795C" w:rsidRPr="000C4FD0" w14:paraId="2E2CCAD8" w14:textId="77777777" w:rsidTr="002706C3">
        <w:trPr>
          <w:trHeight w:val="251"/>
        </w:trPr>
        <w:tc>
          <w:tcPr>
            <w:tcW w:w="2410" w:type="dxa"/>
            <w:shd w:val="clear" w:color="auto" w:fill="E1EBF7"/>
          </w:tcPr>
          <w:p w14:paraId="4BA2AEE0" w14:textId="3F48B012" w:rsidR="00EA795C" w:rsidRPr="000C4FD0" w:rsidRDefault="00EA795C" w:rsidP="00B3656F">
            <w:pPr>
              <w:keepNext/>
              <w:jc w:val="right"/>
              <w:rPr>
                <w:rFonts w:cs="Calibri"/>
                <w:b/>
                <w:bCs/>
                <w:szCs w:val="24"/>
              </w:rPr>
            </w:pPr>
            <w:r w:rsidRPr="000C4FD0">
              <w:rPr>
                <w:b/>
                <w:bCs/>
                <w:color w:val="000000"/>
                <w:szCs w:val="24"/>
              </w:rPr>
              <w:t>Recomendación dirigida a los órganos legislativos/rectores</w:t>
            </w:r>
          </w:p>
        </w:tc>
        <w:tc>
          <w:tcPr>
            <w:tcW w:w="11766" w:type="dxa"/>
            <w:shd w:val="clear" w:color="auto" w:fill="FFFFFF" w:themeFill="background1"/>
          </w:tcPr>
          <w:p w14:paraId="3B1BA243" w14:textId="77777777" w:rsidR="00EA795C" w:rsidRPr="000C4FD0" w:rsidRDefault="00EA795C" w:rsidP="00B3656F">
            <w:pPr>
              <w:keepNext/>
              <w:rPr>
                <w:rFonts w:cs="Calibri"/>
                <w:szCs w:val="24"/>
              </w:rPr>
            </w:pPr>
            <w:r w:rsidRPr="000C4FD0">
              <w:rPr>
                <w:b/>
                <w:bCs/>
                <w:color w:val="000000"/>
                <w:szCs w:val="24"/>
                <w:highlight w:val="cyan"/>
              </w:rPr>
              <w:t>Recomendación 3</w:t>
            </w:r>
            <w:r w:rsidRPr="000C4FD0">
              <w:rPr>
                <w:b/>
                <w:bCs/>
                <w:color w:val="000000"/>
                <w:szCs w:val="24"/>
              </w:rPr>
              <w:t>:</w:t>
            </w:r>
            <w:r w:rsidRPr="000C4FD0">
              <w:rPr>
                <w:color w:val="000000"/>
                <w:szCs w:val="24"/>
              </w:rPr>
              <w:t xml:space="preserve"> Los órganos legislativos y los órganos rectores de las organizaciones participantes en la DCI deberían solicitar a las jefaturas ejecutivas de las organizaciones respectivas que se abstuvieran de reducir el grado de detalle presentado actualmente en su examen presupuestario a partir del próximo ciclo presupuestario, a fin de asegurar que el proceso decisorio sea significativo.</w:t>
            </w:r>
          </w:p>
        </w:tc>
      </w:tr>
      <w:tr w:rsidR="00EA795C" w:rsidRPr="000C4FD0" w14:paraId="46EBD4C4" w14:textId="77777777" w:rsidTr="002706C3">
        <w:tc>
          <w:tcPr>
            <w:tcW w:w="2410" w:type="dxa"/>
            <w:shd w:val="clear" w:color="auto" w:fill="EAF1DD" w:themeFill="accent3" w:themeFillTint="33"/>
          </w:tcPr>
          <w:p w14:paraId="076E8688" w14:textId="259D51B9" w:rsidR="00EA795C" w:rsidRPr="000C4FD0" w:rsidRDefault="00EA795C" w:rsidP="00B3656F">
            <w:pPr>
              <w:jc w:val="right"/>
              <w:rPr>
                <w:rFonts w:cs="Calibri"/>
                <w:b/>
                <w:bCs/>
                <w:szCs w:val="24"/>
              </w:rPr>
            </w:pPr>
            <w:r w:rsidRPr="000C4FD0">
              <w:rPr>
                <w:b/>
                <w:bCs/>
                <w:color w:val="000000"/>
                <w:szCs w:val="24"/>
              </w:rPr>
              <w:t>Acción solicitada</w:t>
            </w:r>
          </w:p>
        </w:tc>
        <w:tc>
          <w:tcPr>
            <w:tcW w:w="11766" w:type="dxa"/>
          </w:tcPr>
          <w:p w14:paraId="362BBC84" w14:textId="77777777" w:rsidR="00EA795C" w:rsidRPr="000C4FD0" w:rsidRDefault="00EA795C" w:rsidP="00B3656F">
            <w:pPr>
              <w:rPr>
                <w:rFonts w:cs="Calibri"/>
                <w:b/>
                <w:bCs/>
                <w:szCs w:val="24"/>
              </w:rPr>
            </w:pPr>
            <w:r w:rsidRPr="000C4FD0">
              <w:rPr>
                <w:color w:val="000000"/>
                <w:szCs w:val="24"/>
              </w:rPr>
              <w:t>(</w:t>
            </w:r>
            <w:r w:rsidRPr="000C4FD0">
              <w:rPr>
                <w:b/>
                <w:bCs/>
                <w:color w:val="000000"/>
                <w:szCs w:val="24"/>
                <w:highlight w:val="green"/>
              </w:rPr>
              <w:t>Aceptar</w:t>
            </w:r>
            <w:r w:rsidRPr="000C4FD0">
              <w:rPr>
                <w:color w:val="000000"/>
                <w:szCs w:val="24"/>
              </w:rPr>
              <w:t>, No aceptar, No pertinente o Requiere consideraciones ulteriores)</w:t>
            </w:r>
          </w:p>
        </w:tc>
      </w:tr>
      <w:tr w:rsidR="00EA795C" w:rsidRPr="000C4FD0" w14:paraId="3F4FD4D7" w14:textId="77777777" w:rsidTr="002706C3">
        <w:tc>
          <w:tcPr>
            <w:tcW w:w="2410" w:type="dxa"/>
          </w:tcPr>
          <w:p w14:paraId="604E419C" w14:textId="77777777" w:rsidR="00EA795C" w:rsidRPr="000C4FD0" w:rsidRDefault="00EA795C" w:rsidP="00B3656F">
            <w:pPr>
              <w:jc w:val="right"/>
              <w:rPr>
                <w:rFonts w:cs="Calibri"/>
                <w:b/>
                <w:bCs/>
                <w:szCs w:val="24"/>
              </w:rPr>
            </w:pPr>
            <w:r w:rsidRPr="000C4FD0">
              <w:rPr>
                <w:b/>
                <w:bCs/>
                <w:color w:val="000000"/>
                <w:szCs w:val="24"/>
              </w:rPr>
              <w:t>Observaciones de la UIT sobre pertinencia y repercusiones en materia de recursos humanos y financieros</w:t>
            </w:r>
          </w:p>
        </w:tc>
        <w:tc>
          <w:tcPr>
            <w:tcW w:w="11766" w:type="dxa"/>
          </w:tcPr>
          <w:p w14:paraId="3537F8C8" w14:textId="41434FCC" w:rsidR="00EA795C" w:rsidRPr="000C4FD0" w:rsidRDefault="00EA795C" w:rsidP="00B3656F">
            <w:pPr>
              <w:rPr>
                <w:rFonts w:asciiTheme="minorHAnsi" w:hAnsiTheme="minorHAnsi"/>
                <w:szCs w:val="24"/>
              </w:rPr>
            </w:pPr>
            <w:r w:rsidRPr="000C4FD0">
              <w:rPr>
                <w:color w:val="000000"/>
                <w:szCs w:val="24"/>
              </w:rPr>
              <w:t xml:space="preserve">La UIT continúa proporcionando información </w:t>
            </w:r>
            <w:r w:rsidR="00BA4D1B">
              <w:rPr>
                <w:color w:val="000000"/>
                <w:szCs w:val="24"/>
              </w:rPr>
              <w:t xml:space="preserve">muy </w:t>
            </w:r>
            <w:r w:rsidRPr="000C4FD0">
              <w:rPr>
                <w:color w:val="000000"/>
                <w:szCs w:val="24"/>
              </w:rPr>
              <w:t>detallada a sus Miembros en el marco de su examen presupuestario. Se ha mantenido el nivel de detalle facilitado previamente, e incluso se ha mejorado. A la hora de aprobar los presupuestos, esta información detallada constituye una garantía del proceso de toma de decisiones para nuestros miembros.</w:t>
            </w:r>
          </w:p>
        </w:tc>
      </w:tr>
      <w:tr w:rsidR="00EA795C" w:rsidRPr="000C4FD0" w14:paraId="73B8B7D0" w14:textId="77777777" w:rsidTr="002706C3">
        <w:tc>
          <w:tcPr>
            <w:tcW w:w="2410" w:type="dxa"/>
          </w:tcPr>
          <w:p w14:paraId="74A5212E" w14:textId="1F54EB38" w:rsidR="00EA795C" w:rsidRPr="000C4FD0" w:rsidRDefault="00EA795C" w:rsidP="00B3656F">
            <w:pPr>
              <w:jc w:val="right"/>
              <w:rPr>
                <w:rFonts w:cs="Calibri"/>
                <w:b/>
                <w:bCs/>
                <w:szCs w:val="24"/>
              </w:rPr>
            </w:pPr>
            <w:r w:rsidRPr="000C4FD0">
              <w:rPr>
                <w:b/>
                <w:bCs/>
                <w:color w:val="000000"/>
                <w:szCs w:val="24"/>
              </w:rPr>
              <w:t>Observaciones de la JJE para todo el sistema de las Naciones Unidas</w:t>
            </w:r>
          </w:p>
        </w:tc>
        <w:tc>
          <w:tcPr>
            <w:tcW w:w="11766" w:type="dxa"/>
          </w:tcPr>
          <w:p w14:paraId="7DF6E32F" w14:textId="6EEBFF29" w:rsidR="00EA795C" w:rsidRPr="000C4FD0" w:rsidRDefault="00EA795C" w:rsidP="00557896">
            <w:pPr>
              <w:rPr>
                <w:rFonts w:cs="Calibri"/>
              </w:rPr>
            </w:pPr>
            <w:r w:rsidRPr="000C4FD0">
              <w:t>Las organizaciones en general no se oponen a la recomendación, pero señalan que el nivel de información requerido debería definirse en función de las necesidades, no de una base de referencia preestablecida, y un nivel de detalle menor no reducirá necesariamente la transparencia o la responsabilidad. También se señaló que esta recomendación podría contradecir las recomendaciones de algunos órganos rectores que han pedido que se racionalicen y simplifiquen los documentos presentados al órgano rector.</w:t>
            </w:r>
            <w:r w:rsidR="00BA4D1B">
              <w:t xml:space="preserve"> Algunas organizaciones señalan que, en circunstancias excepcionales como problemas de liquidez, puede ser necesario adoptar medidas temporales para </w:t>
            </w:r>
            <w:r w:rsidR="00F512CA">
              <w:t>limitar</w:t>
            </w:r>
            <w:r w:rsidR="00BA4D1B">
              <w:t xml:space="preserve"> los gastos de documentación basadas en la reducción provisional del nivel de detalle.</w:t>
            </w:r>
          </w:p>
          <w:p w14:paraId="03767D7C" w14:textId="77777777" w:rsidR="00EA795C" w:rsidRPr="000C4FD0" w:rsidRDefault="00EA795C" w:rsidP="00B3656F">
            <w:pPr>
              <w:rPr>
                <w:rFonts w:cs="Calibri"/>
                <w:b/>
                <w:bCs/>
                <w:szCs w:val="24"/>
              </w:rPr>
            </w:pPr>
            <w:r w:rsidRPr="000C4FD0">
              <w:rPr>
                <w:color w:val="000000"/>
                <w:szCs w:val="24"/>
              </w:rPr>
              <w:t>Varias organizaciones consideran que la recomendación propuesta se ha aplicado y confirman que el nivel de detalle ya proporcionado se considera adecuado.</w:t>
            </w:r>
          </w:p>
        </w:tc>
      </w:tr>
      <w:tr w:rsidR="00EA795C" w:rsidRPr="000C4FD0" w14:paraId="11FB73FF" w14:textId="77777777" w:rsidTr="002706C3">
        <w:tc>
          <w:tcPr>
            <w:tcW w:w="2410" w:type="dxa"/>
          </w:tcPr>
          <w:p w14:paraId="1070A87E" w14:textId="77777777" w:rsidR="00EA795C" w:rsidRPr="000C4FD0" w:rsidRDefault="00EA795C" w:rsidP="00B3656F">
            <w:pPr>
              <w:spacing w:after="120"/>
              <w:jc w:val="right"/>
              <w:rPr>
                <w:rFonts w:cs="Calibri"/>
                <w:szCs w:val="24"/>
              </w:rPr>
            </w:pPr>
            <w:r w:rsidRPr="000C4FD0">
              <w:rPr>
                <w:b/>
                <w:bCs/>
                <w:color w:val="000000"/>
                <w:szCs w:val="24"/>
              </w:rPr>
              <w:lastRenderedPageBreak/>
              <w:t>Estado de aplicación</w:t>
            </w:r>
          </w:p>
        </w:tc>
        <w:tc>
          <w:tcPr>
            <w:tcW w:w="11766" w:type="dxa"/>
          </w:tcPr>
          <w:p w14:paraId="4CFC9C0D" w14:textId="77777777" w:rsidR="00EA795C" w:rsidRPr="000C4FD0" w:rsidRDefault="00EA795C" w:rsidP="00B3656F">
            <w:pPr>
              <w:spacing w:after="120"/>
              <w:rPr>
                <w:rFonts w:cs="Calibri"/>
                <w:szCs w:val="24"/>
              </w:rPr>
            </w:pPr>
            <w:r w:rsidRPr="000C4FD0">
              <w:rPr>
                <w:color w:val="000000"/>
                <w:szCs w:val="24"/>
              </w:rPr>
              <w:t>En curso: El presupuesto de la UIT para 2026-2027 contendrá informaciones y detalles adicionales en comparación con presupuestos anteriores.</w:t>
            </w:r>
          </w:p>
        </w:tc>
      </w:tr>
      <w:tr w:rsidR="00EA795C" w:rsidRPr="000C4FD0" w14:paraId="7BC7FA0A" w14:textId="77777777" w:rsidTr="002706C3">
        <w:trPr>
          <w:trHeight w:val="405"/>
        </w:trPr>
        <w:tc>
          <w:tcPr>
            <w:tcW w:w="14176" w:type="dxa"/>
            <w:gridSpan w:val="2"/>
            <w:shd w:val="clear" w:color="auto" w:fill="FFFF00"/>
          </w:tcPr>
          <w:p w14:paraId="769DA5DF" w14:textId="32EE2A7C" w:rsidR="00EA795C" w:rsidRPr="000C4FD0" w:rsidRDefault="00EA795C" w:rsidP="00B3656F">
            <w:pPr>
              <w:tabs>
                <w:tab w:val="clear" w:pos="567"/>
                <w:tab w:val="clear" w:pos="1134"/>
                <w:tab w:val="clear" w:pos="1701"/>
                <w:tab w:val="clear" w:pos="2268"/>
                <w:tab w:val="clear" w:pos="2835"/>
              </w:tabs>
              <w:overflowPunct/>
              <w:autoSpaceDE/>
              <w:adjustRightInd/>
              <w:jc w:val="center"/>
              <w:textAlignment w:val="auto"/>
              <w:rPr>
                <w:rFonts w:cs="Calibri"/>
                <w:b/>
                <w:bCs/>
                <w:szCs w:val="24"/>
              </w:rPr>
            </w:pPr>
            <w:proofErr w:type="spellStart"/>
            <w:r w:rsidRPr="000C4FD0">
              <w:rPr>
                <w:b/>
                <w:bCs/>
                <w:color w:val="000000"/>
                <w:szCs w:val="24"/>
              </w:rPr>
              <w:t>JIU</w:t>
            </w:r>
            <w:proofErr w:type="spellEnd"/>
            <w:r w:rsidRPr="000C4FD0">
              <w:rPr>
                <w:b/>
                <w:bCs/>
                <w:color w:val="000000"/>
                <w:szCs w:val="24"/>
              </w:rPr>
              <w:t>/</w:t>
            </w:r>
            <w:proofErr w:type="spellStart"/>
            <w:r w:rsidRPr="000C4FD0">
              <w:rPr>
                <w:b/>
                <w:bCs/>
                <w:color w:val="000000"/>
                <w:szCs w:val="24"/>
              </w:rPr>
              <w:t>REP</w:t>
            </w:r>
            <w:proofErr w:type="spellEnd"/>
            <w:r w:rsidRPr="000C4FD0">
              <w:rPr>
                <w:b/>
                <w:bCs/>
                <w:color w:val="000000"/>
                <w:szCs w:val="24"/>
              </w:rPr>
              <w:t xml:space="preserve">/2024/2 </w:t>
            </w:r>
            <w:hyperlink r:id="rId18" w:history="1">
              <w:r w:rsidRPr="000C4FD0">
                <w:rPr>
                  <w:rStyle w:val="Hyperlink"/>
                  <w:b/>
                  <w:bCs/>
                  <w:szCs w:val="24"/>
                </w:rPr>
                <w:t>Análisis del examen realizado y las medidas adoptadas por las organizaciones del sistema de las Naciones Unidas con respecto a los informes y recomendaciones de la Dependencia Común de Inspección</w:t>
              </w:r>
            </w:hyperlink>
            <w:r w:rsidR="006262D5" w:rsidRPr="000C4FD0">
              <w:rPr>
                <w:color w:val="000000"/>
              </w:rPr>
              <w:br/>
            </w:r>
            <w:r w:rsidRPr="000C4FD0">
              <w:rPr>
                <w:b/>
                <w:bCs/>
                <w:color w:val="000000"/>
                <w:szCs w:val="24"/>
              </w:rPr>
              <w:t>Coordinador de la UIT: Mario Castro Grande</w:t>
            </w:r>
          </w:p>
          <w:p w14:paraId="18F14A9C" w14:textId="77777777" w:rsidR="00EA795C" w:rsidRPr="000C4FD0" w:rsidRDefault="00EA795C" w:rsidP="00B3656F">
            <w:pPr>
              <w:tabs>
                <w:tab w:val="clear" w:pos="567"/>
                <w:tab w:val="clear" w:pos="1134"/>
                <w:tab w:val="clear" w:pos="1701"/>
                <w:tab w:val="clear" w:pos="2268"/>
                <w:tab w:val="clear" w:pos="2835"/>
              </w:tabs>
              <w:overflowPunct/>
              <w:autoSpaceDE/>
              <w:adjustRightInd/>
              <w:spacing w:before="0"/>
              <w:ind w:left="720" w:hanging="360"/>
              <w:jc w:val="center"/>
              <w:textAlignment w:val="auto"/>
              <w:rPr>
                <w:rFonts w:cs="Calibri"/>
                <w:b/>
                <w:bCs/>
                <w:color w:val="000000"/>
                <w:szCs w:val="24"/>
              </w:rPr>
            </w:pPr>
            <w:r w:rsidRPr="000C4FD0">
              <w:rPr>
                <w:rFonts w:ascii="Symbol" w:hAnsi="Symbol" w:cs="Calibri"/>
                <w:bCs/>
                <w:color w:val="000000"/>
                <w:szCs w:val="24"/>
              </w:rPr>
              <w:t></w:t>
            </w:r>
            <w:r w:rsidRPr="000C4FD0">
              <w:rPr>
                <w:color w:val="000000"/>
                <w:szCs w:val="24"/>
              </w:rPr>
              <w:tab/>
            </w:r>
            <w:hyperlink r:id="rId19" w:history="1">
              <w:r w:rsidRPr="000C4FD0">
                <w:rPr>
                  <w:rStyle w:val="Hyperlink"/>
                  <w:b/>
                  <w:bCs/>
                  <w:szCs w:val="24"/>
                </w:rPr>
                <w:t>Elementos destacados</w:t>
              </w:r>
            </w:hyperlink>
          </w:p>
        </w:tc>
      </w:tr>
      <w:tr w:rsidR="00EA795C" w:rsidRPr="000C4FD0" w14:paraId="4E3AC4A1" w14:textId="77777777" w:rsidTr="002706C3">
        <w:trPr>
          <w:trHeight w:val="1112"/>
        </w:trPr>
        <w:tc>
          <w:tcPr>
            <w:tcW w:w="2410" w:type="dxa"/>
            <w:shd w:val="clear" w:color="auto" w:fill="E1EBF7" w:themeFill="text2" w:themeFillTint="1A"/>
          </w:tcPr>
          <w:p w14:paraId="41D05AC0" w14:textId="17D081FD" w:rsidR="00EA795C" w:rsidRPr="000C4FD0" w:rsidRDefault="00EA795C" w:rsidP="00B3656F">
            <w:pPr>
              <w:jc w:val="right"/>
              <w:rPr>
                <w:rFonts w:cs="Calibri"/>
                <w:b/>
                <w:bCs/>
                <w:szCs w:val="24"/>
              </w:rPr>
            </w:pPr>
            <w:r w:rsidRPr="000C4FD0">
              <w:rPr>
                <w:b/>
                <w:bCs/>
                <w:color w:val="000000"/>
                <w:szCs w:val="24"/>
              </w:rPr>
              <w:t>Recomendación dirigida a los órganos legislativos/rectores</w:t>
            </w:r>
          </w:p>
        </w:tc>
        <w:tc>
          <w:tcPr>
            <w:tcW w:w="11766" w:type="dxa"/>
            <w:shd w:val="clear" w:color="auto" w:fill="FFFFFF" w:themeFill="background1"/>
          </w:tcPr>
          <w:p w14:paraId="7136612C" w14:textId="4F7F7B60" w:rsidR="00EA795C" w:rsidRPr="000C4FD0" w:rsidRDefault="00EA795C" w:rsidP="00B3656F">
            <w:pPr>
              <w:rPr>
                <w:rFonts w:cs="Calibri"/>
                <w:szCs w:val="24"/>
              </w:rPr>
            </w:pPr>
            <w:r w:rsidRPr="000C4FD0">
              <w:rPr>
                <w:b/>
                <w:bCs/>
                <w:color w:val="000000"/>
                <w:szCs w:val="24"/>
                <w:highlight w:val="cyan"/>
              </w:rPr>
              <w:t>Recomendación 2</w:t>
            </w:r>
            <w:r w:rsidRPr="000C4FD0">
              <w:rPr>
                <w:b/>
                <w:bCs/>
                <w:color w:val="000000"/>
                <w:szCs w:val="24"/>
              </w:rPr>
              <w:t>:</w:t>
            </w:r>
            <w:r w:rsidRPr="000C4FD0">
              <w:rPr>
                <w:color w:val="000000"/>
                <w:szCs w:val="24"/>
              </w:rPr>
              <w:t xml:space="preserve"> Los órganos legislativos y los órganos rectores de las organizaciones del sistema de las Naciones Unidas deberían, para fines de 2025, reevaluar sus procesos de examen de los informes y recomendaciones de la</w:t>
            </w:r>
            <w:r w:rsidR="00F9537B" w:rsidRPr="000C4FD0">
              <w:rPr>
                <w:color w:val="000000"/>
                <w:szCs w:val="24"/>
              </w:rPr>
              <w:t> </w:t>
            </w:r>
            <w:r w:rsidRPr="000C4FD0">
              <w:rPr>
                <w:color w:val="000000"/>
                <w:szCs w:val="24"/>
              </w:rPr>
              <w:t>DCI, incluida la adopción de decisiones y el seguimiento de la aplicación de las recomendaciones de años anteriores, teniendo en cuenta, según proceda, los ejemplos de buenas prácticas que se exponen en el presente documento.</w:t>
            </w:r>
          </w:p>
        </w:tc>
      </w:tr>
      <w:tr w:rsidR="00EA795C" w:rsidRPr="000C4FD0" w14:paraId="4E1C7C82" w14:textId="77777777" w:rsidTr="002706C3">
        <w:tc>
          <w:tcPr>
            <w:tcW w:w="2410" w:type="dxa"/>
            <w:shd w:val="clear" w:color="auto" w:fill="EAF1DD" w:themeFill="accent3" w:themeFillTint="33"/>
          </w:tcPr>
          <w:p w14:paraId="3F9620D7" w14:textId="351774B1" w:rsidR="00EA795C" w:rsidRPr="000C4FD0" w:rsidRDefault="00EA795C" w:rsidP="00B3656F">
            <w:pPr>
              <w:jc w:val="right"/>
              <w:rPr>
                <w:rFonts w:cs="Calibri"/>
                <w:b/>
                <w:bCs/>
                <w:szCs w:val="24"/>
              </w:rPr>
            </w:pPr>
            <w:r w:rsidRPr="000C4FD0">
              <w:rPr>
                <w:b/>
                <w:bCs/>
                <w:color w:val="000000"/>
                <w:szCs w:val="24"/>
              </w:rPr>
              <w:t>Acción solicitada</w:t>
            </w:r>
          </w:p>
        </w:tc>
        <w:tc>
          <w:tcPr>
            <w:tcW w:w="11766" w:type="dxa"/>
          </w:tcPr>
          <w:p w14:paraId="7D76B576" w14:textId="77777777" w:rsidR="00EA795C" w:rsidRPr="000C4FD0" w:rsidRDefault="00EA795C" w:rsidP="00B3656F">
            <w:pPr>
              <w:rPr>
                <w:rFonts w:cs="Calibri"/>
                <w:b/>
                <w:bCs/>
                <w:szCs w:val="24"/>
              </w:rPr>
            </w:pPr>
            <w:r w:rsidRPr="000C4FD0">
              <w:rPr>
                <w:color w:val="000000"/>
                <w:szCs w:val="24"/>
              </w:rPr>
              <w:t>(</w:t>
            </w:r>
            <w:r w:rsidRPr="000C4FD0">
              <w:rPr>
                <w:b/>
                <w:bCs/>
                <w:color w:val="000000"/>
                <w:szCs w:val="24"/>
                <w:highlight w:val="green"/>
              </w:rPr>
              <w:t>Aceptar</w:t>
            </w:r>
            <w:r w:rsidRPr="000C4FD0">
              <w:rPr>
                <w:color w:val="000000"/>
                <w:szCs w:val="24"/>
              </w:rPr>
              <w:t>, No aceptar, No pertinente o Requiere consideraciones ulteriores)</w:t>
            </w:r>
          </w:p>
        </w:tc>
      </w:tr>
      <w:tr w:rsidR="00EA795C" w:rsidRPr="000C4FD0" w14:paraId="617B02D9" w14:textId="77777777" w:rsidTr="002706C3">
        <w:trPr>
          <w:trHeight w:val="835"/>
        </w:trPr>
        <w:tc>
          <w:tcPr>
            <w:tcW w:w="2410" w:type="dxa"/>
          </w:tcPr>
          <w:p w14:paraId="35E15ED2" w14:textId="77777777" w:rsidR="00EA795C" w:rsidRPr="000C4FD0" w:rsidRDefault="00EA795C" w:rsidP="00B3656F">
            <w:pPr>
              <w:jc w:val="right"/>
              <w:rPr>
                <w:rFonts w:cs="Calibri"/>
                <w:b/>
                <w:bCs/>
                <w:szCs w:val="24"/>
              </w:rPr>
            </w:pPr>
            <w:r w:rsidRPr="000C4FD0">
              <w:rPr>
                <w:b/>
                <w:bCs/>
                <w:color w:val="000000"/>
                <w:szCs w:val="24"/>
              </w:rPr>
              <w:t>Observaciones de la UIT sobre pertinencia y repercusiones en materia de recursos humanos y financieros</w:t>
            </w:r>
          </w:p>
        </w:tc>
        <w:tc>
          <w:tcPr>
            <w:tcW w:w="11766" w:type="dxa"/>
          </w:tcPr>
          <w:p w14:paraId="21FF5EBB" w14:textId="77777777" w:rsidR="00EA795C" w:rsidRPr="000C4FD0" w:rsidRDefault="00EA795C" w:rsidP="00B3656F">
            <w:pPr>
              <w:rPr>
                <w:rFonts w:cs="Calibri"/>
                <w:szCs w:val="24"/>
              </w:rPr>
            </w:pPr>
            <w:r w:rsidRPr="000C4FD0">
              <w:rPr>
                <w:color w:val="000000"/>
                <w:szCs w:val="24"/>
              </w:rPr>
              <w:t>La Secretaría de la UIT recomienda que se acepte la recomendación y señalan que, al igual que otras entidades del sistema de las Naciones Unidas, considera que el proceso y los sistemas existentes son adecuados y no requieren ninguna otra acción. La Secretaría se muestra receptiva a la posibilidad de nuevas orientaciones si se considera necesario.</w:t>
            </w:r>
          </w:p>
          <w:p w14:paraId="5CE1E780" w14:textId="77777777" w:rsidR="00EA795C" w:rsidRPr="000C4FD0" w:rsidRDefault="00EA795C" w:rsidP="00B3656F">
            <w:pPr>
              <w:rPr>
                <w:rFonts w:cs="Calibri"/>
                <w:szCs w:val="24"/>
              </w:rPr>
            </w:pPr>
            <w:r w:rsidRPr="000C4FD0">
              <w:rPr>
                <w:color w:val="000000"/>
                <w:szCs w:val="24"/>
              </w:rPr>
              <w:t>En la práctica actual no hay repercusiones adicionales en materia de recursos humanos y financieros.</w:t>
            </w:r>
          </w:p>
        </w:tc>
      </w:tr>
      <w:tr w:rsidR="00EA795C" w:rsidRPr="000C4FD0" w14:paraId="1B19CE46" w14:textId="77777777" w:rsidTr="002706C3">
        <w:tc>
          <w:tcPr>
            <w:tcW w:w="2410" w:type="dxa"/>
          </w:tcPr>
          <w:p w14:paraId="47292782" w14:textId="7B385637" w:rsidR="00EA795C" w:rsidRPr="000C4FD0" w:rsidRDefault="002706C3" w:rsidP="00B3656F">
            <w:pPr>
              <w:jc w:val="right"/>
              <w:rPr>
                <w:rStyle w:val="Hyperlink"/>
                <w:b/>
                <w:bCs/>
              </w:rPr>
            </w:pPr>
            <w:hyperlink r:id="rId20" w:history="1">
              <w:r w:rsidRPr="000C4FD0">
                <w:rPr>
                  <w:rStyle w:val="Hyperlink"/>
                  <w:b/>
                  <w:bCs/>
                </w:rPr>
                <w:t>Observaciones de la JJE para todo el sistema de las Naciones Unidas</w:t>
              </w:r>
            </w:hyperlink>
          </w:p>
        </w:tc>
        <w:tc>
          <w:tcPr>
            <w:tcW w:w="11766" w:type="dxa"/>
          </w:tcPr>
          <w:p w14:paraId="10DD768E" w14:textId="77777777" w:rsidR="00EA795C" w:rsidRPr="000C4FD0" w:rsidRDefault="00EA795C" w:rsidP="00B3656F">
            <w:pPr>
              <w:rPr>
                <w:rFonts w:cs="Calibri"/>
                <w:b/>
                <w:bCs/>
                <w:szCs w:val="24"/>
              </w:rPr>
            </w:pPr>
            <w:r w:rsidRPr="000C4FD0">
              <w:rPr>
                <w:color w:val="000000"/>
                <w:szCs w:val="24"/>
              </w:rPr>
              <w:t>Varias organizaciones están dispuestas a responder a solicitudes por parte de sus respectivos órganos legislativos y órganos rectores en cuanto a modificar el proceso actual de información sobre los informes y recomendaciones de la DCI. Otras organizaciones consideran que los procesos y sistemas vigentes son adecuados y no requieren medidas adicionales.</w:t>
            </w:r>
          </w:p>
        </w:tc>
      </w:tr>
      <w:tr w:rsidR="00EA795C" w:rsidRPr="000C4FD0" w14:paraId="5C85DBB6" w14:textId="77777777" w:rsidTr="002706C3">
        <w:tc>
          <w:tcPr>
            <w:tcW w:w="2410" w:type="dxa"/>
          </w:tcPr>
          <w:p w14:paraId="480B1F1B" w14:textId="77777777" w:rsidR="00EA795C" w:rsidRPr="000C4FD0" w:rsidRDefault="00EA795C" w:rsidP="00B3656F">
            <w:pPr>
              <w:jc w:val="right"/>
              <w:rPr>
                <w:rFonts w:cs="Calibri"/>
                <w:szCs w:val="24"/>
              </w:rPr>
            </w:pPr>
            <w:r w:rsidRPr="000C4FD0">
              <w:rPr>
                <w:b/>
                <w:bCs/>
                <w:color w:val="000000"/>
                <w:szCs w:val="24"/>
              </w:rPr>
              <w:t>Estado de aplicación</w:t>
            </w:r>
          </w:p>
        </w:tc>
        <w:tc>
          <w:tcPr>
            <w:tcW w:w="11766" w:type="dxa"/>
          </w:tcPr>
          <w:p w14:paraId="6DB53A2E" w14:textId="6162C68E" w:rsidR="00EA795C" w:rsidRPr="000C4FD0" w:rsidRDefault="00EA795C" w:rsidP="00B3656F">
            <w:pPr>
              <w:rPr>
                <w:rFonts w:cs="Calibri"/>
                <w:szCs w:val="24"/>
              </w:rPr>
            </w:pPr>
            <w:r w:rsidRPr="000C4FD0">
              <w:rPr>
                <w:color w:val="000000"/>
                <w:szCs w:val="24"/>
              </w:rPr>
              <w:t>En curso</w:t>
            </w:r>
            <w:r w:rsidR="002706C3" w:rsidRPr="000C4FD0">
              <w:rPr>
                <w:color w:val="000000"/>
                <w:szCs w:val="24"/>
              </w:rPr>
              <w:t>.</w:t>
            </w:r>
          </w:p>
        </w:tc>
      </w:tr>
      <w:tr w:rsidR="00EA795C" w:rsidRPr="000C4FD0" w14:paraId="1B5A2492" w14:textId="77777777" w:rsidTr="002706C3">
        <w:trPr>
          <w:trHeight w:val="405"/>
        </w:trPr>
        <w:tc>
          <w:tcPr>
            <w:tcW w:w="14176" w:type="dxa"/>
            <w:gridSpan w:val="2"/>
            <w:shd w:val="clear" w:color="auto" w:fill="FFFF00"/>
          </w:tcPr>
          <w:p w14:paraId="164ACFA1" w14:textId="72F09FDC" w:rsidR="00EA795C" w:rsidRPr="000C4FD0" w:rsidRDefault="00EA795C" w:rsidP="00EA795C">
            <w:pPr>
              <w:keepNext/>
              <w:keepLines/>
              <w:tabs>
                <w:tab w:val="clear" w:pos="567"/>
                <w:tab w:val="clear" w:pos="1134"/>
                <w:tab w:val="clear" w:pos="1701"/>
                <w:tab w:val="clear" w:pos="2268"/>
                <w:tab w:val="clear" w:pos="2835"/>
              </w:tabs>
              <w:overflowPunct/>
              <w:autoSpaceDE/>
              <w:adjustRightInd/>
              <w:jc w:val="center"/>
              <w:textAlignment w:val="auto"/>
              <w:rPr>
                <w:rFonts w:cs="Calibri"/>
                <w:b/>
                <w:bCs/>
                <w:szCs w:val="24"/>
              </w:rPr>
            </w:pPr>
            <w:proofErr w:type="spellStart"/>
            <w:r w:rsidRPr="000C4FD0">
              <w:rPr>
                <w:b/>
                <w:bCs/>
                <w:color w:val="000000"/>
                <w:szCs w:val="24"/>
              </w:rPr>
              <w:lastRenderedPageBreak/>
              <w:t>JIU</w:t>
            </w:r>
            <w:proofErr w:type="spellEnd"/>
            <w:r w:rsidRPr="000C4FD0">
              <w:rPr>
                <w:b/>
                <w:bCs/>
                <w:color w:val="000000"/>
                <w:szCs w:val="24"/>
              </w:rPr>
              <w:t>/</w:t>
            </w:r>
            <w:proofErr w:type="spellStart"/>
            <w:r w:rsidRPr="000C4FD0">
              <w:rPr>
                <w:b/>
                <w:bCs/>
                <w:color w:val="000000"/>
                <w:szCs w:val="24"/>
              </w:rPr>
              <w:t>REP</w:t>
            </w:r>
            <w:proofErr w:type="spellEnd"/>
            <w:r w:rsidRPr="000C4FD0">
              <w:rPr>
                <w:b/>
                <w:bCs/>
                <w:color w:val="000000"/>
                <w:szCs w:val="24"/>
              </w:rPr>
              <w:t xml:space="preserve">/2023/9 </w:t>
            </w:r>
            <w:hyperlink r:id="rId21" w:history="1">
              <w:r w:rsidRPr="000C4FD0">
                <w:rPr>
                  <w:rStyle w:val="Hyperlink"/>
                  <w:b/>
                  <w:bCs/>
                  <w:szCs w:val="24"/>
                </w:rPr>
                <w:t>Examen de la calidad, la eficacia, la eficiencia y la sostenibilidad de los planes de seguro médico en las organizaciones del sistema de las Naciones Unidas</w:t>
              </w:r>
            </w:hyperlink>
            <w:r w:rsidRPr="000C4FD0">
              <w:rPr>
                <w:b/>
                <w:bCs/>
                <w:color w:val="000000"/>
                <w:szCs w:val="24"/>
              </w:rPr>
              <w:br/>
            </w:r>
            <w:r w:rsidR="006262D5" w:rsidRPr="000C4FD0">
              <w:rPr>
                <w:b/>
                <w:bCs/>
                <w:color w:val="000000"/>
                <w:szCs w:val="24"/>
              </w:rPr>
              <w:t>Coordinadora de la UIT</w:t>
            </w:r>
            <w:r w:rsidRPr="000C4FD0">
              <w:rPr>
                <w:b/>
                <w:bCs/>
                <w:color w:val="000000"/>
                <w:szCs w:val="24"/>
              </w:rPr>
              <w:t>: Subira Suedi</w:t>
            </w:r>
          </w:p>
          <w:p w14:paraId="4F0C064A" w14:textId="77777777" w:rsidR="00EA795C" w:rsidRPr="000C4FD0" w:rsidRDefault="00EA795C" w:rsidP="00EA795C">
            <w:pPr>
              <w:keepNext/>
              <w:keepLines/>
              <w:tabs>
                <w:tab w:val="clear" w:pos="567"/>
                <w:tab w:val="clear" w:pos="1134"/>
                <w:tab w:val="clear" w:pos="1701"/>
                <w:tab w:val="clear" w:pos="2268"/>
                <w:tab w:val="clear" w:pos="2835"/>
              </w:tabs>
              <w:overflowPunct/>
              <w:autoSpaceDE/>
              <w:adjustRightInd/>
              <w:spacing w:before="0"/>
              <w:ind w:left="720" w:hanging="360"/>
              <w:jc w:val="center"/>
              <w:textAlignment w:val="auto"/>
              <w:rPr>
                <w:rFonts w:cs="Calibri"/>
                <w:b/>
                <w:bCs/>
                <w:color w:val="000000"/>
                <w:szCs w:val="24"/>
              </w:rPr>
            </w:pPr>
            <w:r w:rsidRPr="000C4FD0">
              <w:rPr>
                <w:rFonts w:ascii="Symbol" w:hAnsi="Symbol" w:cs="Calibri"/>
                <w:bCs/>
                <w:color w:val="000000"/>
                <w:szCs w:val="24"/>
              </w:rPr>
              <w:t></w:t>
            </w:r>
            <w:r w:rsidRPr="000C4FD0">
              <w:rPr>
                <w:color w:val="000000"/>
                <w:szCs w:val="24"/>
              </w:rPr>
              <w:tab/>
            </w:r>
            <w:hyperlink r:id="rId22" w:history="1">
              <w:r w:rsidRPr="000C4FD0">
                <w:rPr>
                  <w:rStyle w:val="Hyperlink"/>
                  <w:b/>
                  <w:bCs/>
                  <w:szCs w:val="24"/>
                </w:rPr>
                <w:t>Elementos destacados</w:t>
              </w:r>
            </w:hyperlink>
          </w:p>
        </w:tc>
      </w:tr>
      <w:tr w:rsidR="00EA795C" w:rsidRPr="000C4FD0" w14:paraId="46ABCD1B" w14:textId="77777777" w:rsidTr="002706C3">
        <w:trPr>
          <w:trHeight w:val="1112"/>
        </w:trPr>
        <w:tc>
          <w:tcPr>
            <w:tcW w:w="2410" w:type="dxa"/>
            <w:shd w:val="clear" w:color="auto" w:fill="E1EBF7" w:themeFill="text2" w:themeFillTint="1A"/>
          </w:tcPr>
          <w:p w14:paraId="6C39A6CA" w14:textId="469599C3" w:rsidR="00EA795C" w:rsidRPr="000C4FD0" w:rsidRDefault="00EA795C" w:rsidP="00B3656F">
            <w:pPr>
              <w:jc w:val="right"/>
              <w:rPr>
                <w:rFonts w:cs="Calibri"/>
                <w:b/>
                <w:bCs/>
                <w:szCs w:val="24"/>
              </w:rPr>
            </w:pPr>
            <w:r w:rsidRPr="000C4FD0">
              <w:rPr>
                <w:b/>
                <w:bCs/>
                <w:color w:val="000000"/>
                <w:szCs w:val="24"/>
              </w:rPr>
              <w:t>Recomendación dirigida a los órganos legislativos/rectores</w:t>
            </w:r>
          </w:p>
        </w:tc>
        <w:tc>
          <w:tcPr>
            <w:tcW w:w="11766" w:type="dxa"/>
            <w:shd w:val="clear" w:color="auto" w:fill="FFFFFF" w:themeFill="background1"/>
          </w:tcPr>
          <w:p w14:paraId="7AC08499" w14:textId="497B4413" w:rsidR="00EA795C" w:rsidRPr="000C4FD0" w:rsidRDefault="00EA795C" w:rsidP="00EA795C">
            <w:pPr>
              <w:keepNext/>
              <w:keepLines/>
              <w:rPr>
                <w:rFonts w:cs="Calibri"/>
                <w:szCs w:val="24"/>
              </w:rPr>
            </w:pPr>
            <w:r w:rsidRPr="000C4FD0">
              <w:rPr>
                <w:b/>
                <w:bCs/>
                <w:color w:val="000000"/>
                <w:szCs w:val="24"/>
                <w:highlight w:val="cyan"/>
              </w:rPr>
              <w:t>Recomendación 7:</w:t>
            </w:r>
            <w:r w:rsidRPr="000C4FD0">
              <w:rPr>
                <w:color w:val="000000"/>
                <w:szCs w:val="24"/>
              </w:rPr>
              <w:t xml:space="preserve"> Los órganos legislativos y/o rectores de las organizaciones del sistema de las Naciones Unidas que aún no hayan aprobado un plan para financiar el pasivo por concepto de seguro médico posterior a la separación del servicio a medida que se devengue para los puestos financiados con cargo a las cuotas deberían establecer una estrategia a largo plazo con ese fin, al menos para cubrir el futuro pasivo por ese concepto de todo el personal recién contratado (</w:t>
            </w:r>
            <w:r w:rsidR="002706C3" w:rsidRPr="000C4FD0">
              <w:rPr>
                <w:rFonts w:cs="Calibri"/>
                <w:color w:val="000000"/>
                <w:szCs w:val="24"/>
              </w:rPr>
              <w:t>§</w:t>
            </w:r>
            <w:r w:rsidRPr="000C4FD0">
              <w:rPr>
                <w:color w:val="000000"/>
                <w:szCs w:val="24"/>
              </w:rPr>
              <w:t xml:space="preserve"> 234).</w:t>
            </w:r>
          </w:p>
        </w:tc>
      </w:tr>
      <w:tr w:rsidR="00EA795C" w:rsidRPr="000C4FD0" w14:paraId="64989E73" w14:textId="77777777" w:rsidTr="002706C3">
        <w:tc>
          <w:tcPr>
            <w:tcW w:w="2410" w:type="dxa"/>
            <w:shd w:val="clear" w:color="auto" w:fill="EAF1DD" w:themeFill="accent3" w:themeFillTint="33"/>
          </w:tcPr>
          <w:p w14:paraId="47E85176" w14:textId="7438BA1C" w:rsidR="00EA795C" w:rsidRPr="000C4FD0" w:rsidRDefault="00EA795C" w:rsidP="00B3656F">
            <w:pPr>
              <w:jc w:val="right"/>
              <w:rPr>
                <w:rFonts w:cs="Calibri"/>
                <w:b/>
                <w:bCs/>
                <w:szCs w:val="24"/>
              </w:rPr>
            </w:pPr>
            <w:r w:rsidRPr="000C4FD0">
              <w:rPr>
                <w:b/>
                <w:bCs/>
                <w:color w:val="000000"/>
                <w:szCs w:val="24"/>
              </w:rPr>
              <w:t>Acción solicitada</w:t>
            </w:r>
          </w:p>
        </w:tc>
        <w:tc>
          <w:tcPr>
            <w:tcW w:w="11766" w:type="dxa"/>
          </w:tcPr>
          <w:p w14:paraId="3689EEBD" w14:textId="77777777" w:rsidR="00EA795C" w:rsidRPr="000C4FD0" w:rsidRDefault="00EA795C" w:rsidP="00EA795C">
            <w:pPr>
              <w:keepNext/>
              <w:keepLines/>
              <w:rPr>
                <w:rFonts w:cs="Calibri"/>
                <w:b/>
                <w:bCs/>
                <w:szCs w:val="24"/>
              </w:rPr>
            </w:pPr>
            <w:r w:rsidRPr="000C4FD0">
              <w:rPr>
                <w:b/>
                <w:bCs/>
                <w:color w:val="000000"/>
                <w:szCs w:val="24"/>
                <w:highlight w:val="green"/>
              </w:rPr>
              <w:t>Aceptar</w:t>
            </w:r>
            <w:r w:rsidRPr="000C4FD0">
              <w:rPr>
                <w:color w:val="000000"/>
                <w:szCs w:val="24"/>
              </w:rPr>
              <w:t>, No aceptar, No pertinente o Requiere consideraciones ulteriores</w:t>
            </w:r>
          </w:p>
        </w:tc>
      </w:tr>
      <w:tr w:rsidR="00EA795C" w:rsidRPr="000C4FD0" w14:paraId="49837D27" w14:textId="77777777" w:rsidTr="002706C3">
        <w:tc>
          <w:tcPr>
            <w:tcW w:w="2410" w:type="dxa"/>
          </w:tcPr>
          <w:p w14:paraId="4E03A128" w14:textId="77777777" w:rsidR="00EA795C" w:rsidRPr="000C4FD0" w:rsidRDefault="00EA795C" w:rsidP="00B3656F">
            <w:pPr>
              <w:jc w:val="right"/>
              <w:rPr>
                <w:rFonts w:cs="Calibri"/>
                <w:b/>
                <w:bCs/>
                <w:szCs w:val="24"/>
              </w:rPr>
            </w:pPr>
            <w:r w:rsidRPr="000C4FD0">
              <w:rPr>
                <w:b/>
                <w:bCs/>
                <w:color w:val="000000"/>
                <w:szCs w:val="24"/>
              </w:rPr>
              <w:t>Observaciones de la UIT sobre pertinencia y repercusiones en materia de recursos humanos y financieros</w:t>
            </w:r>
          </w:p>
        </w:tc>
        <w:tc>
          <w:tcPr>
            <w:tcW w:w="11766" w:type="dxa"/>
          </w:tcPr>
          <w:p w14:paraId="7C4A4D46" w14:textId="77777777" w:rsidR="00EA795C" w:rsidRPr="000C4FD0" w:rsidRDefault="00EA795C" w:rsidP="00B3656F">
            <w:pPr>
              <w:rPr>
                <w:rFonts w:cs="Calibri"/>
                <w:b/>
                <w:bCs/>
                <w:szCs w:val="24"/>
              </w:rPr>
            </w:pPr>
            <w:r w:rsidRPr="000C4FD0">
              <w:rPr>
                <w:color w:val="000000"/>
                <w:szCs w:val="24"/>
              </w:rPr>
              <w:t>La UIT sigue estudiando posibles mecanismos para hacer frente a las obligaciones del seguro médico posterior a la separación del servicio (ASHI) y, mientras tanto, ha asignado la suma de 1 millón CHF anual para complementar su fondo ASHI. Las incertidumbres financieras actuales continúan dificultando la definición de una estrategia a largo plazo.</w:t>
            </w:r>
          </w:p>
        </w:tc>
      </w:tr>
      <w:tr w:rsidR="00EA795C" w:rsidRPr="000C4FD0" w14:paraId="556F322F" w14:textId="77777777" w:rsidTr="002706C3">
        <w:tc>
          <w:tcPr>
            <w:tcW w:w="2410" w:type="dxa"/>
          </w:tcPr>
          <w:p w14:paraId="54650B6C" w14:textId="188A827F" w:rsidR="00EA795C" w:rsidRPr="000C4FD0" w:rsidRDefault="005943E8" w:rsidP="00B3656F">
            <w:pPr>
              <w:jc w:val="right"/>
              <w:rPr>
                <w:rStyle w:val="Hyperlink"/>
                <w:b/>
                <w:bCs/>
              </w:rPr>
            </w:pPr>
            <w:hyperlink r:id="rId23" w:history="1">
              <w:r w:rsidRPr="000C4FD0">
                <w:rPr>
                  <w:rStyle w:val="Hyperlink"/>
                  <w:b/>
                  <w:bCs/>
                </w:rPr>
                <w:t>Observaciones de la JJE para todo el sistema de las Naciones Unidas</w:t>
              </w:r>
            </w:hyperlink>
          </w:p>
        </w:tc>
        <w:tc>
          <w:tcPr>
            <w:tcW w:w="11766" w:type="dxa"/>
          </w:tcPr>
          <w:p w14:paraId="4374084C" w14:textId="460FE49C" w:rsidR="00EA795C" w:rsidRPr="000C4FD0" w:rsidRDefault="00EA795C" w:rsidP="00B3656F">
            <w:pPr>
              <w:rPr>
                <w:rFonts w:cs="Calibri"/>
                <w:szCs w:val="24"/>
              </w:rPr>
            </w:pPr>
            <w:r w:rsidRPr="000C4FD0">
              <w:rPr>
                <w:color w:val="000000"/>
                <w:szCs w:val="24"/>
              </w:rPr>
              <w:t>Algunas organizaciones observan que las actuales limitaciones financieras para equilibrar los presupuestos pueden dificultar la aplicación de esta recomendación; no obstante, se están estudiando formas innovadoras de financiar el fondo del seguro médico posterior a la separación del servicio con el fin de mitigar y gestionar los riesgos e incertidumbres financieros derivados de la acumulación de pasivo no financiado.</w:t>
            </w:r>
          </w:p>
        </w:tc>
      </w:tr>
      <w:tr w:rsidR="00EA795C" w:rsidRPr="000C4FD0" w14:paraId="49111151" w14:textId="77777777" w:rsidTr="002706C3">
        <w:tc>
          <w:tcPr>
            <w:tcW w:w="2410" w:type="dxa"/>
          </w:tcPr>
          <w:p w14:paraId="25E52877" w14:textId="77777777" w:rsidR="00EA795C" w:rsidRPr="000C4FD0" w:rsidRDefault="00EA795C" w:rsidP="00B3656F">
            <w:pPr>
              <w:jc w:val="right"/>
              <w:rPr>
                <w:rFonts w:cs="Calibri"/>
                <w:szCs w:val="24"/>
              </w:rPr>
            </w:pPr>
            <w:r w:rsidRPr="000C4FD0">
              <w:rPr>
                <w:b/>
                <w:bCs/>
                <w:color w:val="000000"/>
                <w:szCs w:val="24"/>
              </w:rPr>
              <w:t>Estado de aplicación</w:t>
            </w:r>
          </w:p>
        </w:tc>
        <w:tc>
          <w:tcPr>
            <w:tcW w:w="11766" w:type="dxa"/>
          </w:tcPr>
          <w:p w14:paraId="634E2C94" w14:textId="0302C91B" w:rsidR="006262D5" w:rsidRPr="000C4FD0" w:rsidRDefault="00BA4D1B" w:rsidP="006262D5">
            <w:pPr>
              <w:rPr>
                <w:color w:val="000000"/>
                <w:szCs w:val="24"/>
              </w:rPr>
            </w:pPr>
            <w:r>
              <w:rPr>
                <w:color w:val="000000"/>
                <w:szCs w:val="24"/>
              </w:rPr>
              <w:t>En curso</w:t>
            </w:r>
          </w:p>
        </w:tc>
      </w:tr>
      <w:tr w:rsidR="00EA795C" w:rsidRPr="000C4FD0" w14:paraId="258591C5" w14:textId="77777777" w:rsidTr="002706C3">
        <w:trPr>
          <w:trHeight w:val="405"/>
        </w:trPr>
        <w:tc>
          <w:tcPr>
            <w:tcW w:w="14176" w:type="dxa"/>
            <w:gridSpan w:val="2"/>
            <w:shd w:val="clear" w:color="auto" w:fill="FFFF00"/>
          </w:tcPr>
          <w:p w14:paraId="4FD48290" w14:textId="19A0E626" w:rsidR="00EA795C" w:rsidRPr="000C4FD0" w:rsidRDefault="00EA795C" w:rsidP="006262D5">
            <w:pPr>
              <w:keepNext/>
              <w:keepLines/>
              <w:tabs>
                <w:tab w:val="clear" w:pos="567"/>
                <w:tab w:val="clear" w:pos="1134"/>
                <w:tab w:val="clear" w:pos="1701"/>
                <w:tab w:val="clear" w:pos="2268"/>
                <w:tab w:val="clear" w:pos="2835"/>
              </w:tabs>
              <w:overflowPunct/>
              <w:autoSpaceDE/>
              <w:adjustRightInd/>
              <w:jc w:val="center"/>
              <w:textAlignment w:val="auto"/>
              <w:rPr>
                <w:b/>
                <w:bCs/>
                <w:color w:val="000000"/>
                <w:szCs w:val="24"/>
              </w:rPr>
            </w:pPr>
            <w:proofErr w:type="spellStart"/>
            <w:r w:rsidRPr="000C4FD0">
              <w:rPr>
                <w:b/>
                <w:bCs/>
                <w:color w:val="000000"/>
                <w:szCs w:val="24"/>
              </w:rPr>
              <w:lastRenderedPageBreak/>
              <w:t>JIU</w:t>
            </w:r>
            <w:proofErr w:type="spellEnd"/>
            <w:r w:rsidRPr="000C4FD0">
              <w:rPr>
                <w:b/>
                <w:bCs/>
                <w:color w:val="000000"/>
                <w:szCs w:val="24"/>
              </w:rPr>
              <w:t>/</w:t>
            </w:r>
            <w:proofErr w:type="spellStart"/>
            <w:r w:rsidRPr="000C4FD0">
              <w:rPr>
                <w:b/>
                <w:bCs/>
                <w:color w:val="000000"/>
                <w:szCs w:val="24"/>
              </w:rPr>
              <w:t>REP</w:t>
            </w:r>
            <w:proofErr w:type="spellEnd"/>
            <w:r w:rsidRPr="000C4FD0">
              <w:rPr>
                <w:b/>
                <w:bCs/>
                <w:color w:val="000000"/>
                <w:szCs w:val="24"/>
              </w:rPr>
              <w:t xml:space="preserve">/2023/8 </w:t>
            </w:r>
            <w:hyperlink r:id="rId24" w:history="1">
              <w:r w:rsidRPr="000C4FD0">
                <w:rPr>
                  <w:rStyle w:val="Hyperlink"/>
                  <w:b/>
                  <w:bCs/>
                  <w:szCs w:val="24"/>
                </w:rPr>
                <w:t>Examen del empleo de personal que no es de plantilla y modalidades de contratación conexas en las organizaciones del sistema de las Naciones Unidas</w:t>
              </w:r>
            </w:hyperlink>
            <w:r w:rsidR="006262D5" w:rsidRPr="000C4FD0">
              <w:rPr>
                <w:rFonts w:cs="Calibri"/>
                <w:b/>
                <w:bCs/>
                <w:color w:val="0000FF"/>
                <w:szCs w:val="24"/>
              </w:rPr>
              <w:br/>
            </w:r>
            <w:r w:rsidR="006262D5" w:rsidRPr="000C4FD0">
              <w:rPr>
                <w:b/>
                <w:bCs/>
                <w:color w:val="000000"/>
                <w:szCs w:val="24"/>
              </w:rPr>
              <w:t>Coordinadora de la UIT</w:t>
            </w:r>
            <w:r w:rsidRPr="000C4FD0">
              <w:rPr>
                <w:b/>
                <w:bCs/>
                <w:color w:val="000000"/>
                <w:szCs w:val="24"/>
              </w:rPr>
              <w:t>: Maria Traficanti</w:t>
            </w:r>
          </w:p>
          <w:p w14:paraId="26A1BABC" w14:textId="77777777" w:rsidR="00EA795C" w:rsidRPr="000C4FD0" w:rsidRDefault="00EA795C" w:rsidP="00B3656F">
            <w:pPr>
              <w:keepNext/>
              <w:keepLines/>
              <w:tabs>
                <w:tab w:val="clear" w:pos="567"/>
                <w:tab w:val="clear" w:pos="1134"/>
                <w:tab w:val="clear" w:pos="1701"/>
                <w:tab w:val="clear" w:pos="2268"/>
                <w:tab w:val="clear" w:pos="2835"/>
              </w:tabs>
              <w:overflowPunct/>
              <w:autoSpaceDE/>
              <w:adjustRightInd/>
              <w:spacing w:before="0"/>
              <w:ind w:left="720" w:hanging="360"/>
              <w:jc w:val="center"/>
              <w:textAlignment w:val="auto"/>
              <w:rPr>
                <w:rFonts w:cs="Calibri"/>
                <w:color w:val="000000"/>
                <w:szCs w:val="24"/>
              </w:rPr>
            </w:pPr>
            <w:r w:rsidRPr="000C4FD0">
              <w:rPr>
                <w:rFonts w:ascii="Symbol" w:hAnsi="Symbol" w:cs="Calibri"/>
                <w:color w:val="000000"/>
                <w:szCs w:val="24"/>
              </w:rPr>
              <w:t></w:t>
            </w:r>
            <w:r w:rsidRPr="000C4FD0">
              <w:rPr>
                <w:color w:val="000000"/>
                <w:szCs w:val="24"/>
              </w:rPr>
              <w:tab/>
            </w:r>
            <w:hyperlink r:id="rId25" w:history="1">
              <w:r w:rsidRPr="000C4FD0">
                <w:rPr>
                  <w:rStyle w:val="Hyperlink"/>
                  <w:b/>
                  <w:bCs/>
                  <w:szCs w:val="24"/>
                </w:rPr>
                <w:t>Elementos destacados</w:t>
              </w:r>
            </w:hyperlink>
          </w:p>
        </w:tc>
      </w:tr>
      <w:tr w:rsidR="00EA795C" w:rsidRPr="000C4FD0" w14:paraId="6126EB0C" w14:textId="77777777" w:rsidTr="002706C3">
        <w:trPr>
          <w:trHeight w:val="1112"/>
        </w:trPr>
        <w:tc>
          <w:tcPr>
            <w:tcW w:w="2410" w:type="dxa"/>
            <w:shd w:val="clear" w:color="auto" w:fill="E1EBF7" w:themeFill="text2" w:themeFillTint="1A"/>
          </w:tcPr>
          <w:p w14:paraId="1035F362" w14:textId="3B1EF180" w:rsidR="00EA795C" w:rsidRPr="000C4FD0" w:rsidRDefault="00EA795C" w:rsidP="00B3656F">
            <w:pPr>
              <w:keepNext/>
              <w:keepLines/>
              <w:jc w:val="right"/>
              <w:rPr>
                <w:rFonts w:cs="Calibri"/>
                <w:b/>
                <w:bCs/>
                <w:szCs w:val="24"/>
              </w:rPr>
            </w:pPr>
            <w:r w:rsidRPr="000C4FD0">
              <w:rPr>
                <w:b/>
                <w:bCs/>
                <w:color w:val="000000"/>
                <w:szCs w:val="24"/>
              </w:rPr>
              <w:t>Recomendación dirigida a los órganos legislativos/rectores</w:t>
            </w:r>
          </w:p>
        </w:tc>
        <w:tc>
          <w:tcPr>
            <w:tcW w:w="11766" w:type="dxa"/>
            <w:shd w:val="clear" w:color="auto" w:fill="FFFFFF" w:themeFill="background1"/>
          </w:tcPr>
          <w:p w14:paraId="00C6AEA7" w14:textId="77777777" w:rsidR="00EA795C" w:rsidRPr="000C4FD0" w:rsidRDefault="00EA795C" w:rsidP="00B3656F">
            <w:pPr>
              <w:keepNext/>
              <w:keepLines/>
              <w:rPr>
                <w:rFonts w:cs="Calibri"/>
                <w:szCs w:val="24"/>
              </w:rPr>
            </w:pPr>
            <w:r w:rsidRPr="000C4FD0">
              <w:rPr>
                <w:b/>
                <w:bCs/>
                <w:color w:val="000000"/>
                <w:szCs w:val="24"/>
                <w:highlight w:val="cyan"/>
              </w:rPr>
              <w:t>Recomendación 5:</w:t>
            </w:r>
            <w:r w:rsidRPr="000C4FD0">
              <w:rPr>
                <w:b/>
                <w:bCs/>
                <w:color w:val="000000"/>
                <w:szCs w:val="24"/>
              </w:rPr>
              <w:t xml:space="preserve"> </w:t>
            </w:r>
            <w:r w:rsidRPr="000C4FD0">
              <w:rPr>
                <w:color w:val="000000"/>
                <w:szCs w:val="24"/>
              </w:rPr>
              <w:t>Los órganos legislativos o rectores de las organizaciones del sistema de las Naciones Unidas deberían pedir a los jefes ejecutivos que aún no lo hayan hecho que incluyan en sus informes sobre recursos humanos datos e información pertinentes sobre la utilización de personal que no es de plantilla, como el número de personas que no integran la plantilla, los años de servicio, el lugar de empleo, la nacionalidad y el género.</w:t>
            </w:r>
          </w:p>
        </w:tc>
      </w:tr>
      <w:tr w:rsidR="00EA795C" w:rsidRPr="000C4FD0" w14:paraId="737E52BF" w14:textId="77777777" w:rsidTr="002706C3">
        <w:tc>
          <w:tcPr>
            <w:tcW w:w="2410" w:type="dxa"/>
            <w:shd w:val="clear" w:color="auto" w:fill="EAF1DD" w:themeFill="accent3" w:themeFillTint="33"/>
          </w:tcPr>
          <w:p w14:paraId="2D1415E9" w14:textId="2D238442" w:rsidR="00EA795C" w:rsidRPr="000C4FD0" w:rsidRDefault="00EA795C" w:rsidP="00B3656F">
            <w:pPr>
              <w:keepNext/>
              <w:keepLines/>
              <w:jc w:val="right"/>
              <w:rPr>
                <w:rFonts w:cs="Calibri"/>
                <w:b/>
                <w:bCs/>
                <w:szCs w:val="24"/>
              </w:rPr>
            </w:pPr>
            <w:r w:rsidRPr="000C4FD0">
              <w:rPr>
                <w:b/>
                <w:bCs/>
                <w:color w:val="000000"/>
                <w:szCs w:val="24"/>
              </w:rPr>
              <w:t>Acción solicitada</w:t>
            </w:r>
          </w:p>
        </w:tc>
        <w:tc>
          <w:tcPr>
            <w:tcW w:w="11766" w:type="dxa"/>
          </w:tcPr>
          <w:p w14:paraId="769955D2" w14:textId="77777777" w:rsidR="00EA795C" w:rsidRPr="000C4FD0" w:rsidRDefault="00EA795C" w:rsidP="00B3656F">
            <w:pPr>
              <w:keepNext/>
              <w:keepLines/>
              <w:rPr>
                <w:rFonts w:cs="Calibri"/>
                <w:b/>
                <w:bCs/>
                <w:szCs w:val="24"/>
              </w:rPr>
            </w:pPr>
            <w:r w:rsidRPr="000C4FD0">
              <w:rPr>
                <w:color w:val="000000"/>
                <w:szCs w:val="24"/>
              </w:rPr>
              <w:t>(</w:t>
            </w:r>
            <w:r w:rsidRPr="000C4FD0">
              <w:rPr>
                <w:b/>
                <w:bCs/>
                <w:color w:val="000000"/>
                <w:szCs w:val="24"/>
                <w:highlight w:val="green"/>
              </w:rPr>
              <w:t>Aceptar</w:t>
            </w:r>
            <w:r w:rsidRPr="000C4FD0">
              <w:rPr>
                <w:color w:val="000000"/>
                <w:szCs w:val="24"/>
              </w:rPr>
              <w:t>, No aceptar, No pertinente o Requiere consideraciones ulteriores)</w:t>
            </w:r>
          </w:p>
        </w:tc>
      </w:tr>
      <w:tr w:rsidR="00EA795C" w:rsidRPr="000C4FD0" w14:paraId="3DDE8293" w14:textId="77777777" w:rsidTr="002706C3">
        <w:tc>
          <w:tcPr>
            <w:tcW w:w="2410" w:type="dxa"/>
          </w:tcPr>
          <w:p w14:paraId="50395429" w14:textId="77777777" w:rsidR="00EA795C" w:rsidRPr="000C4FD0" w:rsidRDefault="00EA795C" w:rsidP="00B3656F">
            <w:pPr>
              <w:keepNext/>
              <w:keepLines/>
              <w:jc w:val="right"/>
              <w:rPr>
                <w:rFonts w:cs="Calibri"/>
                <w:b/>
                <w:bCs/>
                <w:szCs w:val="24"/>
              </w:rPr>
            </w:pPr>
            <w:r w:rsidRPr="000C4FD0">
              <w:rPr>
                <w:b/>
                <w:bCs/>
                <w:color w:val="000000"/>
                <w:szCs w:val="24"/>
              </w:rPr>
              <w:t>Observaciones de la UIT sobre pertinencia y repercusiones en materia de recursos humanos y financieros</w:t>
            </w:r>
          </w:p>
        </w:tc>
        <w:tc>
          <w:tcPr>
            <w:tcW w:w="11766" w:type="dxa"/>
          </w:tcPr>
          <w:p w14:paraId="425E7C97" w14:textId="77777777" w:rsidR="00EA795C" w:rsidRPr="000C4FD0" w:rsidRDefault="00EA795C" w:rsidP="00B3656F">
            <w:pPr>
              <w:keepNext/>
              <w:keepLines/>
              <w:rPr>
                <w:rFonts w:cs="Calibri"/>
                <w:b/>
                <w:bCs/>
                <w:szCs w:val="24"/>
              </w:rPr>
            </w:pPr>
            <w:r w:rsidRPr="000C4FD0">
              <w:rPr>
                <w:color w:val="000000"/>
                <w:szCs w:val="24"/>
              </w:rPr>
              <w:t>Los datos sobre los contratos de personal que no es de plantilla ya se proporcionan en el Informe anual sobre los recursos humanos relativo al análisis de la fuerza de trabajo. En caso necesario, podrán incorporarse al registro otros datos e informaciones pertinentes sobre la contratación de personal no permanente. Se aplicará con arreglo a los recursos actuales tanto humanos como financieros.</w:t>
            </w:r>
          </w:p>
        </w:tc>
      </w:tr>
      <w:tr w:rsidR="00EA795C" w:rsidRPr="000C4FD0" w14:paraId="0C11B1EE" w14:textId="77777777" w:rsidTr="002706C3">
        <w:tc>
          <w:tcPr>
            <w:tcW w:w="2410" w:type="dxa"/>
          </w:tcPr>
          <w:p w14:paraId="1C441374" w14:textId="0DC78AA7" w:rsidR="00EA795C" w:rsidRPr="000C4FD0" w:rsidRDefault="005943E8" w:rsidP="00B3656F">
            <w:pPr>
              <w:keepNext/>
              <w:keepLines/>
              <w:jc w:val="right"/>
              <w:rPr>
                <w:rStyle w:val="Hyperlink"/>
                <w:b/>
                <w:bCs/>
              </w:rPr>
            </w:pPr>
            <w:hyperlink r:id="rId26" w:history="1">
              <w:r w:rsidRPr="000C4FD0">
                <w:rPr>
                  <w:rStyle w:val="Hyperlink"/>
                  <w:b/>
                  <w:bCs/>
                </w:rPr>
                <w:t>Observaciones de la JJE para todo el sistema de las Naciones Unidas</w:t>
              </w:r>
            </w:hyperlink>
          </w:p>
        </w:tc>
        <w:tc>
          <w:tcPr>
            <w:tcW w:w="11766" w:type="dxa"/>
          </w:tcPr>
          <w:p w14:paraId="7AAAF8A4" w14:textId="13ADCFA3" w:rsidR="00EA795C" w:rsidRPr="000C4FD0" w:rsidRDefault="00EA795C" w:rsidP="00B3656F">
            <w:pPr>
              <w:keepNext/>
              <w:keepLines/>
              <w:rPr>
                <w:rFonts w:cs="Calibri"/>
                <w:szCs w:val="24"/>
              </w:rPr>
            </w:pPr>
            <w:r w:rsidRPr="000C4FD0">
              <w:rPr>
                <w:color w:val="000000"/>
                <w:szCs w:val="24"/>
              </w:rPr>
              <w:t xml:space="preserve">Muchas organizaciones ya presentan informes periódicos a petición de sus órganos rectores. También se están realizando esfuerzos para mejorar la disponibilidad y calidad de los datos, aunque cabe señalar que la variable </w:t>
            </w:r>
            <w:r w:rsidR="002706C3" w:rsidRPr="000C4FD0">
              <w:rPr>
                <w:color w:val="000000"/>
                <w:szCs w:val="24"/>
              </w:rPr>
              <w:t>"</w:t>
            </w:r>
            <w:r w:rsidRPr="000C4FD0">
              <w:rPr>
                <w:color w:val="000000"/>
                <w:szCs w:val="24"/>
              </w:rPr>
              <w:t>años de servicio</w:t>
            </w:r>
            <w:r w:rsidR="002706C3" w:rsidRPr="000C4FD0">
              <w:rPr>
                <w:color w:val="000000"/>
                <w:szCs w:val="24"/>
              </w:rPr>
              <w:t>"</w:t>
            </w:r>
            <w:r w:rsidRPr="000C4FD0">
              <w:rPr>
                <w:color w:val="000000"/>
                <w:szCs w:val="24"/>
              </w:rPr>
              <w:t xml:space="preserve"> no es totalmente aplicable al personal que no es de plantilla, porque esos empleados suelen ser contratados por </w:t>
            </w:r>
            <w:r w:rsidR="000C4FD0" w:rsidRPr="000C4FD0">
              <w:rPr>
                <w:color w:val="000000"/>
                <w:szCs w:val="24"/>
              </w:rPr>
              <w:t>periodos</w:t>
            </w:r>
            <w:r w:rsidRPr="000C4FD0">
              <w:rPr>
                <w:color w:val="000000"/>
                <w:szCs w:val="24"/>
              </w:rPr>
              <w:t xml:space="preserve"> más cortos. Asimismo, se recuerda que el abanico de modalidades de contratación de personal que no es de plantilla es muy diverso y tal vez no sea conducente a la presentación de información exhaustiva de aplicación generalizada.</w:t>
            </w:r>
          </w:p>
        </w:tc>
      </w:tr>
      <w:tr w:rsidR="00EA795C" w:rsidRPr="000C4FD0" w14:paraId="5349F106" w14:textId="77777777" w:rsidTr="002706C3">
        <w:tc>
          <w:tcPr>
            <w:tcW w:w="2410" w:type="dxa"/>
          </w:tcPr>
          <w:p w14:paraId="1DE39ECD" w14:textId="77777777" w:rsidR="00EA795C" w:rsidRPr="000C4FD0" w:rsidRDefault="00EA795C" w:rsidP="00B3656F">
            <w:pPr>
              <w:jc w:val="right"/>
              <w:rPr>
                <w:rFonts w:cs="Calibri"/>
                <w:szCs w:val="24"/>
              </w:rPr>
            </w:pPr>
            <w:r w:rsidRPr="000C4FD0">
              <w:rPr>
                <w:b/>
                <w:bCs/>
                <w:color w:val="000000"/>
                <w:szCs w:val="24"/>
              </w:rPr>
              <w:t>Estado de aplicación</w:t>
            </w:r>
          </w:p>
        </w:tc>
        <w:tc>
          <w:tcPr>
            <w:tcW w:w="11766" w:type="dxa"/>
          </w:tcPr>
          <w:p w14:paraId="404FDFCF" w14:textId="3B50761D" w:rsidR="00EA795C" w:rsidRPr="000C4FD0" w:rsidRDefault="00EA795C" w:rsidP="00B3656F">
            <w:pPr>
              <w:rPr>
                <w:rFonts w:cs="Calibri"/>
                <w:szCs w:val="24"/>
              </w:rPr>
            </w:pPr>
            <w:r w:rsidRPr="000C4FD0">
              <w:rPr>
                <w:color w:val="000000"/>
                <w:szCs w:val="24"/>
              </w:rPr>
              <w:t>Aplicada</w:t>
            </w:r>
            <w:r w:rsidR="005943E8" w:rsidRPr="000C4FD0">
              <w:rPr>
                <w:color w:val="000000"/>
                <w:szCs w:val="24"/>
              </w:rPr>
              <w:t>.</w:t>
            </w:r>
          </w:p>
        </w:tc>
      </w:tr>
    </w:tbl>
    <w:p w14:paraId="3FD1EE47" w14:textId="77777777" w:rsidR="002706C3" w:rsidRPr="000C4FD0" w:rsidRDefault="002706C3">
      <w:pPr>
        <w:jc w:val="center"/>
      </w:pPr>
      <w:r w:rsidRPr="000C4FD0">
        <w:t>______________</w:t>
      </w:r>
    </w:p>
    <w:sectPr w:rsidR="002706C3" w:rsidRPr="000C4FD0" w:rsidSect="00EA795C">
      <w:headerReference w:type="first" r:id="rId27"/>
      <w:footerReference w:type="first" r:id="rId28"/>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FB33" w14:textId="77777777" w:rsidR="00AF5E27" w:rsidRDefault="00AF5E27">
      <w:r>
        <w:separator/>
      </w:r>
    </w:p>
  </w:endnote>
  <w:endnote w:type="continuationSeparator" w:id="0">
    <w:p w14:paraId="658F4FC3" w14:textId="77777777" w:rsidR="00AF5E27" w:rsidRDefault="00AF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charset w:val="00"/>
    <w:family w:val="swiss"/>
    <w:notTrueType/>
    <w:pitch w:val="variable"/>
    <w:sig w:usb0="A00002EF"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2CDCFA4" w14:textId="77777777" w:rsidTr="00E31DCE">
      <w:trPr>
        <w:jc w:val="center"/>
      </w:trPr>
      <w:tc>
        <w:tcPr>
          <w:tcW w:w="1803" w:type="dxa"/>
          <w:vAlign w:val="center"/>
        </w:tcPr>
        <w:p w14:paraId="4FEFA96F" w14:textId="50D5021C" w:rsidR="003273A4" w:rsidRDefault="002706C3" w:rsidP="003273A4">
          <w:pPr>
            <w:pStyle w:val="Header"/>
            <w:jc w:val="left"/>
            <w:rPr>
              <w:noProof/>
            </w:rPr>
          </w:pPr>
          <w:r>
            <w:rPr>
              <w:noProof/>
            </w:rPr>
            <w:t>gDoc 2501101</w:t>
          </w:r>
        </w:p>
      </w:tc>
      <w:tc>
        <w:tcPr>
          <w:tcW w:w="8261" w:type="dxa"/>
        </w:tcPr>
        <w:p w14:paraId="3843F9AA" w14:textId="74FC623D"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043A49">
            <w:rPr>
              <w:bCs/>
            </w:rPr>
            <w:t>57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CA39B19"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7345A45" w14:textId="77777777" w:rsidTr="00E31DCE">
      <w:trPr>
        <w:jc w:val="center"/>
      </w:trPr>
      <w:tc>
        <w:tcPr>
          <w:tcW w:w="1803" w:type="dxa"/>
          <w:vAlign w:val="center"/>
        </w:tcPr>
        <w:p w14:paraId="7F62F8AC"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12EADD31" w14:textId="02635C22"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043A49">
            <w:rPr>
              <w:bCs/>
            </w:rPr>
            <w:t>57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E77EF1F" w14:textId="77777777" w:rsidR="00760F1C" w:rsidRPr="00F24B71" w:rsidRDefault="00760F1C" w:rsidP="00F24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45470D" w:rsidRPr="00784011" w14:paraId="63815E75" w14:textId="77777777" w:rsidTr="00E31DCE">
      <w:trPr>
        <w:jc w:val="center"/>
      </w:trPr>
      <w:tc>
        <w:tcPr>
          <w:tcW w:w="1803" w:type="dxa"/>
          <w:vAlign w:val="center"/>
        </w:tcPr>
        <w:p w14:paraId="315A2F4A" w14:textId="67ED8D7B" w:rsidR="0045470D" w:rsidRPr="002946E2" w:rsidRDefault="0045470D" w:rsidP="00F24B71">
          <w:pPr>
            <w:pStyle w:val="Header"/>
            <w:jc w:val="left"/>
            <w:rPr>
              <w:noProof/>
            </w:rPr>
          </w:pPr>
          <w:r>
            <w:rPr>
              <w:noProof/>
            </w:rPr>
            <w:t>gDoc 2501101</w:t>
          </w:r>
        </w:p>
      </w:tc>
      <w:tc>
        <w:tcPr>
          <w:tcW w:w="8261" w:type="dxa"/>
        </w:tcPr>
        <w:p w14:paraId="6BD4F329" w14:textId="77777777" w:rsidR="0045470D" w:rsidRPr="00E06FD5" w:rsidRDefault="0045470D"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25</w:t>
          </w:r>
          <w:proofErr w:type="spellEnd"/>
          <w:r w:rsidRPr="00623AE3">
            <w:rPr>
              <w:bCs/>
            </w:rPr>
            <w:t>/</w:t>
          </w:r>
          <w:r>
            <w:rPr>
              <w:bCs/>
            </w:rPr>
            <w:t>57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7511A45D" w14:textId="77777777" w:rsidR="0045470D" w:rsidRPr="00F24B71" w:rsidRDefault="0045470D"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5D45" w14:textId="77777777" w:rsidR="00AF5E27" w:rsidRDefault="00AF5E27">
      <w:r>
        <w:t>____________________</w:t>
      </w:r>
    </w:p>
  </w:footnote>
  <w:footnote w:type="continuationSeparator" w:id="0">
    <w:p w14:paraId="182DB92A" w14:textId="77777777" w:rsidR="00AF5E27" w:rsidRDefault="00AF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7BB997DA" w14:textId="77777777" w:rsidTr="00666D09">
      <w:trPr>
        <w:trHeight w:val="1104"/>
        <w:jc w:val="center"/>
      </w:trPr>
      <w:tc>
        <w:tcPr>
          <w:tcW w:w="5998" w:type="dxa"/>
          <w:vAlign w:val="center"/>
        </w:tcPr>
        <w:p w14:paraId="010A21A7"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698FB2F" wp14:editId="75E9073F">
                <wp:extent cx="3672000" cy="612867"/>
                <wp:effectExtent l="0" t="0" r="0" b="0"/>
                <wp:docPr id="6"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7CB9B74A" w14:textId="77777777" w:rsidR="00666D09" w:rsidRDefault="00666D09" w:rsidP="001559F5">
          <w:pPr>
            <w:pStyle w:val="Header"/>
            <w:jc w:val="right"/>
            <w:rPr>
              <w:rFonts w:ascii="Arial" w:hAnsi="Arial" w:cs="Arial"/>
              <w:b/>
              <w:bCs/>
              <w:color w:val="009CD6"/>
              <w:szCs w:val="18"/>
            </w:rPr>
          </w:pPr>
        </w:p>
      </w:tc>
    </w:tr>
  </w:tbl>
  <w:p w14:paraId="1A03893F"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7C7FF8A" wp14:editId="1EA30A28">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53448"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9AAE" w14:textId="1097EF81" w:rsidR="00043A49" w:rsidRPr="00043A49" w:rsidRDefault="00043A49" w:rsidP="00043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FD"/>
    <w:rsid w:val="000007D1"/>
    <w:rsid w:val="00043A49"/>
    <w:rsid w:val="0006007D"/>
    <w:rsid w:val="00093EEB"/>
    <w:rsid w:val="000B0D00"/>
    <w:rsid w:val="000B7C15"/>
    <w:rsid w:val="000C4FD0"/>
    <w:rsid w:val="000D1D0F"/>
    <w:rsid w:val="000E3F07"/>
    <w:rsid w:val="000F5290"/>
    <w:rsid w:val="0010165C"/>
    <w:rsid w:val="00146BFB"/>
    <w:rsid w:val="001559F5"/>
    <w:rsid w:val="00157AC4"/>
    <w:rsid w:val="0016169C"/>
    <w:rsid w:val="001B6E2B"/>
    <w:rsid w:val="001F14A2"/>
    <w:rsid w:val="00257CF4"/>
    <w:rsid w:val="002706C3"/>
    <w:rsid w:val="002801AA"/>
    <w:rsid w:val="002946E2"/>
    <w:rsid w:val="002C3F32"/>
    <w:rsid w:val="002C4676"/>
    <w:rsid w:val="002C70B0"/>
    <w:rsid w:val="002F3CC4"/>
    <w:rsid w:val="003032E2"/>
    <w:rsid w:val="0031300A"/>
    <w:rsid w:val="003273A4"/>
    <w:rsid w:val="0034796E"/>
    <w:rsid w:val="0045470D"/>
    <w:rsid w:val="00473962"/>
    <w:rsid w:val="00493E74"/>
    <w:rsid w:val="004B5D49"/>
    <w:rsid w:val="004D3A3C"/>
    <w:rsid w:val="00513630"/>
    <w:rsid w:val="00546777"/>
    <w:rsid w:val="00557896"/>
    <w:rsid w:val="00560125"/>
    <w:rsid w:val="00585553"/>
    <w:rsid w:val="0058767B"/>
    <w:rsid w:val="005943E8"/>
    <w:rsid w:val="005B34D9"/>
    <w:rsid w:val="005D0CCF"/>
    <w:rsid w:val="005F3BCB"/>
    <w:rsid w:val="005F410F"/>
    <w:rsid w:val="0060149A"/>
    <w:rsid w:val="00601924"/>
    <w:rsid w:val="006262D5"/>
    <w:rsid w:val="006447EA"/>
    <w:rsid w:val="0064481D"/>
    <w:rsid w:val="0064731F"/>
    <w:rsid w:val="00664269"/>
    <w:rsid w:val="00664572"/>
    <w:rsid w:val="00666D0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F6ABC"/>
    <w:rsid w:val="00913B9C"/>
    <w:rsid w:val="00927F93"/>
    <w:rsid w:val="00956E77"/>
    <w:rsid w:val="009A338E"/>
    <w:rsid w:val="009E77FD"/>
    <w:rsid w:val="009F4811"/>
    <w:rsid w:val="00A25003"/>
    <w:rsid w:val="00A94438"/>
    <w:rsid w:val="00AA390C"/>
    <w:rsid w:val="00AD1916"/>
    <w:rsid w:val="00AF5E27"/>
    <w:rsid w:val="00B0200A"/>
    <w:rsid w:val="00B060DF"/>
    <w:rsid w:val="00B574DB"/>
    <w:rsid w:val="00B826C2"/>
    <w:rsid w:val="00B8298E"/>
    <w:rsid w:val="00BA4D1B"/>
    <w:rsid w:val="00BB6FD8"/>
    <w:rsid w:val="00BD0723"/>
    <w:rsid w:val="00BD2518"/>
    <w:rsid w:val="00BF1D1C"/>
    <w:rsid w:val="00C11869"/>
    <w:rsid w:val="00C20C59"/>
    <w:rsid w:val="00C2727F"/>
    <w:rsid w:val="00C538FC"/>
    <w:rsid w:val="00C55B1F"/>
    <w:rsid w:val="00CF1A67"/>
    <w:rsid w:val="00D2750E"/>
    <w:rsid w:val="00D375E0"/>
    <w:rsid w:val="00D50A36"/>
    <w:rsid w:val="00D62446"/>
    <w:rsid w:val="00D83042"/>
    <w:rsid w:val="00DA4EA2"/>
    <w:rsid w:val="00DC3D3E"/>
    <w:rsid w:val="00DE2C90"/>
    <w:rsid w:val="00DE3B24"/>
    <w:rsid w:val="00E06947"/>
    <w:rsid w:val="00E11319"/>
    <w:rsid w:val="00E21444"/>
    <w:rsid w:val="00E34072"/>
    <w:rsid w:val="00E3592D"/>
    <w:rsid w:val="00E50D76"/>
    <w:rsid w:val="00E74BC2"/>
    <w:rsid w:val="00E8018B"/>
    <w:rsid w:val="00E81602"/>
    <w:rsid w:val="00E92DE8"/>
    <w:rsid w:val="00EA795C"/>
    <w:rsid w:val="00EB1212"/>
    <w:rsid w:val="00ED65AB"/>
    <w:rsid w:val="00F12850"/>
    <w:rsid w:val="00F15D3B"/>
    <w:rsid w:val="00F24B71"/>
    <w:rsid w:val="00F33BF4"/>
    <w:rsid w:val="00F512CA"/>
    <w:rsid w:val="00F7105E"/>
    <w:rsid w:val="00F75F57"/>
    <w:rsid w:val="00F82FEE"/>
    <w:rsid w:val="00F90CDB"/>
    <w:rsid w:val="00F92BED"/>
    <w:rsid w:val="00F9537B"/>
    <w:rsid w:val="00FD57D3"/>
    <w:rsid w:val="00FE4D1C"/>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8F345"/>
  <w15:docId w15:val="{1FE857DE-DD1A-4E58-A216-E3F136CC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qFormat/>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Revision">
    <w:name w:val="Revision"/>
    <w:hidden/>
    <w:uiPriority w:val="99"/>
    <w:semiHidden/>
    <w:rsid w:val="00557896"/>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057/es" TargetMode="External"/><Relationship Id="rId13" Type="http://schemas.openxmlformats.org/officeDocument/2006/relationships/hyperlink" Target="https://www.unjiu.org/sites/www.unjiu.org/files/jiu_rep_2024_4_spanish.pdf" TargetMode="External"/><Relationship Id="rId18" Type="http://schemas.openxmlformats.org/officeDocument/2006/relationships/hyperlink" Target="https://www.unjiu.org/sites/www.unjiu.org/files/jiu_rep_2024_2_sp.pdf" TargetMode="External"/><Relationship Id="rId26" Type="http://schemas.openxmlformats.org/officeDocument/2006/relationships/hyperlink" Target="https://www.unjiu.org/sites/www.unjiu.org/files/a_79_694_add1-en.pdf" TargetMode="External"/><Relationship Id="rId3" Type="http://schemas.openxmlformats.org/officeDocument/2006/relationships/settings" Target="settings.xml"/><Relationship Id="rId21" Type="http://schemas.openxmlformats.org/officeDocument/2006/relationships/hyperlink" Target="https://www.unjiu.org/sites/www.unjiu.org/files/jiu_rep_2023_9_spanish.pdf" TargetMode="External"/><Relationship Id="rId7" Type="http://schemas.openxmlformats.org/officeDocument/2006/relationships/hyperlink" Target="https://www.itu.int/md/S24-CL-C-0057/es" TargetMode="External"/><Relationship Id="rId12" Type="http://schemas.openxmlformats.org/officeDocument/2006/relationships/footer" Target="footer2.xml"/><Relationship Id="rId17" Type="http://schemas.openxmlformats.org/officeDocument/2006/relationships/hyperlink" Target="https://www.unjiu.org/sites/www.unjiu.org/files/review_highlights_jiu_rep_2024_3_parts_i_and_ii_0.pdf" TargetMode="External"/><Relationship Id="rId25" Type="http://schemas.openxmlformats.org/officeDocument/2006/relationships/hyperlink" Target="https://www.unjiu.org/sites/www.unjiu.org/files/jiu-rep-2023-8_review_highlights_appendix_0.pdf" TargetMode="External"/><Relationship Id="rId2" Type="http://schemas.openxmlformats.org/officeDocument/2006/relationships/styles" Target="styles.xml"/><Relationship Id="rId16" Type="http://schemas.openxmlformats.org/officeDocument/2006/relationships/hyperlink" Target="https://www.unjiu.org/sites/www.unjiu.org/files/jiu_rep_2024_3_part_ii_spanish.pdf" TargetMode="External"/><Relationship Id="rId20" Type="http://schemas.openxmlformats.org/officeDocument/2006/relationships/hyperlink" Target="https://www.unjiu.org/sites/www.unjiu.org/files/a-79-717-add1-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unjiu.org/sites/www.unjiu.org/files/jiu_rep_2023_8_spanish.pdf" TargetMode="External"/><Relationship Id="rId5" Type="http://schemas.openxmlformats.org/officeDocument/2006/relationships/footnotes" Target="footnotes.xml"/><Relationship Id="rId15" Type="http://schemas.openxmlformats.org/officeDocument/2006/relationships/hyperlink" Target="https://www.unjiu.org/sites/www.unjiu.org/files/jiu_rep_2024_3_part_i_spanish.pdf" TargetMode="External"/><Relationship Id="rId23" Type="http://schemas.openxmlformats.org/officeDocument/2006/relationships/hyperlink" Target="https://www.unjiu.org/sites/www.unjiu.org/files/a_79_695_add1-en.pdf"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unjiu.org/sites/www.unjiu.org/files/jiu-rep-2014-2_review_highlights.pdf" TargetMode="External"/><Relationship Id="rId4" Type="http://schemas.openxmlformats.org/officeDocument/2006/relationships/webSettings" Target="webSettings.xml"/><Relationship Id="rId9" Type="http://schemas.openxmlformats.org/officeDocument/2006/relationships/hyperlink" Target="https://www.itu.int/md/S22-CL-C-0061/es" TargetMode="External"/><Relationship Id="rId14" Type="http://schemas.openxmlformats.org/officeDocument/2006/relationships/hyperlink" Target="https://www.unjiu.org/sites/www.unjiu.org/files/jiu-rep-2024-4_review_highlights.pdf" TargetMode="External"/><Relationship Id="rId22" Type="http://schemas.openxmlformats.org/officeDocument/2006/relationships/hyperlink" Target="https://www.unjiu.org/sites/www.unjiu.org/files/jiu-rep-2023-9_review_highlights.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3A25-F2CC-46EB-9960-9753A971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PS_Council25.dotx</Template>
  <TotalTime>1</TotalTime>
  <Pages>7</Pages>
  <Words>2191</Words>
  <Characters>14082</Characters>
  <Application>Microsoft Office Word</Application>
  <DocSecurity>0</DocSecurity>
  <Lines>293</Lines>
  <Paragraphs>120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16153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Informes de la DCI sobre cuestiones que afectan a todo el sistema de las Naciones Unidas para 2023-2024 y recomendaciones a los órganos legislativos</dc:title>
  <dc:subject>Consejo 2025 de la UIT</dc:subject>
  <cp:keywords>C2025, C25, Council-25</cp:keywords>
  <dc:description/>
  <cp:lastPrinted>2006-03-24T09:51:00Z</cp:lastPrinted>
  <dcterms:created xsi:type="dcterms:W3CDTF">2025-05-22T15:57:00Z</dcterms:created>
  <dcterms:modified xsi:type="dcterms:W3CDTF">2025-05-22T15:57:00Z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