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813E5E" w14:paraId="0D6ED9E0" w14:textId="77777777" w:rsidTr="00DA770A">
        <w:trPr>
          <w:cantSplit/>
          <w:trHeight w:val="23"/>
        </w:trPr>
        <w:tc>
          <w:tcPr>
            <w:tcW w:w="3969" w:type="dxa"/>
            <w:vMerge w:val="restart"/>
            <w:tcMar>
              <w:left w:w="0" w:type="dxa"/>
            </w:tcMar>
          </w:tcPr>
          <w:p w14:paraId="08DC7A6E" w14:textId="78E19F20" w:rsidR="00796BD3" w:rsidRPr="00F23128" w:rsidRDefault="0033025A" w:rsidP="00DA770A">
            <w:pPr>
              <w:tabs>
                <w:tab w:val="clear" w:pos="1588"/>
                <w:tab w:val="clear" w:pos="1985"/>
                <w:tab w:val="left" w:pos="851"/>
                <w:tab w:val="center" w:pos="1930"/>
              </w:tabs>
              <w:spacing w:before="0" w:line="240" w:lineRule="atLeast"/>
              <w:rPr>
                <w:b/>
                <w:lang w:val="en-US"/>
              </w:rPr>
            </w:pPr>
            <w:bookmarkStart w:id="0" w:name="dmeeting" w:colFirst="0" w:colLast="0"/>
            <w:bookmarkStart w:id="1" w:name="dnum" w:colFirst="1" w:colLast="1"/>
            <w:bookmarkStart w:id="2" w:name="_Hlk133421839"/>
            <w:r w:rsidRPr="0033025A">
              <w:rPr>
                <w:b/>
              </w:rPr>
              <w:t>Пункт повестки дня:</w:t>
            </w:r>
            <w:r w:rsidR="00F23128">
              <w:rPr>
                <w:b/>
                <w:lang w:val="ru-RU"/>
              </w:rPr>
              <w:t xml:space="preserve"> </w:t>
            </w:r>
            <w:r w:rsidR="00F23128">
              <w:rPr>
                <w:b/>
                <w:lang w:val="en-US"/>
              </w:rPr>
              <w:t>ADM 2</w:t>
            </w:r>
          </w:p>
        </w:tc>
        <w:tc>
          <w:tcPr>
            <w:tcW w:w="5245" w:type="dxa"/>
          </w:tcPr>
          <w:p w14:paraId="0D519286" w14:textId="0197CF64" w:rsidR="00796BD3" w:rsidRPr="00E85629" w:rsidRDefault="0033025A" w:rsidP="00DA770A">
            <w:pPr>
              <w:tabs>
                <w:tab w:val="left" w:pos="851"/>
              </w:tabs>
              <w:spacing w:before="0" w:line="240" w:lineRule="atLeast"/>
              <w:jc w:val="right"/>
              <w:rPr>
                <w:b/>
              </w:rPr>
            </w:pPr>
            <w:r w:rsidRPr="0033025A">
              <w:rPr>
                <w:b/>
              </w:rPr>
              <w:t xml:space="preserve">Документ </w:t>
            </w:r>
            <w:r w:rsidR="00796BD3">
              <w:rPr>
                <w:b/>
              </w:rPr>
              <w:t>C2</w:t>
            </w:r>
            <w:r w:rsidR="00D631AA">
              <w:rPr>
                <w:b/>
              </w:rPr>
              <w:t>5</w:t>
            </w:r>
            <w:r w:rsidR="00796BD3">
              <w:rPr>
                <w:b/>
              </w:rPr>
              <w:t>/</w:t>
            </w:r>
            <w:r w:rsidR="00F23128">
              <w:rPr>
                <w:b/>
              </w:rPr>
              <w:t>57</w:t>
            </w:r>
            <w:r w:rsidR="00796BD3">
              <w:rPr>
                <w:b/>
              </w:rPr>
              <w:t>-R</w:t>
            </w:r>
          </w:p>
        </w:tc>
      </w:tr>
      <w:tr w:rsidR="00796BD3" w:rsidRPr="00813E5E" w14:paraId="1832DB45" w14:textId="77777777" w:rsidTr="00DA770A">
        <w:trPr>
          <w:cantSplit/>
        </w:trPr>
        <w:tc>
          <w:tcPr>
            <w:tcW w:w="3969" w:type="dxa"/>
            <w:vMerge/>
          </w:tcPr>
          <w:p w14:paraId="70A92CE1" w14:textId="77777777" w:rsidR="00796BD3" w:rsidRPr="00813E5E" w:rsidRDefault="00796BD3" w:rsidP="00DA770A">
            <w:pPr>
              <w:tabs>
                <w:tab w:val="left" w:pos="851"/>
              </w:tabs>
              <w:spacing w:line="240" w:lineRule="atLeast"/>
              <w:rPr>
                <w:b/>
              </w:rPr>
            </w:pPr>
            <w:bookmarkStart w:id="3" w:name="ddate" w:colFirst="1" w:colLast="1"/>
            <w:bookmarkEnd w:id="0"/>
            <w:bookmarkEnd w:id="1"/>
          </w:p>
        </w:tc>
        <w:tc>
          <w:tcPr>
            <w:tcW w:w="5245" w:type="dxa"/>
          </w:tcPr>
          <w:p w14:paraId="252BB105" w14:textId="54E1748D" w:rsidR="00796BD3" w:rsidRPr="00E85629" w:rsidRDefault="00F23128" w:rsidP="00DA770A">
            <w:pPr>
              <w:tabs>
                <w:tab w:val="left" w:pos="851"/>
              </w:tabs>
              <w:spacing w:before="0"/>
              <w:jc w:val="right"/>
              <w:rPr>
                <w:b/>
              </w:rPr>
            </w:pPr>
            <w:r>
              <w:rPr>
                <w:b/>
                <w:lang w:val="ru-RU"/>
              </w:rPr>
              <w:t>16 мая 2025 года</w:t>
            </w:r>
          </w:p>
        </w:tc>
      </w:tr>
      <w:tr w:rsidR="00796BD3" w:rsidRPr="00813E5E" w14:paraId="1A875E23" w14:textId="77777777" w:rsidTr="00DA770A">
        <w:trPr>
          <w:cantSplit/>
          <w:trHeight w:val="23"/>
        </w:trPr>
        <w:tc>
          <w:tcPr>
            <w:tcW w:w="3969" w:type="dxa"/>
            <w:vMerge/>
          </w:tcPr>
          <w:p w14:paraId="7212A05C" w14:textId="77777777" w:rsidR="00796BD3" w:rsidRPr="00813E5E" w:rsidRDefault="00796BD3" w:rsidP="00DA770A">
            <w:pPr>
              <w:tabs>
                <w:tab w:val="left" w:pos="851"/>
              </w:tabs>
              <w:spacing w:line="240" w:lineRule="atLeast"/>
              <w:rPr>
                <w:b/>
              </w:rPr>
            </w:pPr>
            <w:bookmarkStart w:id="4" w:name="dorlang" w:colFirst="1" w:colLast="1"/>
            <w:bookmarkEnd w:id="3"/>
          </w:p>
        </w:tc>
        <w:tc>
          <w:tcPr>
            <w:tcW w:w="5245" w:type="dxa"/>
          </w:tcPr>
          <w:p w14:paraId="4F9ECF66" w14:textId="77777777" w:rsidR="00796BD3" w:rsidRPr="00E85629" w:rsidRDefault="0033025A" w:rsidP="00DA770A">
            <w:pPr>
              <w:tabs>
                <w:tab w:val="left" w:pos="851"/>
              </w:tabs>
              <w:spacing w:before="0" w:line="240" w:lineRule="atLeast"/>
              <w:jc w:val="right"/>
              <w:rPr>
                <w:b/>
              </w:rPr>
            </w:pPr>
            <w:r w:rsidRPr="0033025A">
              <w:rPr>
                <w:b/>
              </w:rPr>
              <w:t>Оригинал: английский</w:t>
            </w:r>
          </w:p>
        </w:tc>
      </w:tr>
      <w:tr w:rsidR="00796BD3" w:rsidRPr="00813E5E" w14:paraId="08764761" w14:textId="77777777" w:rsidTr="00DA770A">
        <w:trPr>
          <w:cantSplit/>
          <w:trHeight w:val="23"/>
        </w:trPr>
        <w:tc>
          <w:tcPr>
            <w:tcW w:w="3969" w:type="dxa"/>
          </w:tcPr>
          <w:p w14:paraId="563335A3" w14:textId="77777777" w:rsidR="00796BD3" w:rsidRPr="00813E5E" w:rsidRDefault="00796BD3" w:rsidP="00DA770A">
            <w:pPr>
              <w:tabs>
                <w:tab w:val="left" w:pos="851"/>
              </w:tabs>
              <w:spacing w:line="240" w:lineRule="atLeast"/>
              <w:rPr>
                <w:b/>
              </w:rPr>
            </w:pPr>
          </w:p>
        </w:tc>
        <w:tc>
          <w:tcPr>
            <w:tcW w:w="5245" w:type="dxa"/>
          </w:tcPr>
          <w:p w14:paraId="059D8EA7" w14:textId="77777777" w:rsidR="00796BD3" w:rsidRDefault="00796BD3" w:rsidP="00DA770A">
            <w:pPr>
              <w:tabs>
                <w:tab w:val="left" w:pos="851"/>
              </w:tabs>
              <w:spacing w:before="0" w:line="240" w:lineRule="atLeast"/>
              <w:jc w:val="right"/>
              <w:rPr>
                <w:b/>
              </w:rPr>
            </w:pPr>
          </w:p>
        </w:tc>
      </w:tr>
      <w:tr w:rsidR="00796BD3" w:rsidRPr="00813E5E" w14:paraId="725165B7" w14:textId="77777777" w:rsidTr="00DA770A">
        <w:trPr>
          <w:cantSplit/>
        </w:trPr>
        <w:tc>
          <w:tcPr>
            <w:tcW w:w="9214" w:type="dxa"/>
            <w:gridSpan w:val="2"/>
            <w:tcMar>
              <w:left w:w="0" w:type="dxa"/>
            </w:tcMar>
          </w:tcPr>
          <w:p w14:paraId="3C9D1C3F" w14:textId="77777777" w:rsidR="00796BD3" w:rsidRPr="00672F8A" w:rsidRDefault="0033025A" w:rsidP="00DA770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5559C6" w14:paraId="2AC831CF" w14:textId="77777777" w:rsidTr="00DA770A">
        <w:trPr>
          <w:cantSplit/>
        </w:trPr>
        <w:tc>
          <w:tcPr>
            <w:tcW w:w="9214" w:type="dxa"/>
            <w:gridSpan w:val="2"/>
            <w:tcMar>
              <w:left w:w="0" w:type="dxa"/>
            </w:tcMar>
          </w:tcPr>
          <w:p w14:paraId="37B80C9A" w14:textId="002DAB92" w:rsidR="00796BD3" w:rsidRPr="00F23128" w:rsidRDefault="00F23128" w:rsidP="00DA770A">
            <w:pPr>
              <w:pStyle w:val="Subtitle"/>
              <w:framePr w:hSpace="0" w:wrap="auto" w:hAnchor="text" w:xAlign="left" w:yAlign="inline"/>
              <w:rPr>
                <w:sz w:val="32"/>
                <w:szCs w:val="32"/>
                <w:lang w:val="ru-RU"/>
              </w:rPr>
            </w:pPr>
            <w:bookmarkStart w:id="6" w:name="dtitle1" w:colFirst="0" w:colLast="0"/>
            <w:bookmarkEnd w:id="5"/>
            <w:r w:rsidRPr="00F23128">
              <w:rPr>
                <w:rFonts w:cstheme="minorHAnsi"/>
                <w:sz w:val="32"/>
                <w:szCs w:val="32"/>
                <w:lang w:val="ru-RU"/>
              </w:rPr>
              <w:t>Доклады ОИГ по вопросам, касающимся всей системы Организации Объединенных Наций, за 2023−2024 годы и рекомендации директивным органам</w:t>
            </w:r>
          </w:p>
        </w:tc>
      </w:tr>
      <w:tr w:rsidR="00796BD3" w:rsidRPr="001870D1" w14:paraId="5659AADA" w14:textId="77777777" w:rsidTr="00DA770A">
        <w:trPr>
          <w:cantSplit/>
        </w:trPr>
        <w:tc>
          <w:tcPr>
            <w:tcW w:w="9214" w:type="dxa"/>
            <w:gridSpan w:val="2"/>
            <w:tcBorders>
              <w:top w:val="single" w:sz="4" w:space="0" w:color="auto"/>
              <w:bottom w:val="single" w:sz="4" w:space="0" w:color="auto"/>
            </w:tcBorders>
            <w:tcMar>
              <w:left w:w="0" w:type="dxa"/>
            </w:tcMar>
          </w:tcPr>
          <w:p w14:paraId="5D2B9F13" w14:textId="77777777" w:rsidR="00796BD3" w:rsidRPr="005559C6" w:rsidRDefault="0033025A" w:rsidP="00DA770A">
            <w:pPr>
              <w:spacing w:before="160"/>
              <w:rPr>
                <w:b/>
                <w:bCs/>
                <w:sz w:val="24"/>
                <w:szCs w:val="24"/>
                <w:lang w:val="ru-RU"/>
              </w:rPr>
            </w:pPr>
            <w:r w:rsidRPr="00D631AA">
              <w:rPr>
                <w:b/>
                <w:bCs/>
                <w:sz w:val="24"/>
                <w:szCs w:val="24"/>
                <w:lang w:val="ru-RU"/>
              </w:rPr>
              <w:t>Назначение</w:t>
            </w:r>
          </w:p>
          <w:p w14:paraId="6D8283AD" w14:textId="184FDDF4" w:rsidR="00796BD3" w:rsidRPr="00D631AA" w:rsidRDefault="00F23128" w:rsidP="00F23128">
            <w:pPr>
              <w:rPr>
                <w:lang w:val="ru-RU"/>
              </w:rPr>
            </w:pPr>
            <w:r w:rsidRPr="00F17823">
              <w:rPr>
                <w:lang w:val="ru-RU"/>
              </w:rPr>
              <w:t>В настоящем документе содержится сводная таблица докладов Объединенной инспекционной группы (ОИГ) по программе работы на 2023/2024 годы, представленных после последней сессии Совета, с подробным перечнем рекомендаций, адресованных руководящим органам МСЭ, а также замечания Секретариата в соответствующих случаях. Приведены ссылки на полные тексты докладов, краткое изложение основных моментов и замечания Координационного совета руководителей системы Организации Объединенных Наций (КСР), если таковые имеются.</w:t>
            </w:r>
          </w:p>
          <w:p w14:paraId="430273A4" w14:textId="77777777" w:rsidR="00796BD3" w:rsidRPr="00D631AA" w:rsidRDefault="0033025A" w:rsidP="00DA770A">
            <w:pPr>
              <w:spacing w:before="160"/>
              <w:rPr>
                <w:b/>
                <w:bCs/>
                <w:sz w:val="24"/>
                <w:szCs w:val="24"/>
                <w:lang w:val="ru-RU"/>
              </w:rPr>
            </w:pPr>
            <w:r w:rsidRPr="00D631AA">
              <w:rPr>
                <w:b/>
                <w:bCs/>
                <w:sz w:val="24"/>
                <w:szCs w:val="24"/>
                <w:lang w:val="ru-RU"/>
              </w:rPr>
              <w:t>Необходимые действия Совета</w:t>
            </w:r>
          </w:p>
          <w:p w14:paraId="501B34B7" w14:textId="4B7237F2" w:rsidR="00796BD3" w:rsidRPr="00D631AA" w:rsidRDefault="00F23128" w:rsidP="00F23128">
            <w:pPr>
              <w:rPr>
                <w:lang w:val="ru-RU"/>
              </w:rPr>
            </w:pPr>
            <w:r w:rsidRPr="00F17823">
              <w:rPr>
                <w:lang w:val="ru-RU"/>
              </w:rPr>
              <w:t xml:space="preserve">Совету предлагается </w:t>
            </w:r>
            <w:r w:rsidRPr="00F17823">
              <w:rPr>
                <w:b/>
                <w:bCs/>
                <w:lang w:val="ru-RU"/>
              </w:rPr>
              <w:t>рассмотреть</w:t>
            </w:r>
            <w:r w:rsidRPr="00F17823">
              <w:rPr>
                <w:lang w:val="ru-RU"/>
              </w:rPr>
              <w:t xml:space="preserve"> шесть рекомендаций, адресованных директивным органам (Рекомендация 5 по обзору </w:t>
            </w:r>
            <w:r>
              <w:rPr>
                <w:lang w:val="ru-RU"/>
              </w:rPr>
              <w:t>внедрения</w:t>
            </w:r>
            <w:r w:rsidRPr="00F17823">
              <w:rPr>
                <w:lang w:val="ru-RU"/>
              </w:rPr>
              <w:t xml:space="preserve"> принципа взаимного </w:t>
            </w:r>
            <w:r>
              <w:rPr>
                <w:lang w:val="ru-RU"/>
              </w:rPr>
              <w:t>учета</w:t>
            </w:r>
            <w:r w:rsidRPr="00F17823">
              <w:rPr>
                <w:lang w:val="ru-RU"/>
              </w:rPr>
              <w:t xml:space="preserve">; Рекомендации 2 и 3 по обзору бюджетирования в организациях системы ООН; Рекомендация 2 по обзору рассмотрения докладов и рекомендаций ОИГ и принятых по ним мер; Рекомендация 7 по обзору качества, эффективности, результативности и устойчивости программ медицинского страхования; и Рекомендация 5 по обзору использования внештатного персонала и соответствующих контрактных процедур) и </w:t>
            </w:r>
            <w:r w:rsidRPr="00F17823">
              <w:rPr>
                <w:b/>
                <w:bCs/>
                <w:lang w:val="ru-RU"/>
              </w:rPr>
              <w:t>вынести решение</w:t>
            </w:r>
            <w:r w:rsidRPr="00F17823">
              <w:rPr>
                <w:lang w:val="ru-RU"/>
              </w:rPr>
              <w:t xml:space="preserve"> об их принятии.</w:t>
            </w:r>
          </w:p>
          <w:p w14:paraId="3EC23E07" w14:textId="77777777" w:rsidR="00796BD3" w:rsidRPr="00D631AA" w:rsidRDefault="0033025A" w:rsidP="00DA770A">
            <w:pPr>
              <w:spacing w:before="160"/>
              <w:rPr>
                <w:b/>
                <w:bCs/>
                <w:sz w:val="24"/>
                <w:szCs w:val="24"/>
                <w:lang w:val="ru-RU"/>
              </w:rPr>
            </w:pPr>
            <w:r w:rsidRPr="00D631AA">
              <w:rPr>
                <w:b/>
                <w:bCs/>
                <w:sz w:val="24"/>
                <w:szCs w:val="24"/>
                <w:lang w:val="ru-RU"/>
              </w:rPr>
              <w:t>Соответствующая увязка со Стратегическим планом</w:t>
            </w:r>
          </w:p>
          <w:p w14:paraId="3CD25B73" w14:textId="47E23251" w:rsidR="00796BD3" w:rsidRPr="00D631AA" w:rsidRDefault="00F23128" w:rsidP="00F23128">
            <w:pPr>
              <w:rPr>
                <w:lang w:val="ru-RU"/>
              </w:rPr>
            </w:pPr>
            <w:r w:rsidRPr="00F17823">
              <w:rPr>
                <w:lang w:val="ru-RU"/>
              </w:rPr>
              <w:t>Развитие людских ресурсов и организационные инновации.</w:t>
            </w:r>
          </w:p>
          <w:p w14:paraId="6D0B1A80" w14:textId="77777777" w:rsidR="00796BD3" w:rsidRPr="005559C6" w:rsidRDefault="0033025A" w:rsidP="00DA770A">
            <w:pPr>
              <w:spacing w:before="160"/>
              <w:rPr>
                <w:b/>
                <w:bCs/>
                <w:sz w:val="24"/>
                <w:szCs w:val="24"/>
                <w:lang w:val="ru-RU"/>
              </w:rPr>
            </w:pPr>
            <w:r w:rsidRPr="00D631AA">
              <w:rPr>
                <w:b/>
                <w:bCs/>
                <w:sz w:val="24"/>
                <w:szCs w:val="24"/>
                <w:lang w:val="ru-RU"/>
              </w:rPr>
              <w:t>Финансовые последствия</w:t>
            </w:r>
          </w:p>
          <w:p w14:paraId="5E048487" w14:textId="7E6AC25C" w:rsidR="00345D2A" w:rsidRPr="0014229E" w:rsidRDefault="00F23128" w:rsidP="00F23128">
            <w:pPr>
              <w:rPr>
                <w:szCs w:val="22"/>
                <w:lang w:val="ru-RU"/>
              </w:rPr>
            </w:pPr>
            <w:r w:rsidRPr="00F17823">
              <w:rPr>
                <w:lang w:val="ru-RU"/>
              </w:rPr>
              <w:t>Финансовые последствия отсутствуют, подлежит выполнению в рамках текущих финансовых и людских ресурсов.</w:t>
            </w:r>
          </w:p>
          <w:p w14:paraId="6E5D1BC3" w14:textId="77777777" w:rsidR="00796BD3" w:rsidRPr="00F23128" w:rsidRDefault="00796BD3" w:rsidP="00DA770A">
            <w:pPr>
              <w:spacing w:before="160"/>
              <w:rPr>
                <w:caps/>
                <w:sz w:val="20"/>
                <w:szCs w:val="18"/>
                <w:lang w:val="ru-RU"/>
              </w:rPr>
            </w:pPr>
            <w:r w:rsidRPr="00F23128">
              <w:rPr>
                <w:sz w:val="20"/>
                <w:szCs w:val="18"/>
                <w:lang w:val="ru-RU"/>
              </w:rPr>
              <w:t>__________________</w:t>
            </w:r>
          </w:p>
          <w:p w14:paraId="04FEF730" w14:textId="77777777" w:rsidR="00796BD3" w:rsidRPr="00F23128" w:rsidRDefault="0033025A" w:rsidP="00DA770A">
            <w:pPr>
              <w:spacing w:before="160"/>
              <w:rPr>
                <w:b/>
                <w:bCs/>
                <w:sz w:val="26"/>
                <w:szCs w:val="26"/>
                <w:lang w:val="ru-RU"/>
              </w:rPr>
            </w:pPr>
            <w:r w:rsidRPr="00F23128">
              <w:rPr>
                <w:b/>
                <w:bCs/>
                <w:sz w:val="24"/>
                <w:szCs w:val="24"/>
                <w:lang w:val="ru-RU"/>
              </w:rPr>
              <w:t>Справочные материалы</w:t>
            </w:r>
          </w:p>
          <w:p w14:paraId="445D9CEB" w14:textId="1A7F89D2" w:rsidR="00796BD3" w:rsidRPr="00F23128" w:rsidRDefault="00F23128" w:rsidP="00DA770A">
            <w:pPr>
              <w:spacing w:after="160"/>
              <w:rPr>
                <w:i/>
                <w:iCs/>
                <w:lang w:val="ru-RU"/>
              </w:rPr>
            </w:pPr>
            <w:r w:rsidRPr="00B55575">
              <w:rPr>
                <w:i/>
                <w:iCs/>
                <w:szCs w:val="24"/>
                <w:lang w:val="ru-RU"/>
              </w:rPr>
              <w:t xml:space="preserve">Отчеты </w:t>
            </w:r>
            <w:hyperlink r:id="rId7" w:history="1">
              <w:r w:rsidRPr="00B55575">
                <w:rPr>
                  <w:rStyle w:val="Hyperlink"/>
                  <w:i/>
                  <w:iCs/>
                  <w:szCs w:val="24"/>
                </w:rPr>
                <w:t>C</w:t>
              </w:r>
              <w:r w:rsidRPr="00B55575">
                <w:rPr>
                  <w:rStyle w:val="Hyperlink"/>
                  <w:i/>
                  <w:iCs/>
                  <w:szCs w:val="24"/>
                  <w:lang w:val="ru-RU"/>
                </w:rPr>
                <w:t>24/57</w:t>
              </w:r>
            </w:hyperlink>
            <w:r w:rsidRPr="00B55575">
              <w:rPr>
                <w:i/>
                <w:iCs/>
                <w:szCs w:val="24"/>
                <w:lang w:val="ru-RU"/>
              </w:rPr>
              <w:t xml:space="preserve">, </w:t>
            </w:r>
            <w:hyperlink r:id="rId8" w:history="1">
              <w:r w:rsidRPr="00B55575">
                <w:rPr>
                  <w:rStyle w:val="Hyperlink"/>
                  <w:i/>
                  <w:iCs/>
                  <w:szCs w:val="24"/>
                </w:rPr>
                <w:t>C</w:t>
              </w:r>
              <w:r w:rsidRPr="00B55575">
                <w:rPr>
                  <w:rStyle w:val="Hyperlink"/>
                  <w:i/>
                  <w:iCs/>
                  <w:szCs w:val="24"/>
                  <w:lang w:val="ru-RU"/>
                </w:rPr>
                <w:t>23/57</w:t>
              </w:r>
            </w:hyperlink>
            <w:r w:rsidRPr="00B55575">
              <w:rPr>
                <w:i/>
                <w:iCs/>
                <w:szCs w:val="24"/>
                <w:lang w:val="ru-RU"/>
              </w:rPr>
              <w:t xml:space="preserve"> и </w:t>
            </w:r>
            <w:hyperlink r:id="rId9" w:history="1">
              <w:r w:rsidRPr="00B55575">
                <w:rPr>
                  <w:rStyle w:val="Hyperlink"/>
                  <w:i/>
                  <w:iCs/>
                  <w:szCs w:val="24"/>
                </w:rPr>
                <w:t>C</w:t>
              </w:r>
              <w:r w:rsidRPr="00B55575">
                <w:rPr>
                  <w:rStyle w:val="Hyperlink"/>
                  <w:i/>
                  <w:iCs/>
                  <w:szCs w:val="24"/>
                  <w:lang w:val="ru-RU"/>
                </w:rPr>
                <w:t>22/61</w:t>
              </w:r>
            </w:hyperlink>
            <w:r w:rsidRPr="00B55575">
              <w:rPr>
                <w:i/>
                <w:iCs/>
                <w:szCs w:val="24"/>
                <w:lang w:val="ru-RU"/>
              </w:rPr>
              <w:t xml:space="preserve"> Совету</w:t>
            </w:r>
          </w:p>
        </w:tc>
      </w:tr>
      <w:bookmarkEnd w:id="2"/>
      <w:bookmarkEnd w:id="6"/>
    </w:tbl>
    <w:p w14:paraId="48FC51F9" w14:textId="77777777" w:rsidR="00796BD3" w:rsidRPr="00F23128" w:rsidRDefault="00796BD3" w:rsidP="00F23128">
      <w:pPr>
        <w:rPr>
          <w:lang w:val="ru-RU"/>
        </w:rPr>
      </w:pPr>
    </w:p>
    <w:p w14:paraId="770B17FC" w14:textId="77777777" w:rsidR="00F23128" w:rsidRPr="00D60DA7" w:rsidRDefault="00F23128" w:rsidP="00F23128">
      <w:pPr>
        <w:rPr>
          <w:lang w:val="ru-RU"/>
        </w:rPr>
        <w:sectPr w:rsidR="00F23128" w:rsidRPr="00D60DA7" w:rsidSect="00796BD3">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pPr>
    </w:p>
    <w:p w14:paraId="678A8DA2" w14:textId="77777777" w:rsidR="00F23128" w:rsidRPr="00F17823" w:rsidRDefault="00F23128" w:rsidP="00F23128">
      <w:pPr>
        <w:pStyle w:val="Annextitle"/>
        <w:rPr>
          <w:lang w:val="ru-RU"/>
        </w:rPr>
      </w:pPr>
      <w:r w:rsidRPr="00F17823">
        <w:rPr>
          <w:bCs/>
          <w:lang w:val="ru-RU"/>
        </w:rPr>
        <w:lastRenderedPageBreak/>
        <w:t>Доклады ОИГ по общесистемным вопросам за 2023–2024 годы</w:t>
      </w:r>
    </w:p>
    <w:tbl>
      <w:tblPr>
        <w:tblStyle w:val="TableGrid"/>
        <w:tblW w:w="14176" w:type="dxa"/>
        <w:tblInd w:w="-147" w:type="dxa"/>
        <w:tblLayout w:type="fixed"/>
        <w:tblLook w:val="04A0" w:firstRow="1" w:lastRow="0" w:firstColumn="1" w:lastColumn="0" w:noHBand="0" w:noVBand="1"/>
      </w:tblPr>
      <w:tblGrid>
        <w:gridCol w:w="2410"/>
        <w:gridCol w:w="11766"/>
      </w:tblGrid>
      <w:tr w:rsidR="00F23128" w:rsidRPr="00F17823" w14:paraId="1F3666E6" w14:textId="77777777" w:rsidTr="004025BE">
        <w:trPr>
          <w:trHeight w:val="405"/>
        </w:trPr>
        <w:tc>
          <w:tcPr>
            <w:tcW w:w="14176" w:type="dxa"/>
            <w:gridSpan w:val="2"/>
            <w:shd w:val="clear" w:color="auto" w:fill="FFFF00"/>
          </w:tcPr>
          <w:p w14:paraId="49687C9B" w14:textId="77777777" w:rsidR="00F23128" w:rsidRPr="00F17823" w:rsidRDefault="00F23128" w:rsidP="00F23128">
            <w:pPr>
              <w:pStyle w:val="Tablehead"/>
              <w:rPr>
                <w:rFonts w:cs="Calibri"/>
                <w:color w:val="000000"/>
                <w:szCs w:val="20"/>
                <w:lang w:val="ru-RU"/>
              </w:rPr>
            </w:pPr>
            <w:r w:rsidRPr="00F17823">
              <w:rPr>
                <w:color w:val="000000"/>
                <w:lang w:val="ru-RU"/>
              </w:rPr>
              <w:t xml:space="preserve">JIU/REP/2024/4 </w:t>
            </w:r>
            <w:hyperlink r:id="rId13" w:history="1">
              <w:r w:rsidRPr="00F17823">
                <w:rPr>
                  <w:rStyle w:val="Hyperlink"/>
                  <w:bCs/>
                  <w:lang w:val="ru-RU"/>
                </w:rPr>
                <w:t xml:space="preserve">Обзор </w:t>
              </w:r>
              <w:r>
                <w:rPr>
                  <w:rStyle w:val="Hyperlink"/>
                  <w:bCs/>
                  <w:lang w:val="ru-RU"/>
                </w:rPr>
                <w:t xml:space="preserve">внедрения </w:t>
              </w:r>
              <w:r w:rsidRPr="00F17823">
                <w:rPr>
                  <w:rStyle w:val="Hyperlink"/>
                  <w:bCs/>
                  <w:lang w:val="ru-RU"/>
                </w:rPr>
                <w:t xml:space="preserve">принципа взаимного </w:t>
              </w:r>
              <w:r>
                <w:rPr>
                  <w:rStyle w:val="Hyperlink"/>
                  <w:bCs/>
                  <w:lang w:val="ru-RU"/>
                </w:rPr>
                <w:t xml:space="preserve">учета </w:t>
              </w:r>
              <w:r w:rsidRPr="00F17823">
                <w:rPr>
                  <w:rStyle w:val="Hyperlink"/>
                  <w:bCs/>
                  <w:lang w:val="ru-RU"/>
                </w:rPr>
                <w:t>в системе Организации Объединенных Наций</w:t>
              </w:r>
            </w:hyperlink>
            <w:r w:rsidRPr="00F17823">
              <w:rPr>
                <w:color w:val="000000"/>
                <w:lang w:val="ru-RU"/>
              </w:rPr>
              <w:t xml:space="preserve"> </w:t>
            </w:r>
            <w:r w:rsidRPr="00F17823">
              <w:rPr>
                <w:color w:val="000000"/>
                <w:lang w:val="ru-RU"/>
              </w:rPr>
              <w:br/>
              <w:t>Координатор МСЭ: Алассан Ба</w:t>
            </w:r>
          </w:p>
          <w:p w14:paraId="488130B5" w14:textId="77777777" w:rsidR="00F23128" w:rsidRPr="00F17823" w:rsidRDefault="00F23128" w:rsidP="00F23128">
            <w:pPr>
              <w:pStyle w:val="Tablehead"/>
              <w:rPr>
                <w:rFonts w:cs="Calibri"/>
                <w:color w:val="000000"/>
                <w:szCs w:val="20"/>
                <w:lang w:val="ru-RU"/>
              </w:rPr>
            </w:pPr>
            <w:r w:rsidRPr="00F17823">
              <w:rPr>
                <w:rFonts w:ascii="Symbol" w:hAnsi="Symbol" w:cs="Calibri"/>
                <w:color w:val="000000"/>
                <w:szCs w:val="20"/>
                <w:lang w:val="ru-RU"/>
              </w:rPr>
              <w:t></w:t>
            </w:r>
            <w:r w:rsidRPr="00F17823">
              <w:rPr>
                <w:color w:val="000000"/>
                <w:lang w:val="ru-RU"/>
              </w:rPr>
              <w:tab/>
            </w:r>
            <w:hyperlink r:id="rId14" w:history="1">
              <w:r w:rsidRPr="00F17823">
                <w:rPr>
                  <w:rStyle w:val="Hyperlink"/>
                  <w:bCs/>
                  <w:lang w:val="ru-RU"/>
                </w:rPr>
                <w:t>Основные элементы обзора</w:t>
              </w:r>
            </w:hyperlink>
          </w:p>
        </w:tc>
      </w:tr>
      <w:tr w:rsidR="00F23128" w:rsidRPr="001870D1" w14:paraId="2648C445" w14:textId="77777777" w:rsidTr="004025BE">
        <w:trPr>
          <w:trHeight w:val="570"/>
        </w:trPr>
        <w:tc>
          <w:tcPr>
            <w:tcW w:w="2410" w:type="dxa"/>
            <w:shd w:val="clear" w:color="auto" w:fill="E1EBF7"/>
          </w:tcPr>
          <w:p w14:paraId="0516428D" w14:textId="77777777" w:rsidR="00F23128" w:rsidRPr="00CD3B8D" w:rsidRDefault="00F23128" w:rsidP="00CD3B8D">
            <w:pPr>
              <w:pStyle w:val="Tabletext"/>
              <w:jc w:val="right"/>
              <w:rPr>
                <w:rFonts w:cs="Calibri"/>
                <w:b/>
                <w:bCs/>
                <w:szCs w:val="20"/>
                <w:lang w:val="ru-RU"/>
              </w:rPr>
            </w:pPr>
            <w:r w:rsidRPr="00CD3B8D">
              <w:rPr>
                <w:b/>
                <w:bCs/>
                <w:lang w:val="ru-RU"/>
              </w:rPr>
              <w:t>Рекомендация, адресованная директивным/ руководящим органам:</w:t>
            </w:r>
          </w:p>
        </w:tc>
        <w:tc>
          <w:tcPr>
            <w:tcW w:w="11766" w:type="dxa"/>
            <w:shd w:val="clear" w:color="auto" w:fill="FFFFFF" w:themeFill="background1"/>
          </w:tcPr>
          <w:p w14:paraId="4203C927" w14:textId="77777777" w:rsidR="00F23128" w:rsidRPr="00F17823" w:rsidRDefault="00F23128" w:rsidP="00F23128">
            <w:pPr>
              <w:pStyle w:val="Tabletext"/>
              <w:rPr>
                <w:rFonts w:cs="Calibri"/>
                <w:szCs w:val="20"/>
                <w:lang w:val="ru-RU"/>
              </w:rPr>
            </w:pPr>
            <w:r w:rsidRPr="0076252E">
              <w:rPr>
                <w:b/>
                <w:bCs/>
                <w:highlight w:val="cyan"/>
                <w:lang w:val="ru-RU"/>
              </w:rPr>
              <w:t>Рекомендация 5</w:t>
            </w:r>
            <w:r w:rsidRPr="00F17823">
              <w:rPr>
                <w:lang w:val="ru-RU"/>
              </w:rPr>
              <w:t xml:space="preserve">: Директивным и руководящим органам организаций системы Организации Объединенных Наций следует до конца 2026 года </w:t>
            </w:r>
            <w:r w:rsidRPr="003971CF">
              <w:rPr>
                <w:lang w:val="ru-RU"/>
              </w:rPr>
              <w:t>обратиться к административным руководителям организаций, подписавших Заявление о взаимном учете, которые еще этого не делают, с просьбой включать информацию о</w:t>
            </w:r>
            <w:r>
              <w:rPr>
                <w:lang w:val="ru-RU"/>
              </w:rPr>
              <w:t xml:space="preserve"> </w:t>
            </w:r>
            <w:r w:rsidRPr="003971CF">
              <w:rPr>
                <w:lang w:val="ru-RU"/>
              </w:rPr>
              <w:t>результатах, достигнутых в области повышения эффективности посредством внедрения взаимного учета, в их регулярные доклады для обеспечения надлежащего мониторинга и контроля</w:t>
            </w:r>
            <w:r>
              <w:rPr>
                <w:lang w:val="ru-RU"/>
              </w:rPr>
              <w:t>.</w:t>
            </w:r>
          </w:p>
        </w:tc>
      </w:tr>
      <w:tr w:rsidR="00F23128" w:rsidRPr="001870D1" w14:paraId="1AFBD288" w14:textId="77777777" w:rsidTr="004025BE">
        <w:tc>
          <w:tcPr>
            <w:tcW w:w="2410" w:type="dxa"/>
            <w:shd w:val="clear" w:color="auto" w:fill="EAF1DD" w:themeFill="accent3" w:themeFillTint="33"/>
          </w:tcPr>
          <w:p w14:paraId="509E6282" w14:textId="2A315FC2" w:rsidR="00F23128" w:rsidRPr="00CD3B8D" w:rsidRDefault="00F23128" w:rsidP="00CD3B8D">
            <w:pPr>
              <w:pStyle w:val="Tabletext"/>
              <w:jc w:val="right"/>
              <w:rPr>
                <w:rFonts w:cs="Calibri"/>
                <w:b/>
                <w:bCs/>
                <w:szCs w:val="20"/>
                <w:lang w:val="ru-RU"/>
              </w:rPr>
            </w:pPr>
            <w:r w:rsidRPr="00CD3B8D">
              <w:rPr>
                <w:b/>
                <w:bCs/>
                <w:lang w:val="ru-RU"/>
              </w:rPr>
              <w:t>Необходимые действия:</w:t>
            </w:r>
          </w:p>
        </w:tc>
        <w:tc>
          <w:tcPr>
            <w:tcW w:w="11766" w:type="dxa"/>
          </w:tcPr>
          <w:p w14:paraId="6735EE17" w14:textId="77777777" w:rsidR="00F23128" w:rsidRPr="00F17823" w:rsidRDefault="00F23128" w:rsidP="00F23128">
            <w:pPr>
              <w:pStyle w:val="Tabletext"/>
              <w:rPr>
                <w:rFonts w:cs="Calibri"/>
                <w:szCs w:val="20"/>
                <w:lang w:val="ru-RU"/>
              </w:rPr>
            </w:pPr>
            <w:r w:rsidRPr="00F17823">
              <w:rPr>
                <w:lang w:val="ru-RU"/>
              </w:rPr>
              <w:t>(</w:t>
            </w:r>
            <w:r w:rsidRPr="00F17823">
              <w:rPr>
                <w:highlight w:val="green"/>
                <w:lang w:val="ru-RU"/>
              </w:rPr>
              <w:t>"</w:t>
            </w:r>
            <w:r w:rsidRPr="0076252E">
              <w:rPr>
                <w:b/>
                <w:bCs/>
                <w:highlight w:val="green"/>
                <w:lang w:val="ru-RU"/>
              </w:rPr>
              <w:t>Принять</w:t>
            </w:r>
            <w:r w:rsidRPr="00F17823">
              <w:rPr>
                <w:highlight w:val="green"/>
                <w:lang w:val="ru-RU"/>
              </w:rPr>
              <w:t>"</w:t>
            </w:r>
            <w:r w:rsidRPr="00F17823">
              <w:rPr>
                <w:lang w:val="ru-RU"/>
              </w:rPr>
              <w:t>, "Не принимать", "Неприменимо" или "Требует дальнейшего рассмотрения")</w:t>
            </w:r>
          </w:p>
        </w:tc>
      </w:tr>
      <w:tr w:rsidR="00F23128" w:rsidRPr="00B55575" w14:paraId="430162C8" w14:textId="77777777" w:rsidTr="004025BE">
        <w:tc>
          <w:tcPr>
            <w:tcW w:w="2410" w:type="dxa"/>
          </w:tcPr>
          <w:p w14:paraId="49C86DA5" w14:textId="77777777" w:rsidR="00F23128" w:rsidRPr="00CD3B8D" w:rsidRDefault="00F23128" w:rsidP="00CD3B8D">
            <w:pPr>
              <w:pStyle w:val="Tabletext"/>
              <w:jc w:val="right"/>
              <w:rPr>
                <w:rFonts w:cs="Calibri"/>
                <w:b/>
                <w:bCs/>
                <w:szCs w:val="20"/>
                <w:lang w:val="ru-RU"/>
              </w:rPr>
            </w:pPr>
            <w:r w:rsidRPr="00CD3B8D">
              <w:rPr>
                <w:b/>
                <w:bCs/>
                <w:lang w:val="ru-RU"/>
              </w:rPr>
              <w:t xml:space="preserve">Замечания МСЭ об актуальности и последствиях для финансовых и людских ресурсов: </w:t>
            </w:r>
          </w:p>
        </w:tc>
        <w:tc>
          <w:tcPr>
            <w:tcW w:w="11766" w:type="dxa"/>
          </w:tcPr>
          <w:p w14:paraId="29231C4C" w14:textId="77777777" w:rsidR="00F23128" w:rsidRPr="00F17823" w:rsidRDefault="00F23128" w:rsidP="00F23128">
            <w:pPr>
              <w:pStyle w:val="Tabletext"/>
              <w:rPr>
                <w:lang w:val="ru-RU"/>
              </w:rPr>
            </w:pPr>
            <w:r w:rsidRPr="00F17823">
              <w:rPr>
                <w:lang w:val="ru-RU"/>
              </w:rPr>
              <w:t xml:space="preserve">МСЭ является стороной, подписавшей Заявление о взаимном </w:t>
            </w:r>
            <w:r>
              <w:rPr>
                <w:lang w:val="ru-RU"/>
              </w:rPr>
              <w:t>учете</w:t>
            </w:r>
            <w:r w:rsidRPr="00F17823">
              <w:rPr>
                <w:lang w:val="ru-RU"/>
              </w:rPr>
              <w:t>.</w:t>
            </w:r>
            <w:r>
              <w:rPr>
                <w:lang w:val="ru-RU"/>
              </w:rPr>
              <w:t xml:space="preserve"> </w:t>
            </w:r>
            <w:r w:rsidRPr="00F17823">
              <w:rPr>
                <w:lang w:val="ru-RU"/>
              </w:rPr>
              <w:t xml:space="preserve">МСЭ следует принять данную рекомендацию, а сведения о повышении эффективности в результате соблюдения принципа взаимного </w:t>
            </w:r>
            <w:r>
              <w:rPr>
                <w:lang w:val="ru-RU"/>
              </w:rPr>
              <w:t xml:space="preserve">учета </w:t>
            </w:r>
            <w:r w:rsidRPr="00F17823">
              <w:rPr>
                <w:lang w:val="ru-RU"/>
              </w:rPr>
              <w:t xml:space="preserve">будут включены в его регулярную отчетность. МСЭ </w:t>
            </w:r>
            <w:r>
              <w:rPr>
                <w:lang w:val="ru-RU"/>
              </w:rPr>
              <w:t>предполагает</w:t>
            </w:r>
            <w:r w:rsidRPr="00F17823">
              <w:rPr>
                <w:lang w:val="ru-RU"/>
              </w:rPr>
              <w:t xml:space="preserve"> использовать Заявление о взаимном </w:t>
            </w:r>
            <w:r>
              <w:rPr>
                <w:lang w:val="ru-RU"/>
              </w:rPr>
              <w:t>учете</w:t>
            </w:r>
            <w:r w:rsidRPr="00F17823">
              <w:rPr>
                <w:lang w:val="ru-RU"/>
              </w:rPr>
              <w:t xml:space="preserve"> для повышения эффективности в увязке с Рекомендацией 2 и в свете разработки оперативных руководящих указаний Сетью по вопросам людских ресурсов КСР. Закупочная деятельность будет вестись через Сеть по закупкам.</w:t>
            </w:r>
          </w:p>
        </w:tc>
      </w:tr>
      <w:tr w:rsidR="00F23128" w:rsidRPr="00F17823" w14:paraId="67D740CC" w14:textId="77777777" w:rsidTr="004025BE">
        <w:tc>
          <w:tcPr>
            <w:tcW w:w="2410" w:type="dxa"/>
          </w:tcPr>
          <w:p w14:paraId="27375DF6" w14:textId="433360A1" w:rsidR="00F23128" w:rsidRPr="00CD3B8D" w:rsidRDefault="00F23128" w:rsidP="00CD3B8D">
            <w:pPr>
              <w:pStyle w:val="Tabletext"/>
              <w:jc w:val="right"/>
              <w:rPr>
                <w:rFonts w:cs="Calibri"/>
                <w:b/>
                <w:bCs/>
                <w:szCs w:val="20"/>
                <w:lang w:val="ru-RU"/>
              </w:rPr>
            </w:pPr>
            <w:r w:rsidRPr="00CD3B8D">
              <w:rPr>
                <w:b/>
                <w:bCs/>
                <w:lang w:val="ru-RU"/>
              </w:rPr>
              <w:t>Комментарии КСР для системы ООН в целом:</w:t>
            </w:r>
          </w:p>
        </w:tc>
        <w:tc>
          <w:tcPr>
            <w:tcW w:w="11766" w:type="dxa"/>
          </w:tcPr>
          <w:p w14:paraId="121C6EE7" w14:textId="77777777" w:rsidR="00F23128" w:rsidRPr="0076252E" w:rsidRDefault="00F23128" w:rsidP="00F23128">
            <w:pPr>
              <w:pStyle w:val="Tabletext"/>
              <w:rPr>
                <w:rFonts w:cs="Calibri"/>
                <w:b/>
                <w:bCs/>
                <w:szCs w:val="20"/>
                <w:lang w:val="ru-RU"/>
              </w:rPr>
            </w:pPr>
            <w:r w:rsidRPr="0076252E">
              <w:rPr>
                <w:b/>
                <w:bCs/>
                <w:color w:val="FF0000"/>
                <w:lang w:val="ru-RU"/>
              </w:rPr>
              <w:t>Пока недоступны</w:t>
            </w:r>
          </w:p>
        </w:tc>
      </w:tr>
      <w:tr w:rsidR="00F23128" w:rsidRPr="00F17823" w14:paraId="7F2BF6BA" w14:textId="77777777" w:rsidTr="004025BE">
        <w:tc>
          <w:tcPr>
            <w:tcW w:w="2410" w:type="dxa"/>
          </w:tcPr>
          <w:p w14:paraId="47DDCABE" w14:textId="77777777" w:rsidR="00F23128" w:rsidRPr="00CD3B8D" w:rsidRDefault="00F23128" w:rsidP="00CD3B8D">
            <w:pPr>
              <w:pStyle w:val="Tabletext"/>
              <w:jc w:val="right"/>
              <w:rPr>
                <w:rFonts w:cs="Calibri"/>
                <w:b/>
                <w:bCs/>
                <w:szCs w:val="20"/>
                <w:lang w:val="ru-RU"/>
              </w:rPr>
            </w:pPr>
            <w:r w:rsidRPr="00CD3B8D">
              <w:rPr>
                <w:b/>
                <w:bCs/>
                <w:lang w:val="ru-RU"/>
              </w:rPr>
              <w:t>Статус выполнения:</w:t>
            </w:r>
          </w:p>
        </w:tc>
        <w:tc>
          <w:tcPr>
            <w:tcW w:w="11766" w:type="dxa"/>
          </w:tcPr>
          <w:p w14:paraId="22B7C5CC" w14:textId="77777777" w:rsidR="00F23128" w:rsidRPr="00F17823" w:rsidRDefault="00F23128" w:rsidP="00F23128">
            <w:pPr>
              <w:pStyle w:val="Tabletext"/>
              <w:rPr>
                <w:rFonts w:cs="Calibri"/>
                <w:szCs w:val="20"/>
                <w:lang w:val="ru-RU"/>
              </w:rPr>
            </w:pPr>
            <w:r w:rsidRPr="00F17823">
              <w:rPr>
                <w:lang w:val="ru-RU"/>
              </w:rPr>
              <w:t xml:space="preserve">Выполняется </w:t>
            </w:r>
          </w:p>
        </w:tc>
      </w:tr>
      <w:tr w:rsidR="00F23128" w:rsidRPr="00F17823" w14:paraId="7E34E362" w14:textId="77777777" w:rsidTr="004025BE">
        <w:trPr>
          <w:trHeight w:val="405"/>
        </w:trPr>
        <w:tc>
          <w:tcPr>
            <w:tcW w:w="14176" w:type="dxa"/>
            <w:gridSpan w:val="2"/>
            <w:shd w:val="clear" w:color="auto" w:fill="FFFF00"/>
          </w:tcPr>
          <w:p w14:paraId="54A532AF" w14:textId="77777777" w:rsidR="00F23128" w:rsidRPr="00F17823" w:rsidRDefault="00F23128" w:rsidP="00F23128">
            <w:pPr>
              <w:pStyle w:val="Tablehead"/>
              <w:rPr>
                <w:rFonts w:cs="Calibri"/>
                <w:szCs w:val="20"/>
                <w:lang w:val="ru-RU"/>
              </w:rPr>
            </w:pPr>
            <w:r w:rsidRPr="00F17823">
              <w:rPr>
                <w:color w:val="000000"/>
                <w:lang w:val="ru-RU"/>
              </w:rPr>
              <w:t xml:space="preserve">JIU/REP/2024/3 (Часть I) </w:t>
            </w:r>
            <w:hyperlink r:id="rId15" w:history="1">
              <w:r w:rsidRPr="00F17823">
                <w:rPr>
                  <w:rStyle w:val="Hyperlink"/>
                  <w:bCs/>
                  <w:lang w:val="ru-RU"/>
                </w:rPr>
                <w:t>Бюджетирование в организациях системы Организации Объединенных Наций, часть I "Сравнительный анализ"</w:t>
              </w:r>
            </w:hyperlink>
            <w:r w:rsidRPr="00F17823">
              <w:rPr>
                <w:color w:val="000000"/>
                <w:lang w:val="ru-RU"/>
              </w:rPr>
              <w:t xml:space="preserve"> </w:t>
            </w:r>
            <w:r w:rsidRPr="00F17823">
              <w:rPr>
                <w:color w:val="000000"/>
                <w:lang w:val="ru-RU"/>
              </w:rPr>
              <w:br/>
              <w:t xml:space="preserve">JIU/REP/2024/3 (Часть II) </w:t>
            </w:r>
            <w:hyperlink r:id="rId16" w:history="1">
              <w:r w:rsidRPr="00F17823">
                <w:rPr>
                  <w:rStyle w:val="Hyperlink"/>
                  <w:bCs/>
                  <w:lang w:val="ru-RU"/>
                </w:rPr>
                <w:t>Бюджетирование в организациях системы Организации Объединенных Наций, часть II "Справочные таблицы"</w:t>
              </w:r>
            </w:hyperlink>
            <w:r w:rsidRPr="00F17823">
              <w:rPr>
                <w:color w:val="000000"/>
                <w:lang w:val="ru-RU"/>
              </w:rPr>
              <w:t xml:space="preserve"> </w:t>
            </w:r>
            <w:r w:rsidRPr="00F17823">
              <w:rPr>
                <w:color w:val="000000"/>
                <w:lang w:val="ru-RU"/>
              </w:rPr>
              <w:br/>
              <w:t>Координатор МСЭ: Жан-Поль Ловато</w:t>
            </w:r>
          </w:p>
          <w:p w14:paraId="609639D1" w14:textId="77777777" w:rsidR="00F23128" w:rsidRPr="00F17823" w:rsidRDefault="00F23128" w:rsidP="00F23128">
            <w:pPr>
              <w:pStyle w:val="Tablehead"/>
              <w:rPr>
                <w:rFonts w:cs="Calibri"/>
                <w:color w:val="000000"/>
                <w:szCs w:val="20"/>
                <w:lang w:val="ru-RU"/>
              </w:rPr>
            </w:pPr>
            <w:r w:rsidRPr="00F17823">
              <w:rPr>
                <w:rFonts w:ascii="Symbol" w:hAnsi="Symbol" w:cs="Calibri"/>
                <w:color w:val="000000"/>
                <w:szCs w:val="20"/>
                <w:lang w:val="ru-RU"/>
              </w:rPr>
              <w:t></w:t>
            </w:r>
            <w:r w:rsidRPr="00F17823">
              <w:rPr>
                <w:color w:val="000000"/>
                <w:lang w:val="ru-RU"/>
              </w:rPr>
              <w:tab/>
            </w:r>
            <w:hyperlink r:id="rId17" w:history="1">
              <w:r w:rsidRPr="00F17823">
                <w:rPr>
                  <w:rStyle w:val="Hyperlink"/>
                  <w:bCs/>
                  <w:lang w:val="ru-RU"/>
                </w:rPr>
                <w:t>Основные элементы обзора</w:t>
              </w:r>
            </w:hyperlink>
          </w:p>
        </w:tc>
      </w:tr>
      <w:tr w:rsidR="00F23128" w:rsidRPr="001870D1" w14:paraId="01CC9666" w14:textId="77777777" w:rsidTr="004025BE">
        <w:trPr>
          <w:trHeight w:val="653"/>
        </w:trPr>
        <w:tc>
          <w:tcPr>
            <w:tcW w:w="2410" w:type="dxa"/>
            <w:shd w:val="clear" w:color="auto" w:fill="E1EBF7"/>
          </w:tcPr>
          <w:p w14:paraId="4E042C59" w14:textId="77777777" w:rsidR="00F23128" w:rsidRPr="00CD3B8D" w:rsidRDefault="00F23128" w:rsidP="00CD3B8D">
            <w:pPr>
              <w:pStyle w:val="Tabletext"/>
              <w:jc w:val="right"/>
              <w:rPr>
                <w:rFonts w:cs="Calibri"/>
                <w:b/>
                <w:bCs/>
                <w:szCs w:val="20"/>
                <w:lang w:val="ru-RU"/>
              </w:rPr>
            </w:pPr>
            <w:r w:rsidRPr="00CD3B8D">
              <w:rPr>
                <w:b/>
                <w:bCs/>
                <w:lang w:val="ru-RU"/>
              </w:rPr>
              <w:t>Рекомендация, адресованная директивным/ руководящим органам:</w:t>
            </w:r>
          </w:p>
        </w:tc>
        <w:tc>
          <w:tcPr>
            <w:tcW w:w="11766" w:type="dxa"/>
            <w:shd w:val="clear" w:color="auto" w:fill="FFFFFF" w:themeFill="background1"/>
          </w:tcPr>
          <w:p w14:paraId="11263504" w14:textId="77777777" w:rsidR="00F23128" w:rsidRPr="00F17823" w:rsidRDefault="00F23128" w:rsidP="00F23128">
            <w:pPr>
              <w:pStyle w:val="Tabletext"/>
              <w:rPr>
                <w:rFonts w:cs="Calibri"/>
                <w:szCs w:val="20"/>
                <w:lang w:val="ru-RU"/>
              </w:rPr>
            </w:pPr>
            <w:r w:rsidRPr="0076252E">
              <w:rPr>
                <w:b/>
                <w:bCs/>
                <w:highlight w:val="cyan"/>
                <w:lang w:val="ru-RU"/>
              </w:rPr>
              <w:t>Рекомендация 2</w:t>
            </w:r>
            <w:r w:rsidRPr="00F17823">
              <w:rPr>
                <w:lang w:val="ru-RU"/>
              </w:rPr>
              <w:t>: Директивным и руководящим органам участвующих организаций ОИГ следует обратиться к административным руководителям соответствующих организаций в их качестве членов КСР с просьбой обеспечить обновление к концу 2027 года Стандартной классификации статей расходов и сделать ее общедоступной, в частности, для использования в качестве справочного документа в рамках бюджетирования.</w:t>
            </w:r>
          </w:p>
        </w:tc>
      </w:tr>
      <w:tr w:rsidR="00F23128" w:rsidRPr="001870D1" w14:paraId="45E76F2A" w14:textId="77777777" w:rsidTr="004025BE">
        <w:tc>
          <w:tcPr>
            <w:tcW w:w="2410" w:type="dxa"/>
            <w:shd w:val="clear" w:color="auto" w:fill="EAF1DD" w:themeFill="accent3" w:themeFillTint="33"/>
          </w:tcPr>
          <w:p w14:paraId="20B28685" w14:textId="5073B2E0" w:rsidR="00F23128" w:rsidRPr="00CD3B8D" w:rsidRDefault="00F23128" w:rsidP="00CD3B8D">
            <w:pPr>
              <w:pStyle w:val="Tabletext"/>
              <w:jc w:val="right"/>
              <w:rPr>
                <w:rFonts w:cs="Calibri"/>
                <w:b/>
                <w:bCs/>
                <w:szCs w:val="20"/>
                <w:lang w:val="ru-RU"/>
              </w:rPr>
            </w:pPr>
            <w:r w:rsidRPr="00CD3B8D">
              <w:rPr>
                <w:b/>
                <w:bCs/>
                <w:lang w:val="ru-RU"/>
              </w:rPr>
              <w:t>Необходимые действия:</w:t>
            </w:r>
          </w:p>
        </w:tc>
        <w:tc>
          <w:tcPr>
            <w:tcW w:w="11766" w:type="dxa"/>
          </w:tcPr>
          <w:p w14:paraId="7BDF7063" w14:textId="77777777" w:rsidR="00F23128" w:rsidRPr="00F17823" w:rsidRDefault="00F23128" w:rsidP="00F23128">
            <w:pPr>
              <w:pStyle w:val="Tabletext"/>
              <w:rPr>
                <w:rFonts w:cs="Calibri"/>
                <w:szCs w:val="20"/>
                <w:lang w:val="ru-RU"/>
              </w:rPr>
            </w:pPr>
            <w:r w:rsidRPr="00F17823">
              <w:rPr>
                <w:lang w:val="ru-RU"/>
              </w:rPr>
              <w:t>(</w:t>
            </w:r>
            <w:r w:rsidRPr="00F17823">
              <w:rPr>
                <w:highlight w:val="green"/>
                <w:lang w:val="ru-RU"/>
              </w:rPr>
              <w:t>"</w:t>
            </w:r>
            <w:r w:rsidRPr="0076252E">
              <w:rPr>
                <w:b/>
                <w:bCs/>
                <w:highlight w:val="green"/>
                <w:lang w:val="ru-RU"/>
              </w:rPr>
              <w:t>Принять</w:t>
            </w:r>
            <w:r w:rsidRPr="00F17823">
              <w:rPr>
                <w:highlight w:val="green"/>
                <w:lang w:val="ru-RU"/>
              </w:rPr>
              <w:t>"</w:t>
            </w:r>
            <w:r w:rsidRPr="00F17823">
              <w:rPr>
                <w:lang w:val="ru-RU"/>
              </w:rPr>
              <w:t>, "Не принимать", "Неприменимо" или "Требует дальнейшего рассмотрения")</w:t>
            </w:r>
          </w:p>
        </w:tc>
      </w:tr>
      <w:tr w:rsidR="00F23128" w:rsidRPr="00F17823" w14:paraId="39714431" w14:textId="77777777" w:rsidTr="004025BE">
        <w:tc>
          <w:tcPr>
            <w:tcW w:w="2410" w:type="dxa"/>
          </w:tcPr>
          <w:p w14:paraId="5AA078FF" w14:textId="77777777" w:rsidR="00F23128" w:rsidRPr="00CD3B8D" w:rsidRDefault="00F23128" w:rsidP="00CD3B8D">
            <w:pPr>
              <w:pStyle w:val="Tabletext"/>
              <w:jc w:val="right"/>
              <w:rPr>
                <w:rFonts w:cs="Calibri"/>
                <w:b/>
                <w:bCs/>
                <w:szCs w:val="20"/>
                <w:lang w:val="ru-RU"/>
              </w:rPr>
            </w:pPr>
            <w:r w:rsidRPr="00CD3B8D">
              <w:rPr>
                <w:b/>
                <w:bCs/>
                <w:lang w:val="ru-RU"/>
              </w:rPr>
              <w:t xml:space="preserve">Комментарии МСЭ об актуальности и последствиях для </w:t>
            </w:r>
            <w:r w:rsidRPr="00CD3B8D">
              <w:rPr>
                <w:b/>
                <w:bCs/>
                <w:lang w:val="ru-RU"/>
              </w:rPr>
              <w:lastRenderedPageBreak/>
              <w:t>финансовых и людских ресурсов:</w:t>
            </w:r>
          </w:p>
        </w:tc>
        <w:tc>
          <w:tcPr>
            <w:tcW w:w="11766" w:type="dxa"/>
          </w:tcPr>
          <w:p w14:paraId="594EA733" w14:textId="77777777" w:rsidR="00F23128" w:rsidRPr="00F17823" w:rsidRDefault="00F23128" w:rsidP="00F23128">
            <w:pPr>
              <w:pStyle w:val="Tabletext"/>
              <w:rPr>
                <w:rFonts w:asciiTheme="minorHAnsi" w:hAnsiTheme="minorHAnsi"/>
                <w:szCs w:val="20"/>
                <w:lang w:val="ru-RU"/>
              </w:rPr>
            </w:pPr>
            <w:r w:rsidRPr="00F17823">
              <w:rPr>
                <w:lang w:val="ru-RU"/>
              </w:rPr>
              <w:lastRenderedPageBreak/>
              <w:t>В соответствии с действующим Финансовым регламентом в МСЭ уже применяется стандартная классификация статей расходов. Кроме того, финансовая отчетность находится в открытом доступе после ее утверждения руководящими органами. Эти категории расходов используются при подготовке и утверждении бюджетов.</w:t>
            </w:r>
          </w:p>
        </w:tc>
      </w:tr>
      <w:tr w:rsidR="00F23128" w:rsidRPr="001870D1" w14:paraId="6065D99B" w14:textId="77777777" w:rsidTr="004025BE">
        <w:tc>
          <w:tcPr>
            <w:tcW w:w="2410" w:type="dxa"/>
          </w:tcPr>
          <w:p w14:paraId="4951DE85" w14:textId="1DFB3D74" w:rsidR="00F23128" w:rsidRPr="00CD3B8D" w:rsidRDefault="00F23128" w:rsidP="00CD3B8D">
            <w:pPr>
              <w:pStyle w:val="Tabletext"/>
              <w:jc w:val="right"/>
              <w:rPr>
                <w:rFonts w:cs="Calibri"/>
                <w:b/>
                <w:bCs/>
                <w:szCs w:val="20"/>
                <w:lang w:val="ru-RU"/>
              </w:rPr>
            </w:pPr>
            <w:r w:rsidRPr="00CD3B8D">
              <w:rPr>
                <w:b/>
                <w:bCs/>
                <w:lang w:val="ru-RU"/>
              </w:rPr>
              <w:t>Комментарии КСР для системы ООН в целом:</w:t>
            </w:r>
          </w:p>
        </w:tc>
        <w:tc>
          <w:tcPr>
            <w:tcW w:w="11766" w:type="dxa"/>
          </w:tcPr>
          <w:p w14:paraId="64D28289" w14:textId="77777777" w:rsidR="00F23128" w:rsidRPr="00F17823" w:rsidRDefault="00F23128" w:rsidP="00F23128">
            <w:pPr>
              <w:pStyle w:val="Tabletext"/>
              <w:rPr>
                <w:rFonts w:cs="Calibri"/>
                <w:szCs w:val="20"/>
                <w:lang w:val="ru-RU"/>
              </w:rPr>
            </w:pPr>
            <w:r w:rsidRPr="00F17823">
              <w:rPr>
                <w:lang w:val="ru-RU"/>
              </w:rPr>
              <w:t>Некоторые, частично поддерживая рекомендацию об обновлении стандартной классификации статей расходов для справочных целей, отмечают</w:t>
            </w:r>
            <w:r>
              <w:rPr>
                <w:lang w:val="ru-RU"/>
              </w:rPr>
              <w:t xml:space="preserve"> при этом</w:t>
            </w:r>
            <w:r w:rsidRPr="00F17823">
              <w:rPr>
                <w:lang w:val="ru-RU"/>
              </w:rPr>
              <w:t xml:space="preserve">, что наличие эталонной классификации не должно препятствовать организациям в корректировке собственных планов счетов </w:t>
            </w:r>
            <w:r>
              <w:rPr>
                <w:lang w:val="ru-RU"/>
              </w:rPr>
              <w:t>расходов</w:t>
            </w:r>
            <w:r w:rsidRPr="00F17823">
              <w:rPr>
                <w:lang w:val="ru-RU"/>
              </w:rPr>
              <w:t xml:space="preserve"> для содействия бюджетированию, ориентированному на результаты, и для его упрощения. Также некоторые организации считают эту рекомендацию уже выполненной, ссылаясь на совместную политику возмещения затрат, согласованную несколькими организациями и совместно утвержденную исполнительными советами этих организаций.</w:t>
            </w:r>
          </w:p>
          <w:p w14:paraId="7AE6A306" w14:textId="77777777" w:rsidR="00F23128" w:rsidRPr="00F17823" w:rsidRDefault="00F23128" w:rsidP="00F23128">
            <w:pPr>
              <w:pStyle w:val="Tabletext"/>
              <w:rPr>
                <w:rFonts w:cs="Calibri"/>
                <w:szCs w:val="20"/>
                <w:lang w:val="ru-RU"/>
              </w:rPr>
            </w:pPr>
            <w:r w:rsidRPr="00F17823">
              <w:rPr>
                <w:lang w:val="ru-RU"/>
              </w:rPr>
              <w:t>Другие отмечают, что категории затрат являются производной от плана счетов и отражают конкретный мандат организации и что попытки достижения единообразия могут противоречить передовому опыту в области составления плана счетов. Кроме того, подчеркивается проблема согласования классификации статей расходов в различных организациях системы Организации Объединенных Наций, которые имеют разные мандаты и используют разные оперативные процедуры. В связи с этим любое предложение об обновлении стандартной классификации статей расходов должно использоваться в первую очередь для целей составления межучрежденческой отчетности, а не для составления бюджета, с учетом специфики мандатов и оперативных процедур организаций.</w:t>
            </w:r>
          </w:p>
          <w:p w14:paraId="7D091489" w14:textId="77777777" w:rsidR="00F23128" w:rsidRPr="00F17823" w:rsidRDefault="00F23128" w:rsidP="00F23128">
            <w:pPr>
              <w:pStyle w:val="Tabletext"/>
              <w:rPr>
                <w:rFonts w:cs="Calibri"/>
                <w:szCs w:val="20"/>
                <w:lang w:val="ru-RU"/>
              </w:rPr>
            </w:pPr>
            <w:r w:rsidRPr="00F17823">
              <w:rPr>
                <w:lang w:val="ru-RU"/>
              </w:rPr>
              <w:t xml:space="preserve">В отношении сроков </w:t>
            </w:r>
            <w:r>
              <w:rPr>
                <w:lang w:val="ru-RU"/>
              </w:rPr>
              <w:t>выполнения</w:t>
            </w:r>
            <w:r w:rsidRPr="00F17823">
              <w:rPr>
                <w:lang w:val="ru-RU"/>
              </w:rPr>
              <w:t xml:space="preserve"> организации подчеркивают, что они не могут взять на себя обязательство по соблюдению предложенных сроков, поскольку потребуется коллективное соглашение между членами Сети по финансовым и бюджетным вопросам и процесс может занять дополнительное время.</w:t>
            </w:r>
          </w:p>
        </w:tc>
      </w:tr>
      <w:tr w:rsidR="00F23128" w:rsidRPr="001870D1" w14:paraId="50472E42" w14:textId="77777777" w:rsidTr="004025BE">
        <w:tc>
          <w:tcPr>
            <w:tcW w:w="2410" w:type="dxa"/>
          </w:tcPr>
          <w:p w14:paraId="3E5A09AB" w14:textId="77777777" w:rsidR="00F23128" w:rsidRPr="00CD3B8D" w:rsidRDefault="00F23128" w:rsidP="00CD3B8D">
            <w:pPr>
              <w:pStyle w:val="Tabletext"/>
              <w:jc w:val="right"/>
              <w:rPr>
                <w:rFonts w:cs="Calibri"/>
                <w:b/>
                <w:bCs/>
                <w:szCs w:val="20"/>
                <w:lang w:val="ru-RU"/>
              </w:rPr>
            </w:pPr>
            <w:r w:rsidRPr="00CD3B8D">
              <w:rPr>
                <w:b/>
                <w:bCs/>
                <w:lang w:val="ru-RU"/>
              </w:rPr>
              <w:t>Статус выполнения:</w:t>
            </w:r>
          </w:p>
        </w:tc>
        <w:tc>
          <w:tcPr>
            <w:tcW w:w="11766" w:type="dxa"/>
          </w:tcPr>
          <w:p w14:paraId="1F31B05A" w14:textId="77777777" w:rsidR="00F23128" w:rsidRPr="00F17823" w:rsidRDefault="00F23128" w:rsidP="00F23128">
            <w:pPr>
              <w:pStyle w:val="Tabletext"/>
              <w:rPr>
                <w:rFonts w:cs="Calibri"/>
                <w:szCs w:val="20"/>
                <w:lang w:val="ru-RU"/>
              </w:rPr>
            </w:pPr>
            <w:r w:rsidRPr="00F17823">
              <w:rPr>
                <w:lang w:val="ru-RU"/>
              </w:rPr>
              <w:t>Будет выполнена в рамках проводимой в настоящее время в МСЭ финансовой трансформации.</w:t>
            </w:r>
          </w:p>
        </w:tc>
      </w:tr>
      <w:tr w:rsidR="00F23128" w:rsidRPr="001870D1" w14:paraId="38F70EDE" w14:textId="77777777" w:rsidTr="004025BE">
        <w:trPr>
          <w:trHeight w:val="129"/>
        </w:trPr>
        <w:tc>
          <w:tcPr>
            <w:tcW w:w="14176" w:type="dxa"/>
            <w:gridSpan w:val="2"/>
            <w:shd w:val="clear" w:color="auto" w:fill="F2F2F2" w:themeFill="background1" w:themeFillShade="F2"/>
          </w:tcPr>
          <w:p w14:paraId="55C67158" w14:textId="77777777" w:rsidR="00F23128" w:rsidRPr="00F17823" w:rsidRDefault="00F23128" w:rsidP="00F23128">
            <w:pPr>
              <w:pStyle w:val="Tabletext"/>
              <w:rPr>
                <w:rFonts w:asciiTheme="minorHAnsi" w:hAnsiTheme="minorHAnsi"/>
                <w:lang w:val="ru-RU"/>
              </w:rPr>
            </w:pPr>
          </w:p>
        </w:tc>
      </w:tr>
      <w:tr w:rsidR="00F23128" w:rsidRPr="001870D1" w14:paraId="1FD6303A" w14:textId="77777777" w:rsidTr="004025BE">
        <w:trPr>
          <w:trHeight w:val="251"/>
        </w:trPr>
        <w:tc>
          <w:tcPr>
            <w:tcW w:w="2410" w:type="dxa"/>
            <w:shd w:val="clear" w:color="auto" w:fill="E1EBF7"/>
          </w:tcPr>
          <w:p w14:paraId="79022294" w14:textId="77777777" w:rsidR="00F23128" w:rsidRPr="00CD3B8D" w:rsidRDefault="00F23128" w:rsidP="00CD3B8D">
            <w:pPr>
              <w:pStyle w:val="Tabletext"/>
              <w:jc w:val="right"/>
              <w:rPr>
                <w:rFonts w:cs="Calibri"/>
                <w:b/>
                <w:bCs/>
                <w:szCs w:val="20"/>
                <w:lang w:val="ru-RU"/>
              </w:rPr>
            </w:pPr>
            <w:r w:rsidRPr="00CD3B8D">
              <w:rPr>
                <w:b/>
                <w:bCs/>
                <w:lang w:val="ru-RU"/>
              </w:rPr>
              <w:t xml:space="preserve">Рекомендация, адресованная директивным/ руководящим органам: </w:t>
            </w:r>
          </w:p>
        </w:tc>
        <w:tc>
          <w:tcPr>
            <w:tcW w:w="11766" w:type="dxa"/>
            <w:shd w:val="clear" w:color="auto" w:fill="FFFFFF" w:themeFill="background1"/>
          </w:tcPr>
          <w:p w14:paraId="61F56FFD" w14:textId="77777777" w:rsidR="00F23128" w:rsidRPr="00F17823" w:rsidRDefault="00F23128" w:rsidP="00F23128">
            <w:pPr>
              <w:pStyle w:val="Tabletext"/>
              <w:rPr>
                <w:rFonts w:cs="Calibri"/>
                <w:szCs w:val="20"/>
                <w:lang w:val="ru-RU"/>
              </w:rPr>
            </w:pPr>
            <w:r w:rsidRPr="0076252E">
              <w:rPr>
                <w:b/>
                <w:bCs/>
                <w:highlight w:val="cyan"/>
                <w:lang w:val="ru-RU"/>
              </w:rPr>
              <w:t>Рекомендация 3</w:t>
            </w:r>
            <w:r w:rsidRPr="00F17823">
              <w:rPr>
                <w:lang w:val="ru-RU"/>
              </w:rPr>
              <w:t>: Директивным и руководящим органам участвующих организаций ОИГ следует обратиться к административным руководителям соответствующих организаций с просьбой воздержаться от уменьшения степени подробности информации, которая в настоящее время представляется в контексте рассмотрения их бюджетов, начиная со следующего бюджетного цикла, с тем чтобы обеспечить процесс реального принятия решений.</w:t>
            </w:r>
          </w:p>
        </w:tc>
      </w:tr>
      <w:tr w:rsidR="00F23128" w:rsidRPr="001870D1" w14:paraId="58BC325D" w14:textId="77777777" w:rsidTr="004025BE">
        <w:tc>
          <w:tcPr>
            <w:tcW w:w="2410" w:type="dxa"/>
            <w:shd w:val="clear" w:color="auto" w:fill="EAF1DD" w:themeFill="accent3" w:themeFillTint="33"/>
          </w:tcPr>
          <w:p w14:paraId="7704E973" w14:textId="7FB526B2" w:rsidR="00F23128" w:rsidRPr="00CD3B8D" w:rsidRDefault="00F23128" w:rsidP="00CD3B8D">
            <w:pPr>
              <w:pStyle w:val="Tabletext"/>
              <w:jc w:val="right"/>
              <w:rPr>
                <w:rFonts w:cs="Calibri"/>
                <w:b/>
                <w:bCs/>
                <w:szCs w:val="20"/>
                <w:lang w:val="ru-RU"/>
              </w:rPr>
            </w:pPr>
            <w:r w:rsidRPr="00CD3B8D">
              <w:rPr>
                <w:b/>
                <w:bCs/>
                <w:lang w:val="ru-RU"/>
              </w:rPr>
              <w:t>Необходимые действия:</w:t>
            </w:r>
          </w:p>
        </w:tc>
        <w:tc>
          <w:tcPr>
            <w:tcW w:w="11766" w:type="dxa"/>
          </w:tcPr>
          <w:p w14:paraId="127CCC74" w14:textId="77777777" w:rsidR="00F23128" w:rsidRPr="00F17823" w:rsidRDefault="00F23128" w:rsidP="00F23128">
            <w:pPr>
              <w:pStyle w:val="Tabletext"/>
              <w:rPr>
                <w:rFonts w:cs="Calibri"/>
                <w:szCs w:val="20"/>
                <w:lang w:val="ru-RU"/>
              </w:rPr>
            </w:pPr>
            <w:r w:rsidRPr="00F17823">
              <w:rPr>
                <w:lang w:val="ru-RU"/>
              </w:rPr>
              <w:t>(</w:t>
            </w:r>
            <w:r w:rsidRPr="00F17823">
              <w:rPr>
                <w:highlight w:val="green"/>
                <w:lang w:val="ru-RU"/>
              </w:rPr>
              <w:t>"</w:t>
            </w:r>
            <w:r w:rsidRPr="0076252E">
              <w:rPr>
                <w:b/>
                <w:bCs/>
                <w:highlight w:val="green"/>
                <w:lang w:val="ru-RU"/>
              </w:rPr>
              <w:t>Принять</w:t>
            </w:r>
            <w:r w:rsidRPr="00F17823">
              <w:rPr>
                <w:highlight w:val="green"/>
                <w:lang w:val="ru-RU"/>
              </w:rPr>
              <w:t>"</w:t>
            </w:r>
            <w:r w:rsidRPr="00F17823">
              <w:rPr>
                <w:lang w:val="ru-RU"/>
              </w:rPr>
              <w:t>, "Не принимать", "Неприменимо" или "Требует дальнейшего рассмотрения")</w:t>
            </w:r>
          </w:p>
        </w:tc>
      </w:tr>
      <w:tr w:rsidR="00F23128" w:rsidRPr="001870D1" w14:paraId="06D2C5B8" w14:textId="77777777" w:rsidTr="004025BE">
        <w:tc>
          <w:tcPr>
            <w:tcW w:w="2410" w:type="dxa"/>
          </w:tcPr>
          <w:p w14:paraId="46E50AC7" w14:textId="77777777" w:rsidR="00F23128" w:rsidRPr="00CD3B8D" w:rsidRDefault="00F23128" w:rsidP="00CD3B8D">
            <w:pPr>
              <w:pStyle w:val="Tabletext"/>
              <w:jc w:val="right"/>
              <w:rPr>
                <w:rFonts w:cs="Calibri"/>
                <w:b/>
                <w:bCs/>
                <w:szCs w:val="20"/>
                <w:lang w:val="ru-RU"/>
              </w:rPr>
            </w:pPr>
            <w:r w:rsidRPr="00CD3B8D">
              <w:rPr>
                <w:b/>
                <w:bCs/>
                <w:lang w:val="ru-RU"/>
              </w:rPr>
              <w:t>Замечания МСЭ об актуальности и последствиях для финансовых и людских ресурсов:</w:t>
            </w:r>
          </w:p>
        </w:tc>
        <w:tc>
          <w:tcPr>
            <w:tcW w:w="11766" w:type="dxa"/>
          </w:tcPr>
          <w:p w14:paraId="5BDB4AD5" w14:textId="77777777" w:rsidR="00F23128" w:rsidRPr="00F17823" w:rsidRDefault="00F23128" w:rsidP="00F23128">
            <w:pPr>
              <w:pStyle w:val="Tabletext"/>
              <w:rPr>
                <w:rFonts w:asciiTheme="minorHAnsi" w:hAnsiTheme="minorHAnsi"/>
                <w:szCs w:val="20"/>
                <w:lang w:val="ru-RU"/>
              </w:rPr>
            </w:pPr>
            <w:r w:rsidRPr="00F17823">
              <w:rPr>
                <w:lang w:val="ru-RU"/>
              </w:rPr>
              <w:t xml:space="preserve">МСЭ сохраняет </w:t>
            </w:r>
            <w:r>
              <w:rPr>
                <w:lang w:val="ru-RU"/>
              </w:rPr>
              <w:t xml:space="preserve">высокую </w:t>
            </w:r>
            <w:r w:rsidRPr="00F17823">
              <w:rPr>
                <w:lang w:val="ru-RU"/>
              </w:rPr>
              <w:t xml:space="preserve">степень </w:t>
            </w:r>
            <w:r>
              <w:rPr>
                <w:lang w:val="ru-RU"/>
              </w:rPr>
              <w:t>детализации</w:t>
            </w:r>
            <w:r w:rsidRPr="00F17823">
              <w:rPr>
                <w:lang w:val="ru-RU"/>
              </w:rPr>
              <w:t xml:space="preserve"> информации, предоставляемой членам </w:t>
            </w:r>
            <w:r>
              <w:rPr>
                <w:lang w:val="ru-RU"/>
              </w:rPr>
              <w:t>при</w:t>
            </w:r>
            <w:r w:rsidRPr="00F17823">
              <w:rPr>
                <w:lang w:val="ru-RU"/>
              </w:rPr>
              <w:t xml:space="preserve"> рассмотрени</w:t>
            </w:r>
            <w:r>
              <w:rPr>
                <w:lang w:val="ru-RU"/>
              </w:rPr>
              <w:t>и</w:t>
            </w:r>
            <w:r w:rsidRPr="00F17823">
              <w:rPr>
                <w:lang w:val="ru-RU"/>
              </w:rPr>
              <w:t xml:space="preserve"> бюджета. Этот уровень </w:t>
            </w:r>
            <w:r>
              <w:rPr>
                <w:lang w:val="ru-RU"/>
              </w:rPr>
              <w:t>детализации</w:t>
            </w:r>
            <w:r w:rsidRPr="00F17823">
              <w:rPr>
                <w:lang w:val="ru-RU"/>
              </w:rPr>
              <w:t xml:space="preserve"> по-прежнему сохраняется и даже повышается. Такая подробная информация гарантирует нашим членам осмысленное принятие решений при утверждении бюджетов.</w:t>
            </w:r>
          </w:p>
        </w:tc>
      </w:tr>
      <w:tr w:rsidR="00F23128" w:rsidRPr="001870D1" w14:paraId="404CC299" w14:textId="77777777" w:rsidTr="004025BE">
        <w:tc>
          <w:tcPr>
            <w:tcW w:w="2410" w:type="dxa"/>
          </w:tcPr>
          <w:p w14:paraId="5EF7CC61" w14:textId="77777777" w:rsidR="00F23128" w:rsidRPr="00CD3B8D" w:rsidRDefault="00F23128" w:rsidP="00CD3B8D">
            <w:pPr>
              <w:pStyle w:val="Tabletext"/>
              <w:jc w:val="right"/>
              <w:rPr>
                <w:rFonts w:cs="Calibri"/>
                <w:b/>
                <w:bCs/>
                <w:szCs w:val="20"/>
                <w:lang w:val="ru-RU"/>
              </w:rPr>
            </w:pPr>
            <w:r w:rsidRPr="00CD3B8D">
              <w:rPr>
                <w:b/>
                <w:bCs/>
                <w:lang w:val="ru-RU"/>
              </w:rPr>
              <w:t xml:space="preserve">Комментарии КСР для системы ООН в целом: </w:t>
            </w:r>
          </w:p>
        </w:tc>
        <w:tc>
          <w:tcPr>
            <w:tcW w:w="11766" w:type="dxa"/>
          </w:tcPr>
          <w:p w14:paraId="63688957" w14:textId="77777777" w:rsidR="00F23128" w:rsidRPr="0053315B" w:rsidRDefault="00F23128" w:rsidP="00F23128">
            <w:pPr>
              <w:pStyle w:val="Tabletext"/>
              <w:rPr>
                <w:rFonts w:cs="Calibri"/>
                <w:szCs w:val="20"/>
                <w:lang w:val="ru-RU"/>
              </w:rPr>
            </w:pPr>
            <w:r w:rsidRPr="00F17823">
              <w:rPr>
                <w:lang w:val="ru-RU"/>
              </w:rPr>
              <w:t xml:space="preserve">Организации в целом не возражают против данной рекомендации, однако отмечают, что требуемая степень подробности информации должна определяться потребностями, а не заранее установленным стандартом и что снижение степени подробности информации не обязательно ведет к снижению прозрачности или подотчетности. Отмечается также, что данная рекомендация может противоречить рекомендациям некоторых руководящих органов, </w:t>
            </w:r>
            <w:r w:rsidRPr="0053315B">
              <w:rPr>
                <w:lang w:val="ru-RU"/>
              </w:rPr>
              <w:t xml:space="preserve">содержащим призыв к рационализации и упрощению документов, представляемых руководящему органу. Некоторые организации указывают, что в исключительных обстоятельствах (например, в </w:t>
            </w:r>
            <w:r w:rsidRPr="0053315B">
              <w:rPr>
                <w:lang w:val="ru-RU"/>
              </w:rPr>
              <w:lastRenderedPageBreak/>
              <w:t>случае проблем с ликвидностью) могут потребоваться временные меры для сокращения расходов на документацию за счет временного снижения степени ее детализации.</w:t>
            </w:r>
          </w:p>
          <w:p w14:paraId="3C69C238" w14:textId="77777777" w:rsidR="00F23128" w:rsidRPr="00F17823" w:rsidRDefault="00F23128" w:rsidP="00F23128">
            <w:pPr>
              <w:pStyle w:val="Tabletext"/>
              <w:rPr>
                <w:rFonts w:cs="Calibri"/>
                <w:szCs w:val="20"/>
                <w:lang w:val="ru-RU"/>
              </w:rPr>
            </w:pPr>
            <w:r w:rsidRPr="0053315B">
              <w:rPr>
                <w:lang w:val="ru-RU"/>
              </w:rPr>
              <w:t>Несколько организаций считают предложенную рекомендацию выполненной</w:t>
            </w:r>
            <w:r w:rsidRPr="00F17823">
              <w:rPr>
                <w:lang w:val="ru-RU"/>
              </w:rPr>
              <w:t xml:space="preserve"> и подтверждают, что уже имеющаяся степень подробности информации, по их мнению, достаточна.</w:t>
            </w:r>
          </w:p>
        </w:tc>
      </w:tr>
      <w:tr w:rsidR="00F23128" w:rsidRPr="001870D1" w14:paraId="54BE18B4" w14:textId="77777777" w:rsidTr="004025BE">
        <w:tc>
          <w:tcPr>
            <w:tcW w:w="2410" w:type="dxa"/>
          </w:tcPr>
          <w:p w14:paraId="5BD242C5" w14:textId="77777777" w:rsidR="00F23128" w:rsidRPr="00CD3B8D" w:rsidRDefault="00F23128" w:rsidP="00CD3B8D">
            <w:pPr>
              <w:pStyle w:val="Tabletext"/>
              <w:jc w:val="right"/>
              <w:rPr>
                <w:rFonts w:cs="Calibri"/>
                <w:b/>
                <w:bCs/>
                <w:szCs w:val="20"/>
                <w:lang w:val="ru-RU"/>
              </w:rPr>
            </w:pPr>
            <w:r w:rsidRPr="00CD3B8D">
              <w:rPr>
                <w:b/>
                <w:bCs/>
                <w:lang w:val="ru-RU"/>
              </w:rPr>
              <w:lastRenderedPageBreak/>
              <w:t>Статус выполнения:</w:t>
            </w:r>
          </w:p>
        </w:tc>
        <w:tc>
          <w:tcPr>
            <w:tcW w:w="11766" w:type="dxa"/>
          </w:tcPr>
          <w:p w14:paraId="2C585B94" w14:textId="77777777" w:rsidR="00F23128" w:rsidRPr="00F17823" w:rsidRDefault="00F23128" w:rsidP="00F23128">
            <w:pPr>
              <w:pStyle w:val="Tabletext"/>
              <w:rPr>
                <w:rFonts w:cs="Calibri"/>
                <w:szCs w:val="20"/>
                <w:lang w:val="ru-RU"/>
              </w:rPr>
            </w:pPr>
            <w:r w:rsidRPr="00F17823">
              <w:rPr>
                <w:lang w:val="ru-RU"/>
              </w:rPr>
              <w:t>Выполняется: бюджет МСЭ на 2026–2027 годы будет содержать дополнительные наборы информации более высокой степени подробности по сравнению с предыдущими бюджетами.</w:t>
            </w:r>
          </w:p>
        </w:tc>
      </w:tr>
      <w:tr w:rsidR="00F23128" w:rsidRPr="00F17823" w14:paraId="41A68A4E" w14:textId="77777777" w:rsidTr="004025BE">
        <w:trPr>
          <w:trHeight w:val="405"/>
        </w:trPr>
        <w:tc>
          <w:tcPr>
            <w:tcW w:w="14176" w:type="dxa"/>
            <w:gridSpan w:val="2"/>
            <w:shd w:val="clear" w:color="auto" w:fill="FFFF00"/>
          </w:tcPr>
          <w:p w14:paraId="1BC6865D" w14:textId="540024E7" w:rsidR="00F23128" w:rsidRPr="00F17823" w:rsidRDefault="00F23128" w:rsidP="00F23128">
            <w:pPr>
              <w:pStyle w:val="Tablehead"/>
              <w:rPr>
                <w:rFonts w:cs="Calibri"/>
                <w:szCs w:val="20"/>
                <w:lang w:val="ru-RU"/>
              </w:rPr>
            </w:pPr>
            <w:r w:rsidRPr="00F17823">
              <w:rPr>
                <w:color w:val="000000"/>
                <w:lang w:val="ru-RU"/>
              </w:rPr>
              <w:t xml:space="preserve">JIU/REP/2024/2 </w:t>
            </w:r>
            <w:hyperlink r:id="rId18" w:history="1">
              <w:r w:rsidRPr="00F17823">
                <w:rPr>
                  <w:rStyle w:val="Hyperlink"/>
                  <w:bCs/>
                  <w:lang w:val="ru-RU"/>
                </w:rPr>
                <w:t xml:space="preserve">Обзор рассмотрения организациями системы Организации Объединенных Наций докладов и рекомендаций </w:t>
              </w:r>
              <w:r w:rsidR="00013CA0" w:rsidRPr="00013CA0">
                <w:rPr>
                  <w:rStyle w:val="Hyperlink"/>
                  <w:bCs/>
                  <w:lang w:val="ru-RU"/>
                </w:rPr>
                <w:br/>
              </w:r>
              <w:r w:rsidRPr="00F17823">
                <w:rPr>
                  <w:rStyle w:val="Hyperlink"/>
                  <w:bCs/>
                  <w:lang w:val="ru-RU"/>
                </w:rPr>
                <w:t>Объединенной инспекционной группы и принятых по ним мер</w:t>
              </w:r>
            </w:hyperlink>
            <w:r w:rsidRPr="00F17823">
              <w:rPr>
                <w:color w:val="000000"/>
                <w:lang w:val="ru-RU"/>
              </w:rPr>
              <w:t xml:space="preserve"> </w:t>
            </w:r>
            <w:r w:rsidRPr="00F17823">
              <w:rPr>
                <w:color w:val="000000"/>
                <w:lang w:val="ru-RU"/>
              </w:rPr>
              <w:br/>
              <w:t>Координатор МСЭ: Марио Кастро Гранде</w:t>
            </w:r>
          </w:p>
          <w:p w14:paraId="2A1D5083" w14:textId="77777777" w:rsidR="00F23128" w:rsidRPr="00F17823" w:rsidRDefault="00F23128" w:rsidP="00F23128">
            <w:pPr>
              <w:pStyle w:val="Tablehead"/>
              <w:rPr>
                <w:rFonts w:cs="Calibri"/>
                <w:color w:val="000000"/>
                <w:szCs w:val="20"/>
                <w:lang w:val="ru-RU"/>
              </w:rPr>
            </w:pPr>
            <w:r w:rsidRPr="00F17823">
              <w:rPr>
                <w:rFonts w:ascii="Symbol" w:hAnsi="Symbol" w:cs="Calibri"/>
                <w:color w:val="000000"/>
                <w:szCs w:val="20"/>
                <w:lang w:val="ru-RU"/>
              </w:rPr>
              <w:t></w:t>
            </w:r>
            <w:r w:rsidRPr="00F17823">
              <w:rPr>
                <w:color w:val="000000"/>
                <w:lang w:val="ru-RU"/>
              </w:rPr>
              <w:tab/>
            </w:r>
            <w:hyperlink r:id="rId19" w:history="1">
              <w:r w:rsidRPr="00F17823">
                <w:rPr>
                  <w:rStyle w:val="Hyperlink"/>
                  <w:bCs/>
                  <w:lang w:val="ru-RU"/>
                </w:rPr>
                <w:t>Основные элементы обзора</w:t>
              </w:r>
            </w:hyperlink>
          </w:p>
        </w:tc>
      </w:tr>
      <w:tr w:rsidR="00F23128" w:rsidRPr="001870D1" w14:paraId="1D8D31B6" w14:textId="77777777" w:rsidTr="004025BE">
        <w:trPr>
          <w:trHeight w:val="1112"/>
        </w:trPr>
        <w:tc>
          <w:tcPr>
            <w:tcW w:w="2410" w:type="dxa"/>
            <w:shd w:val="clear" w:color="auto" w:fill="E1EBF7" w:themeFill="text2" w:themeFillTint="1A"/>
          </w:tcPr>
          <w:p w14:paraId="2D14AE93" w14:textId="77777777" w:rsidR="00F23128" w:rsidRPr="00CD3B8D" w:rsidRDefault="00F23128" w:rsidP="00CD3B8D">
            <w:pPr>
              <w:pStyle w:val="Tabletext"/>
              <w:jc w:val="right"/>
              <w:rPr>
                <w:rFonts w:cs="Calibri"/>
                <w:b/>
                <w:bCs/>
                <w:szCs w:val="20"/>
                <w:lang w:val="ru-RU"/>
              </w:rPr>
            </w:pPr>
            <w:r w:rsidRPr="00CD3B8D">
              <w:rPr>
                <w:b/>
                <w:bCs/>
                <w:lang w:val="ru-RU"/>
              </w:rPr>
              <w:t xml:space="preserve">Рекомендация, адресованная директивным/ руководящим органам: </w:t>
            </w:r>
          </w:p>
        </w:tc>
        <w:tc>
          <w:tcPr>
            <w:tcW w:w="11766" w:type="dxa"/>
            <w:shd w:val="clear" w:color="auto" w:fill="FFFFFF" w:themeFill="background1"/>
          </w:tcPr>
          <w:p w14:paraId="0D7A07E2" w14:textId="77777777" w:rsidR="00F23128" w:rsidRPr="00F17823" w:rsidRDefault="00F23128" w:rsidP="00CD3B8D">
            <w:pPr>
              <w:pStyle w:val="Tabletext"/>
              <w:rPr>
                <w:rFonts w:cs="Calibri"/>
                <w:szCs w:val="20"/>
                <w:lang w:val="ru-RU"/>
              </w:rPr>
            </w:pPr>
            <w:r w:rsidRPr="0076252E">
              <w:rPr>
                <w:b/>
                <w:bCs/>
                <w:highlight w:val="cyan"/>
                <w:lang w:val="ru-RU"/>
              </w:rPr>
              <w:t>Рекомендация 2</w:t>
            </w:r>
            <w:r w:rsidRPr="00F17823">
              <w:rPr>
                <w:lang w:val="ru-RU"/>
              </w:rPr>
              <w:t>: Директивным и руководящим органам организаций системы Организации Объединенных Наций следует до конца 2025 года пересмотреть свои процедуры рассмотрения докладов и рекомендаций ОИГ, включая принятие решений по ним и контроль за выполнением рекомендаций ОИГ за предыдущие годы, принимая во внимание, по мере необходимости, примеры передовой практики, приведенные в настоящем докладе.</w:t>
            </w:r>
          </w:p>
        </w:tc>
      </w:tr>
      <w:tr w:rsidR="00F23128" w:rsidRPr="001870D1" w14:paraId="484EC3AC" w14:textId="77777777" w:rsidTr="004025BE">
        <w:tc>
          <w:tcPr>
            <w:tcW w:w="2410" w:type="dxa"/>
            <w:shd w:val="clear" w:color="auto" w:fill="EAF1DD" w:themeFill="accent3" w:themeFillTint="33"/>
          </w:tcPr>
          <w:p w14:paraId="4CB8C6F8" w14:textId="04CC8A5E" w:rsidR="00F23128" w:rsidRPr="00CD3B8D" w:rsidRDefault="00F23128" w:rsidP="00CD3B8D">
            <w:pPr>
              <w:pStyle w:val="Tabletext"/>
              <w:jc w:val="right"/>
              <w:rPr>
                <w:rFonts w:cs="Calibri"/>
                <w:b/>
                <w:bCs/>
                <w:szCs w:val="20"/>
                <w:lang w:val="ru-RU"/>
              </w:rPr>
            </w:pPr>
            <w:r w:rsidRPr="00CD3B8D">
              <w:rPr>
                <w:b/>
                <w:bCs/>
                <w:lang w:val="ru-RU"/>
              </w:rPr>
              <w:t>Необходимые действия:</w:t>
            </w:r>
          </w:p>
        </w:tc>
        <w:tc>
          <w:tcPr>
            <w:tcW w:w="11766" w:type="dxa"/>
          </w:tcPr>
          <w:p w14:paraId="67B5E63E" w14:textId="77777777" w:rsidR="00F23128" w:rsidRPr="00F17823" w:rsidRDefault="00F23128" w:rsidP="00CD3B8D">
            <w:pPr>
              <w:pStyle w:val="Tabletext"/>
              <w:rPr>
                <w:rFonts w:cs="Calibri"/>
                <w:szCs w:val="20"/>
                <w:lang w:val="ru-RU"/>
              </w:rPr>
            </w:pPr>
            <w:r w:rsidRPr="00F17823">
              <w:rPr>
                <w:lang w:val="ru-RU"/>
              </w:rPr>
              <w:t>(</w:t>
            </w:r>
            <w:r w:rsidRPr="0077109C">
              <w:rPr>
                <w:highlight w:val="green"/>
                <w:lang w:val="ru-RU"/>
              </w:rPr>
              <w:t>"</w:t>
            </w:r>
            <w:r w:rsidRPr="0076252E">
              <w:rPr>
                <w:b/>
                <w:bCs/>
                <w:highlight w:val="green"/>
                <w:lang w:val="ru-RU"/>
              </w:rPr>
              <w:t>Принять</w:t>
            </w:r>
            <w:r w:rsidRPr="0077109C">
              <w:rPr>
                <w:highlight w:val="green"/>
                <w:lang w:val="ru-RU"/>
              </w:rPr>
              <w:t>"</w:t>
            </w:r>
            <w:r w:rsidRPr="00F17823">
              <w:rPr>
                <w:lang w:val="ru-RU"/>
              </w:rPr>
              <w:t>, "Не принимать", "Неприменимо" или "Требует дальнейшего рассмотрения")</w:t>
            </w:r>
          </w:p>
        </w:tc>
      </w:tr>
      <w:tr w:rsidR="00F23128" w:rsidRPr="001870D1" w14:paraId="7F99ADDC" w14:textId="77777777" w:rsidTr="004025BE">
        <w:trPr>
          <w:trHeight w:val="835"/>
        </w:trPr>
        <w:tc>
          <w:tcPr>
            <w:tcW w:w="2410" w:type="dxa"/>
          </w:tcPr>
          <w:p w14:paraId="10B56D96" w14:textId="77777777" w:rsidR="00F23128" w:rsidRPr="00CD3B8D" w:rsidRDefault="00F23128" w:rsidP="00CD3B8D">
            <w:pPr>
              <w:pStyle w:val="Tabletext"/>
              <w:jc w:val="right"/>
              <w:rPr>
                <w:rFonts w:cs="Calibri"/>
                <w:b/>
                <w:bCs/>
                <w:szCs w:val="20"/>
                <w:lang w:val="ru-RU"/>
              </w:rPr>
            </w:pPr>
            <w:r w:rsidRPr="00CD3B8D">
              <w:rPr>
                <w:b/>
                <w:bCs/>
                <w:lang w:val="ru-RU"/>
              </w:rPr>
              <w:t>Комментарии МСЭ об актуальности и последствиях для финансовых и людских ресурсов:</w:t>
            </w:r>
          </w:p>
        </w:tc>
        <w:tc>
          <w:tcPr>
            <w:tcW w:w="11766" w:type="dxa"/>
          </w:tcPr>
          <w:p w14:paraId="1B39CDA4" w14:textId="77777777" w:rsidR="00F23128" w:rsidRPr="00F17823" w:rsidRDefault="00F23128" w:rsidP="00CD3B8D">
            <w:pPr>
              <w:pStyle w:val="Tabletext"/>
              <w:rPr>
                <w:rFonts w:cs="Calibri"/>
                <w:szCs w:val="20"/>
                <w:lang w:val="ru-RU"/>
              </w:rPr>
            </w:pPr>
            <w:r w:rsidRPr="00F17823">
              <w:rPr>
                <w:lang w:val="ru-RU"/>
              </w:rPr>
              <w:t xml:space="preserve">Секретариат МСЭ рекомендует принять данную рекомендацию, отмечая, что, как и другие учреждения системы ООН, он считает существующие процесс и системы адекватными и не требующими каких-либо дальнейших действий. Секретариат готов </w:t>
            </w:r>
            <w:r>
              <w:rPr>
                <w:lang w:val="ru-RU"/>
              </w:rPr>
              <w:t>получить</w:t>
            </w:r>
            <w:r w:rsidRPr="00F17823">
              <w:rPr>
                <w:lang w:val="ru-RU"/>
              </w:rPr>
              <w:t xml:space="preserve"> дополнительные указания, если это будет сочтено необходимым.</w:t>
            </w:r>
          </w:p>
          <w:p w14:paraId="1392BE42" w14:textId="77777777" w:rsidR="00F23128" w:rsidRPr="00F17823" w:rsidRDefault="00F23128" w:rsidP="00CD3B8D">
            <w:pPr>
              <w:pStyle w:val="Tabletext"/>
              <w:rPr>
                <w:rFonts w:cs="Calibri"/>
                <w:szCs w:val="20"/>
                <w:lang w:val="ru-RU"/>
              </w:rPr>
            </w:pPr>
            <w:r w:rsidRPr="00F17823">
              <w:rPr>
                <w:lang w:val="ru-RU"/>
              </w:rPr>
              <w:t>Дополнительные последствия для финансовых и людских ресурсов в рамках текущей практики отсутствуют.</w:t>
            </w:r>
          </w:p>
        </w:tc>
      </w:tr>
      <w:tr w:rsidR="00F23128" w:rsidRPr="001870D1" w14:paraId="60176B24" w14:textId="77777777" w:rsidTr="004025BE">
        <w:tc>
          <w:tcPr>
            <w:tcW w:w="2410" w:type="dxa"/>
          </w:tcPr>
          <w:p w14:paraId="45AFC07D" w14:textId="1EB84FBE" w:rsidR="00F23128" w:rsidRPr="00CD3B8D" w:rsidRDefault="00F23128" w:rsidP="00CD3B8D">
            <w:pPr>
              <w:pStyle w:val="Tabletext"/>
              <w:jc w:val="right"/>
              <w:rPr>
                <w:rStyle w:val="Hyperlink"/>
                <w:b/>
                <w:bCs/>
                <w:lang w:val="ru-RU"/>
              </w:rPr>
            </w:pPr>
            <w:hyperlink r:id="rId20" w:history="1">
              <w:r w:rsidRPr="00CD3B8D">
                <w:rPr>
                  <w:rStyle w:val="Hyperlink"/>
                  <w:b/>
                  <w:bCs/>
                  <w:lang w:val="ru-RU"/>
                </w:rPr>
                <w:t xml:space="preserve">Комментарии КСР для системы ООН в целом: </w:t>
              </w:r>
            </w:hyperlink>
          </w:p>
        </w:tc>
        <w:tc>
          <w:tcPr>
            <w:tcW w:w="11766" w:type="dxa"/>
          </w:tcPr>
          <w:p w14:paraId="02786716" w14:textId="77777777" w:rsidR="00F23128" w:rsidRPr="00F17823" w:rsidRDefault="00F23128" w:rsidP="00CD3B8D">
            <w:pPr>
              <w:pStyle w:val="Tabletext"/>
              <w:rPr>
                <w:rFonts w:cs="Calibri"/>
                <w:szCs w:val="20"/>
                <w:lang w:val="ru-RU"/>
              </w:rPr>
            </w:pPr>
            <w:r w:rsidRPr="00F17823">
              <w:rPr>
                <w:lang w:val="ru-RU"/>
              </w:rPr>
              <w:t>Ряд организаций готовы ответить на запросы своих соответствующих директивных и руководящих органов о внесении любых изменений в существующую отчетность по докладам и рекомендациям ОИГ. Другие организации считают, что существующие процессы и системы являются удовлетворительными и не требуют дальнейших действий.</w:t>
            </w:r>
          </w:p>
        </w:tc>
      </w:tr>
      <w:tr w:rsidR="00F23128" w:rsidRPr="00F17823" w14:paraId="03D95A25" w14:textId="77777777" w:rsidTr="004025BE">
        <w:tc>
          <w:tcPr>
            <w:tcW w:w="2410" w:type="dxa"/>
          </w:tcPr>
          <w:p w14:paraId="7D762E1A" w14:textId="77777777" w:rsidR="00F23128" w:rsidRPr="00CD3B8D" w:rsidRDefault="00F23128" w:rsidP="00CD3B8D">
            <w:pPr>
              <w:pStyle w:val="Tabletext"/>
              <w:jc w:val="right"/>
              <w:rPr>
                <w:rFonts w:cs="Calibri"/>
                <w:b/>
                <w:bCs/>
                <w:szCs w:val="20"/>
                <w:lang w:val="ru-RU"/>
              </w:rPr>
            </w:pPr>
            <w:r w:rsidRPr="00CD3B8D">
              <w:rPr>
                <w:b/>
                <w:bCs/>
                <w:lang w:val="ru-RU"/>
              </w:rPr>
              <w:t>Статус выполнения:</w:t>
            </w:r>
          </w:p>
        </w:tc>
        <w:tc>
          <w:tcPr>
            <w:tcW w:w="11766" w:type="dxa"/>
          </w:tcPr>
          <w:p w14:paraId="39D38D1D" w14:textId="77777777" w:rsidR="00F23128" w:rsidRPr="00F17823" w:rsidRDefault="00F23128" w:rsidP="00CD3B8D">
            <w:pPr>
              <w:pStyle w:val="Tabletext"/>
              <w:rPr>
                <w:rFonts w:cs="Calibri"/>
                <w:szCs w:val="20"/>
                <w:lang w:val="ru-RU"/>
              </w:rPr>
            </w:pPr>
            <w:r w:rsidRPr="00F17823">
              <w:rPr>
                <w:lang w:val="ru-RU"/>
              </w:rPr>
              <w:t>Выполняется</w:t>
            </w:r>
          </w:p>
        </w:tc>
      </w:tr>
      <w:tr w:rsidR="00F23128" w:rsidRPr="00F17823" w14:paraId="4EDF45D7" w14:textId="77777777" w:rsidTr="004025BE">
        <w:trPr>
          <w:trHeight w:val="405"/>
        </w:trPr>
        <w:tc>
          <w:tcPr>
            <w:tcW w:w="14176" w:type="dxa"/>
            <w:gridSpan w:val="2"/>
            <w:shd w:val="clear" w:color="auto" w:fill="FFFF00"/>
          </w:tcPr>
          <w:p w14:paraId="4463F14B" w14:textId="4A36BF26" w:rsidR="00F23128" w:rsidRPr="00F17823" w:rsidRDefault="00F23128" w:rsidP="00CD3B8D">
            <w:pPr>
              <w:pStyle w:val="Tablehead"/>
              <w:rPr>
                <w:rFonts w:cs="Calibri"/>
                <w:szCs w:val="20"/>
                <w:lang w:val="ru-RU"/>
              </w:rPr>
            </w:pPr>
            <w:r w:rsidRPr="00F17823">
              <w:rPr>
                <w:color w:val="000000"/>
                <w:lang w:val="ru-RU"/>
              </w:rPr>
              <w:lastRenderedPageBreak/>
              <w:t xml:space="preserve">JIU/REP/2023/9 </w:t>
            </w:r>
            <w:hyperlink r:id="rId21" w:history="1">
              <w:r w:rsidRPr="00F17823">
                <w:rPr>
                  <w:rStyle w:val="Hyperlink"/>
                  <w:bCs/>
                  <w:lang w:val="ru-RU"/>
                </w:rPr>
                <w:t xml:space="preserve">Обзор качества, эффективности, результативности и устойчивости программ медицинского страхования </w:t>
              </w:r>
              <w:r w:rsidR="00013CA0" w:rsidRPr="00D60DA7">
                <w:rPr>
                  <w:rStyle w:val="Hyperlink"/>
                  <w:bCs/>
                  <w:lang w:val="ru-RU"/>
                </w:rPr>
                <w:br/>
              </w:r>
              <w:r w:rsidRPr="00F17823">
                <w:rPr>
                  <w:rStyle w:val="Hyperlink"/>
                  <w:bCs/>
                  <w:lang w:val="ru-RU"/>
                </w:rPr>
                <w:t>в организациях системы Организации Объединенных Наций</w:t>
              </w:r>
            </w:hyperlink>
            <w:r w:rsidRPr="00F17823">
              <w:rPr>
                <w:color w:val="000000"/>
                <w:lang w:val="ru-RU"/>
              </w:rPr>
              <w:t xml:space="preserve"> </w:t>
            </w:r>
            <w:r w:rsidRPr="00F17823">
              <w:rPr>
                <w:color w:val="000000"/>
                <w:lang w:val="ru-RU"/>
              </w:rPr>
              <w:br/>
              <w:t>Координатор МСЭ: Субира Суеди</w:t>
            </w:r>
          </w:p>
          <w:p w14:paraId="492C9865" w14:textId="77777777" w:rsidR="00F23128" w:rsidRPr="00F17823" w:rsidRDefault="00F23128" w:rsidP="00CD3B8D">
            <w:pPr>
              <w:pStyle w:val="Tablehead"/>
              <w:rPr>
                <w:rFonts w:cs="Calibri"/>
                <w:color w:val="000000"/>
                <w:szCs w:val="20"/>
                <w:lang w:val="ru-RU"/>
              </w:rPr>
            </w:pPr>
            <w:r w:rsidRPr="00F17823">
              <w:rPr>
                <w:rFonts w:ascii="Symbol" w:hAnsi="Symbol" w:cs="Calibri"/>
                <w:color w:val="000000"/>
                <w:szCs w:val="20"/>
                <w:lang w:val="ru-RU"/>
              </w:rPr>
              <w:t></w:t>
            </w:r>
            <w:r w:rsidRPr="00F17823">
              <w:rPr>
                <w:color w:val="000000"/>
                <w:lang w:val="ru-RU"/>
              </w:rPr>
              <w:tab/>
            </w:r>
            <w:hyperlink r:id="rId22" w:history="1">
              <w:r w:rsidRPr="00F17823">
                <w:rPr>
                  <w:rStyle w:val="Hyperlink"/>
                  <w:bCs/>
                  <w:lang w:val="ru-RU"/>
                </w:rPr>
                <w:t>Основные элементы обзора</w:t>
              </w:r>
            </w:hyperlink>
          </w:p>
        </w:tc>
      </w:tr>
      <w:tr w:rsidR="00F23128" w:rsidRPr="001870D1" w14:paraId="6787E118" w14:textId="77777777" w:rsidTr="004025BE">
        <w:trPr>
          <w:trHeight w:val="1112"/>
        </w:trPr>
        <w:tc>
          <w:tcPr>
            <w:tcW w:w="2410" w:type="dxa"/>
            <w:shd w:val="clear" w:color="auto" w:fill="E1EBF7" w:themeFill="text2" w:themeFillTint="1A"/>
          </w:tcPr>
          <w:p w14:paraId="66871934" w14:textId="77777777" w:rsidR="00F23128" w:rsidRPr="00CD3B8D" w:rsidRDefault="00F23128" w:rsidP="00CD3B8D">
            <w:pPr>
              <w:pStyle w:val="Tabletext"/>
              <w:jc w:val="right"/>
              <w:rPr>
                <w:rFonts w:cs="Calibri"/>
                <w:b/>
                <w:bCs/>
                <w:szCs w:val="20"/>
                <w:lang w:val="ru-RU"/>
              </w:rPr>
            </w:pPr>
            <w:r w:rsidRPr="00CD3B8D">
              <w:rPr>
                <w:b/>
                <w:bCs/>
                <w:lang w:val="ru-RU"/>
              </w:rPr>
              <w:t xml:space="preserve">Рекомендация, адресованная директивным/ руководящим органам: </w:t>
            </w:r>
          </w:p>
        </w:tc>
        <w:tc>
          <w:tcPr>
            <w:tcW w:w="11766" w:type="dxa"/>
            <w:shd w:val="clear" w:color="auto" w:fill="FFFFFF" w:themeFill="background1"/>
          </w:tcPr>
          <w:p w14:paraId="67DEC065" w14:textId="77777777" w:rsidR="00F23128" w:rsidRPr="00F17823" w:rsidRDefault="00F23128" w:rsidP="00CD3B8D">
            <w:pPr>
              <w:pStyle w:val="Tabletext"/>
              <w:rPr>
                <w:rFonts w:cs="Calibri"/>
                <w:szCs w:val="20"/>
                <w:lang w:val="ru-RU"/>
              </w:rPr>
            </w:pPr>
            <w:r w:rsidRPr="0076252E">
              <w:rPr>
                <w:b/>
                <w:bCs/>
                <w:highlight w:val="cyan"/>
                <w:lang w:val="ru-RU"/>
              </w:rPr>
              <w:t>Рекомендация 7</w:t>
            </w:r>
            <w:r w:rsidRPr="00F17823">
              <w:rPr>
                <w:lang w:val="ru-RU"/>
              </w:rPr>
              <w:t xml:space="preserve">: Директивным и/или руководящим органам организаций системы Организации Объединенных Наций, еще не утвердившим план финансирования обязательств по медицинскому страхованию после выхода на пенсию по мере их накопления для должностей, финансируемых за счет начисленных взносов, следует разработать долгосрочную стратегию на этот счет, по крайней мере для покрытия будущих обязательств по медицинскому страхованию после выхода на пенсию для всех вновь набранных сотрудников (пункт 234). </w:t>
            </w:r>
          </w:p>
        </w:tc>
      </w:tr>
      <w:tr w:rsidR="00F23128" w:rsidRPr="001870D1" w14:paraId="74AF0D34" w14:textId="77777777" w:rsidTr="004025BE">
        <w:tc>
          <w:tcPr>
            <w:tcW w:w="2410" w:type="dxa"/>
            <w:shd w:val="clear" w:color="auto" w:fill="EAF1DD" w:themeFill="accent3" w:themeFillTint="33"/>
          </w:tcPr>
          <w:p w14:paraId="62D33FF7" w14:textId="177965E3" w:rsidR="00F23128" w:rsidRPr="00CD3B8D" w:rsidRDefault="00F23128" w:rsidP="00CD3B8D">
            <w:pPr>
              <w:pStyle w:val="Tabletext"/>
              <w:jc w:val="right"/>
              <w:rPr>
                <w:rFonts w:cs="Calibri"/>
                <w:b/>
                <w:bCs/>
                <w:szCs w:val="20"/>
                <w:lang w:val="ru-RU"/>
              </w:rPr>
            </w:pPr>
            <w:r w:rsidRPr="00CD3B8D">
              <w:rPr>
                <w:b/>
                <w:bCs/>
                <w:lang w:val="ru-RU"/>
              </w:rPr>
              <w:t>Необходимые действия:</w:t>
            </w:r>
          </w:p>
        </w:tc>
        <w:tc>
          <w:tcPr>
            <w:tcW w:w="11766" w:type="dxa"/>
          </w:tcPr>
          <w:p w14:paraId="5D49D64C" w14:textId="77777777" w:rsidR="00F23128" w:rsidRPr="00F17823" w:rsidRDefault="00F23128" w:rsidP="00CD3B8D">
            <w:pPr>
              <w:pStyle w:val="Tabletext"/>
              <w:rPr>
                <w:rFonts w:cs="Calibri"/>
                <w:szCs w:val="20"/>
                <w:lang w:val="ru-RU"/>
              </w:rPr>
            </w:pPr>
            <w:r w:rsidRPr="00F17823">
              <w:rPr>
                <w:lang w:val="ru-RU"/>
              </w:rPr>
              <w:t>(</w:t>
            </w:r>
            <w:r w:rsidRPr="0077109C">
              <w:rPr>
                <w:highlight w:val="green"/>
                <w:lang w:val="ru-RU"/>
              </w:rPr>
              <w:t>"</w:t>
            </w:r>
            <w:r w:rsidRPr="0076252E">
              <w:rPr>
                <w:b/>
                <w:bCs/>
                <w:highlight w:val="green"/>
                <w:lang w:val="ru-RU"/>
              </w:rPr>
              <w:t>Принять</w:t>
            </w:r>
            <w:r w:rsidRPr="0077109C">
              <w:rPr>
                <w:highlight w:val="green"/>
                <w:lang w:val="ru-RU"/>
              </w:rPr>
              <w:t>"</w:t>
            </w:r>
            <w:r w:rsidRPr="00F17823">
              <w:rPr>
                <w:lang w:val="ru-RU"/>
              </w:rPr>
              <w:t>, "Не принимать", "Неприменимо" или "Требует дальнейшего рассмотрения")</w:t>
            </w:r>
          </w:p>
        </w:tc>
      </w:tr>
      <w:tr w:rsidR="00F23128" w:rsidRPr="001870D1" w14:paraId="037C1CDA" w14:textId="77777777" w:rsidTr="004025BE">
        <w:tc>
          <w:tcPr>
            <w:tcW w:w="2410" w:type="dxa"/>
          </w:tcPr>
          <w:p w14:paraId="7A9A7DCC" w14:textId="77777777" w:rsidR="00F23128" w:rsidRPr="00CD3B8D" w:rsidRDefault="00F23128" w:rsidP="00CD3B8D">
            <w:pPr>
              <w:pStyle w:val="Tabletext"/>
              <w:jc w:val="right"/>
              <w:rPr>
                <w:rFonts w:cs="Calibri"/>
                <w:b/>
                <w:bCs/>
                <w:szCs w:val="20"/>
                <w:lang w:val="ru-RU"/>
              </w:rPr>
            </w:pPr>
            <w:r w:rsidRPr="00CD3B8D">
              <w:rPr>
                <w:b/>
                <w:bCs/>
                <w:lang w:val="ru-RU"/>
              </w:rPr>
              <w:t>Комментарии МСЭ об актуальности и последствиях для финансовых и людских ресурсов:</w:t>
            </w:r>
          </w:p>
        </w:tc>
        <w:tc>
          <w:tcPr>
            <w:tcW w:w="11766" w:type="dxa"/>
          </w:tcPr>
          <w:p w14:paraId="13D8E955" w14:textId="77777777" w:rsidR="00F23128" w:rsidRPr="00F17823" w:rsidRDefault="00F23128" w:rsidP="00CD3B8D">
            <w:pPr>
              <w:pStyle w:val="Tabletext"/>
              <w:rPr>
                <w:rFonts w:cs="Calibri"/>
                <w:szCs w:val="20"/>
                <w:lang w:val="ru-RU"/>
              </w:rPr>
            </w:pPr>
            <w:r w:rsidRPr="00F17823">
              <w:rPr>
                <w:lang w:val="ru-RU"/>
              </w:rPr>
              <w:t>МСЭ продолжает изучать возможные механизмы решения вопросов, связанных с обязательствами по АСХИ; пока же Союз ежегодно выделяет 1 млн. швейцарских франков для пополнения своего Фонда АСХИ. Разработка долгосрочной стратегии остается сложной задачей в условиях текущей финансовой неопределенности.</w:t>
            </w:r>
          </w:p>
        </w:tc>
      </w:tr>
      <w:tr w:rsidR="00F23128" w:rsidRPr="001870D1" w14:paraId="001912A9" w14:textId="77777777" w:rsidTr="004025BE">
        <w:tc>
          <w:tcPr>
            <w:tcW w:w="2410" w:type="dxa"/>
          </w:tcPr>
          <w:p w14:paraId="4B6B88CC" w14:textId="071A020E" w:rsidR="00F23128" w:rsidRPr="00CD3B8D" w:rsidRDefault="00F23128" w:rsidP="00CD3B8D">
            <w:pPr>
              <w:pStyle w:val="Tabletext"/>
              <w:jc w:val="right"/>
              <w:rPr>
                <w:rStyle w:val="Hyperlink"/>
                <w:b/>
                <w:bCs/>
                <w:lang w:val="ru-RU"/>
              </w:rPr>
            </w:pPr>
            <w:hyperlink r:id="rId23" w:history="1">
              <w:r w:rsidRPr="00CD3B8D">
                <w:rPr>
                  <w:rStyle w:val="Hyperlink"/>
                  <w:b/>
                  <w:bCs/>
                  <w:lang w:val="ru-RU"/>
                </w:rPr>
                <w:t xml:space="preserve">Комментарии КСР для системы ООН в целом: </w:t>
              </w:r>
            </w:hyperlink>
          </w:p>
        </w:tc>
        <w:tc>
          <w:tcPr>
            <w:tcW w:w="11766" w:type="dxa"/>
          </w:tcPr>
          <w:p w14:paraId="776BDD63" w14:textId="77777777" w:rsidR="00F23128" w:rsidRPr="00F17823" w:rsidRDefault="00F23128" w:rsidP="00CD3B8D">
            <w:pPr>
              <w:pStyle w:val="Tabletext"/>
              <w:rPr>
                <w:rFonts w:cs="Calibri"/>
                <w:szCs w:val="20"/>
                <w:lang w:val="ru-RU"/>
              </w:rPr>
            </w:pPr>
            <w:r w:rsidRPr="00F17823">
              <w:rPr>
                <w:lang w:val="ru-RU"/>
              </w:rPr>
              <w:t xml:space="preserve">Отдельные </w:t>
            </w:r>
            <w:r>
              <w:rPr>
                <w:lang w:val="ru-RU"/>
              </w:rPr>
              <w:t xml:space="preserve">организации </w:t>
            </w:r>
            <w:r w:rsidRPr="00F17823">
              <w:rPr>
                <w:lang w:val="ru-RU"/>
              </w:rPr>
              <w:t xml:space="preserve">отмечают, что существующие финансовые ограничения в плане сбалансированности бюджетов могут препятствовать выполнению этой рекомендации; </w:t>
            </w:r>
            <w:r>
              <w:rPr>
                <w:lang w:val="ru-RU"/>
              </w:rPr>
              <w:t>при этом</w:t>
            </w:r>
            <w:r w:rsidRPr="00F17823">
              <w:rPr>
                <w:lang w:val="ru-RU"/>
              </w:rPr>
              <w:t xml:space="preserve"> изучаются инновационные способы финансирования фондов медицинского страхования после выхода на пенсию в целях смягчения финансовых рисков и неопределенности, возникающих в результате накопления нефинансируемых обязательств, и управления ими.</w:t>
            </w:r>
          </w:p>
        </w:tc>
      </w:tr>
      <w:tr w:rsidR="00F23128" w:rsidRPr="00F17823" w14:paraId="04AD2B38" w14:textId="77777777" w:rsidTr="004025BE">
        <w:tc>
          <w:tcPr>
            <w:tcW w:w="2410" w:type="dxa"/>
          </w:tcPr>
          <w:p w14:paraId="5CED7BE4" w14:textId="77777777" w:rsidR="00F23128" w:rsidRPr="00CD3B8D" w:rsidRDefault="00F23128" w:rsidP="00CD3B8D">
            <w:pPr>
              <w:pStyle w:val="Tabletext"/>
              <w:jc w:val="right"/>
              <w:rPr>
                <w:rFonts w:cs="Calibri"/>
                <w:b/>
                <w:bCs/>
                <w:szCs w:val="20"/>
                <w:lang w:val="ru-RU"/>
              </w:rPr>
            </w:pPr>
            <w:r w:rsidRPr="00CD3B8D">
              <w:rPr>
                <w:b/>
                <w:bCs/>
                <w:lang w:val="ru-RU"/>
              </w:rPr>
              <w:t>Статус выполнения:</w:t>
            </w:r>
          </w:p>
        </w:tc>
        <w:tc>
          <w:tcPr>
            <w:tcW w:w="11766" w:type="dxa"/>
          </w:tcPr>
          <w:p w14:paraId="1DB6B0E6" w14:textId="77777777" w:rsidR="00F23128" w:rsidRPr="00F17823" w:rsidRDefault="00F23128" w:rsidP="00CD3B8D">
            <w:pPr>
              <w:pStyle w:val="Tabletext"/>
              <w:rPr>
                <w:rFonts w:cs="Calibri"/>
                <w:szCs w:val="20"/>
                <w:lang w:val="ru-RU"/>
              </w:rPr>
            </w:pPr>
            <w:r w:rsidRPr="00F17823">
              <w:rPr>
                <w:lang w:val="ru-RU"/>
              </w:rPr>
              <w:t>Выполняется</w:t>
            </w:r>
          </w:p>
        </w:tc>
      </w:tr>
      <w:tr w:rsidR="00F23128" w:rsidRPr="001870D1" w14:paraId="543D66EF" w14:textId="77777777" w:rsidTr="004025BE">
        <w:trPr>
          <w:trHeight w:val="405"/>
        </w:trPr>
        <w:tc>
          <w:tcPr>
            <w:tcW w:w="14176" w:type="dxa"/>
            <w:gridSpan w:val="2"/>
            <w:shd w:val="clear" w:color="auto" w:fill="FFFF00"/>
          </w:tcPr>
          <w:p w14:paraId="025FB7A6" w14:textId="1C22BAF8" w:rsidR="00F23128" w:rsidRPr="00F17823" w:rsidRDefault="00F23128" w:rsidP="00CD3B8D">
            <w:pPr>
              <w:pStyle w:val="Tablehead"/>
              <w:rPr>
                <w:rFonts w:cs="Calibri"/>
                <w:szCs w:val="20"/>
                <w:lang w:val="ru-RU"/>
              </w:rPr>
            </w:pPr>
            <w:r w:rsidRPr="00F17823">
              <w:rPr>
                <w:color w:val="000000"/>
                <w:lang w:val="ru-RU"/>
              </w:rPr>
              <w:t xml:space="preserve">JIU/REP/2023/8 </w:t>
            </w:r>
            <w:hyperlink r:id="rId24" w:history="1">
              <w:r w:rsidRPr="00F17823">
                <w:rPr>
                  <w:rStyle w:val="Hyperlink"/>
                  <w:bCs/>
                  <w:lang w:val="ru-RU"/>
                </w:rPr>
                <w:t xml:space="preserve">Обзор использования внештатного персонала и соответствующих контрактных процедур </w:t>
              </w:r>
              <w:r w:rsidR="00CD3B8D">
                <w:rPr>
                  <w:rStyle w:val="Hyperlink"/>
                  <w:bCs/>
                  <w:lang w:val="ru-RU"/>
                </w:rPr>
                <w:br/>
              </w:r>
              <w:r w:rsidRPr="00F17823">
                <w:rPr>
                  <w:rStyle w:val="Hyperlink"/>
                  <w:bCs/>
                  <w:lang w:val="ru-RU"/>
                </w:rPr>
                <w:t>в учреждениях системы Организации Объединенных Наций</w:t>
              </w:r>
            </w:hyperlink>
            <w:r w:rsidRPr="00F17823">
              <w:rPr>
                <w:color w:val="000000"/>
                <w:lang w:val="ru-RU"/>
              </w:rPr>
              <w:t xml:space="preserve"> </w:t>
            </w:r>
          </w:p>
          <w:p w14:paraId="2D15068A" w14:textId="77777777" w:rsidR="00F23128" w:rsidRPr="00F17823" w:rsidRDefault="00F23128" w:rsidP="00CD3B8D">
            <w:pPr>
              <w:pStyle w:val="Tablehead"/>
              <w:rPr>
                <w:rFonts w:cs="Calibri"/>
                <w:szCs w:val="20"/>
                <w:lang w:val="ru-RU"/>
              </w:rPr>
            </w:pPr>
            <w:r w:rsidRPr="00F17823">
              <w:rPr>
                <w:color w:val="000000"/>
                <w:lang w:val="ru-RU"/>
              </w:rPr>
              <w:t>Координатор МСЭ: Мария Трафиканти</w:t>
            </w:r>
          </w:p>
          <w:p w14:paraId="1AA8AE8F" w14:textId="77777777" w:rsidR="00F23128" w:rsidRPr="00F17823" w:rsidRDefault="00F23128" w:rsidP="00CD3B8D">
            <w:pPr>
              <w:pStyle w:val="Tablehead"/>
              <w:rPr>
                <w:rFonts w:cs="Calibri"/>
                <w:color w:val="000000"/>
                <w:szCs w:val="20"/>
                <w:lang w:val="ru-RU"/>
              </w:rPr>
            </w:pPr>
            <w:r w:rsidRPr="00F17823">
              <w:rPr>
                <w:rFonts w:ascii="Symbol" w:hAnsi="Symbol" w:cs="Calibri"/>
                <w:color w:val="000000"/>
                <w:szCs w:val="20"/>
                <w:lang w:val="ru-RU"/>
              </w:rPr>
              <w:t></w:t>
            </w:r>
            <w:r w:rsidRPr="00F17823">
              <w:rPr>
                <w:color w:val="000000"/>
                <w:lang w:val="ru-RU"/>
              </w:rPr>
              <w:tab/>
            </w:r>
            <w:hyperlink r:id="rId25" w:history="1">
              <w:r w:rsidRPr="00F17823">
                <w:rPr>
                  <w:rStyle w:val="Hyperlink"/>
                  <w:bCs/>
                  <w:lang w:val="ru-RU"/>
                </w:rPr>
                <w:t>Основные элементы обзора</w:t>
              </w:r>
            </w:hyperlink>
          </w:p>
        </w:tc>
      </w:tr>
      <w:tr w:rsidR="00F23128" w:rsidRPr="001870D1" w14:paraId="3D38F2B4" w14:textId="77777777" w:rsidTr="004025BE">
        <w:trPr>
          <w:trHeight w:val="1112"/>
        </w:trPr>
        <w:tc>
          <w:tcPr>
            <w:tcW w:w="2410" w:type="dxa"/>
            <w:shd w:val="clear" w:color="auto" w:fill="E1EBF7" w:themeFill="text2" w:themeFillTint="1A"/>
          </w:tcPr>
          <w:p w14:paraId="52A2C780" w14:textId="7B6B70C4" w:rsidR="00F23128" w:rsidRPr="00CD3B8D" w:rsidRDefault="00F23128" w:rsidP="00CD3B8D">
            <w:pPr>
              <w:pStyle w:val="Tabletext"/>
              <w:jc w:val="right"/>
              <w:rPr>
                <w:rFonts w:cs="Calibri"/>
                <w:b/>
                <w:bCs/>
                <w:szCs w:val="20"/>
                <w:lang w:val="ru-RU"/>
              </w:rPr>
            </w:pPr>
            <w:r w:rsidRPr="00CD3B8D">
              <w:rPr>
                <w:b/>
                <w:bCs/>
                <w:lang w:val="ru-RU"/>
              </w:rPr>
              <w:t>Рекомендация, адресованная директивным/ руководящим органам:</w:t>
            </w:r>
          </w:p>
        </w:tc>
        <w:tc>
          <w:tcPr>
            <w:tcW w:w="11766" w:type="dxa"/>
            <w:shd w:val="clear" w:color="auto" w:fill="FFFFFF" w:themeFill="background1"/>
          </w:tcPr>
          <w:p w14:paraId="49CC49D3" w14:textId="77777777" w:rsidR="00F23128" w:rsidRPr="00F17823" w:rsidRDefault="00F23128" w:rsidP="00CD3B8D">
            <w:pPr>
              <w:pStyle w:val="Tabletext"/>
              <w:rPr>
                <w:rFonts w:cs="Calibri"/>
                <w:szCs w:val="20"/>
                <w:lang w:val="ru-RU"/>
              </w:rPr>
            </w:pPr>
            <w:r w:rsidRPr="0076252E">
              <w:rPr>
                <w:b/>
                <w:bCs/>
                <w:highlight w:val="cyan"/>
                <w:lang w:val="ru-RU"/>
              </w:rPr>
              <w:t>Рекомендация 5</w:t>
            </w:r>
            <w:r w:rsidRPr="00F17823">
              <w:rPr>
                <w:lang w:val="ru-RU"/>
              </w:rPr>
              <w:t>: Директивным и/или руководящим органам учреждений системы Организации Объединенных Наций следует предложить исполнительным главам, которые еще не сделали этого, включать в свои доклады о людских ресурсах соответствующие данные и информацию об использовании внештатного персонала, такие как численность внештатных сотрудников, стаж работы, место работы, гражданство и гендер.</w:t>
            </w:r>
          </w:p>
        </w:tc>
      </w:tr>
      <w:tr w:rsidR="00F23128" w:rsidRPr="001870D1" w14:paraId="0A4181DE" w14:textId="77777777" w:rsidTr="004025BE">
        <w:tc>
          <w:tcPr>
            <w:tcW w:w="2410" w:type="dxa"/>
            <w:shd w:val="clear" w:color="auto" w:fill="EAF1DD" w:themeFill="accent3" w:themeFillTint="33"/>
          </w:tcPr>
          <w:p w14:paraId="4CC3AF11" w14:textId="63D203A4" w:rsidR="00F23128" w:rsidRPr="00CD3B8D" w:rsidRDefault="00F23128" w:rsidP="00CD3B8D">
            <w:pPr>
              <w:pStyle w:val="Tabletext"/>
              <w:jc w:val="right"/>
              <w:rPr>
                <w:rFonts w:cs="Calibri"/>
                <w:b/>
                <w:bCs/>
                <w:szCs w:val="20"/>
                <w:lang w:val="ru-RU"/>
              </w:rPr>
            </w:pPr>
            <w:r w:rsidRPr="00CD3B8D">
              <w:rPr>
                <w:b/>
                <w:bCs/>
                <w:lang w:val="ru-RU"/>
              </w:rPr>
              <w:t>Необходимые действия:</w:t>
            </w:r>
          </w:p>
        </w:tc>
        <w:tc>
          <w:tcPr>
            <w:tcW w:w="11766" w:type="dxa"/>
          </w:tcPr>
          <w:p w14:paraId="0A200A8D" w14:textId="77777777" w:rsidR="00F23128" w:rsidRPr="00F17823" w:rsidRDefault="00F23128" w:rsidP="00CD3B8D">
            <w:pPr>
              <w:pStyle w:val="Tabletext"/>
              <w:rPr>
                <w:rFonts w:cs="Calibri"/>
                <w:szCs w:val="20"/>
                <w:lang w:val="ru-RU"/>
              </w:rPr>
            </w:pPr>
            <w:r w:rsidRPr="00F17823">
              <w:rPr>
                <w:lang w:val="ru-RU"/>
              </w:rPr>
              <w:t>(</w:t>
            </w:r>
            <w:r w:rsidRPr="0077109C">
              <w:rPr>
                <w:highlight w:val="green"/>
                <w:lang w:val="ru-RU"/>
              </w:rPr>
              <w:t>"</w:t>
            </w:r>
            <w:r w:rsidRPr="0076252E">
              <w:rPr>
                <w:b/>
                <w:bCs/>
                <w:highlight w:val="green"/>
                <w:lang w:val="ru-RU"/>
              </w:rPr>
              <w:t>Принять</w:t>
            </w:r>
            <w:r w:rsidRPr="0077109C">
              <w:rPr>
                <w:highlight w:val="green"/>
                <w:lang w:val="ru-RU"/>
              </w:rPr>
              <w:t>"</w:t>
            </w:r>
            <w:r w:rsidRPr="00F17823">
              <w:rPr>
                <w:lang w:val="ru-RU"/>
              </w:rPr>
              <w:t>, "Не принимать", "Неприменимо" или "Требует дальнейшего рассмотрения")</w:t>
            </w:r>
          </w:p>
        </w:tc>
      </w:tr>
      <w:tr w:rsidR="00F23128" w:rsidRPr="00F17823" w14:paraId="5324134F" w14:textId="77777777" w:rsidTr="004025BE">
        <w:tc>
          <w:tcPr>
            <w:tcW w:w="2410" w:type="dxa"/>
          </w:tcPr>
          <w:p w14:paraId="0E1FCF6F" w14:textId="77777777" w:rsidR="00F23128" w:rsidRPr="00CD3B8D" w:rsidRDefault="00F23128" w:rsidP="00CD3B8D">
            <w:pPr>
              <w:pStyle w:val="Tabletext"/>
              <w:jc w:val="right"/>
              <w:rPr>
                <w:rFonts w:cs="Calibri"/>
                <w:b/>
                <w:bCs/>
                <w:szCs w:val="20"/>
                <w:lang w:val="ru-RU"/>
              </w:rPr>
            </w:pPr>
            <w:r w:rsidRPr="00CD3B8D">
              <w:rPr>
                <w:b/>
                <w:bCs/>
                <w:lang w:val="ru-RU"/>
              </w:rPr>
              <w:lastRenderedPageBreak/>
              <w:t>Комментарии МСЭ об актуальности и последствиях для финансовых и людских ресурсов:</w:t>
            </w:r>
          </w:p>
        </w:tc>
        <w:tc>
          <w:tcPr>
            <w:tcW w:w="11766" w:type="dxa"/>
          </w:tcPr>
          <w:p w14:paraId="7565881F" w14:textId="77777777" w:rsidR="00F23128" w:rsidRPr="00F17823" w:rsidRDefault="00F23128" w:rsidP="00CD3B8D">
            <w:pPr>
              <w:pStyle w:val="Tabletext"/>
              <w:rPr>
                <w:rFonts w:cs="Calibri"/>
                <w:szCs w:val="20"/>
                <w:lang w:val="ru-RU"/>
              </w:rPr>
            </w:pPr>
            <w:r w:rsidRPr="00F17823">
              <w:rPr>
                <w:lang w:val="ru-RU"/>
              </w:rPr>
              <w:t>Данные по контрактам внештатного персонала уже приводятся в аналитическом отчете по кадровым ресурсам. По мере необходимости в эту панель мониторинга могут быть включены соответствующие дополнительные данные и информация об использовании внештатного персонала. Подлежит выполнению в рамках текущих финансовых и людских ресурсов.</w:t>
            </w:r>
          </w:p>
        </w:tc>
      </w:tr>
      <w:tr w:rsidR="00F23128" w:rsidRPr="001870D1" w14:paraId="3D0250A2" w14:textId="77777777" w:rsidTr="004025BE">
        <w:tc>
          <w:tcPr>
            <w:tcW w:w="2410" w:type="dxa"/>
          </w:tcPr>
          <w:p w14:paraId="2A0595E4" w14:textId="77777777" w:rsidR="00F23128" w:rsidRPr="00CD3B8D" w:rsidRDefault="00F23128" w:rsidP="00CD3B8D">
            <w:pPr>
              <w:pStyle w:val="Tabletext"/>
              <w:jc w:val="right"/>
              <w:rPr>
                <w:rStyle w:val="Hyperlink"/>
                <w:b/>
                <w:bCs/>
                <w:lang w:val="ru-RU"/>
              </w:rPr>
            </w:pPr>
            <w:hyperlink r:id="rId26" w:history="1">
              <w:r w:rsidRPr="00CD3B8D">
                <w:rPr>
                  <w:rStyle w:val="Hyperlink"/>
                  <w:b/>
                  <w:bCs/>
                  <w:lang w:val="ru-RU"/>
                </w:rPr>
                <w:t xml:space="preserve">Комментарии КСР для системы ООН в целом: </w:t>
              </w:r>
            </w:hyperlink>
          </w:p>
        </w:tc>
        <w:tc>
          <w:tcPr>
            <w:tcW w:w="11766" w:type="dxa"/>
          </w:tcPr>
          <w:p w14:paraId="33541DA7" w14:textId="77777777" w:rsidR="00F23128" w:rsidRPr="00F17823" w:rsidRDefault="00F23128" w:rsidP="00CD3B8D">
            <w:pPr>
              <w:pStyle w:val="Tabletext"/>
              <w:rPr>
                <w:rFonts w:cs="Calibri"/>
                <w:szCs w:val="20"/>
                <w:lang w:val="ru-RU"/>
              </w:rPr>
            </w:pPr>
            <w:r w:rsidRPr="00F17823">
              <w:rPr>
                <w:lang w:val="ru-RU"/>
              </w:rPr>
              <w:t>Многие организации уже публикуют регулярные отчеты по просьбе своих руководящих органов. Уже принимаются меры для повышения доступности и качества данных, при этом отмечается, что параметр "стаж работы" неприменим в полной мере к внештатному персоналу, который часто работает на основе краткосрочных контрактов. Следует также напомнить, что спектр внештатных сотрудников весьма разнообразен и представление обобщенных всесторонних отчетов о них может быть затруднительно.</w:t>
            </w:r>
          </w:p>
        </w:tc>
      </w:tr>
      <w:tr w:rsidR="00F23128" w:rsidRPr="00F17823" w14:paraId="30D4D7D2" w14:textId="77777777" w:rsidTr="004025BE">
        <w:tc>
          <w:tcPr>
            <w:tcW w:w="2410" w:type="dxa"/>
          </w:tcPr>
          <w:p w14:paraId="1CDC1CD6" w14:textId="77777777" w:rsidR="00F23128" w:rsidRPr="00CD3B8D" w:rsidRDefault="00F23128" w:rsidP="00CD3B8D">
            <w:pPr>
              <w:pStyle w:val="Tabletext"/>
              <w:jc w:val="right"/>
              <w:rPr>
                <w:rFonts w:cs="Calibri"/>
                <w:b/>
                <w:bCs/>
                <w:szCs w:val="20"/>
                <w:lang w:val="ru-RU"/>
              </w:rPr>
            </w:pPr>
            <w:r w:rsidRPr="00CD3B8D">
              <w:rPr>
                <w:b/>
                <w:bCs/>
                <w:lang w:val="ru-RU"/>
              </w:rPr>
              <w:t>Статус выполнения:</w:t>
            </w:r>
          </w:p>
        </w:tc>
        <w:tc>
          <w:tcPr>
            <w:tcW w:w="11766" w:type="dxa"/>
          </w:tcPr>
          <w:p w14:paraId="434B0A3E" w14:textId="77777777" w:rsidR="00F23128" w:rsidRPr="00F17823" w:rsidRDefault="00F23128" w:rsidP="00CD3B8D">
            <w:pPr>
              <w:pStyle w:val="Tabletext"/>
              <w:rPr>
                <w:rFonts w:cs="Calibri"/>
                <w:szCs w:val="20"/>
                <w:lang w:val="ru-RU"/>
              </w:rPr>
            </w:pPr>
            <w:r w:rsidRPr="00F17823">
              <w:rPr>
                <w:lang w:val="ru-RU"/>
              </w:rPr>
              <w:t>Выполнена</w:t>
            </w:r>
          </w:p>
        </w:tc>
      </w:tr>
    </w:tbl>
    <w:p w14:paraId="3C39C012" w14:textId="77777777" w:rsidR="00796BD3" w:rsidRPr="00796BD3" w:rsidRDefault="00C462C5" w:rsidP="00F23128">
      <w:pPr>
        <w:spacing w:before="720"/>
        <w:jc w:val="center"/>
      </w:pPr>
      <w:r>
        <w:t>______________</w:t>
      </w:r>
    </w:p>
    <w:sectPr w:rsidR="00796BD3" w:rsidRPr="00796BD3" w:rsidSect="00F23128">
      <w:pgSz w:w="16834" w:h="11907" w:orient="landscape"/>
      <w:pgMar w:top="1418" w:right="1418" w:bottom="1418" w:left="1418" w:header="720" w:footer="720" w:gutter="0"/>
      <w:paperSrc w:first="286" w:other="28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71BAE" w14:textId="77777777" w:rsidR="00F23128" w:rsidRDefault="00F23128">
      <w:r>
        <w:separator/>
      </w:r>
    </w:p>
  </w:endnote>
  <w:endnote w:type="continuationSeparator" w:id="0">
    <w:p w14:paraId="6FE519B4" w14:textId="77777777" w:rsidR="00F23128" w:rsidRDefault="00F2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957"/>
    </w:tblGrid>
    <w:tr w:rsidR="00672F8A" w:rsidRPr="00784011" w14:paraId="203BA802" w14:textId="77777777" w:rsidTr="00F23128">
      <w:trPr>
        <w:jc w:val="center"/>
      </w:trPr>
      <w:tc>
        <w:tcPr>
          <w:tcW w:w="1803" w:type="dxa"/>
          <w:vAlign w:val="center"/>
        </w:tcPr>
        <w:p w14:paraId="59EC76CB" w14:textId="2801C864" w:rsidR="00672F8A" w:rsidRPr="00F23128" w:rsidRDefault="00672F8A" w:rsidP="00672F8A">
          <w:pPr>
            <w:pStyle w:val="Header"/>
            <w:jc w:val="left"/>
            <w:rPr>
              <w:noProof/>
              <w:lang w:val="ru-RU"/>
            </w:rPr>
          </w:pPr>
        </w:p>
      </w:tc>
      <w:tc>
        <w:tcPr>
          <w:tcW w:w="12957" w:type="dxa"/>
        </w:tcPr>
        <w:p w14:paraId="5F963352" w14:textId="6762C64E" w:rsidR="00672F8A" w:rsidRPr="00E06FD5" w:rsidRDefault="00672F8A" w:rsidP="00F23128">
          <w:pPr>
            <w:pStyle w:val="Header"/>
            <w:tabs>
              <w:tab w:val="left" w:pos="11044"/>
              <w:tab w:val="right" w:pos="12304"/>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F23128">
            <w:rPr>
              <w:bCs/>
              <w:lang w:val="ru-RU"/>
            </w:rPr>
            <w:t>57</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2BA918B0"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93E8F10" w14:textId="77777777" w:rsidTr="00E31DCE">
      <w:trPr>
        <w:jc w:val="center"/>
      </w:trPr>
      <w:tc>
        <w:tcPr>
          <w:tcW w:w="1803" w:type="dxa"/>
          <w:vAlign w:val="center"/>
        </w:tcPr>
        <w:p w14:paraId="07D44080" w14:textId="77777777" w:rsidR="00672F8A" w:rsidRDefault="00D631AA" w:rsidP="00672F8A">
          <w:pPr>
            <w:pStyle w:val="Header"/>
            <w:jc w:val="left"/>
            <w:rPr>
              <w:noProof/>
            </w:rPr>
          </w:pPr>
          <w:r w:rsidRPr="00D631AA">
            <w:rPr>
              <w:color w:val="0563C1"/>
              <w:szCs w:val="14"/>
            </w:rPr>
            <w:t>council.itu.int/2025</w:t>
          </w:r>
        </w:p>
      </w:tc>
      <w:tc>
        <w:tcPr>
          <w:tcW w:w="8261" w:type="dxa"/>
        </w:tcPr>
        <w:p w14:paraId="74BB1C6E" w14:textId="323DA98A"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F23128">
            <w:rPr>
              <w:bCs/>
              <w:lang w:val="ru-RU"/>
            </w:rPr>
            <w:t>57</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00033042"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CB274" w14:textId="77777777" w:rsidR="00F23128" w:rsidRDefault="00F23128">
      <w:r>
        <w:t>____________________</w:t>
      </w:r>
    </w:p>
  </w:footnote>
  <w:footnote w:type="continuationSeparator" w:id="0">
    <w:p w14:paraId="6C00C64E" w14:textId="77777777" w:rsidR="00F23128" w:rsidRDefault="00F2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7A5A0254" w14:textId="77777777" w:rsidTr="00156890">
      <w:trPr>
        <w:trHeight w:val="1104"/>
        <w:jc w:val="center"/>
      </w:trPr>
      <w:tc>
        <w:tcPr>
          <w:tcW w:w="6359" w:type="dxa"/>
          <w:vAlign w:val="center"/>
        </w:tcPr>
        <w:p w14:paraId="4FE961A6"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FEAB832" wp14:editId="6AA9467B">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4753F139" w14:textId="77777777" w:rsidR="00156890" w:rsidRDefault="00156890" w:rsidP="00796BD3">
          <w:pPr>
            <w:pStyle w:val="Header"/>
            <w:jc w:val="right"/>
            <w:rPr>
              <w:rFonts w:ascii="Arial" w:hAnsi="Arial" w:cs="Arial"/>
              <w:b/>
              <w:bCs/>
              <w:color w:val="009CD6"/>
              <w:szCs w:val="18"/>
            </w:rPr>
          </w:pPr>
        </w:p>
      </w:tc>
    </w:tr>
  </w:tbl>
  <w:p w14:paraId="6A183C8F"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B01C14F" wp14:editId="0D61F1B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E60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28"/>
    <w:rsid w:val="00005BE0"/>
    <w:rsid w:val="00013CA0"/>
    <w:rsid w:val="0002183E"/>
    <w:rsid w:val="000569B4"/>
    <w:rsid w:val="0006007D"/>
    <w:rsid w:val="0007184B"/>
    <w:rsid w:val="00080E82"/>
    <w:rsid w:val="000B2DE7"/>
    <w:rsid w:val="000E568E"/>
    <w:rsid w:val="0014229E"/>
    <w:rsid w:val="0014734F"/>
    <w:rsid w:val="00156890"/>
    <w:rsid w:val="0015710D"/>
    <w:rsid w:val="00163A32"/>
    <w:rsid w:val="00165D06"/>
    <w:rsid w:val="001870D1"/>
    <w:rsid w:val="00192B41"/>
    <w:rsid w:val="001B7B09"/>
    <w:rsid w:val="001E6719"/>
    <w:rsid w:val="001E7F50"/>
    <w:rsid w:val="00225368"/>
    <w:rsid w:val="00227FF0"/>
    <w:rsid w:val="00291EB6"/>
    <w:rsid w:val="002A5907"/>
    <w:rsid w:val="002C3F32"/>
    <w:rsid w:val="002D2F57"/>
    <w:rsid w:val="002D48C5"/>
    <w:rsid w:val="0033025A"/>
    <w:rsid w:val="00345D2A"/>
    <w:rsid w:val="003F099E"/>
    <w:rsid w:val="003F235E"/>
    <w:rsid w:val="00401FD7"/>
    <w:rsid w:val="004023E0"/>
    <w:rsid w:val="00403DD8"/>
    <w:rsid w:val="00442515"/>
    <w:rsid w:val="0045686C"/>
    <w:rsid w:val="004918C4"/>
    <w:rsid w:val="00497703"/>
    <w:rsid w:val="004A0374"/>
    <w:rsid w:val="004A45B5"/>
    <w:rsid w:val="004D0129"/>
    <w:rsid w:val="004E2903"/>
    <w:rsid w:val="00515795"/>
    <w:rsid w:val="005559C6"/>
    <w:rsid w:val="0056740F"/>
    <w:rsid w:val="005A64D5"/>
    <w:rsid w:val="005B3DEC"/>
    <w:rsid w:val="00601994"/>
    <w:rsid w:val="00660449"/>
    <w:rsid w:val="00672F8A"/>
    <w:rsid w:val="006E2D42"/>
    <w:rsid w:val="00703676"/>
    <w:rsid w:val="00707304"/>
    <w:rsid w:val="00732269"/>
    <w:rsid w:val="0076252E"/>
    <w:rsid w:val="00762555"/>
    <w:rsid w:val="0077110E"/>
    <w:rsid w:val="00785ABD"/>
    <w:rsid w:val="00796BD3"/>
    <w:rsid w:val="007A2DD4"/>
    <w:rsid w:val="007D38B5"/>
    <w:rsid w:val="007E7EA0"/>
    <w:rsid w:val="00807255"/>
    <w:rsid w:val="0081023E"/>
    <w:rsid w:val="008173AA"/>
    <w:rsid w:val="00840A14"/>
    <w:rsid w:val="00870385"/>
    <w:rsid w:val="008B62B4"/>
    <w:rsid w:val="008D2D7B"/>
    <w:rsid w:val="008E0737"/>
    <w:rsid w:val="008F7C2C"/>
    <w:rsid w:val="00940E96"/>
    <w:rsid w:val="00950A82"/>
    <w:rsid w:val="009B0BAE"/>
    <w:rsid w:val="009C1C89"/>
    <w:rsid w:val="009F3448"/>
    <w:rsid w:val="00A01CF9"/>
    <w:rsid w:val="00A20B63"/>
    <w:rsid w:val="00A71773"/>
    <w:rsid w:val="00AE2C85"/>
    <w:rsid w:val="00B0107F"/>
    <w:rsid w:val="00B12A37"/>
    <w:rsid w:val="00B41837"/>
    <w:rsid w:val="00B63EF2"/>
    <w:rsid w:val="00BA7D89"/>
    <w:rsid w:val="00BC0D39"/>
    <w:rsid w:val="00BC7BC0"/>
    <w:rsid w:val="00BD00F9"/>
    <w:rsid w:val="00BD57B7"/>
    <w:rsid w:val="00BE63E2"/>
    <w:rsid w:val="00C06509"/>
    <w:rsid w:val="00C462C5"/>
    <w:rsid w:val="00CD2009"/>
    <w:rsid w:val="00CD3B8D"/>
    <w:rsid w:val="00CF629C"/>
    <w:rsid w:val="00D60DA7"/>
    <w:rsid w:val="00D631AA"/>
    <w:rsid w:val="00D92EEA"/>
    <w:rsid w:val="00DA5D4E"/>
    <w:rsid w:val="00DA770A"/>
    <w:rsid w:val="00E05752"/>
    <w:rsid w:val="00E176BA"/>
    <w:rsid w:val="00E423EC"/>
    <w:rsid w:val="00E55121"/>
    <w:rsid w:val="00EB4FCB"/>
    <w:rsid w:val="00EC6BC5"/>
    <w:rsid w:val="00F15A5A"/>
    <w:rsid w:val="00F23128"/>
    <w:rsid w:val="00F348D0"/>
    <w:rsid w:val="00F35898"/>
    <w:rsid w:val="00F5225B"/>
    <w:rsid w:val="00F856F0"/>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35929"/>
  <w15:docId w15:val="{078CFD11-545F-4437-A47D-030AF47F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1870D1"/>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qFormat/>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7/en" TargetMode="External"/><Relationship Id="rId13" Type="http://schemas.openxmlformats.org/officeDocument/2006/relationships/hyperlink" Target="https://docs.un.org/ru/JIU/REP/2024/4" TargetMode="External"/><Relationship Id="rId18" Type="http://schemas.openxmlformats.org/officeDocument/2006/relationships/hyperlink" Target="https://docs.un.org/ru/JIU/REP/2024/2" TargetMode="External"/><Relationship Id="rId26" Type="http://schemas.openxmlformats.org/officeDocument/2006/relationships/hyperlink" Target="https://www.unjiu.org/sites/www.unjiu.org/files/a_79_694_add1-en.pdf" TargetMode="External"/><Relationship Id="rId3" Type="http://schemas.openxmlformats.org/officeDocument/2006/relationships/settings" Target="settings.xml"/><Relationship Id="rId21" Type="http://schemas.openxmlformats.org/officeDocument/2006/relationships/hyperlink" Target="https://docs.un.org/ru/JIU/REP/2023/9" TargetMode="External"/><Relationship Id="rId7" Type="http://schemas.openxmlformats.org/officeDocument/2006/relationships/hyperlink" Target="https://www.itu.int/md/S24-CL-C-0057/en" TargetMode="External"/><Relationship Id="rId12" Type="http://schemas.openxmlformats.org/officeDocument/2006/relationships/footer" Target="footer2.xml"/><Relationship Id="rId17" Type="http://schemas.openxmlformats.org/officeDocument/2006/relationships/hyperlink" Target="https://www.unjiu.org/sites/www.unjiu.org/files/review_highlights_jiu_rep_2024_3_parts_i_and_ii_0.pdf" TargetMode="External"/><Relationship Id="rId25" Type="http://schemas.openxmlformats.org/officeDocument/2006/relationships/hyperlink" Target="https://www.unjiu.org/sites/www.unjiu.org/files/jiu-rep-2023-8_review_highlights_appendix_0.pdf" TargetMode="External"/><Relationship Id="rId2" Type="http://schemas.openxmlformats.org/officeDocument/2006/relationships/styles" Target="styles.xml"/><Relationship Id="rId16" Type="http://schemas.openxmlformats.org/officeDocument/2006/relationships/hyperlink" Target="https://www.unjiu.org/sites/www.unjiu.org/files/jiu_rep_2024_3_part_ii_english.pdf" TargetMode="External"/><Relationship Id="rId20" Type="http://schemas.openxmlformats.org/officeDocument/2006/relationships/hyperlink" Target="https://www.unjiu.org/sites/www.unjiu.org/files/a_79_695_add1-ru.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cs.un.org/ru/JIU/REP/2023/8" TargetMode="External"/><Relationship Id="rId5" Type="http://schemas.openxmlformats.org/officeDocument/2006/relationships/footnotes" Target="footnotes.xml"/><Relationship Id="rId15" Type="http://schemas.openxmlformats.org/officeDocument/2006/relationships/hyperlink" Target="https://docs.un.org/ru/JIU/REP/2024/3(PartI)" TargetMode="External"/><Relationship Id="rId23" Type="http://schemas.openxmlformats.org/officeDocument/2006/relationships/hyperlink" Target="https://www.unjiu.org/sites/www.unjiu.org/files/a_79_695_add1-ru.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unjiu.org/sites/www.unjiu.org/files/jiu-rep-2014-2_review_highlights.pdf" TargetMode="External"/><Relationship Id="rId4" Type="http://schemas.openxmlformats.org/officeDocument/2006/relationships/webSettings" Target="webSettings.xml"/><Relationship Id="rId9" Type="http://schemas.openxmlformats.org/officeDocument/2006/relationships/hyperlink" Target="https://www.itu.int/md/S22-CL-C-0061/en" TargetMode="External"/><Relationship Id="rId14" Type="http://schemas.openxmlformats.org/officeDocument/2006/relationships/hyperlink" Target="https://www.unjiu.org/sites/www.unjiu.org/files/jiu-rep-2024-4_review_highlights.pdf" TargetMode="External"/><Relationship Id="rId22" Type="http://schemas.openxmlformats.org/officeDocument/2006/relationships/hyperlink" Target="https://www.unjiu.org/sites/www.unjiu.org/files/jiu-rep-2023-9_review_highlights.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PR_Council25.dotx</Template>
  <TotalTime>0</TotalTime>
  <Pages>6</Pages>
  <Words>1595</Words>
  <Characters>11747</Characters>
  <Application>Microsoft Office Word</Application>
  <DocSecurity>0</DocSecurity>
  <Lines>234</Lines>
  <Paragraphs>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13269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2023-2024 and recommendations to legislative bodies</dc:title>
  <dc:subject>ITU Council 2025</dc:subject>
  <cp:keywords>C2025, C25, Council-25</cp:keywords>
  <dc:description/>
  <cp:lastPrinted>2006-03-28T16:12:00Z</cp:lastPrinted>
  <dcterms:created xsi:type="dcterms:W3CDTF">2025-06-03T07:23:00Z</dcterms:created>
  <dcterms:modified xsi:type="dcterms:W3CDTF">2025-06-03T07:23:00Z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