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F26A9A" w14:paraId="0F0B0267" w14:textId="77777777" w:rsidTr="00AD3606">
        <w:trPr>
          <w:cantSplit/>
          <w:trHeight w:val="23"/>
        </w:trPr>
        <w:tc>
          <w:tcPr>
            <w:tcW w:w="3969" w:type="dxa"/>
            <w:vMerge w:val="restart"/>
            <w:tcMar>
              <w:left w:w="0" w:type="dxa"/>
            </w:tcMar>
          </w:tcPr>
          <w:p w14:paraId="21DBBCB9" w14:textId="00CF44B2" w:rsidR="00AD3606" w:rsidRPr="00F26A9A"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F26A9A">
              <w:rPr>
                <w:b/>
              </w:rPr>
              <w:t xml:space="preserve">Agenda item: </w:t>
            </w:r>
            <w:r w:rsidR="00E375A1" w:rsidRPr="00F26A9A">
              <w:rPr>
                <w:b/>
              </w:rPr>
              <w:t>ADM 2</w:t>
            </w:r>
          </w:p>
        </w:tc>
        <w:tc>
          <w:tcPr>
            <w:tcW w:w="5245" w:type="dxa"/>
          </w:tcPr>
          <w:p w14:paraId="05E3CBB8" w14:textId="289B00EE" w:rsidR="00AD3606" w:rsidRPr="00F26A9A" w:rsidRDefault="00AD3606" w:rsidP="00472BAD">
            <w:pPr>
              <w:tabs>
                <w:tab w:val="left" w:pos="851"/>
              </w:tabs>
              <w:spacing w:before="0" w:line="240" w:lineRule="atLeast"/>
              <w:jc w:val="right"/>
              <w:rPr>
                <w:b/>
              </w:rPr>
            </w:pPr>
            <w:r w:rsidRPr="00F26A9A">
              <w:rPr>
                <w:b/>
              </w:rPr>
              <w:t>Document C2</w:t>
            </w:r>
            <w:r w:rsidR="00BF1FDE" w:rsidRPr="00F26A9A">
              <w:rPr>
                <w:b/>
              </w:rPr>
              <w:t>5</w:t>
            </w:r>
            <w:r w:rsidRPr="00F26A9A">
              <w:rPr>
                <w:b/>
              </w:rPr>
              <w:t>/</w:t>
            </w:r>
            <w:r w:rsidR="00E375A1" w:rsidRPr="00F26A9A">
              <w:rPr>
                <w:b/>
              </w:rPr>
              <w:t>57</w:t>
            </w:r>
            <w:r w:rsidRPr="00F26A9A">
              <w:rPr>
                <w:b/>
              </w:rPr>
              <w:t>-E</w:t>
            </w:r>
          </w:p>
        </w:tc>
      </w:tr>
      <w:tr w:rsidR="00AD3606" w:rsidRPr="00F26A9A" w14:paraId="77822E4A" w14:textId="77777777" w:rsidTr="00AD3606">
        <w:trPr>
          <w:cantSplit/>
        </w:trPr>
        <w:tc>
          <w:tcPr>
            <w:tcW w:w="3969" w:type="dxa"/>
            <w:vMerge/>
          </w:tcPr>
          <w:p w14:paraId="3467D181" w14:textId="77777777" w:rsidR="00AD3606" w:rsidRPr="00F26A9A" w:rsidRDefault="00AD3606" w:rsidP="00AD3606">
            <w:pPr>
              <w:tabs>
                <w:tab w:val="left" w:pos="851"/>
              </w:tabs>
              <w:spacing w:line="240" w:lineRule="atLeast"/>
              <w:rPr>
                <w:b/>
              </w:rPr>
            </w:pPr>
            <w:bookmarkStart w:id="6" w:name="ddate" w:colFirst="1" w:colLast="1"/>
            <w:bookmarkEnd w:id="0"/>
            <w:bookmarkEnd w:id="1"/>
          </w:p>
        </w:tc>
        <w:tc>
          <w:tcPr>
            <w:tcW w:w="5245" w:type="dxa"/>
          </w:tcPr>
          <w:p w14:paraId="0DDD2286" w14:textId="36EF33DF" w:rsidR="00AD3606" w:rsidRPr="00F26A9A" w:rsidRDefault="00651FA7" w:rsidP="00AD3606">
            <w:pPr>
              <w:tabs>
                <w:tab w:val="left" w:pos="851"/>
              </w:tabs>
              <w:spacing w:before="0"/>
              <w:jc w:val="right"/>
              <w:rPr>
                <w:b/>
              </w:rPr>
            </w:pPr>
            <w:r>
              <w:rPr>
                <w:b/>
              </w:rPr>
              <w:t>16 May</w:t>
            </w:r>
            <w:r w:rsidR="00E375A1" w:rsidRPr="00F26A9A">
              <w:rPr>
                <w:b/>
              </w:rPr>
              <w:t xml:space="preserve"> 2025</w:t>
            </w:r>
          </w:p>
        </w:tc>
      </w:tr>
      <w:tr w:rsidR="00AD3606" w:rsidRPr="00F26A9A" w14:paraId="73A9E73A" w14:textId="77777777" w:rsidTr="00AD3606">
        <w:trPr>
          <w:cantSplit/>
          <w:trHeight w:val="23"/>
        </w:trPr>
        <w:tc>
          <w:tcPr>
            <w:tcW w:w="3969" w:type="dxa"/>
            <w:vMerge/>
          </w:tcPr>
          <w:p w14:paraId="5836D540" w14:textId="77777777" w:rsidR="00AD3606" w:rsidRPr="00F26A9A" w:rsidRDefault="00AD3606" w:rsidP="00AD3606">
            <w:pPr>
              <w:tabs>
                <w:tab w:val="left" w:pos="851"/>
              </w:tabs>
              <w:spacing w:line="240" w:lineRule="atLeast"/>
              <w:rPr>
                <w:b/>
              </w:rPr>
            </w:pPr>
            <w:bookmarkStart w:id="7" w:name="dorlang" w:colFirst="1" w:colLast="1"/>
            <w:bookmarkEnd w:id="6"/>
          </w:p>
        </w:tc>
        <w:tc>
          <w:tcPr>
            <w:tcW w:w="5245" w:type="dxa"/>
          </w:tcPr>
          <w:p w14:paraId="4A9FE891" w14:textId="77777777" w:rsidR="00AD3606" w:rsidRPr="00F26A9A" w:rsidRDefault="00AD3606" w:rsidP="00AD3606">
            <w:pPr>
              <w:tabs>
                <w:tab w:val="left" w:pos="851"/>
              </w:tabs>
              <w:spacing w:before="0" w:line="240" w:lineRule="atLeast"/>
              <w:jc w:val="right"/>
              <w:rPr>
                <w:b/>
              </w:rPr>
            </w:pPr>
            <w:r w:rsidRPr="00F26A9A">
              <w:rPr>
                <w:b/>
              </w:rPr>
              <w:t>Original: English</w:t>
            </w:r>
          </w:p>
        </w:tc>
      </w:tr>
      <w:tr w:rsidR="00472BAD" w:rsidRPr="00F26A9A" w14:paraId="1535570C" w14:textId="77777777" w:rsidTr="00AD3606">
        <w:trPr>
          <w:cantSplit/>
          <w:trHeight w:val="23"/>
        </w:trPr>
        <w:tc>
          <w:tcPr>
            <w:tcW w:w="3969" w:type="dxa"/>
          </w:tcPr>
          <w:p w14:paraId="58189321" w14:textId="77777777" w:rsidR="00472BAD" w:rsidRPr="00F26A9A" w:rsidRDefault="00472BAD" w:rsidP="00AD3606">
            <w:pPr>
              <w:tabs>
                <w:tab w:val="left" w:pos="851"/>
              </w:tabs>
              <w:spacing w:line="240" w:lineRule="atLeast"/>
              <w:rPr>
                <w:b/>
              </w:rPr>
            </w:pPr>
          </w:p>
        </w:tc>
        <w:tc>
          <w:tcPr>
            <w:tcW w:w="5245" w:type="dxa"/>
          </w:tcPr>
          <w:p w14:paraId="41D14AF4" w14:textId="77777777" w:rsidR="00472BAD" w:rsidRPr="00F26A9A" w:rsidRDefault="00472BAD" w:rsidP="00AD3606">
            <w:pPr>
              <w:tabs>
                <w:tab w:val="left" w:pos="851"/>
              </w:tabs>
              <w:spacing w:before="0" w:line="240" w:lineRule="atLeast"/>
              <w:jc w:val="right"/>
              <w:rPr>
                <w:b/>
              </w:rPr>
            </w:pPr>
          </w:p>
        </w:tc>
      </w:tr>
      <w:tr w:rsidR="00AD3606" w:rsidRPr="00F26A9A" w14:paraId="09B1BB09" w14:textId="77777777" w:rsidTr="00AD3606">
        <w:trPr>
          <w:cantSplit/>
        </w:trPr>
        <w:tc>
          <w:tcPr>
            <w:tcW w:w="9214" w:type="dxa"/>
            <w:gridSpan w:val="2"/>
            <w:tcMar>
              <w:left w:w="0" w:type="dxa"/>
            </w:tcMar>
          </w:tcPr>
          <w:p w14:paraId="3A592A1F" w14:textId="77777777" w:rsidR="00AD3606" w:rsidRPr="00F26A9A" w:rsidRDefault="00AD3606" w:rsidP="00AD3606">
            <w:pPr>
              <w:pStyle w:val="Source"/>
              <w:framePr w:hSpace="0" w:wrap="auto" w:vAnchor="margin" w:hAnchor="text" w:yAlign="inline"/>
            </w:pPr>
            <w:bookmarkStart w:id="8" w:name="dsource" w:colFirst="0" w:colLast="0"/>
            <w:bookmarkEnd w:id="7"/>
            <w:r w:rsidRPr="00F26A9A">
              <w:t>Report by the Secretary-General</w:t>
            </w:r>
          </w:p>
        </w:tc>
      </w:tr>
      <w:tr w:rsidR="00AD3606" w:rsidRPr="00F26A9A" w14:paraId="5E13DB25" w14:textId="77777777" w:rsidTr="00AD3606">
        <w:trPr>
          <w:cantSplit/>
        </w:trPr>
        <w:tc>
          <w:tcPr>
            <w:tcW w:w="9214" w:type="dxa"/>
            <w:gridSpan w:val="2"/>
            <w:tcMar>
              <w:left w:w="0" w:type="dxa"/>
            </w:tcMar>
          </w:tcPr>
          <w:p w14:paraId="0260FE99" w14:textId="06889047" w:rsidR="00AD3606" w:rsidRPr="00F26A9A" w:rsidRDefault="00E375A1" w:rsidP="00176F47">
            <w:pPr>
              <w:pStyle w:val="Subtitle"/>
              <w:framePr w:hSpace="0" w:wrap="auto" w:hAnchor="text" w:xAlign="left" w:yAlign="inline"/>
            </w:pPr>
            <w:bookmarkStart w:id="9" w:name="dtitle1" w:colFirst="0" w:colLast="0"/>
            <w:bookmarkStart w:id="10" w:name="_Hlk198305968"/>
            <w:bookmarkEnd w:id="8"/>
            <w:r w:rsidRPr="00F26A9A">
              <w:t>JIU REPORTS ON UNITED NATIONS SYSTEM-WIDE ISSUES FOR 2023-2024 AND RECOMMENDATIONS TO LEGISLATIVE BODIES</w:t>
            </w:r>
            <w:bookmarkEnd w:id="10"/>
          </w:p>
        </w:tc>
      </w:tr>
      <w:tr w:rsidR="00AD3606" w:rsidRPr="00F26A9A" w14:paraId="4CE4F678" w14:textId="77777777" w:rsidTr="00AD3606">
        <w:trPr>
          <w:cantSplit/>
        </w:trPr>
        <w:tc>
          <w:tcPr>
            <w:tcW w:w="9214" w:type="dxa"/>
            <w:gridSpan w:val="2"/>
            <w:tcBorders>
              <w:top w:val="single" w:sz="4" w:space="0" w:color="auto"/>
              <w:bottom w:val="single" w:sz="4" w:space="0" w:color="auto"/>
            </w:tcBorders>
            <w:tcMar>
              <w:left w:w="0" w:type="dxa"/>
            </w:tcMar>
          </w:tcPr>
          <w:p w14:paraId="3ACAF0B0" w14:textId="77777777" w:rsidR="00AD3606" w:rsidRPr="00F26A9A" w:rsidRDefault="00F16BAB" w:rsidP="00F16BAB">
            <w:pPr>
              <w:spacing w:before="160"/>
              <w:rPr>
                <w:b/>
                <w:bCs/>
                <w:sz w:val="26"/>
                <w:szCs w:val="26"/>
              </w:rPr>
            </w:pPr>
            <w:r w:rsidRPr="00F26A9A">
              <w:rPr>
                <w:b/>
                <w:bCs/>
                <w:sz w:val="26"/>
                <w:szCs w:val="26"/>
              </w:rPr>
              <w:t>Purpose</w:t>
            </w:r>
          </w:p>
          <w:p w14:paraId="16805D0B" w14:textId="0C21FA4B" w:rsidR="00AD3606" w:rsidRPr="00F26A9A" w:rsidRDefault="00E375A1" w:rsidP="00B41511">
            <w:pPr>
              <w:jc w:val="both"/>
            </w:pPr>
            <w:r w:rsidRPr="00F26A9A">
              <w:t>This document presents a summary table of the JIU reports from the 2023/2024 programme of work made available since the last session of</w:t>
            </w:r>
            <w:r w:rsidR="00B13F60">
              <w:t xml:space="preserve"> the</w:t>
            </w:r>
            <w:r w:rsidRPr="00F26A9A">
              <w:t xml:space="preserve"> Council, detailing the set of recommendations addressed to the Governing bodies of the ITU, as well as comments from the secretariat, where </w:t>
            </w:r>
            <w:r w:rsidRPr="00F26A9A">
              <w:t>applicable. Links are provided to the full reports, summary highlights, and CEB comments where available.</w:t>
            </w:r>
          </w:p>
          <w:p w14:paraId="557E1EF3" w14:textId="77777777" w:rsidR="00AD3606" w:rsidRPr="00F26A9A" w:rsidRDefault="00AD3606" w:rsidP="00F16BAB">
            <w:pPr>
              <w:spacing w:before="160"/>
              <w:rPr>
                <w:b/>
                <w:bCs/>
                <w:sz w:val="26"/>
                <w:szCs w:val="26"/>
              </w:rPr>
            </w:pPr>
            <w:r w:rsidRPr="00F26A9A">
              <w:rPr>
                <w:b/>
                <w:bCs/>
                <w:sz w:val="26"/>
                <w:szCs w:val="26"/>
              </w:rPr>
              <w:t>Action required</w:t>
            </w:r>
            <w:r w:rsidR="00F16BAB" w:rsidRPr="00F26A9A">
              <w:rPr>
                <w:b/>
                <w:bCs/>
                <w:sz w:val="26"/>
                <w:szCs w:val="26"/>
              </w:rPr>
              <w:t xml:space="preserve"> by the Council</w:t>
            </w:r>
          </w:p>
          <w:p w14:paraId="627633B5" w14:textId="223A233B" w:rsidR="00722551" w:rsidRPr="00F26A9A" w:rsidRDefault="00E375A1" w:rsidP="00B41511">
            <w:pPr>
              <w:jc w:val="both"/>
            </w:pPr>
            <w:r w:rsidRPr="00F26A9A">
              <w:t>The Council is invited</w:t>
            </w:r>
            <w:r w:rsidRPr="00B13F60">
              <w:t xml:space="preserve"> to</w:t>
            </w:r>
            <w:r w:rsidRPr="00F26A9A">
              <w:rPr>
                <w:b/>
                <w:bCs/>
              </w:rPr>
              <w:t xml:space="preserve"> consider</w:t>
            </w:r>
            <w:r w:rsidRPr="00F26A9A">
              <w:t xml:space="preserve"> the six recommendations addressed to the Legislative Bodies (Recommendation 5 of the Review of implementation of the principle of mutual recognition; Recommendations 2 and 3 of the Review </w:t>
            </w:r>
            <w:r w:rsidRPr="00F26A9A">
              <w:t>of budgeting in UN system organizations; Recommendation 2 of Review of consideration of and action taken on the reports and recommendations of the JIU; Recommendation 7</w:t>
            </w:r>
            <w:r w:rsidR="00F26A9A">
              <w:t xml:space="preserve"> </w:t>
            </w:r>
            <w:r w:rsidRPr="00F26A9A">
              <w:t>of the Review of quality, effectiveness, efficiency and sustainability of health insurance schemes; and Recommendation 5 of the Review of the use of non-staff personnel and related contractual modalities) and</w:t>
            </w:r>
            <w:r w:rsidRPr="00F26A9A">
              <w:rPr>
                <w:b/>
                <w:bCs/>
              </w:rPr>
              <w:t xml:space="preserve"> decide</w:t>
            </w:r>
            <w:r w:rsidRPr="00F26A9A">
              <w:t xml:space="preserve"> on their acceptance.</w:t>
            </w:r>
          </w:p>
          <w:p w14:paraId="6BAA8204" w14:textId="77777777" w:rsidR="00722551" w:rsidRPr="00F26A9A" w:rsidRDefault="00722551" w:rsidP="00722551">
            <w:pPr>
              <w:spacing w:before="160"/>
              <w:rPr>
                <w:b/>
                <w:bCs/>
                <w:sz w:val="26"/>
                <w:szCs w:val="26"/>
              </w:rPr>
            </w:pPr>
            <w:r w:rsidRPr="00F26A9A">
              <w:rPr>
                <w:b/>
                <w:bCs/>
                <w:sz w:val="26"/>
                <w:szCs w:val="26"/>
              </w:rPr>
              <w:t>Relevant link</w:t>
            </w:r>
            <w:r w:rsidR="00176F47" w:rsidRPr="00F26A9A">
              <w:rPr>
                <w:b/>
                <w:bCs/>
                <w:sz w:val="26"/>
                <w:szCs w:val="26"/>
              </w:rPr>
              <w:t>(s)</w:t>
            </w:r>
            <w:r w:rsidRPr="00F26A9A">
              <w:rPr>
                <w:b/>
                <w:bCs/>
                <w:sz w:val="26"/>
                <w:szCs w:val="26"/>
              </w:rPr>
              <w:t xml:space="preserve"> with the Strategic Plan</w:t>
            </w:r>
          </w:p>
          <w:p w14:paraId="074AB670" w14:textId="23D53864" w:rsidR="00722551" w:rsidRPr="00F26A9A" w:rsidRDefault="00E375A1" w:rsidP="00E375A1">
            <w:pPr>
              <w:spacing w:before="160"/>
            </w:pPr>
            <w:r w:rsidRPr="00F26A9A">
              <w:t>Excellence in human resources and organizational innovation.</w:t>
            </w:r>
          </w:p>
          <w:p w14:paraId="58459837" w14:textId="77777777" w:rsidR="00722551" w:rsidRPr="00F26A9A" w:rsidRDefault="00722551" w:rsidP="00722551">
            <w:pPr>
              <w:spacing w:before="160"/>
              <w:rPr>
                <w:b/>
                <w:bCs/>
                <w:sz w:val="26"/>
                <w:szCs w:val="26"/>
              </w:rPr>
            </w:pPr>
            <w:r w:rsidRPr="00F26A9A">
              <w:rPr>
                <w:b/>
                <w:bCs/>
                <w:sz w:val="26"/>
                <w:szCs w:val="26"/>
              </w:rPr>
              <w:t>Financial implications</w:t>
            </w:r>
          </w:p>
          <w:p w14:paraId="00ED524C" w14:textId="5DAAFAD4" w:rsidR="00453079" w:rsidRPr="00F26A9A" w:rsidRDefault="00E375A1" w:rsidP="00E375A1">
            <w:r w:rsidRPr="00F26A9A">
              <w:t>No financial implication and to be implemented within both current financial and human resources.</w:t>
            </w:r>
          </w:p>
          <w:p w14:paraId="2B7AD8B2" w14:textId="77777777" w:rsidR="00C0458D" w:rsidRPr="00F26A9A" w:rsidRDefault="00C0458D">
            <w:r w:rsidRPr="00F26A9A">
              <w:t>_______________</w:t>
            </w:r>
          </w:p>
          <w:p w14:paraId="22D7E927" w14:textId="77777777" w:rsidR="00AD3606" w:rsidRPr="00F26A9A" w:rsidRDefault="00AD3606" w:rsidP="00F16BAB">
            <w:pPr>
              <w:spacing w:before="160"/>
              <w:rPr>
                <w:b/>
                <w:bCs/>
                <w:sz w:val="26"/>
                <w:szCs w:val="26"/>
              </w:rPr>
            </w:pPr>
            <w:r w:rsidRPr="00F26A9A">
              <w:rPr>
                <w:b/>
                <w:bCs/>
                <w:sz w:val="26"/>
                <w:szCs w:val="26"/>
              </w:rPr>
              <w:t>References</w:t>
            </w:r>
          </w:p>
          <w:p w14:paraId="50183CE5" w14:textId="526875A3" w:rsidR="00AD3606" w:rsidRPr="00B0300B" w:rsidRDefault="008636B8" w:rsidP="00F16BAB">
            <w:pPr>
              <w:spacing w:after="160"/>
              <w:rPr>
                <w:i/>
                <w:iCs/>
                <w:sz w:val="22"/>
                <w:szCs w:val="22"/>
              </w:rPr>
            </w:pPr>
            <w:r w:rsidRPr="00B0300B">
              <w:rPr>
                <w:i/>
                <w:iCs/>
                <w:sz w:val="22"/>
                <w:szCs w:val="22"/>
              </w:rPr>
              <w:t xml:space="preserve">Council reports </w:t>
            </w:r>
            <w:hyperlink r:id="rId11" w:history="1">
              <w:r w:rsidRPr="00B0300B">
                <w:rPr>
                  <w:rStyle w:val="Hyperlink"/>
                  <w:i/>
                  <w:iCs/>
                  <w:sz w:val="22"/>
                  <w:szCs w:val="22"/>
                </w:rPr>
                <w:t>C24/57</w:t>
              </w:r>
            </w:hyperlink>
            <w:r w:rsidRPr="00B0300B">
              <w:rPr>
                <w:i/>
                <w:iCs/>
                <w:sz w:val="22"/>
                <w:szCs w:val="22"/>
              </w:rPr>
              <w:t xml:space="preserve">, </w:t>
            </w:r>
            <w:hyperlink r:id="rId12" w:history="1">
              <w:r w:rsidR="00E375A1" w:rsidRPr="00B0300B">
                <w:rPr>
                  <w:rStyle w:val="Hyperlink"/>
                  <w:i/>
                  <w:iCs/>
                  <w:sz w:val="22"/>
                  <w:szCs w:val="22"/>
                </w:rPr>
                <w:t>C</w:t>
              </w:r>
              <w:r w:rsidR="00B0300B" w:rsidRPr="00B0300B">
                <w:rPr>
                  <w:rStyle w:val="Hyperlink"/>
                  <w:i/>
                  <w:iCs/>
                  <w:sz w:val="22"/>
                  <w:szCs w:val="22"/>
                </w:rPr>
                <w:t>23/57</w:t>
              </w:r>
            </w:hyperlink>
            <w:r w:rsidR="00E375A1" w:rsidRPr="00B0300B">
              <w:rPr>
                <w:i/>
                <w:iCs/>
                <w:sz w:val="22"/>
                <w:szCs w:val="22"/>
              </w:rPr>
              <w:t>;</w:t>
            </w:r>
            <w:r w:rsidR="00B0300B" w:rsidRPr="00B0300B">
              <w:rPr>
                <w:i/>
                <w:iCs/>
                <w:sz w:val="22"/>
                <w:szCs w:val="22"/>
              </w:rPr>
              <w:t xml:space="preserve"> and</w:t>
            </w:r>
            <w:r w:rsidR="00E375A1" w:rsidRPr="00B0300B">
              <w:rPr>
                <w:i/>
                <w:iCs/>
                <w:sz w:val="22"/>
                <w:szCs w:val="22"/>
              </w:rPr>
              <w:t xml:space="preserve"> </w:t>
            </w:r>
            <w:hyperlink r:id="rId13" w:history="1">
              <w:r w:rsidR="00E375A1" w:rsidRPr="00B0300B">
                <w:rPr>
                  <w:rStyle w:val="Hyperlink"/>
                  <w:i/>
                  <w:iCs/>
                  <w:sz w:val="22"/>
                  <w:szCs w:val="22"/>
                </w:rPr>
                <w:t>C</w:t>
              </w:r>
              <w:r w:rsidR="00B0300B" w:rsidRPr="00B0300B">
                <w:rPr>
                  <w:rStyle w:val="Hyperlink"/>
                  <w:i/>
                  <w:iCs/>
                  <w:sz w:val="22"/>
                  <w:szCs w:val="22"/>
                </w:rPr>
                <w:t>22/61</w:t>
              </w:r>
            </w:hyperlink>
          </w:p>
        </w:tc>
      </w:tr>
    </w:tbl>
    <w:p w14:paraId="06D03084" w14:textId="77777777" w:rsidR="00E227F3" w:rsidRPr="00F26A9A"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9"/>
    </w:p>
    <w:bookmarkEnd w:id="3"/>
    <w:bookmarkEnd w:id="4"/>
    <w:bookmarkEnd w:id="5"/>
    <w:bookmarkEnd w:id="11"/>
    <w:p w14:paraId="61C05E9B" w14:textId="77777777" w:rsidR="00E375A1" w:rsidRPr="00F26A9A" w:rsidRDefault="00E375A1" w:rsidP="00C36A93">
      <w:pPr>
        <w:pStyle w:val="Reasons"/>
        <w:rPr>
          <w:rFonts w:asciiTheme="minorHAnsi" w:hAnsiTheme="minorHAnsi" w:cstheme="minorHAnsi"/>
          <w:lang w:val="en-GB"/>
        </w:rPr>
        <w:sectPr w:rsidR="00E375A1" w:rsidRPr="00F26A9A" w:rsidSect="00AD3606">
          <w:footerReference w:type="default" r:id="rId14"/>
          <w:headerReference w:type="first" r:id="rId15"/>
          <w:footerReference w:type="first" r:id="rId16"/>
          <w:pgSz w:w="11907" w:h="16834"/>
          <w:pgMar w:top="1418" w:right="1418" w:bottom="1418" w:left="1418" w:header="720" w:footer="720" w:gutter="0"/>
          <w:paperSrc w:first="286" w:other="286"/>
          <w:cols w:space="720"/>
          <w:titlePg/>
        </w:sectPr>
      </w:pPr>
    </w:p>
    <w:p w14:paraId="761E23EB" w14:textId="6282A1CB" w:rsidR="00E375A1" w:rsidRPr="00F26A9A" w:rsidRDefault="00E375A1" w:rsidP="00292021">
      <w:pPr>
        <w:pStyle w:val="Annextitle"/>
      </w:pPr>
      <w:r w:rsidRPr="00F26A9A">
        <w:rPr>
          <w:rFonts w:eastAsia="SimSun"/>
        </w:rPr>
        <w:lastRenderedPageBreak/>
        <w:t xml:space="preserve">2023-2024 JIU UN </w:t>
      </w:r>
      <w:r w:rsidR="00292021" w:rsidRPr="00F26A9A">
        <w:rPr>
          <w:rFonts w:eastAsia="SimSun"/>
        </w:rPr>
        <w:t>system-wide reports</w:t>
      </w:r>
    </w:p>
    <w:tbl>
      <w:tblPr>
        <w:tblStyle w:val="TableGrid"/>
        <w:tblW w:w="14176" w:type="dxa"/>
        <w:tblInd w:w="-147" w:type="dxa"/>
        <w:tblLook w:val="04A0" w:firstRow="1" w:lastRow="0" w:firstColumn="1" w:lastColumn="0" w:noHBand="0" w:noVBand="1"/>
      </w:tblPr>
      <w:tblGrid>
        <w:gridCol w:w="2410"/>
        <w:gridCol w:w="11766"/>
      </w:tblGrid>
      <w:tr w:rsidR="00E375A1" w:rsidRPr="00F26A9A" w14:paraId="3589FCC4" w14:textId="77777777" w:rsidTr="016468FB">
        <w:trPr>
          <w:trHeight w:val="405"/>
        </w:trPr>
        <w:tc>
          <w:tcPr>
            <w:tcW w:w="14176" w:type="dxa"/>
            <w:gridSpan w:val="2"/>
            <w:shd w:val="clear" w:color="auto" w:fill="FFFF00"/>
          </w:tcPr>
          <w:p w14:paraId="3F3A2499" w14:textId="607A9808" w:rsidR="00E375A1" w:rsidRPr="00F26A9A" w:rsidRDefault="00E375A1" w:rsidP="00292021">
            <w:pPr>
              <w:autoSpaceDN/>
              <w:jc w:val="center"/>
              <w:rPr>
                <w:rFonts w:cs="Calibri"/>
                <w:b/>
                <w:bCs/>
                <w:color w:val="000000"/>
                <w:sz w:val="20"/>
                <w:szCs w:val="20"/>
              </w:rPr>
            </w:pPr>
            <w:r w:rsidRPr="00F26A9A">
              <w:rPr>
                <w:rFonts w:cs="Calibri"/>
                <w:b/>
                <w:bCs/>
                <w:color w:val="000000"/>
                <w:sz w:val="20"/>
                <w:szCs w:val="20"/>
              </w:rPr>
              <w:t xml:space="preserve">JIU/REP/2024/4 </w:t>
            </w:r>
            <w:hyperlink r:id="rId17" w:history="1">
              <w:r w:rsidRPr="00F26A9A">
                <w:rPr>
                  <w:rStyle w:val="Hyperlink"/>
                  <w:rFonts w:cs="Calibri"/>
                  <w:b/>
                  <w:bCs/>
                  <w:sz w:val="20"/>
                  <w:szCs w:val="20"/>
                </w:rPr>
                <w:t>Review of the implementation of the principle of mutual recognition within the United Nations system</w:t>
              </w:r>
            </w:hyperlink>
            <w:r w:rsidR="00292021">
              <w:br/>
            </w:r>
            <w:r w:rsidRPr="00F26A9A">
              <w:rPr>
                <w:rFonts w:cs="Calibri"/>
                <w:b/>
                <w:bCs/>
                <w:color w:val="000000"/>
                <w:sz w:val="20"/>
                <w:szCs w:val="20"/>
              </w:rPr>
              <w:t>ITU Focal Point: Alassane Ba</w:t>
            </w:r>
          </w:p>
          <w:p w14:paraId="349AE683" w14:textId="3611E1E6" w:rsidR="00E375A1" w:rsidRPr="00F26A9A" w:rsidRDefault="00F26A9A" w:rsidP="00F26A9A">
            <w:pPr>
              <w:tabs>
                <w:tab w:val="clear" w:pos="567"/>
                <w:tab w:val="clear" w:pos="1134"/>
                <w:tab w:val="clear" w:pos="1701"/>
                <w:tab w:val="clear" w:pos="2268"/>
                <w:tab w:val="clear" w:pos="2835"/>
              </w:tabs>
              <w:overflowPunct/>
              <w:autoSpaceDE/>
              <w:autoSpaceDN/>
              <w:adjustRightInd/>
              <w:spacing w:before="0"/>
              <w:ind w:left="360" w:hanging="360"/>
              <w:jc w:val="center"/>
              <w:textAlignment w:val="auto"/>
              <w:rPr>
                <w:rFonts w:cs="Calibri"/>
                <w:b/>
                <w:color w:val="000000"/>
                <w:sz w:val="20"/>
                <w:szCs w:val="20"/>
                <w:highlight w:val="yellow"/>
              </w:rPr>
            </w:pPr>
            <w:r w:rsidRPr="00F26A9A">
              <w:rPr>
                <w:rFonts w:ascii="Symbol" w:hAnsi="Symbol" w:cs="Calibri"/>
                <w:color w:val="000000"/>
                <w:sz w:val="20"/>
                <w:szCs w:val="20"/>
                <w:highlight w:val="yellow"/>
              </w:rPr>
              <w:t></w:t>
            </w:r>
            <w:r w:rsidRPr="00F26A9A">
              <w:rPr>
                <w:rFonts w:ascii="Symbol" w:hAnsi="Symbol" w:cs="Calibri"/>
                <w:color w:val="000000"/>
                <w:sz w:val="20"/>
                <w:szCs w:val="20"/>
                <w:highlight w:val="yellow"/>
              </w:rPr>
              <w:tab/>
            </w:r>
            <w:hyperlink r:id="rId18">
              <w:r w:rsidR="00E375A1" w:rsidRPr="00F26A9A">
                <w:rPr>
                  <w:rStyle w:val="Hyperlink"/>
                  <w:rFonts w:cs="Calibri"/>
                  <w:b/>
                  <w:bCs/>
                  <w:sz w:val="20"/>
                  <w:szCs w:val="20"/>
                </w:rPr>
                <w:t>Review Highlights</w:t>
              </w:r>
            </w:hyperlink>
          </w:p>
        </w:tc>
      </w:tr>
      <w:tr w:rsidR="00E375A1" w:rsidRPr="00F26A9A" w14:paraId="7986687A" w14:textId="77777777" w:rsidTr="016468FB">
        <w:trPr>
          <w:trHeight w:val="570"/>
        </w:trPr>
        <w:tc>
          <w:tcPr>
            <w:tcW w:w="2410" w:type="dxa"/>
            <w:shd w:val="clear" w:color="auto" w:fill="E1EBF7"/>
          </w:tcPr>
          <w:p w14:paraId="09B2C87E" w14:textId="77777777" w:rsidR="00E375A1" w:rsidRPr="00F26A9A" w:rsidRDefault="00E375A1" w:rsidP="00C36A93">
            <w:pPr>
              <w:jc w:val="right"/>
              <w:rPr>
                <w:rFonts w:cs="Calibri"/>
                <w:b/>
                <w:bCs/>
                <w:sz w:val="20"/>
                <w:szCs w:val="20"/>
              </w:rPr>
            </w:pPr>
            <w:r w:rsidRPr="00F26A9A">
              <w:rPr>
                <w:rFonts w:cs="Calibri"/>
                <w:b/>
                <w:bCs/>
                <w:sz w:val="20"/>
                <w:szCs w:val="20"/>
              </w:rPr>
              <w:t>Recommendation addressed to the Legislative/Governing bodies:</w:t>
            </w:r>
          </w:p>
        </w:tc>
        <w:tc>
          <w:tcPr>
            <w:tcW w:w="11766" w:type="dxa"/>
            <w:shd w:val="clear" w:color="auto" w:fill="FFFFFF" w:themeFill="background1"/>
          </w:tcPr>
          <w:p w14:paraId="2AC242B8" w14:textId="77777777" w:rsidR="00E375A1" w:rsidRPr="00F26A9A" w:rsidRDefault="00E375A1" w:rsidP="00C36A93">
            <w:pPr>
              <w:rPr>
                <w:rFonts w:cs="Calibri"/>
                <w:sz w:val="20"/>
                <w:szCs w:val="20"/>
              </w:rPr>
            </w:pPr>
            <w:r w:rsidRPr="00F26A9A">
              <w:rPr>
                <w:rFonts w:cs="Calibri"/>
                <w:b/>
                <w:color w:val="000000" w:themeColor="text1"/>
                <w:sz w:val="20"/>
                <w:szCs w:val="20"/>
                <w:highlight w:val="cyan"/>
              </w:rPr>
              <w:t>Recommendation 5:</w:t>
            </w:r>
            <w:r w:rsidRPr="00F26A9A">
              <w:rPr>
                <w:rFonts w:cs="Calibri"/>
                <w:b/>
                <w:color w:val="000000" w:themeColor="text1"/>
                <w:sz w:val="20"/>
                <w:szCs w:val="20"/>
              </w:rPr>
              <w:t xml:space="preserve"> </w:t>
            </w:r>
            <w:r w:rsidRPr="00F26A9A">
              <w:rPr>
                <w:rFonts w:cs="Calibri"/>
                <w:color w:val="000000" w:themeColor="text1"/>
                <w:sz w:val="20"/>
                <w:szCs w:val="20"/>
              </w:rPr>
              <w:t xml:space="preserve">The legislative organs and governing bodies of United Nations system organizations should, by the end of 2026, request the executive heads of signatory organizations to the Mutual Recognition Statement who have not yet done so to include the efficiency gains resulting from the implementation of the principle of mutual recognition in their regular reporting </w:t>
            </w:r>
            <w:proofErr w:type="gramStart"/>
            <w:r w:rsidRPr="00F26A9A">
              <w:rPr>
                <w:rFonts w:cs="Calibri"/>
                <w:color w:val="000000" w:themeColor="text1"/>
                <w:sz w:val="20"/>
                <w:szCs w:val="20"/>
              </w:rPr>
              <w:t>in order to</w:t>
            </w:r>
            <w:proofErr w:type="gramEnd"/>
            <w:r w:rsidRPr="00F26A9A">
              <w:rPr>
                <w:rFonts w:cs="Calibri"/>
                <w:color w:val="000000" w:themeColor="text1"/>
                <w:sz w:val="20"/>
                <w:szCs w:val="20"/>
              </w:rPr>
              <w:t xml:space="preserve"> ensure proper monitoring and oversight.</w:t>
            </w:r>
          </w:p>
        </w:tc>
      </w:tr>
      <w:tr w:rsidR="00E375A1" w:rsidRPr="00F26A9A" w14:paraId="5B7039A0" w14:textId="77777777" w:rsidTr="016468FB">
        <w:tc>
          <w:tcPr>
            <w:tcW w:w="2410" w:type="dxa"/>
            <w:shd w:val="clear" w:color="auto" w:fill="EAF1DD" w:themeFill="accent3" w:themeFillTint="33"/>
          </w:tcPr>
          <w:p w14:paraId="34631625" w14:textId="75F497D7" w:rsidR="00E375A1" w:rsidRPr="00F26A9A" w:rsidRDefault="00E375A1" w:rsidP="00C36A93">
            <w:pPr>
              <w:jc w:val="right"/>
              <w:rPr>
                <w:rFonts w:cs="Calibri"/>
                <w:b/>
                <w:bCs/>
                <w:sz w:val="20"/>
                <w:szCs w:val="20"/>
              </w:rPr>
            </w:pPr>
            <w:r w:rsidRPr="00F26A9A">
              <w:rPr>
                <w:rFonts w:cs="Calibri"/>
                <w:b/>
                <w:bCs/>
                <w:sz w:val="20"/>
                <w:szCs w:val="20"/>
              </w:rPr>
              <w:t>Action Required</w:t>
            </w:r>
            <w:r w:rsidRPr="00F26A9A">
              <w:rPr>
                <w:rFonts w:cs="Calibri"/>
                <w:sz w:val="20"/>
                <w:szCs w:val="20"/>
              </w:rPr>
              <w:t xml:space="preserve">: </w:t>
            </w:r>
          </w:p>
        </w:tc>
        <w:tc>
          <w:tcPr>
            <w:tcW w:w="11766" w:type="dxa"/>
          </w:tcPr>
          <w:p w14:paraId="58554CCD" w14:textId="77777777" w:rsidR="00E375A1" w:rsidRPr="00F26A9A" w:rsidRDefault="00E375A1" w:rsidP="00C36A93">
            <w:pPr>
              <w:rPr>
                <w:rFonts w:cs="Calibri"/>
                <w:b/>
                <w:bCs/>
                <w:sz w:val="20"/>
                <w:szCs w:val="20"/>
              </w:rPr>
            </w:pPr>
            <w:r w:rsidRPr="00F26A9A">
              <w:rPr>
                <w:rFonts w:cs="Calibri"/>
                <w:sz w:val="20"/>
                <w:szCs w:val="20"/>
                <w:highlight w:val="green"/>
              </w:rPr>
              <w:t>(</w:t>
            </w:r>
            <w:r w:rsidRPr="00F26A9A">
              <w:rPr>
                <w:rFonts w:cs="Calibri"/>
                <w:b/>
                <w:bCs/>
                <w:sz w:val="20"/>
                <w:szCs w:val="20"/>
                <w:highlight w:val="green"/>
              </w:rPr>
              <w:t>Accept</w:t>
            </w:r>
            <w:r w:rsidRPr="00F26A9A">
              <w:rPr>
                <w:rFonts w:cs="Calibri"/>
                <w:sz w:val="20"/>
                <w:szCs w:val="20"/>
              </w:rPr>
              <w:t>, Not accept, Not Relevant or Requires further consideration)</w:t>
            </w:r>
          </w:p>
        </w:tc>
      </w:tr>
      <w:tr w:rsidR="00E375A1" w:rsidRPr="00F26A9A" w14:paraId="2835E562" w14:textId="77777777" w:rsidTr="016468FB">
        <w:tc>
          <w:tcPr>
            <w:tcW w:w="2410" w:type="dxa"/>
          </w:tcPr>
          <w:p w14:paraId="7B5F9134" w14:textId="77777777" w:rsidR="00E375A1" w:rsidRPr="00F26A9A" w:rsidRDefault="00E375A1" w:rsidP="00C36A93">
            <w:pPr>
              <w:jc w:val="right"/>
              <w:rPr>
                <w:rFonts w:cs="Calibri"/>
                <w:b/>
                <w:bCs/>
                <w:sz w:val="20"/>
                <w:szCs w:val="20"/>
              </w:rPr>
            </w:pPr>
            <w:r w:rsidRPr="016468FB">
              <w:rPr>
                <w:rFonts w:cs="Calibri"/>
                <w:b/>
                <w:bCs/>
                <w:sz w:val="20"/>
                <w:szCs w:val="20"/>
              </w:rPr>
              <w:t xml:space="preserve">ITU comments on pertinence, financial and human resource implications: </w:t>
            </w:r>
          </w:p>
        </w:tc>
        <w:tc>
          <w:tcPr>
            <w:tcW w:w="11766" w:type="dxa"/>
          </w:tcPr>
          <w:p w14:paraId="64EB0BF0" w14:textId="13B4D23F" w:rsidR="00E375A1" w:rsidRPr="00F26A9A" w:rsidRDefault="00E375A1" w:rsidP="0007171E">
            <w:r w:rsidRPr="016468FB">
              <w:rPr>
                <w:rFonts w:asciiTheme="minorHAnsi" w:eastAsiaTheme="minorEastAsia" w:hAnsiTheme="minorHAnsi"/>
                <w:sz w:val="20"/>
                <w:szCs w:val="20"/>
              </w:rPr>
              <w:t>ITU is a signatory of the Mutual Recognition Statement</w:t>
            </w:r>
            <w:r w:rsidR="0007171E">
              <w:rPr>
                <w:rFonts w:asciiTheme="minorHAnsi" w:eastAsiaTheme="minorEastAsia" w:hAnsiTheme="minorHAnsi"/>
                <w:sz w:val="20"/>
                <w:szCs w:val="20"/>
              </w:rPr>
              <w:t xml:space="preserve">. </w:t>
            </w:r>
            <w:r w:rsidRPr="016468FB">
              <w:rPr>
                <w:rFonts w:asciiTheme="minorHAnsi" w:eastAsiaTheme="minorEastAsia" w:hAnsiTheme="minorHAnsi"/>
                <w:sz w:val="20"/>
                <w:szCs w:val="20"/>
              </w:rPr>
              <w:t>ITU should accept this recommendation and the efficiency gains resulting from the implementation of the principle of mutual recognition will be mentioned in their regular reports.</w:t>
            </w:r>
            <w:r w:rsidRPr="016468FB">
              <w:rPr>
                <w:rFonts w:eastAsia="Calibri" w:cs="Calibri"/>
                <w:color w:val="000000" w:themeColor="text1"/>
                <w:sz w:val="20"/>
                <w:szCs w:val="20"/>
              </w:rPr>
              <w:t xml:space="preserve"> In alignment with recommendation 2 and the development of the operational guideline by CEB HRN, ITU anticipates using the mutual recognition statement to make efficiency gains. Procurement work will be conducted through the Procurement network.</w:t>
            </w:r>
          </w:p>
        </w:tc>
      </w:tr>
      <w:tr w:rsidR="00E375A1" w:rsidRPr="00F26A9A" w14:paraId="1F7A0D87" w14:textId="77777777" w:rsidTr="016468FB">
        <w:tc>
          <w:tcPr>
            <w:tcW w:w="2410" w:type="dxa"/>
          </w:tcPr>
          <w:p w14:paraId="36ADA95C" w14:textId="77777777" w:rsidR="00E375A1" w:rsidRPr="00F26A9A" w:rsidRDefault="00E375A1" w:rsidP="00C36A93">
            <w:pPr>
              <w:jc w:val="right"/>
              <w:rPr>
                <w:rFonts w:cs="Calibri"/>
                <w:b/>
                <w:bCs/>
                <w:sz w:val="20"/>
                <w:szCs w:val="20"/>
              </w:rPr>
            </w:pPr>
            <w:r w:rsidRPr="00F26A9A">
              <w:rPr>
                <w:rFonts w:cs="Calibri"/>
                <w:b/>
                <w:bCs/>
                <w:sz w:val="20"/>
                <w:szCs w:val="20"/>
              </w:rPr>
              <w:t xml:space="preserve">CEB UN system wide comments: </w:t>
            </w:r>
          </w:p>
        </w:tc>
        <w:tc>
          <w:tcPr>
            <w:tcW w:w="11766" w:type="dxa"/>
          </w:tcPr>
          <w:p w14:paraId="3F46F036" w14:textId="77777777" w:rsidR="00E375A1" w:rsidRPr="00F26A9A" w:rsidRDefault="00E375A1" w:rsidP="00C36A93">
            <w:pPr>
              <w:rPr>
                <w:rFonts w:cs="Calibri"/>
                <w:b/>
                <w:bCs/>
                <w:sz w:val="20"/>
                <w:szCs w:val="20"/>
              </w:rPr>
            </w:pPr>
            <w:r w:rsidRPr="00F26A9A">
              <w:rPr>
                <w:rFonts w:cs="Calibri"/>
                <w:b/>
                <w:bCs/>
                <w:color w:val="FF0000"/>
                <w:sz w:val="20"/>
                <w:szCs w:val="20"/>
              </w:rPr>
              <w:t>Not yet available</w:t>
            </w:r>
          </w:p>
        </w:tc>
      </w:tr>
      <w:tr w:rsidR="00E375A1" w:rsidRPr="00F26A9A" w14:paraId="7FD6F4F2" w14:textId="77777777" w:rsidTr="016468FB">
        <w:tc>
          <w:tcPr>
            <w:tcW w:w="2410" w:type="dxa"/>
          </w:tcPr>
          <w:p w14:paraId="2865B994" w14:textId="77777777" w:rsidR="00E375A1" w:rsidRPr="00F26A9A" w:rsidRDefault="00E375A1" w:rsidP="00C36A93">
            <w:pPr>
              <w:jc w:val="right"/>
              <w:rPr>
                <w:rFonts w:cs="Calibri"/>
                <w:sz w:val="20"/>
                <w:szCs w:val="20"/>
              </w:rPr>
            </w:pPr>
            <w:r w:rsidRPr="00F26A9A">
              <w:rPr>
                <w:rFonts w:cs="Calibri"/>
                <w:b/>
                <w:bCs/>
                <w:sz w:val="20"/>
                <w:szCs w:val="20"/>
              </w:rPr>
              <w:t>Implementation Status:</w:t>
            </w:r>
          </w:p>
        </w:tc>
        <w:tc>
          <w:tcPr>
            <w:tcW w:w="11766" w:type="dxa"/>
          </w:tcPr>
          <w:p w14:paraId="618D2BD2" w14:textId="77777777" w:rsidR="00E375A1" w:rsidRPr="00F26A9A" w:rsidRDefault="00E375A1" w:rsidP="00C36A93">
            <w:pPr>
              <w:rPr>
                <w:rFonts w:cs="Calibri"/>
                <w:sz w:val="20"/>
                <w:szCs w:val="20"/>
              </w:rPr>
            </w:pPr>
            <w:r w:rsidRPr="00F26A9A">
              <w:rPr>
                <w:rFonts w:cs="Calibri"/>
                <w:sz w:val="20"/>
                <w:szCs w:val="20"/>
              </w:rPr>
              <w:t xml:space="preserve">In progress </w:t>
            </w:r>
          </w:p>
        </w:tc>
      </w:tr>
      <w:tr w:rsidR="00E375A1" w:rsidRPr="00F26A9A" w14:paraId="33CD7AE1" w14:textId="77777777" w:rsidTr="016468FB">
        <w:trPr>
          <w:trHeight w:val="405"/>
        </w:trPr>
        <w:tc>
          <w:tcPr>
            <w:tcW w:w="14176" w:type="dxa"/>
            <w:gridSpan w:val="2"/>
            <w:shd w:val="clear" w:color="auto" w:fill="FFFF00"/>
          </w:tcPr>
          <w:p w14:paraId="342B9388" w14:textId="49B149B5" w:rsidR="00E375A1" w:rsidRPr="00F26A9A" w:rsidRDefault="00E375A1" w:rsidP="004B1955">
            <w:pPr>
              <w:keepNext/>
              <w:tabs>
                <w:tab w:val="clear" w:pos="567"/>
                <w:tab w:val="clear" w:pos="1134"/>
                <w:tab w:val="clear" w:pos="1701"/>
                <w:tab w:val="clear" w:pos="2268"/>
                <w:tab w:val="clear" w:pos="2835"/>
              </w:tabs>
              <w:overflowPunct/>
              <w:autoSpaceDE/>
              <w:adjustRightInd/>
              <w:jc w:val="center"/>
              <w:textAlignment w:val="auto"/>
              <w:rPr>
                <w:rFonts w:cs="Calibri"/>
                <w:b/>
                <w:bCs/>
                <w:sz w:val="20"/>
                <w:szCs w:val="20"/>
              </w:rPr>
            </w:pPr>
            <w:r w:rsidRPr="00F26A9A">
              <w:rPr>
                <w:rFonts w:cs="Calibri"/>
                <w:b/>
                <w:bCs/>
                <w:color w:val="000000"/>
                <w:sz w:val="20"/>
                <w:szCs w:val="20"/>
              </w:rPr>
              <w:lastRenderedPageBreak/>
              <w:t xml:space="preserve">JIU/REP/2024/3 (Part I) </w:t>
            </w:r>
            <w:hyperlink r:id="rId19" w:history="1">
              <w:r w:rsidRPr="00F26A9A">
                <w:rPr>
                  <w:rStyle w:val="Hyperlink"/>
                  <w:rFonts w:cs="Calibri"/>
                  <w:b/>
                  <w:bCs/>
                  <w:sz w:val="20"/>
                  <w:szCs w:val="20"/>
                </w:rPr>
                <w:t>Budgeting in organizations of the United Nations system Part I - Comparative analysis</w:t>
              </w:r>
            </w:hyperlink>
            <w:r w:rsidRPr="00F26A9A">
              <w:t xml:space="preserve"> </w:t>
            </w:r>
            <w:r w:rsidRPr="00F26A9A">
              <w:rPr>
                <w:rFonts w:cs="Calibri"/>
                <w:b/>
                <w:bCs/>
                <w:sz w:val="20"/>
                <w:szCs w:val="20"/>
              </w:rPr>
              <w:t xml:space="preserve"> </w:t>
            </w:r>
            <w:r w:rsidR="00292021">
              <w:rPr>
                <w:rFonts w:cs="Calibri"/>
                <w:b/>
                <w:bCs/>
                <w:sz w:val="20"/>
                <w:szCs w:val="20"/>
              </w:rPr>
              <w:br/>
            </w:r>
            <w:r w:rsidRPr="00F26A9A">
              <w:rPr>
                <w:rFonts w:cs="Calibri"/>
                <w:b/>
                <w:bCs/>
                <w:color w:val="000000"/>
                <w:sz w:val="20"/>
                <w:szCs w:val="20"/>
              </w:rPr>
              <w:t>JIU/REP/2024/3(Part II)</w:t>
            </w:r>
            <w:r w:rsidRPr="00F26A9A">
              <w:t xml:space="preserve"> </w:t>
            </w:r>
            <w:hyperlink r:id="rId20" w:history="1">
              <w:r w:rsidRPr="00F26A9A">
                <w:rPr>
                  <w:rStyle w:val="Hyperlink"/>
                  <w:rFonts w:cs="Calibri"/>
                  <w:b/>
                  <w:bCs/>
                  <w:sz w:val="20"/>
                  <w:szCs w:val="20"/>
                </w:rPr>
                <w:t>Budgeting in organizations of the United Nations system Part II Reference tables</w:t>
              </w:r>
            </w:hyperlink>
            <w:r w:rsidRPr="00F26A9A">
              <w:rPr>
                <w:rFonts w:cs="Calibri"/>
                <w:b/>
                <w:bCs/>
                <w:sz w:val="20"/>
                <w:szCs w:val="20"/>
              </w:rPr>
              <w:t xml:space="preserve"> </w:t>
            </w:r>
            <w:r w:rsidRPr="00F26A9A">
              <w:rPr>
                <w:rFonts w:cs="Calibri"/>
                <w:b/>
                <w:bCs/>
                <w:color w:val="0000FF"/>
                <w:sz w:val="20"/>
                <w:szCs w:val="20"/>
              </w:rPr>
              <w:t xml:space="preserve"> </w:t>
            </w:r>
            <w:r w:rsidR="00292021">
              <w:rPr>
                <w:rFonts w:cs="Calibri"/>
                <w:b/>
                <w:bCs/>
                <w:color w:val="0000FF"/>
                <w:sz w:val="20"/>
                <w:szCs w:val="20"/>
              </w:rPr>
              <w:br/>
            </w:r>
            <w:r w:rsidRPr="00F26A9A">
              <w:rPr>
                <w:rFonts w:cs="Calibri"/>
                <w:b/>
                <w:bCs/>
                <w:sz w:val="20"/>
                <w:szCs w:val="20"/>
              </w:rPr>
              <w:t>ITU Focal Point: Jean-Paul Lovato</w:t>
            </w:r>
          </w:p>
          <w:p w14:paraId="06C7A339" w14:textId="1F165043" w:rsidR="00E375A1" w:rsidRPr="00F26A9A" w:rsidRDefault="00F26A9A" w:rsidP="004B1955">
            <w:pPr>
              <w:keepNext/>
              <w:tabs>
                <w:tab w:val="clear" w:pos="567"/>
                <w:tab w:val="clear" w:pos="1134"/>
                <w:tab w:val="clear" w:pos="1701"/>
                <w:tab w:val="clear" w:pos="2268"/>
                <w:tab w:val="clear" w:pos="2835"/>
              </w:tabs>
              <w:overflowPunct/>
              <w:autoSpaceDE/>
              <w:adjustRightInd/>
              <w:spacing w:before="0"/>
              <w:ind w:left="720" w:hanging="360"/>
              <w:jc w:val="center"/>
              <w:textAlignment w:val="auto"/>
              <w:rPr>
                <w:rFonts w:cs="Calibri"/>
                <w:b/>
                <w:bCs/>
                <w:color w:val="000000"/>
                <w:sz w:val="20"/>
                <w:szCs w:val="20"/>
              </w:rPr>
            </w:pPr>
            <w:r w:rsidRPr="00F26A9A">
              <w:rPr>
                <w:rFonts w:ascii="Symbol" w:hAnsi="Symbol" w:cs="Calibri"/>
                <w:bCs/>
                <w:color w:val="000000"/>
                <w:sz w:val="20"/>
                <w:szCs w:val="20"/>
              </w:rPr>
              <w:t></w:t>
            </w:r>
            <w:r w:rsidRPr="00F26A9A">
              <w:rPr>
                <w:rFonts w:ascii="Symbol" w:hAnsi="Symbol" w:cs="Calibri"/>
                <w:bCs/>
                <w:color w:val="000000"/>
                <w:sz w:val="20"/>
                <w:szCs w:val="20"/>
              </w:rPr>
              <w:tab/>
            </w:r>
            <w:hyperlink r:id="rId21" w:history="1">
              <w:r w:rsidR="00E375A1" w:rsidRPr="00F26A9A">
                <w:rPr>
                  <w:rStyle w:val="Hyperlink"/>
                  <w:rFonts w:cs="Calibri"/>
                  <w:b/>
                  <w:bCs/>
                  <w:sz w:val="20"/>
                  <w:szCs w:val="20"/>
                </w:rPr>
                <w:t>Review Highlights</w:t>
              </w:r>
            </w:hyperlink>
          </w:p>
        </w:tc>
      </w:tr>
      <w:tr w:rsidR="00E375A1" w:rsidRPr="00F26A9A" w14:paraId="3259B2FC" w14:textId="77777777" w:rsidTr="016468FB">
        <w:trPr>
          <w:trHeight w:val="653"/>
        </w:trPr>
        <w:tc>
          <w:tcPr>
            <w:tcW w:w="2410" w:type="dxa"/>
            <w:shd w:val="clear" w:color="auto" w:fill="E1EBF7"/>
          </w:tcPr>
          <w:p w14:paraId="47A1B177" w14:textId="2451951A" w:rsidR="00E375A1" w:rsidRPr="00F26A9A" w:rsidRDefault="00E375A1" w:rsidP="004B1955">
            <w:pPr>
              <w:keepNext/>
              <w:jc w:val="right"/>
              <w:rPr>
                <w:rFonts w:cs="Calibri"/>
                <w:b/>
                <w:bCs/>
                <w:sz w:val="20"/>
                <w:szCs w:val="20"/>
              </w:rPr>
            </w:pPr>
            <w:r w:rsidRPr="00F26A9A">
              <w:rPr>
                <w:rFonts w:cs="Calibri"/>
                <w:b/>
                <w:bCs/>
                <w:sz w:val="20"/>
                <w:szCs w:val="20"/>
              </w:rPr>
              <w:t>Recommendation addressed to the Legislative/Governing bodies:</w:t>
            </w:r>
          </w:p>
        </w:tc>
        <w:tc>
          <w:tcPr>
            <w:tcW w:w="11766" w:type="dxa"/>
            <w:shd w:val="clear" w:color="auto" w:fill="FFFFFF" w:themeFill="background1"/>
          </w:tcPr>
          <w:p w14:paraId="21220D01" w14:textId="77777777" w:rsidR="00E375A1" w:rsidRPr="00F26A9A" w:rsidRDefault="00E375A1" w:rsidP="004B1955">
            <w:pPr>
              <w:keepNext/>
              <w:rPr>
                <w:rFonts w:cs="Calibri"/>
                <w:sz w:val="20"/>
                <w:szCs w:val="20"/>
              </w:rPr>
            </w:pPr>
            <w:r w:rsidRPr="00F26A9A">
              <w:rPr>
                <w:rFonts w:cs="Calibri"/>
                <w:b/>
                <w:bCs/>
                <w:color w:val="000000"/>
                <w:sz w:val="20"/>
                <w:szCs w:val="20"/>
                <w:highlight w:val="cyan"/>
              </w:rPr>
              <w:t>Recommendation 2:</w:t>
            </w:r>
            <w:r w:rsidRPr="00F26A9A">
              <w:rPr>
                <w:rFonts w:cs="Calibri"/>
                <w:b/>
                <w:bCs/>
                <w:color w:val="000000"/>
                <w:sz w:val="20"/>
                <w:szCs w:val="20"/>
              </w:rPr>
              <w:t xml:space="preserve"> </w:t>
            </w:r>
            <w:r w:rsidRPr="00F26A9A">
              <w:rPr>
                <w:rFonts w:cs="Calibri"/>
                <w:color w:val="000000"/>
                <w:sz w:val="20"/>
                <w:szCs w:val="20"/>
              </w:rPr>
              <w:t>The legislative organs and governing bodies of the JIU participating organizations should request the executive heads of the respective organizations, in their capacity as members of CEB, to update, by the end of 2027, the Standard classification of objects of expenditure and make it publicly available, inter alia, for use as a reference document in budgeting.</w:t>
            </w:r>
          </w:p>
        </w:tc>
      </w:tr>
      <w:tr w:rsidR="00E375A1" w:rsidRPr="00F26A9A" w14:paraId="6EBC78C9" w14:textId="77777777" w:rsidTr="016468FB">
        <w:tc>
          <w:tcPr>
            <w:tcW w:w="2410" w:type="dxa"/>
            <w:shd w:val="clear" w:color="auto" w:fill="EAF1DD" w:themeFill="accent3" w:themeFillTint="33"/>
          </w:tcPr>
          <w:p w14:paraId="36343C4C" w14:textId="37FF37FE" w:rsidR="00E375A1" w:rsidRPr="00F26A9A" w:rsidRDefault="00E375A1" w:rsidP="004B1955">
            <w:pPr>
              <w:keepNext/>
              <w:jc w:val="right"/>
              <w:rPr>
                <w:rFonts w:cs="Calibri"/>
                <w:b/>
                <w:bCs/>
                <w:sz w:val="20"/>
                <w:szCs w:val="20"/>
              </w:rPr>
            </w:pPr>
            <w:r w:rsidRPr="00F26A9A">
              <w:rPr>
                <w:rFonts w:cs="Calibri"/>
                <w:b/>
                <w:bCs/>
                <w:sz w:val="20"/>
                <w:szCs w:val="20"/>
              </w:rPr>
              <w:t>Action Required</w:t>
            </w:r>
            <w:r w:rsidRPr="00F26A9A">
              <w:rPr>
                <w:rFonts w:cs="Calibri"/>
                <w:sz w:val="20"/>
                <w:szCs w:val="20"/>
              </w:rPr>
              <w:t xml:space="preserve">: </w:t>
            </w:r>
          </w:p>
        </w:tc>
        <w:tc>
          <w:tcPr>
            <w:tcW w:w="11766" w:type="dxa"/>
          </w:tcPr>
          <w:p w14:paraId="0CFA05C8" w14:textId="77777777" w:rsidR="00E375A1" w:rsidRPr="00F26A9A" w:rsidRDefault="00E375A1" w:rsidP="004B1955">
            <w:pPr>
              <w:keepNext/>
              <w:rPr>
                <w:rFonts w:cs="Calibri"/>
                <w:b/>
                <w:bCs/>
                <w:sz w:val="20"/>
                <w:szCs w:val="20"/>
              </w:rPr>
            </w:pPr>
            <w:r w:rsidRPr="00F26A9A">
              <w:rPr>
                <w:rFonts w:cs="Calibri"/>
                <w:sz w:val="20"/>
                <w:szCs w:val="20"/>
                <w:highlight w:val="green"/>
              </w:rPr>
              <w:t>(</w:t>
            </w:r>
            <w:r w:rsidRPr="00F26A9A">
              <w:rPr>
                <w:rFonts w:cs="Calibri"/>
                <w:b/>
                <w:bCs/>
                <w:sz w:val="20"/>
                <w:szCs w:val="20"/>
                <w:highlight w:val="green"/>
              </w:rPr>
              <w:t>Accept</w:t>
            </w:r>
            <w:r w:rsidRPr="00F26A9A">
              <w:rPr>
                <w:rFonts w:cs="Calibri"/>
                <w:sz w:val="20"/>
                <w:szCs w:val="20"/>
              </w:rPr>
              <w:t>, Not accept, Not Relevant or Requires further consideration)</w:t>
            </w:r>
          </w:p>
        </w:tc>
      </w:tr>
      <w:tr w:rsidR="00E375A1" w:rsidRPr="00F26A9A" w14:paraId="435E5A34" w14:textId="77777777" w:rsidTr="016468FB">
        <w:tc>
          <w:tcPr>
            <w:tcW w:w="2410" w:type="dxa"/>
          </w:tcPr>
          <w:p w14:paraId="4F729A86" w14:textId="77777777" w:rsidR="00E375A1" w:rsidRPr="00F26A9A" w:rsidRDefault="00E375A1" w:rsidP="00C36A93">
            <w:pPr>
              <w:jc w:val="right"/>
              <w:rPr>
                <w:rFonts w:cs="Calibri"/>
                <w:b/>
                <w:bCs/>
                <w:sz w:val="20"/>
                <w:szCs w:val="20"/>
              </w:rPr>
            </w:pPr>
            <w:r w:rsidRPr="00F26A9A">
              <w:rPr>
                <w:rFonts w:cs="Calibri"/>
                <w:b/>
                <w:bCs/>
                <w:sz w:val="20"/>
                <w:szCs w:val="20"/>
              </w:rPr>
              <w:t>ITU comments on pertinence, financial and human resource implications:</w:t>
            </w:r>
          </w:p>
        </w:tc>
        <w:tc>
          <w:tcPr>
            <w:tcW w:w="11766" w:type="dxa"/>
          </w:tcPr>
          <w:p w14:paraId="3D5A1181" w14:textId="68D1D139" w:rsidR="00E375A1" w:rsidRPr="00F26A9A" w:rsidRDefault="00E375A1" w:rsidP="00F26A9A">
            <w:pPr>
              <w:rPr>
                <w:rFonts w:asciiTheme="minorHAnsi" w:hAnsiTheme="minorHAnsi"/>
                <w:sz w:val="20"/>
                <w:szCs w:val="20"/>
              </w:rPr>
            </w:pPr>
            <w:r w:rsidRPr="00F26A9A">
              <w:rPr>
                <w:rFonts w:asciiTheme="minorHAnsi" w:hAnsiTheme="minorHAnsi"/>
                <w:sz w:val="20"/>
                <w:szCs w:val="20"/>
              </w:rPr>
              <w:t>The standard classification of objects of expenditure already exists within the ITU, in accordance with the current financial regulations. In addition, the financial statements are accessible to the public once they have been approved by the governing bodies. The categories of expenditure are used in the preparation and establishment of budgets.</w:t>
            </w:r>
          </w:p>
        </w:tc>
      </w:tr>
      <w:tr w:rsidR="00E375A1" w:rsidRPr="00F26A9A" w14:paraId="6769D084" w14:textId="77777777" w:rsidTr="016468FB">
        <w:tc>
          <w:tcPr>
            <w:tcW w:w="2410" w:type="dxa"/>
          </w:tcPr>
          <w:p w14:paraId="15B75CA7" w14:textId="77777777" w:rsidR="00E375A1" w:rsidRPr="00F26A9A" w:rsidRDefault="00E375A1" w:rsidP="00C36A93">
            <w:pPr>
              <w:jc w:val="right"/>
              <w:rPr>
                <w:rFonts w:cs="Calibri"/>
                <w:b/>
                <w:bCs/>
                <w:sz w:val="20"/>
                <w:szCs w:val="20"/>
              </w:rPr>
            </w:pPr>
            <w:r w:rsidRPr="00F26A9A">
              <w:rPr>
                <w:rFonts w:cs="Calibri"/>
                <w:b/>
                <w:bCs/>
                <w:sz w:val="20"/>
                <w:szCs w:val="20"/>
              </w:rPr>
              <w:t xml:space="preserve">CEB UN system wide comments: </w:t>
            </w:r>
          </w:p>
        </w:tc>
        <w:tc>
          <w:tcPr>
            <w:tcW w:w="11766" w:type="dxa"/>
          </w:tcPr>
          <w:p w14:paraId="366A2B64" w14:textId="4EAA96EE" w:rsidR="00E375A1" w:rsidRPr="00F26A9A" w:rsidRDefault="00E375A1" w:rsidP="00C36A93">
            <w:pPr>
              <w:rPr>
                <w:rFonts w:cs="Calibri"/>
                <w:sz w:val="20"/>
                <w:szCs w:val="20"/>
              </w:rPr>
            </w:pPr>
            <w:r w:rsidRPr="00F26A9A">
              <w:rPr>
                <w:rFonts w:cs="Calibri"/>
                <w:sz w:val="20"/>
                <w:szCs w:val="20"/>
              </w:rPr>
              <w:t>While partially supportive of the recommendation to update the standard classification of objects of expenditure for reference purposes, some note that the reference classification should not inhibit organizations from tailoring their expenditure chart of accounts to support and facilitate results-based budgeting. In addition, several organizations consider this recommendation already implemented, with reference to a Joint Cost Recovery Policy harmonized across several organizations, which was jointly approved by the Executive Boards of those entities.</w:t>
            </w:r>
          </w:p>
          <w:p w14:paraId="220F6210" w14:textId="77777777" w:rsidR="00E375A1" w:rsidRPr="00F26A9A" w:rsidRDefault="00E375A1" w:rsidP="00C36A93">
            <w:pPr>
              <w:rPr>
                <w:rFonts w:cs="Calibri"/>
                <w:sz w:val="20"/>
                <w:szCs w:val="20"/>
              </w:rPr>
            </w:pPr>
            <w:r w:rsidRPr="00F26A9A">
              <w:rPr>
                <w:rFonts w:cs="Calibri"/>
                <w:sz w:val="20"/>
                <w:szCs w:val="20"/>
              </w:rPr>
              <w:t>Others note that the cost categories are derived from the chart of accounts and reflect the specific mandate of an organization, and that attempts to harmonize may be in contradiction to chart of account best practices. In addition, the challenge of aligning classification of objects of expenditure across different United Nations organizations which have different mandates and operational modalities was emphasized. In this regard, any proposed update to the standard classification of objects of expenditure should be used primarily for inter-agency reporting purposes rather than budgeting, in consideration of the specificities of organizations’ mandates and operational modalities.</w:t>
            </w:r>
          </w:p>
          <w:p w14:paraId="4331C545" w14:textId="77777777" w:rsidR="00E375A1" w:rsidRPr="00F26A9A" w:rsidRDefault="00E375A1" w:rsidP="00C36A93">
            <w:pPr>
              <w:rPr>
                <w:rFonts w:cs="Calibri"/>
                <w:b/>
                <w:bCs/>
                <w:sz w:val="20"/>
                <w:szCs w:val="20"/>
              </w:rPr>
            </w:pPr>
            <w:r w:rsidRPr="00F26A9A">
              <w:rPr>
                <w:rFonts w:cs="Calibri"/>
                <w:sz w:val="20"/>
                <w:szCs w:val="20"/>
              </w:rPr>
              <w:t>In terms of the implementation timeline, organizations underscore that they cannot commit to the proposed timeline as collective agreement among members of the Finance and Budget Network will be required and the process may take longer.</w:t>
            </w:r>
          </w:p>
        </w:tc>
      </w:tr>
      <w:tr w:rsidR="00E375A1" w:rsidRPr="00F26A9A" w14:paraId="30145CAC" w14:textId="77777777" w:rsidTr="016468FB">
        <w:tc>
          <w:tcPr>
            <w:tcW w:w="2410" w:type="dxa"/>
          </w:tcPr>
          <w:p w14:paraId="617139BC" w14:textId="77777777" w:rsidR="00E375A1" w:rsidRPr="00F26A9A" w:rsidRDefault="00E375A1" w:rsidP="00C36A93">
            <w:pPr>
              <w:jc w:val="right"/>
              <w:rPr>
                <w:rFonts w:cs="Calibri"/>
                <w:sz w:val="20"/>
                <w:szCs w:val="20"/>
              </w:rPr>
            </w:pPr>
            <w:r w:rsidRPr="00F26A9A">
              <w:rPr>
                <w:rFonts w:cs="Calibri"/>
                <w:b/>
                <w:bCs/>
                <w:sz w:val="20"/>
                <w:szCs w:val="20"/>
              </w:rPr>
              <w:t>Implementation Status:</w:t>
            </w:r>
          </w:p>
        </w:tc>
        <w:tc>
          <w:tcPr>
            <w:tcW w:w="11766" w:type="dxa"/>
          </w:tcPr>
          <w:p w14:paraId="4FC0BCB5" w14:textId="77777777" w:rsidR="00E375A1" w:rsidRPr="00F26A9A" w:rsidRDefault="00E375A1" w:rsidP="00C36A93">
            <w:pPr>
              <w:rPr>
                <w:rFonts w:cs="Calibri"/>
                <w:sz w:val="20"/>
                <w:szCs w:val="20"/>
              </w:rPr>
            </w:pPr>
            <w:r w:rsidRPr="00F26A9A">
              <w:rPr>
                <w:rFonts w:asciiTheme="minorHAnsi" w:hAnsiTheme="minorHAnsi"/>
                <w:sz w:val="20"/>
                <w:szCs w:val="20"/>
              </w:rPr>
              <w:t>Will be implemented within the framework of the financial transformation that is currently underway in ITU.</w:t>
            </w:r>
          </w:p>
        </w:tc>
      </w:tr>
      <w:tr w:rsidR="00E375A1" w:rsidRPr="00F26A9A" w14:paraId="1E3FCF8B" w14:textId="77777777" w:rsidTr="016468FB">
        <w:trPr>
          <w:trHeight w:val="129"/>
        </w:trPr>
        <w:tc>
          <w:tcPr>
            <w:tcW w:w="14176" w:type="dxa"/>
            <w:gridSpan w:val="2"/>
            <w:shd w:val="clear" w:color="auto" w:fill="F2F2F2" w:themeFill="background1" w:themeFillShade="F2"/>
          </w:tcPr>
          <w:p w14:paraId="18340210" w14:textId="77777777" w:rsidR="00E375A1" w:rsidRPr="00F26A9A" w:rsidRDefault="00E375A1" w:rsidP="004B1955">
            <w:pPr>
              <w:spacing w:before="0"/>
              <w:rPr>
                <w:rFonts w:asciiTheme="minorHAnsi" w:hAnsiTheme="minorHAnsi"/>
                <w:sz w:val="20"/>
              </w:rPr>
            </w:pPr>
          </w:p>
        </w:tc>
      </w:tr>
      <w:tr w:rsidR="00E375A1" w:rsidRPr="00F26A9A" w14:paraId="334883AA" w14:textId="77777777" w:rsidTr="016468FB">
        <w:trPr>
          <w:trHeight w:val="251"/>
        </w:trPr>
        <w:tc>
          <w:tcPr>
            <w:tcW w:w="2410" w:type="dxa"/>
            <w:shd w:val="clear" w:color="auto" w:fill="E1EBF7"/>
          </w:tcPr>
          <w:p w14:paraId="41646571" w14:textId="54545C2F" w:rsidR="00E375A1" w:rsidRPr="00F26A9A" w:rsidRDefault="00E375A1" w:rsidP="004D76B1">
            <w:pPr>
              <w:keepNext/>
              <w:tabs>
                <w:tab w:val="clear" w:pos="567"/>
              </w:tabs>
              <w:jc w:val="right"/>
              <w:rPr>
                <w:rFonts w:cs="Calibri"/>
                <w:b/>
                <w:bCs/>
                <w:sz w:val="20"/>
                <w:szCs w:val="20"/>
              </w:rPr>
            </w:pPr>
            <w:r w:rsidRPr="00F26A9A">
              <w:rPr>
                <w:rFonts w:cs="Calibri"/>
                <w:sz w:val="20"/>
                <w:szCs w:val="20"/>
              </w:rPr>
              <w:lastRenderedPageBreak/>
              <w:br w:type="page"/>
            </w:r>
            <w:r w:rsidRPr="00F26A9A">
              <w:rPr>
                <w:rFonts w:cs="Calibri"/>
                <w:b/>
                <w:bCs/>
                <w:sz w:val="20"/>
                <w:szCs w:val="20"/>
              </w:rPr>
              <w:t xml:space="preserve">Recommendation addressed to the Legislative/Governing bodies: </w:t>
            </w:r>
          </w:p>
        </w:tc>
        <w:tc>
          <w:tcPr>
            <w:tcW w:w="11766" w:type="dxa"/>
            <w:shd w:val="clear" w:color="auto" w:fill="FFFFFF" w:themeFill="background1"/>
          </w:tcPr>
          <w:p w14:paraId="439481E8" w14:textId="77777777" w:rsidR="00E375A1" w:rsidRPr="00F26A9A" w:rsidRDefault="00E375A1" w:rsidP="004B1955">
            <w:pPr>
              <w:keepNext/>
              <w:rPr>
                <w:rFonts w:cs="Calibri"/>
                <w:sz w:val="20"/>
                <w:szCs w:val="20"/>
              </w:rPr>
            </w:pPr>
            <w:r w:rsidRPr="00F26A9A">
              <w:rPr>
                <w:rFonts w:cs="Calibri"/>
                <w:b/>
                <w:bCs/>
                <w:color w:val="000000"/>
                <w:sz w:val="20"/>
                <w:szCs w:val="20"/>
                <w:highlight w:val="cyan"/>
              </w:rPr>
              <w:t>Recommendation 3:</w:t>
            </w:r>
            <w:r w:rsidRPr="00F26A9A">
              <w:rPr>
                <w:rFonts w:cs="Calibri"/>
                <w:b/>
                <w:bCs/>
                <w:color w:val="000000"/>
                <w:sz w:val="20"/>
                <w:szCs w:val="20"/>
              </w:rPr>
              <w:t xml:space="preserve"> </w:t>
            </w:r>
            <w:r w:rsidRPr="00F26A9A">
              <w:rPr>
                <w:rFonts w:cs="Calibri"/>
                <w:color w:val="000000"/>
                <w:sz w:val="20"/>
                <w:szCs w:val="20"/>
              </w:rPr>
              <w:t xml:space="preserve">The legislative organs and governing bodies of the JIU participating organizations should request the executive heads of the respective organizations to refrain from reducing the level of detail currently provided in the context of their budget consideration, starting with the next budget cycle, </w:t>
            </w:r>
            <w:proofErr w:type="gramStart"/>
            <w:r w:rsidRPr="00F26A9A">
              <w:rPr>
                <w:rFonts w:cs="Calibri"/>
                <w:color w:val="000000"/>
                <w:sz w:val="20"/>
                <w:szCs w:val="20"/>
              </w:rPr>
              <w:t>so as to</w:t>
            </w:r>
            <w:proofErr w:type="gramEnd"/>
            <w:r w:rsidRPr="00F26A9A">
              <w:rPr>
                <w:rFonts w:cs="Calibri"/>
                <w:color w:val="000000"/>
                <w:sz w:val="20"/>
                <w:szCs w:val="20"/>
              </w:rPr>
              <w:t xml:space="preserve"> ensure a meaningful decision-making process.</w:t>
            </w:r>
          </w:p>
        </w:tc>
      </w:tr>
      <w:tr w:rsidR="00E375A1" w:rsidRPr="00F26A9A" w14:paraId="5D509265" w14:textId="77777777" w:rsidTr="016468FB">
        <w:tc>
          <w:tcPr>
            <w:tcW w:w="2410" w:type="dxa"/>
            <w:shd w:val="clear" w:color="auto" w:fill="EAF1DD" w:themeFill="accent3" w:themeFillTint="33"/>
          </w:tcPr>
          <w:p w14:paraId="7FEFD730" w14:textId="5513DC1F" w:rsidR="00E375A1" w:rsidRPr="00F26A9A" w:rsidRDefault="00E375A1" w:rsidP="00C36A93">
            <w:pPr>
              <w:jc w:val="right"/>
              <w:rPr>
                <w:rFonts w:cs="Calibri"/>
                <w:b/>
                <w:bCs/>
                <w:sz w:val="20"/>
                <w:szCs w:val="20"/>
              </w:rPr>
            </w:pPr>
            <w:r w:rsidRPr="00F26A9A">
              <w:rPr>
                <w:rFonts w:cs="Calibri"/>
                <w:b/>
                <w:bCs/>
                <w:sz w:val="20"/>
                <w:szCs w:val="20"/>
              </w:rPr>
              <w:t>Action Required</w:t>
            </w:r>
            <w:r w:rsidRPr="00F26A9A">
              <w:rPr>
                <w:rFonts w:cs="Calibri"/>
                <w:sz w:val="20"/>
                <w:szCs w:val="20"/>
              </w:rPr>
              <w:t xml:space="preserve">: </w:t>
            </w:r>
          </w:p>
        </w:tc>
        <w:tc>
          <w:tcPr>
            <w:tcW w:w="11766" w:type="dxa"/>
          </w:tcPr>
          <w:p w14:paraId="2F1F42C0" w14:textId="77777777" w:rsidR="00E375A1" w:rsidRPr="00F26A9A" w:rsidRDefault="00E375A1" w:rsidP="00C36A93">
            <w:pPr>
              <w:rPr>
                <w:rFonts w:cs="Calibri"/>
                <w:b/>
                <w:bCs/>
                <w:sz w:val="20"/>
                <w:szCs w:val="20"/>
              </w:rPr>
            </w:pPr>
            <w:r w:rsidRPr="00F26A9A">
              <w:rPr>
                <w:rFonts w:cs="Calibri"/>
                <w:sz w:val="20"/>
                <w:szCs w:val="20"/>
                <w:highlight w:val="green"/>
              </w:rPr>
              <w:t>(</w:t>
            </w:r>
            <w:r w:rsidRPr="00F26A9A">
              <w:rPr>
                <w:rFonts w:cs="Calibri"/>
                <w:b/>
                <w:bCs/>
                <w:sz w:val="20"/>
                <w:szCs w:val="20"/>
                <w:highlight w:val="green"/>
              </w:rPr>
              <w:t>Accept</w:t>
            </w:r>
            <w:r w:rsidRPr="00F26A9A">
              <w:rPr>
                <w:rFonts w:cs="Calibri"/>
                <w:sz w:val="20"/>
                <w:szCs w:val="20"/>
              </w:rPr>
              <w:t>, Not accept, Not Relevant or Requires further consideration</w:t>
            </w:r>
          </w:p>
        </w:tc>
      </w:tr>
      <w:tr w:rsidR="00E375A1" w:rsidRPr="00F26A9A" w14:paraId="0F952029" w14:textId="77777777" w:rsidTr="016468FB">
        <w:tc>
          <w:tcPr>
            <w:tcW w:w="2410" w:type="dxa"/>
          </w:tcPr>
          <w:p w14:paraId="770D13F1" w14:textId="77777777" w:rsidR="00E375A1" w:rsidRPr="00F26A9A" w:rsidRDefault="00E375A1" w:rsidP="00C36A93">
            <w:pPr>
              <w:jc w:val="right"/>
              <w:rPr>
                <w:rFonts w:cs="Calibri"/>
                <w:b/>
                <w:bCs/>
                <w:sz w:val="20"/>
                <w:szCs w:val="20"/>
              </w:rPr>
            </w:pPr>
            <w:r w:rsidRPr="00F26A9A">
              <w:rPr>
                <w:rFonts w:cs="Calibri"/>
                <w:b/>
                <w:bCs/>
                <w:sz w:val="20"/>
                <w:szCs w:val="20"/>
              </w:rPr>
              <w:t>ITU comments on pertinence, financial and human resource implications:</w:t>
            </w:r>
          </w:p>
        </w:tc>
        <w:tc>
          <w:tcPr>
            <w:tcW w:w="11766" w:type="dxa"/>
          </w:tcPr>
          <w:p w14:paraId="4BC2E9EE" w14:textId="2DE14A07" w:rsidR="00E375A1" w:rsidRPr="00F26A9A" w:rsidRDefault="00E375A1" w:rsidP="016468FB">
            <w:pPr>
              <w:rPr>
                <w:rFonts w:asciiTheme="minorHAnsi" w:hAnsiTheme="minorHAnsi"/>
                <w:sz w:val="20"/>
                <w:szCs w:val="20"/>
              </w:rPr>
            </w:pPr>
            <w:r w:rsidRPr="016468FB">
              <w:rPr>
                <w:rFonts w:asciiTheme="minorHAnsi" w:hAnsiTheme="minorHAnsi"/>
                <w:sz w:val="20"/>
                <w:szCs w:val="20"/>
              </w:rPr>
              <w:t xml:space="preserve">The ITU continues to provide a </w:t>
            </w:r>
            <w:r w:rsidR="14EE402D" w:rsidRPr="140EC15A">
              <w:rPr>
                <w:rFonts w:asciiTheme="minorHAnsi" w:hAnsiTheme="minorHAnsi"/>
                <w:sz w:val="20"/>
                <w:szCs w:val="20"/>
              </w:rPr>
              <w:t>high</w:t>
            </w:r>
            <w:r w:rsidR="004D76B1">
              <w:rPr>
                <w:rFonts w:asciiTheme="minorHAnsi" w:hAnsiTheme="minorHAnsi"/>
                <w:sz w:val="20"/>
                <w:szCs w:val="20"/>
              </w:rPr>
              <w:t>-</w:t>
            </w:r>
            <w:r w:rsidRPr="016468FB">
              <w:rPr>
                <w:rFonts w:asciiTheme="minorHAnsi" w:hAnsiTheme="minorHAnsi"/>
                <w:sz w:val="20"/>
                <w:szCs w:val="20"/>
              </w:rPr>
              <w:t>level of detail to its members as part of their budget review. This level of detail has continued to be provided and even improved. This detailed information provides our members with a guarantee of the decision-making process when approving budgets.</w:t>
            </w:r>
          </w:p>
        </w:tc>
      </w:tr>
      <w:tr w:rsidR="00E375A1" w:rsidRPr="00F26A9A" w14:paraId="3C325EB2" w14:textId="77777777" w:rsidTr="016468FB">
        <w:tc>
          <w:tcPr>
            <w:tcW w:w="2410" w:type="dxa"/>
          </w:tcPr>
          <w:p w14:paraId="66FF906C" w14:textId="77777777" w:rsidR="00E375A1" w:rsidRPr="00F26A9A" w:rsidRDefault="00E375A1" w:rsidP="00C36A93">
            <w:pPr>
              <w:jc w:val="right"/>
              <w:rPr>
                <w:rFonts w:cs="Calibri"/>
                <w:b/>
                <w:bCs/>
                <w:sz w:val="20"/>
                <w:szCs w:val="20"/>
              </w:rPr>
            </w:pPr>
            <w:r w:rsidRPr="00F26A9A">
              <w:rPr>
                <w:rFonts w:cs="Calibri"/>
                <w:b/>
                <w:bCs/>
                <w:sz w:val="20"/>
                <w:szCs w:val="20"/>
              </w:rPr>
              <w:t xml:space="preserve">CEB UN system wide comments: </w:t>
            </w:r>
          </w:p>
        </w:tc>
        <w:tc>
          <w:tcPr>
            <w:tcW w:w="11766" w:type="dxa"/>
          </w:tcPr>
          <w:p w14:paraId="75545CAB" w14:textId="7242B8B0" w:rsidR="00E375A1" w:rsidRPr="00F26A9A" w:rsidRDefault="00E375A1" w:rsidP="00C36A93">
            <w:pPr>
              <w:rPr>
                <w:rFonts w:cs="Calibri"/>
                <w:sz w:val="20"/>
                <w:szCs w:val="20"/>
              </w:rPr>
            </w:pPr>
            <w:r w:rsidRPr="016468FB">
              <w:rPr>
                <w:rFonts w:cs="Calibri"/>
                <w:sz w:val="20"/>
                <w:szCs w:val="20"/>
              </w:rPr>
              <w:t>Organizations generally do not object to the recommendation, however, note that the required level of information should be driven by needs rather than a pre-established baseline, and that a reduction in the level of detail will not necessarily diminish transparency or accountability. It was also noted that this recommendation may contradict the recommendations of some governing bodies that have called for rationalizing and simplifying documents submitted to the governing body.</w:t>
            </w:r>
            <w:r w:rsidR="00FA1281">
              <w:rPr>
                <w:rFonts w:cs="Calibri"/>
                <w:sz w:val="20"/>
                <w:szCs w:val="20"/>
              </w:rPr>
              <w:t xml:space="preserve"> </w:t>
            </w:r>
            <w:r w:rsidR="00FA1281" w:rsidRPr="00FA1281">
              <w:rPr>
                <w:rFonts w:cs="Calibri"/>
                <w:sz w:val="20"/>
                <w:szCs w:val="20"/>
              </w:rPr>
              <w:t>Some organizations note that, in exceptional circumstances (e.g. liquidity challenges), temporary measures that reduce documentation costs by temporarily reducing the level of detail may be required.</w:t>
            </w:r>
          </w:p>
          <w:p w14:paraId="4073F95E" w14:textId="77777777" w:rsidR="00E375A1" w:rsidRPr="00F26A9A" w:rsidRDefault="00E375A1" w:rsidP="00C36A93">
            <w:pPr>
              <w:rPr>
                <w:rFonts w:cs="Calibri"/>
                <w:b/>
                <w:bCs/>
                <w:sz w:val="20"/>
                <w:szCs w:val="20"/>
              </w:rPr>
            </w:pPr>
            <w:r w:rsidRPr="00F26A9A">
              <w:rPr>
                <w:rFonts w:cs="Calibri"/>
                <w:sz w:val="20"/>
                <w:szCs w:val="20"/>
              </w:rPr>
              <w:t>Several organizations consider the proposed recommendation implemented and confirm that the level of detail already provided is deemed adequate.</w:t>
            </w:r>
          </w:p>
        </w:tc>
      </w:tr>
      <w:tr w:rsidR="00E375A1" w:rsidRPr="00F26A9A" w14:paraId="658B8B95" w14:textId="77777777" w:rsidTr="016468FB">
        <w:tc>
          <w:tcPr>
            <w:tcW w:w="2410" w:type="dxa"/>
          </w:tcPr>
          <w:p w14:paraId="73679A71" w14:textId="77777777" w:rsidR="00E375A1" w:rsidRPr="00F26A9A" w:rsidRDefault="00E375A1" w:rsidP="004B1955">
            <w:pPr>
              <w:spacing w:after="120"/>
              <w:jc w:val="right"/>
              <w:rPr>
                <w:rFonts w:cs="Calibri"/>
                <w:sz w:val="20"/>
                <w:szCs w:val="20"/>
              </w:rPr>
            </w:pPr>
            <w:r w:rsidRPr="00F26A9A">
              <w:rPr>
                <w:rFonts w:cs="Calibri"/>
                <w:b/>
                <w:bCs/>
                <w:sz w:val="20"/>
                <w:szCs w:val="20"/>
              </w:rPr>
              <w:t>Implementation Status:</w:t>
            </w:r>
          </w:p>
        </w:tc>
        <w:tc>
          <w:tcPr>
            <w:tcW w:w="11766" w:type="dxa"/>
          </w:tcPr>
          <w:p w14:paraId="689CE1B3" w14:textId="77777777" w:rsidR="00E375A1" w:rsidRPr="00F26A9A" w:rsidRDefault="00E375A1" w:rsidP="004B1955">
            <w:pPr>
              <w:spacing w:after="120"/>
              <w:rPr>
                <w:rFonts w:cs="Calibri"/>
                <w:sz w:val="20"/>
                <w:szCs w:val="20"/>
              </w:rPr>
            </w:pPr>
            <w:r w:rsidRPr="00F26A9A">
              <w:rPr>
                <w:rFonts w:cs="Calibri"/>
                <w:sz w:val="20"/>
                <w:szCs w:val="20"/>
              </w:rPr>
              <w:t xml:space="preserve">In progress: </w:t>
            </w:r>
            <w:r w:rsidRPr="00F26A9A">
              <w:rPr>
                <w:rFonts w:asciiTheme="minorHAnsi" w:hAnsiTheme="minorHAnsi"/>
                <w:sz w:val="20"/>
                <w:szCs w:val="20"/>
              </w:rPr>
              <w:t>The ITU budget for 2026-2027 will contain additional sets of information and detail as compared to previous budgets.</w:t>
            </w:r>
          </w:p>
        </w:tc>
      </w:tr>
      <w:tr w:rsidR="00E375A1" w:rsidRPr="00F26A9A" w14:paraId="32BAB82F" w14:textId="77777777" w:rsidTr="016468FB">
        <w:trPr>
          <w:trHeight w:val="405"/>
        </w:trPr>
        <w:tc>
          <w:tcPr>
            <w:tcW w:w="14176" w:type="dxa"/>
            <w:gridSpan w:val="2"/>
            <w:shd w:val="clear" w:color="auto" w:fill="FFFF00"/>
          </w:tcPr>
          <w:p w14:paraId="3576C120" w14:textId="77777777" w:rsidR="00E375A1" w:rsidRPr="00F26A9A" w:rsidRDefault="00E375A1" w:rsidP="00292021">
            <w:pPr>
              <w:tabs>
                <w:tab w:val="clear" w:pos="567"/>
                <w:tab w:val="clear" w:pos="1134"/>
                <w:tab w:val="clear" w:pos="1701"/>
                <w:tab w:val="clear" w:pos="2268"/>
                <w:tab w:val="clear" w:pos="2835"/>
              </w:tabs>
              <w:overflowPunct/>
              <w:autoSpaceDE/>
              <w:adjustRightInd/>
              <w:jc w:val="center"/>
              <w:textAlignment w:val="auto"/>
              <w:rPr>
                <w:rFonts w:cs="Calibri"/>
                <w:b/>
                <w:bCs/>
                <w:sz w:val="20"/>
                <w:szCs w:val="20"/>
              </w:rPr>
            </w:pPr>
            <w:r w:rsidRPr="00F26A9A">
              <w:rPr>
                <w:rFonts w:cs="Calibri"/>
                <w:b/>
                <w:bCs/>
                <w:color w:val="000000"/>
                <w:sz w:val="20"/>
                <w:szCs w:val="20"/>
              </w:rPr>
              <w:t xml:space="preserve">JIU/REP/2024/2 </w:t>
            </w:r>
            <w:hyperlink r:id="rId22" w:history="1">
              <w:r w:rsidRPr="00F26A9A">
                <w:rPr>
                  <w:rStyle w:val="Hyperlink"/>
                  <w:rFonts w:cs="Calibri"/>
                  <w:b/>
                  <w:bCs/>
                  <w:sz w:val="20"/>
                  <w:szCs w:val="20"/>
                </w:rPr>
                <w:t>Review of consideration of and action taken on the reports and recommendations of the Joint Inspection Unit by United Nations system organizations</w:t>
              </w:r>
            </w:hyperlink>
            <w:r w:rsidRPr="00F26A9A">
              <w:rPr>
                <w:rFonts w:cs="Calibri"/>
                <w:b/>
                <w:bCs/>
                <w:sz w:val="20"/>
                <w:szCs w:val="20"/>
              </w:rPr>
              <w:t xml:space="preserve"> </w:t>
            </w:r>
            <w:r w:rsidRPr="00F26A9A">
              <w:rPr>
                <w:rFonts w:cs="Calibri"/>
                <w:b/>
                <w:bCs/>
                <w:color w:val="0000FF"/>
                <w:sz w:val="20"/>
                <w:szCs w:val="20"/>
              </w:rPr>
              <w:t xml:space="preserve">- </w:t>
            </w:r>
            <w:r w:rsidRPr="00F26A9A">
              <w:rPr>
                <w:rFonts w:cs="Calibri"/>
                <w:b/>
                <w:bCs/>
                <w:sz w:val="20"/>
                <w:szCs w:val="20"/>
              </w:rPr>
              <w:t>ITU Focal Point: Mario Castro Grande</w:t>
            </w:r>
          </w:p>
          <w:p w14:paraId="27DBB4FB" w14:textId="627496E4" w:rsidR="00E375A1" w:rsidRPr="00F26A9A" w:rsidRDefault="00F26A9A" w:rsidP="00F26A9A">
            <w:pPr>
              <w:tabs>
                <w:tab w:val="clear" w:pos="567"/>
                <w:tab w:val="clear" w:pos="1134"/>
                <w:tab w:val="clear" w:pos="1701"/>
                <w:tab w:val="clear" w:pos="2268"/>
                <w:tab w:val="clear" w:pos="2835"/>
              </w:tabs>
              <w:overflowPunct/>
              <w:autoSpaceDE/>
              <w:adjustRightInd/>
              <w:spacing w:before="0"/>
              <w:ind w:left="720" w:hanging="360"/>
              <w:jc w:val="center"/>
              <w:textAlignment w:val="auto"/>
              <w:rPr>
                <w:rFonts w:cs="Calibri"/>
                <w:b/>
                <w:bCs/>
                <w:color w:val="000000"/>
                <w:sz w:val="20"/>
                <w:szCs w:val="20"/>
              </w:rPr>
            </w:pPr>
            <w:r w:rsidRPr="00F26A9A">
              <w:rPr>
                <w:rFonts w:ascii="Symbol" w:hAnsi="Symbol" w:cs="Calibri"/>
                <w:bCs/>
                <w:color w:val="000000"/>
                <w:sz w:val="20"/>
                <w:szCs w:val="20"/>
              </w:rPr>
              <w:t></w:t>
            </w:r>
            <w:r w:rsidRPr="00F26A9A">
              <w:rPr>
                <w:rFonts w:ascii="Symbol" w:hAnsi="Symbol" w:cs="Calibri"/>
                <w:bCs/>
                <w:color w:val="000000"/>
                <w:sz w:val="20"/>
                <w:szCs w:val="20"/>
              </w:rPr>
              <w:tab/>
            </w:r>
            <w:hyperlink r:id="rId23" w:history="1">
              <w:r w:rsidR="00E375A1" w:rsidRPr="00F26A9A">
                <w:rPr>
                  <w:rStyle w:val="Hyperlink"/>
                  <w:rFonts w:cs="Calibri"/>
                  <w:b/>
                  <w:bCs/>
                  <w:sz w:val="20"/>
                  <w:szCs w:val="20"/>
                </w:rPr>
                <w:t>Review Highlights</w:t>
              </w:r>
            </w:hyperlink>
          </w:p>
        </w:tc>
      </w:tr>
      <w:tr w:rsidR="00E375A1" w:rsidRPr="00F26A9A" w14:paraId="22995604" w14:textId="77777777" w:rsidTr="016468FB">
        <w:trPr>
          <w:trHeight w:val="1112"/>
        </w:trPr>
        <w:tc>
          <w:tcPr>
            <w:tcW w:w="2410" w:type="dxa"/>
            <w:shd w:val="clear" w:color="auto" w:fill="E1EBF7"/>
          </w:tcPr>
          <w:p w14:paraId="57D19B6D" w14:textId="31658CAE" w:rsidR="00E375A1" w:rsidRPr="00F26A9A" w:rsidRDefault="00E375A1" w:rsidP="004D76B1">
            <w:pPr>
              <w:spacing w:before="60"/>
              <w:jc w:val="right"/>
              <w:rPr>
                <w:rFonts w:cs="Calibri"/>
                <w:b/>
                <w:bCs/>
                <w:sz w:val="20"/>
                <w:szCs w:val="20"/>
              </w:rPr>
            </w:pPr>
            <w:r w:rsidRPr="00F26A9A">
              <w:rPr>
                <w:rFonts w:cs="Calibri"/>
                <w:b/>
                <w:bCs/>
                <w:sz w:val="20"/>
                <w:szCs w:val="20"/>
              </w:rPr>
              <w:t xml:space="preserve">Recommendation addressed to the Legislative/Governing bodies: </w:t>
            </w:r>
          </w:p>
        </w:tc>
        <w:tc>
          <w:tcPr>
            <w:tcW w:w="11766" w:type="dxa"/>
            <w:shd w:val="clear" w:color="auto" w:fill="FFFFFF" w:themeFill="background1"/>
          </w:tcPr>
          <w:p w14:paraId="1F44846F" w14:textId="77777777" w:rsidR="00E375A1" w:rsidRPr="00F26A9A" w:rsidRDefault="00E375A1" w:rsidP="004D76B1">
            <w:pPr>
              <w:spacing w:before="60"/>
              <w:rPr>
                <w:rFonts w:cs="Calibri"/>
                <w:sz w:val="20"/>
                <w:szCs w:val="20"/>
              </w:rPr>
            </w:pPr>
            <w:r w:rsidRPr="00F26A9A">
              <w:rPr>
                <w:rFonts w:cs="Calibri"/>
                <w:b/>
                <w:bCs/>
                <w:color w:val="000000"/>
                <w:sz w:val="20"/>
                <w:szCs w:val="20"/>
                <w:highlight w:val="cyan"/>
              </w:rPr>
              <w:t>Recommendation 2:</w:t>
            </w:r>
            <w:r w:rsidRPr="00F26A9A">
              <w:rPr>
                <w:rFonts w:cs="Calibri"/>
                <w:b/>
                <w:bCs/>
                <w:color w:val="000000"/>
                <w:sz w:val="20"/>
                <w:szCs w:val="20"/>
              </w:rPr>
              <w:t xml:space="preserve"> </w:t>
            </w:r>
            <w:r w:rsidRPr="00F26A9A">
              <w:rPr>
                <w:rFonts w:cs="Calibri"/>
                <w:color w:val="000000"/>
                <w:sz w:val="20"/>
                <w:szCs w:val="20"/>
              </w:rPr>
              <w:t xml:space="preserve">The legislative organs and governing bodies of United Nations system organizations should, by the end of 2025, re-examine their processes for the consideration of JIU reports and recommendations, including their decision-making thereon and the monitoring of the implementation of JIU recommendations from previous years, by </w:t>
            </w:r>
            <w:proofErr w:type="gramStart"/>
            <w:r w:rsidRPr="00F26A9A">
              <w:rPr>
                <w:rFonts w:cs="Calibri"/>
                <w:color w:val="000000"/>
                <w:sz w:val="20"/>
                <w:szCs w:val="20"/>
              </w:rPr>
              <w:t>taking into account</w:t>
            </w:r>
            <w:proofErr w:type="gramEnd"/>
            <w:r w:rsidRPr="00F26A9A">
              <w:rPr>
                <w:rFonts w:cs="Calibri"/>
                <w:color w:val="000000"/>
                <w:sz w:val="20"/>
                <w:szCs w:val="20"/>
              </w:rPr>
              <w:t xml:space="preserve"> the good practice examples identified in the present report, as appropriate.</w:t>
            </w:r>
          </w:p>
        </w:tc>
      </w:tr>
      <w:tr w:rsidR="00E375A1" w:rsidRPr="00F26A9A" w14:paraId="4E61E5A8" w14:textId="77777777" w:rsidTr="016468FB">
        <w:tc>
          <w:tcPr>
            <w:tcW w:w="2410" w:type="dxa"/>
            <w:shd w:val="clear" w:color="auto" w:fill="EAF1DD" w:themeFill="accent3" w:themeFillTint="33"/>
          </w:tcPr>
          <w:p w14:paraId="6F859A10" w14:textId="75F06AB9" w:rsidR="00E375A1" w:rsidRPr="00F26A9A" w:rsidRDefault="00E375A1" w:rsidP="004D76B1">
            <w:pPr>
              <w:spacing w:before="60"/>
              <w:jc w:val="right"/>
              <w:rPr>
                <w:rFonts w:cs="Calibri"/>
                <w:b/>
                <w:bCs/>
                <w:sz w:val="20"/>
                <w:szCs w:val="20"/>
              </w:rPr>
            </w:pPr>
            <w:r w:rsidRPr="00F26A9A">
              <w:rPr>
                <w:rFonts w:cs="Calibri"/>
                <w:b/>
                <w:bCs/>
                <w:sz w:val="20"/>
                <w:szCs w:val="20"/>
              </w:rPr>
              <w:t>Action Required</w:t>
            </w:r>
            <w:r w:rsidRPr="00F26A9A">
              <w:rPr>
                <w:rFonts w:cs="Calibri"/>
                <w:sz w:val="20"/>
                <w:szCs w:val="20"/>
              </w:rPr>
              <w:t xml:space="preserve">: </w:t>
            </w:r>
          </w:p>
        </w:tc>
        <w:tc>
          <w:tcPr>
            <w:tcW w:w="11766" w:type="dxa"/>
          </w:tcPr>
          <w:p w14:paraId="73744402" w14:textId="77777777" w:rsidR="00E375A1" w:rsidRPr="00F26A9A" w:rsidRDefault="00E375A1" w:rsidP="004D76B1">
            <w:pPr>
              <w:spacing w:before="60"/>
              <w:rPr>
                <w:rFonts w:cs="Calibri"/>
                <w:b/>
                <w:bCs/>
                <w:sz w:val="20"/>
                <w:szCs w:val="20"/>
              </w:rPr>
            </w:pPr>
            <w:r w:rsidRPr="00F26A9A">
              <w:rPr>
                <w:rFonts w:cs="Calibri"/>
                <w:sz w:val="20"/>
                <w:szCs w:val="20"/>
                <w:highlight w:val="green"/>
              </w:rPr>
              <w:t>(</w:t>
            </w:r>
            <w:r w:rsidRPr="00F26A9A">
              <w:rPr>
                <w:rFonts w:cs="Calibri"/>
                <w:b/>
                <w:bCs/>
                <w:sz w:val="20"/>
                <w:szCs w:val="20"/>
                <w:highlight w:val="green"/>
              </w:rPr>
              <w:t>Accept</w:t>
            </w:r>
            <w:r w:rsidRPr="00F26A9A">
              <w:rPr>
                <w:rFonts w:cs="Calibri"/>
                <w:sz w:val="20"/>
                <w:szCs w:val="20"/>
                <w:highlight w:val="green"/>
              </w:rPr>
              <w:t>,</w:t>
            </w:r>
            <w:r w:rsidRPr="00F26A9A">
              <w:rPr>
                <w:rFonts w:cs="Calibri"/>
                <w:sz w:val="20"/>
                <w:szCs w:val="20"/>
              </w:rPr>
              <w:t xml:space="preserve"> Not accept, Not Relevant or Requires further consideration)</w:t>
            </w:r>
          </w:p>
        </w:tc>
      </w:tr>
      <w:tr w:rsidR="00E375A1" w:rsidRPr="00F26A9A" w14:paraId="0810E8E5" w14:textId="77777777" w:rsidTr="016468FB">
        <w:trPr>
          <w:trHeight w:val="835"/>
        </w:trPr>
        <w:tc>
          <w:tcPr>
            <w:tcW w:w="2410" w:type="dxa"/>
          </w:tcPr>
          <w:p w14:paraId="1CB42B49" w14:textId="77777777" w:rsidR="00E375A1" w:rsidRPr="00F26A9A" w:rsidRDefault="00E375A1" w:rsidP="004D76B1">
            <w:pPr>
              <w:spacing w:before="60"/>
              <w:jc w:val="right"/>
              <w:rPr>
                <w:rFonts w:cs="Calibri"/>
                <w:b/>
                <w:bCs/>
                <w:sz w:val="20"/>
                <w:szCs w:val="20"/>
              </w:rPr>
            </w:pPr>
            <w:r w:rsidRPr="00F26A9A">
              <w:rPr>
                <w:rFonts w:cs="Calibri"/>
                <w:b/>
                <w:bCs/>
                <w:sz w:val="20"/>
                <w:szCs w:val="20"/>
              </w:rPr>
              <w:t>ITU comments on pertinence, financial and human resource implications:</w:t>
            </w:r>
          </w:p>
        </w:tc>
        <w:tc>
          <w:tcPr>
            <w:tcW w:w="11766" w:type="dxa"/>
          </w:tcPr>
          <w:p w14:paraId="46ED4D69" w14:textId="76630FBF" w:rsidR="00E375A1" w:rsidRPr="00F26A9A" w:rsidRDefault="00E375A1" w:rsidP="004D76B1">
            <w:pPr>
              <w:spacing w:before="60"/>
              <w:rPr>
                <w:rFonts w:cs="Calibri"/>
                <w:sz w:val="20"/>
                <w:szCs w:val="20"/>
              </w:rPr>
            </w:pPr>
            <w:r w:rsidRPr="00F26A9A">
              <w:rPr>
                <w:rFonts w:cs="Calibri"/>
                <w:sz w:val="20"/>
                <w:szCs w:val="20"/>
              </w:rPr>
              <w:t xml:space="preserve">ITU secretariat recommends acceptance of the recommendation, noting, as other UN system entities, it considers the process and systems in place to be adequate and do not require any further action. The </w:t>
            </w:r>
            <w:r w:rsidR="00DB0F26">
              <w:rPr>
                <w:rFonts w:cs="Calibri"/>
                <w:sz w:val="20"/>
                <w:szCs w:val="20"/>
              </w:rPr>
              <w:t>s</w:t>
            </w:r>
            <w:r w:rsidRPr="00F26A9A">
              <w:rPr>
                <w:rFonts w:cs="Calibri"/>
                <w:sz w:val="20"/>
                <w:szCs w:val="20"/>
              </w:rPr>
              <w:t>ecretariat is open to further guidance should it be deemed necessary.</w:t>
            </w:r>
          </w:p>
          <w:p w14:paraId="18BF9056" w14:textId="77777777" w:rsidR="00E375A1" w:rsidRPr="00F26A9A" w:rsidRDefault="00E375A1" w:rsidP="004D76B1">
            <w:pPr>
              <w:spacing w:before="60"/>
              <w:rPr>
                <w:rFonts w:cs="Calibri"/>
                <w:sz w:val="20"/>
                <w:szCs w:val="20"/>
              </w:rPr>
            </w:pPr>
            <w:r w:rsidRPr="00F26A9A">
              <w:rPr>
                <w:rFonts w:cs="Calibri"/>
                <w:sz w:val="20"/>
                <w:szCs w:val="20"/>
              </w:rPr>
              <w:t>No additional financial and human resource implications under current practice.</w:t>
            </w:r>
          </w:p>
        </w:tc>
      </w:tr>
      <w:tr w:rsidR="00E375A1" w:rsidRPr="00F26A9A" w14:paraId="5C0E9313" w14:textId="77777777" w:rsidTr="016468FB">
        <w:tc>
          <w:tcPr>
            <w:tcW w:w="2410" w:type="dxa"/>
          </w:tcPr>
          <w:p w14:paraId="0BC34EC5" w14:textId="77777777" w:rsidR="00E375A1" w:rsidRPr="00F26A9A" w:rsidRDefault="00E375A1" w:rsidP="004D76B1">
            <w:pPr>
              <w:spacing w:before="60"/>
              <w:jc w:val="right"/>
              <w:rPr>
                <w:rFonts w:cs="Calibri"/>
                <w:b/>
                <w:bCs/>
                <w:sz w:val="20"/>
                <w:szCs w:val="20"/>
              </w:rPr>
            </w:pPr>
            <w:hyperlink r:id="rId24" w:history="1">
              <w:r w:rsidRPr="00F26A9A">
                <w:rPr>
                  <w:rStyle w:val="Hyperlink"/>
                  <w:rFonts w:cs="Calibri"/>
                  <w:b/>
                  <w:bCs/>
                  <w:sz w:val="20"/>
                  <w:szCs w:val="20"/>
                </w:rPr>
                <w:t>CEB UN system wide comments</w:t>
              </w:r>
            </w:hyperlink>
            <w:r w:rsidRPr="00F26A9A">
              <w:rPr>
                <w:rFonts w:cs="Calibri"/>
                <w:b/>
                <w:bCs/>
                <w:sz w:val="20"/>
                <w:szCs w:val="20"/>
              </w:rPr>
              <w:t xml:space="preserve">: </w:t>
            </w:r>
          </w:p>
        </w:tc>
        <w:tc>
          <w:tcPr>
            <w:tcW w:w="11766" w:type="dxa"/>
          </w:tcPr>
          <w:p w14:paraId="5EB18A2C" w14:textId="515FFC42" w:rsidR="00E375A1" w:rsidRPr="00F26A9A" w:rsidRDefault="00E375A1" w:rsidP="004D76B1">
            <w:pPr>
              <w:spacing w:before="60"/>
              <w:rPr>
                <w:rFonts w:cs="Calibri"/>
                <w:b/>
                <w:bCs/>
                <w:sz w:val="20"/>
                <w:szCs w:val="20"/>
              </w:rPr>
            </w:pPr>
            <w:r w:rsidRPr="00F26A9A">
              <w:rPr>
                <w:rFonts w:cs="Calibri"/>
                <w:sz w:val="20"/>
                <w:szCs w:val="20"/>
              </w:rPr>
              <w:t>Several organizations stand ready to respond to requests by their respective legislative organs and governing bodies for any change to the existing reporting on JIU reports and recommendations. Other organizations consider the processes and systems in place to be adequate and to not require further action.</w:t>
            </w:r>
          </w:p>
        </w:tc>
      </w:tr>
      <w:tr w:rsidR="00E375A1" w:rsidRPr="00F26A9A" w14:paraId="1FE0D4B2" w14:textId="77777777" w:rsidTr="016468FB">
        <w:tc>
          <w:tcPr>
            <w:tcW w:w="2410" w:type="dxa"/>
          </w:tcPr>
          <w:p w14:paraId="362D189E" w14:textId="77777777" w:rsidR="00E375A1" w:rsidRPr="00F26A9A" w:rsidRDefault="00E375A1" w:rsidP="004D76B1">
            <w:pPr>
              <w:spacing w:before="60"/>
              <w:jc w:val="right"/>
              <w:rPr>
                <w:rFonts w:cs="Calibri"/>
                <w:sz w:val="20"/>
                <w:szCs w:val="20"/>
              </w:rPr>
            </w:pPr>
            <w:r w:rsidRPr="00F26A9A">
              <w:rPr>
                <w:rFonts w:cs="Calibri"/>
                <w:b/>
                <w:bCs/>
                <w:sz w:val="20"/>
                <w:szCs w:val="20"/>
              </w:rPr>
              <w:t>Implementation Status:</w:t>
            </w:r>
          </w:p>
        </w:tc>
        <w:tc>
          <w:tcPr>
            <w:tcW w:w="11766" w:type="dxa"/>
          </w:tcPr>
          <w:p w14:paraId="7B1641A2" w14:textId="77777777" w:rsidR="00E375A1" w:rsidRPr="00F26A9A" w:rsidRDefault="00E375A1" w:rsidP="004D76B1">
            <w:pPr>
              <w:spacing w:before="60"/>
              <w:rPr>
                <w:rFonts w:cs="Calibri"/>
                <w:sz w:val="20"/>
                <w:szCs w:val="20"/>
              </w:rPr>
            </w:pPr>
            <w:r w:rsidRPr="00F26A9A">
              <w:rPr>
                <w:rFonts w:cs="Calibri"/>
                <w:sz w:val="20"/>
                <w:szCs w:val="20"/>
              </w:rPr>
              <w:t>In progress</w:t>
            </w:r>
          </w:p>
        </w:tc>
      </w:tr>
      <w:tr w:rsidR="00E375A1" w:rsidRPr="00F26A9A" w14:paraId="333C49E4" w14:textId="77777777" w:rsidTr="016468FB">
        <w:trPr>
          <w:trHeight w:val="405"/>
        </w:trPr>
        <w:tc>
          <w:tcPr>
            <w:tcW w:w="14176" w:type="dxa"/>
            <w:gridSpan w:val="2"/>
            <w:shd w:val="clear" w:color="auto" w:fill="FFFF00"/>
          </w:tcPr>
          <w:p w14:paraId="03DAE607" w14:textId="7418EDA9" w:rsidR="00E375A1" w:rsidRPr="00F26A9A" w:rsidRDefault="00E375A1" w:rsidP="004B1955">
            <w:pPr>
              <w:keepNext/>
              <w:tabs>
                <w:tab w:val="clear" w:pos="567"/>
                <w:tab w:val="clear" w:pos="1134"/>
                <w:tab w:val="clear" w:pos="1701"/>
                <w:tab w:val="clear" w:pos="2268"/>
                <w:tab w:val="clear" w:pos="2835"/>
              </w:tabs>
              <w:overflowPunct/>
              <w:autoSpaceDE/>
              <w:adjustRightInd/>
              <w:jc w:val="center"/>
              <w:textAlignment w:val="auto"/>
              <w:rPr>
                <w:rFonts w:cs="Calibri"/>
                <w:b/>
                <w:bCs/>
                <w:sz w:val="20"/>
                <w:szCs w:val="20"/>
              </w:rPr>
            </w:pPr>
            <w:r w:rsidRPr="00F26A9A">
              <w:rPr>
                <w:rFonts w:cs="Calibri"/>
                <w:b/>
                <w:bCs/>
                <w:color w:val="000000"/>
                <w:sz w:val="20"/>
                <w:szCs w:val="20"/>
              </w:rPr>
              <w:t xml:space="preserve">JIU/REP/2023/9 </w:t>
            </w:r>
            <w:hyperlink r:id="rId25" w:history="1">
              <w:r w:rsidRPr="00F26A9A">
                <w:rPr>
                  <w:rStyle w:val="Hyperlink"/>
                  <w:rFonts w:cs="Calibri"/>
                  <w:b/>
                  <w:bCs/>
                  <w:sz w:val="20"/>
                  <w:szCs w:val="20"/>
                </w:rPr>
                <w:t>Review of the quality, effectiveness, efficiency and sustainability of health insurance schemes in the United Nations system organizations</w:t>
              </w:r>
            </w:hyperlink>
            <w:r w:rsidR="00292021">
              <w:br/>
            </w:r>
            <w:r w:rsidRPr="00F26A9A">
              <w:rPr>
                <w:rFonts w:cs="Calibri"/>
                <w:b/>
                <w:bCs/>
                <w:sz w:val="20"/>
                <w:szCs w:val="20"/>
              </w:rPr>
              <w:t>ITU FOCAL POINT: Subira Suedi</w:t>
            </w:r>
          </w:p>
          <w:p w14:paraId="7FB73A16" w14:textId="49510DAA" w:rsidR="00E375A1" w:rsidRPr="00F26A9A" w:rsidRDefault="00F26A9A" w:rsidP="004B1955">
            <w:pPr>
              <w:keepNext/>
              <w:tabs>
                <w:tab w:val="clear" w:pos="567"/>
                <w:tab w:val="clear" w:pos="1134"/>
                <w:tab w:val="clear" w:pos="1701"/>
                <w:tab w:val="clear" w:pos="2268"/>
                <w:tab w:val="clear" w:pos="2835"/>
              </w:tabs>
              <w:overflowPunct/>
              <w:autoSpaceDE/>
              <w:adjustRightInd/>
              <w:spacing w:before="0"/>
              <w:ind w:left="720" w:hanging="360"/>
              <w:jc w:val="center"/>
              <w:textAlignment w:val="auto"/>
              <w:rPr>
                <w:rFonts w:cs="Calibri"/>
                <w:b/>
                <w:bCs/>
                <w:color w:val="000000"/>
                <w:sz w:val="20"/>
                <w:szCs w:val="20"/>
              </w:rPr>
            </w:pPr>
            <w:r w:rsidRPr="00F26A9A">
              <w:rPr>
                <w:rFonts w:ascii="Symbol" w:hAnsi="Symbol" w:cs="Calibri"/>
                <w:bCs/>
                <w:color w:val="000000"/>
                <w:sz w:val="20"/>
                <w:szCs w:val="20"/>
              </w:rPr>
              <w:t></w:t>
            </w:r>
            <w:r w:rsidRPr="00F26A9A">
              <w:rPr>
                <w:rFonts w:ascii="Symbol" w:hAnsi="Symbol" w:cs="Calibri"/>
                <w:bCs/>
                <w:color w:val="000000"/>
                <w:sz w:val="20"/>
                <w:szCs w:val="20"/>
              </w:rPr>
              <w:tab/>
            </w:r>
            <w:hyperlink r:id="rId26" w:history="1">
              <w:r w:rsidR="00E375A1" w:rsidRPr="00F26A9A">
                <w:rPr>
                  <w:rStyle w:val="Hyperlink"/>
                  <w:rFonts w:cs="Calibri"/>
                  <w:b/>
                  <w:bCs/>
                  <w:sz w:val="20"/>
                  <w:szCs w:val="20"/>
                </w:rPr>
                <w:t>Review Highlights</w:t>
              </w:r>
            </w:hyperlink>
          </w:p>
        </w:tc>
      </w:tr>
      <w:tr w:rsidR="00E375A1" w:rsidRPr="00F26A9A" w14:paraId="497F5685" w14:textId="77777777" w:rsidTr="016468FB">
        <w:trPr>
          <w:trHeight w:val="1112"/>
        </w:trPr>
        <w:tc>
          <w:tcPr>
            <w:tcW w:w="2410" w:type="dxa"/>
            <w:shd w:val="clear" w:color="auto" w:fill="E1EBF7"/>
          </w:tcPr>
          <w:p w14:paraId="268953C4" w14:textId="7B625AB0" w:rsidR="00E375A1" w:rsidRPr="00F26A9A" w:rsidRDefault="00E375A1" w:rsidP="004D76B1">
            <w:pPr>
              <w:spacing w:before="60"/>
              <w:jc w:val="right"/>
              <w:rPr>
                <w:rFonts w:cs="Calibri"/>
                <w:b/>
                <w:bCs/>
                <w:sz w:val="20"/>
                <w:szCs w:val="20"/>
              </w:rPr>
            </w:pPr>
            <w:r w:rsidRPr="00F26A9A">
              <w:rPr>
                <w:rFonts w:cs="Calibri"/>
                <w:b/>
                <w:bCs/>
                <w:sz w:val="20"/>
                <w:szCs w:val="20"/>
              </w:rPr>
              <w:t xml:space="preserve">Recommendation addressed to the Legislative/Governing bodies: </w:t>
            </w:r>
          </w:p>
        </w:tc>
        <w:tc>
          <w:tcPr>
            <w:tcW w:w="11766" w:type="dxa"/>
            <w:shd w:val="clear" w:color="auto" w:fill="FFFFFF" w:themeFill="background1"/>
          </w:tcPr>
          <w:p w14:paraId="7D5F3BA0" w14:textId="77777777" w:rsidR="00E375A1" w:rsidRPr="00F26A9A" w:rsidRDefault="00E375A1" w:rsidP="004D76B1">
            <w:pPr>
              <w:spacing w:before="60"/>
              <w:rPr>
                <w:rFonts w:cs="Calibri"/>
                <w:sz w:val="20"/>
                <w:szCs w:val="20"/>
              </w:rPr>
            </w:pPr>
            <w:r w:rsidRPr="00F26A9A">
              <w:rPr>
                <w:rFonts w:cs="Calibri"/>
                <w:b/>
                <w:bCs/>
                <w:color w:val="000000"/>
                <w:sz w:val="20"/>
                <w:szCs w:val="20"/>
                <w:highlight w:val="cyan"/>
              </w:rPr>
              <w:t>Recommendation 7:</w:t>
            </w:r>
            <w:r w:rsidRPr="00F26A9A">
              <w:rPr>
                <w:rFonts w:cs="Calibri"/>
                <w:b/>
                <w:bCs/>
                <w:color w:val="000000"/>
                <w:sz w:val="20"/>
                <w:szCs w:val="20"/>
              </w:rPr>
              <w:t xml:space="preserve"> </w:t>
            </w:r>
            <w:r w:rsidRPr="00F26A9A">
              <w:rPr>
                <w:rFonts w:cs="Calibri"/>
                <w:color w:val="000000"/>
                <w:sz w:val="20"/>
                <w:szCs w:val="20"/>
              </w:rPr>
              <w:t>The legislative organs and/or governing bodies of United Nations system organizations that have not yet approved a plan to fund after-service health insurance liabilities as they accrue for posts funded from assessed contributions should establish a long-term strategy to that end, at least to cover future after-service health insurance liabilities for all newly recruited staff. (Para. 234)</w:t>
            </w:r>
            <w:r w:rsidRPr="00F26A9A">
              <w:rPr>
                <w:rFonts w:cs="Calibri"/>
                <w:color w:val="000000"/>
                <w:sz w:val="20"/>
                <w:szCs w:val="20"/>
              </w:rPr>
              <w:cr/>
              <w:t>.</w:t>
            </w:r>
          </w:p>
        </w:tc>
      </w:tr>
      <w:tr w:rsidR="00E375A1" w:rsidRPr="00F26A9A" w14:paraId="545D4758" w14:textId="77777777" w:rsidTr="016468FB">
        <w:tc>
          <w:tcPr>
            <w:tcW w:w="2410" w:type="dxa"/>
            <w:shd w:val="clear" w:color="auto" w:fill="EAF1DD" w:themeFill="accent3" w:themeFillTint="33"/>
          </w:tcPr>
          <w:p w14:paraId="35270DA6" w14:textId="233B36C4" w:rsidR="00E375A1" w:rsidRPr="00F26A9A" w:rsidRDefault="00E375A1" w:rsidP="004D76B1">
            <w:pPr>
              <w:spacing w:before="60"/>
              <w:jc w:val="right"/>
              <w:rPr>
                <w:rFonts w:cs="Calibri"/>
                <w:b/>
                <w:bCs/>
                <w:sz w:val="20"/>
                <w:szCs w:val="20"/>
              </w:rPr>
            </w:pPr>
            <w:r w:rsidRPr="00F26A9A">
              <w:rPr>
                <w:rFonts w:cs="Calibri"/>
                <w:b/>
                <w:bCs/>
                <w:sz w:val="20"/>
                <w:szCs w:val="20"/>
              </w:rPr>
              <w:t>Action Required</w:t>
            </w:r>
            <w:r w:rsidRPr="00F26A9A">
              <w:rPr>
                <w:rFonts w:cs="Calibri"/>
                <w:sz w:val="20"/>
                <w:szCs w:val="20"/>
              </w:rPr>
              <w:t xml:space="preserve">: </w:t>
            </w:r>
          </w:p>
        </w:tc>
        <w:tc>
          <w:tcPr>
            <w:tcW w:w="11766" w:type="dxa"/>
          </w:tcPr>
          <w:p w14:paraId="36437145" w14:textId="77777777" w:rsidR="00E375A1" w:rsidRPr="00F26A9A" w:rsidRDefault="00E375A1" w:rsidP="004D76B1">
            <w:pPr>
              <w:spacing w:before="60"/>
              <w:rPr>
                <w:rFonts w:cs="Calibri"/>
                <w:b/>
                <w:bCs/>
                <w:sz w:val="20"/>
                <w:szCs w:val="20"/>
              </w:rPr>
            </w:pPr>
            <w:r w:rsidRPr="00F26A9A">
              <w:rPr>
                <w:rFonts w:cs="Calibri"/>
                <w:b/>
                <w:bCs/>
                <w:sz w:val="20"/>
                <w:szCs w:val="20"/>
                <w:highlight w:val="green"/>
              </w:rPr>
              <w:t>Accept</w:t>
            </w:r>
            <w:r w:rsidRPr="00F26A9A">
              <w:rPr>
                <w:rFonts w:cs="Calibri"/>
                <w:sz w:val="20"/>
                <w:szCs w:val="20"/>
              </w:rPr>
              <w:t>, Not accept, Not Relevant or Requires further consideration</w:t>
            </w:r>
          </w:p>
        </w:tc>
      </w:tr>
      <w:tr w:rsidR="00E375A1" w:rsidRPr="00F26A9A" w14:paraId="5A242AAE" w14:textId="77777777" w:rsidTr="016468FB">
        <w:tc>
          <w:tcPr>
            <w:tcW w:w="2410" w:type="dxa"/>
          </w:tcPr>
          <w:p w14:paraId="1986EEA9" w14:textId="77777777" w:rsidR="00E375A1" w:rsidRPr="00F26A9A" w:rsidRDefault="00E375A1" w:rsidP="004D76B1">
            <w:pPr>
              <w:spacing w:before="60"/>
              <w:jc w:val="right"/>
              <w:rPr>
                <w:rFonts w:cs="Calibri"/>
                <w:b/>
                <w:bCs/>
                <w:sz w:val="20"/>
                <w:szCs w:val="20"/>
              </w:rPr>
            </w:pPr>
            <w:r w:rsidRPr="00F26A9A">
              <w:rPr>
                <w:rFonts w:cs="Calibri"/>
                <w:b/>
                <w:bCs/>
                <w:sz w:val="20"/>
                <w:szCs w:val="20"/>
              </w:rPr>
              <w:t>ITU comments on pertinence, financial and human resource implications:</w:t>
            </w:r>
          </w:p>
        </w:tc>
        <w:tc>
          <w:tcPr>
            <w:tcW w:w="11766" w:type="dxa"/>
          </w:tcPr>
          <w:p w14:paraId="687E8E40" w14:textId="77777777" w:rsidR="00E375A1" w:rsidRPr="00F26A9A" w:rsidRDefault="00E375A1" w:rsidP="004D76B1">
            <w:pPr>
              <w:spacing w:before="60"/>
              <w:rPr>
                <w:rFonts w:cs="Calibri"/>
                <w:b/>
                <w:bCs/>
                <w:sz w:val="20"/>
                <w:szCs w:val="20"/>
              </w:rPr>
            </w:pPr>
            <w:r w:rsidRPr="00F26A9A">
              <w:rPr>
                <w:rFonts w:cs="Calibri"/>
                <w:sz w:val="20"/>
                <w:szCs w:val="20"/>
              </w:rPr>
              <w:t>ITU continues to explore possible mechanisms for addressing ASHI liabilitie</w:t>
            </w:r>
            <w:r w:rsidRPr="00F26A9A">
              <w:rPr>
                <w:rFonts w:cs="Calibri"/>
                <w:sz w:val="20"/>
              </w:rPr>
              <w:t>s</w:t>
            </w:r>
            <w:r w:rsidRPr="00F26A9A">
              <w:rPr>
                <w:rFonts w:cs="Calibri"/>
                <w:sz w:val="20"/>
                <w:szCs w:val="20"/>
              </w:rPr>
              <w:t>, and in the interim has allocated the sum of CHF 1 million annually to supplement its ASHI fund. Establishing a long-term strategy remains challenging within the current financial uncertainties.</w:t>
            </w:r>
          </w:p>
        </w:tc>
      </w:tr>
      <w:tr w:rsidR="00E375A1" w:rsidRPr="00F26A9A" w14:paraId="48F9275D" w14:textId="77777777" w:rsidTr="016468FB">
        <w:tc>
          <w:tcPr>
            <w:tcW w:w="2410" w:type="dxa"/>
          </w:tcPr>
          <w:p w14:paraId="38863199" w14:textId="77777777" w:rsidR="00E375A1" w:rsidRPr="00F26A9A" w:rsidRDefault="00E375A1" w:rsidP="004D76B1">
            <w:pPr>
              <w:spacing w:before="60"/>
              <w:jc w:val="right"/>
              <w:rPr>
                <w:rFonts w:cs="Calibri"/>
                <w:b/>
                <w:bCs/>
                <w:sz w:val="20"/>
                <w:szCs w:val="20"/>
              </w:rPr>
            </w:pPr>
            <w:hyperlink r:id="rId27" w:history="1">
              <w:r w:rsidRPr="00F26A9A">
                <w:rPr>
                  <w:rStyle w:val="Hyperlink"/>
                  <w:rFonts w:cs="Calibri"/>
                  <w:b/>
                  <w:bCs/>
                  <w:sz w:val="20"/>
                  <w:szCs w:val="20"/>
                </w:rPr>
                <w:t>CEB UN system wide comments</w:t>
              </w:r>
            </w:hyperlink>
            <w:r w:rsidRPr="00F26A9A">
              <w:rPr>
                <w:rFonts w:cs="Calibri"/>
                <w:b/>
                <w:bCs/>
                <w:sz w:val="20"/>
                <w:szCs w:val="20"/>
              </w:rPr>
              <w:t xml:space="preserve">: </w:t>
            </w:r>
          </w:p>
        </w:tc>
        <w:tc>
          <w:tcPr>
            <w:tcW w:w="11766" w:type="dxa"/>
          </w:tcPr>
          <w:p w14:paraId="0F299300" w14:textId="77777777" w:rsidR="00E375A1" w:rsidRPr="00F26A9A" w:rsidRDefault="00E375A1" w:rsidP="004D76B1">
            <w:pPr>
              <w:spacing w:before="60"/>
              <w:rPr>
                <w:rFonts w:cs="Calibri"/>
                <w:sz w:val="20"/>
                <w:szCs w:val="20"/>
              </w:rPr>
            </w:pPr>
            <w:r w:rsidRPr="00F26A9A">
              <w:rPr>
                <w:rFonts w:cs="Calibri"/>
                <w:sz w:val="20"/>
                <w:szCs w:val="20"/>
              </w:rPr>
              <w:t>A few observe that the current financial constraints on balancing budgets may hinder the implementation of this recommendation; however, innovative ways of financing the after-service health insurance fund are being explored with the aim of mitigating and managing the financial risks and uncertainties arising from the accumulation of unfunded liabilities.</w:t>
            </w:r>
          </w:p>
        </w:tc>
      </w:tr>
      <w:tr w:rsidR="00E375A1" w:rsidRPr="00F26A9A" w14:paraId="218DF2DC" w14:textId="77777777" w:rsidTr="004D76B1">
        <w:trPr>
          <w:trHeight w:val="126"/>
        </w:trPr>
        <w:tc>
          <w:tcPr>
            <w:tcW w:w="2410" w:type="dxa"/>
          </w:tcPr>
          <w:p w14:paraId="1967F5C0" w14:textId="77777777" w:rsidR="00E375A1" w:rsidRPr="00F26A9A" w:rsidRDefault="00E375A1" w:rsidP="004D76B1">
            <w:pPr>
              <w:spacing w:before="60"/>
              <w:jc w:val="right"/>
              <w:rPr>
                <w:rFonts w:cs="Calibri"/>
                <w:sz w:val="20"/>
                <w:szCs w:val="20"/>
              </w:rPr>
            </w:pPr>
            <w:r w:rsidRPr="00F26A9A">
              <w:rPr>
                <w:rFonts w:cs="Calibri"/>
                <w:b/>
                <w:bCs/>
                <w:sz w:val="20"/>
                <w:szCs w:val="20"/>
              </w:rPr>
              <w:t>Implementation Status:</w:t>
            </w:r>
          </w:p>
        </w:tc>
        <w:tc>
          <w:tcPr>
            <w:tcW w:w="11766" w:type="dxa"/>
          </w:tcPr>
          <w:p w14:paraId="444B8DDB" w14:textId="38C64F73" w:rsidR="00E375A1" w:rsidRPr="004D76B1" w:rsidRDefault="00842749" w:rsidP="004D76B1">
            <w:pPr>
              <w:pStyle w:val="AnnexNo"/>
              <w:spacing w:before="60"/>
              <w:jc w:val="left"/>
              <w:rPr>
                <w:sz w:val="20"/>
                <w:szCs w:val="20"/>
              </w:rPr>
            </w:pPr>
            <w:r w:rsidRPr="004D76B1">
              <w:rPr>
                <w:sz w:val="20"/>
                <w:szCs w:val="20"/>
              </w:rPr>
              <w:t>I</w:t>
            </w:r>
            <w:r w:rsidR="00756A0D" w:rsidRPr="004D76B1">
              <w:rPr>
                <w:caps w:val="0"/>
                <w:sz w:val="20"/>
                <w:szCs w:val="20"/>
              </w:rPr>
              <w:t>n</w:t>
            </w:r>
            <w:r w:rsidRPr="004D76B1">
              <w:rPr>
                <w:sz w:val="20"/>
                <w:szCs w:val="20"/>
              </w:rPr>
              <w:t xml:space="preserve"> </w:t>
            </w:r>
            <w:r w:rsidR="00756A0D" w:rsidRPr="004D76B1">
              <w:rPr>
                <w:caps w:val="0"/>
                <w:sz w:val="20"/>
                <w:szCs w:val="20"/>
              </w:rPr>
              <w:t>progress</w:t>
            </w:r>
          </w:p>
        </w:tc>
      </w:tr>
      <w:tr w:rsidR="00E375A1" w:rsidRPr="00F26A9A" w14:paraId="6B132E43" w14:textId="77777777" w:rsidTr="016468FB">
        <w:trPr>
          <w:trHeight w:val="405"/>
        </w:trPr>
        <w:tc>
          <w:tcPr>
            <w:tcW w:w="14176" w:type="dxa"/>
            <w:gridSpan w:val="2"/>
            <w:shd w:val="clear" w:color="auto" w:fill="FFFF00"/>
          </w:tcPr>
          <w:p w14:paraId="5DAAB5C4" w14:textId="77777777" w:rsidR="00E375A1" w:rsidRPr="00F26A9A" w:rsidRDefault="00E375A1" w:rsidP="004B1955">
            <w:pPr>
              <w:keepNext/>
              <w:keepLines/>
              <w:tabs>
                <w:tab w:val="clear" w:pos="567"/>
                <w:tab w:val="clear" w:pos="1134"/>
                <w:tab w:val="clear" w:pos="1701"/>
                <w:tab w:val="clear" w:pos="2268"/>
                <w:tab w:val="clear" w:pos="2835"/>
              </w:tabs>
              <w:overflowPunct/>
              <w:autoSpaceDE/>
              <w:adjustRightInd/>
              <w:jc w:val="center"/>
              <w:textAlignment w:val="auto"/>
              <w:rPr>
                <w:rFonts w:cs="Calibri"/>
                <w:b/>
                <w:bCs/>
                <w:color w:val="0000FF"/>
                <w:sz w:val="20"/>
                <w:szCs w:val="20"/>
              </w:rPr>
            </w:pPr>
            <w:r w:rsidRPr="00F26A9A">
              <w:rPr>
                <w:rFonts w:cs="Calibri"/>
                <w:b/>
                <w:bCs/>
                <w:color w:val="000000"/>
                <w:sz w:val="20"/>
                <w:szCs w:val="20"/>
              </w:rPr>
              <w:lastRenderedPageBreak/>
              <w:t xml:space="preserve">JIU/REP/2023/8 </w:t>
            </w:r>
            <w:hyperlink r:id="rId28" w:history="1">
              <w:r w:rsidRPr="00F26A9A">
                <w:rPr>
                  <w:rStyle w:val="Hyperlink"/>
                  <w:rFonts w:cs="Calibri"/>
                  <w:b/>
                  <w:bCs/>
                  <w:sz w:val="20"/>
                  <w:szCs w:val="20"/>
                </w:rPr>
                <w:t>Review of the use of non-staff personnel and related contractual modalities in the United Nations system organizations</w:t>
              </w:r>
            </w:hyperlink>
            <w:r w:rsidRPr="00F26A9A">
              <w:rPr>
                <w:rFonts w:cs="Calibri"/>
                <w:b/>
                <w:bCs/>
                <w:color w:val="0000FF"/>
                <w:sz w:val="20"/>
                <w:szCs w:val="20"/>
              </w:rPr>
              <w:t xml:space="preserve"> </w:t>
            </w:r>
          </w:p>
          <w:p w14:paraId="790C03DB" w14:textId="77777777" w:rsidR="00E375A1" w:rsidRPr="00F26A9A" w:rsidRDefault="00E375A1" w:rsidP="004B1955">
            <w:pPr>
              <w:keepNext/>
              <w:keepLines/>
              <w:tabs>
                <w:tab w:val="clear" w:pos="567"/>
                <w:tab w:val="clear" w:pos="1134"/>
                <w:tab w:val="clear" w:pos="1701"/>
                <w:tab w:val="clear" w:pos="2268"/>
                <w:tab w:val="clear" w:pos="2835"/>
              </w:tabs>
              <w:overflowPunct/>
              <w:autoSpaceDE/>
              <w:adjustRightInd/>
              <w:spacing w:before="0"/>
              <w:jc w:val="center"/>
              <w:textAlignment w:val="auto"/>
              <w:rPr>
                <w:rFonts w:cs="Calibri"/>
                <w:b/>
                <w:bCs/>
                <w:sz w:val="20"/>
                <w:szCs w:val="20"/>
              </w:rPr>
            </w:pPr>
            <w:r w:rsidRPr="00F26A9A">
              <w:rPr>
                <w:rFonts w:cs="Calibri"/>
                <w:b/>
                <w:bCs/>
                <w:sz w:val="20"/>
                <w:szCs w:val="20"/>
              </w:rPr>
              <w:t>ITU FOCAL POINT: Maria Traficanti</w:t>
            </w:r>
          </w:p>
          <w:p w14:paraId="5CFCD8BA" w14:textId="0CFD66DD" w:rsidR="00E375A1" w:rsidRPr="00F26A9A" w:rsidRDefault="00F26A9A" w:rsidP="004B1955">
            <w:pPr>
              <w:keepNext/>
              <w:keepLines/>
              <w:tabs>
                <w:tab w:val="clear" w:pos="567"/>
                <w:tab w:val="clear" w:pos="1134"/>
                <w:tab w:val="clear" w:pos="1701"/>
                <w:tab w:val="clear" w:pos="2268"/>
                <w:tab w:val="clear" w:pos="2835"/>
              </w:tabs>
              <w:overflowPunct/>
              <w:autoSpaceDE/>
              <w:adjustRightInd/>
              <w:spacing w:before="0"/>
              <w:ind w:left="720" w:hanging="360"/>
              <w:jc w:val="center"/>
              <w:textAlignment w:val="auto"/>
              <w:rPr>
                <w:rFonts w:cs="Calibri"/>
                <w:color w:val="000000"/>
                <w:sz w:val="20"/>
                <w:szCs w:val="20"/>
              </w:rPr>
            </w:pPr>
            <w:r w:rsidRPr="00F26A9A">
              <w:rPr>
                <w:rFonts w:ascii="Symbol" w:hAnsi="Symbol" w:cs="Calibri"/>
                <w:color w:val="000000"/>
                <w:sz w:val="20"/>
                <w:szCs w:val="20"/>
              </w:rPr>
              <w:t></w:t>
            </w:r>
            <w:r w:rsidRPr="00F26A9A">
              <w:rPr>
                <w:rFonts w:ascii="Symbol" w:hAnsi="Symbol" w:cs="Calibri"/>
                <w:color w:val="000000"/>
                <w:sz w:val="20"/>
                <w:szCs w:val="20"/>
              </w:rPr>
              <w:tab/>
            </w:r>
            <w:hyperlink r:id="rId29" w:history="1">
              <w:r w:rsidR="00E375A1" w:rsidRPr="00F26A9A">
                <w:rPr>
                  <w:rStyle w:val="Hyperlink"/>
                  <w:rFonts w:cs="Calibri"/>
                  <w:b/>
                  <w:bCs/>
                  <w:sz w:val="20"/>
                  <w:szCs w:val="20"/>
                </w:rPr>
                <w:t>Review Highlights</w:t>
              </w:r>
            </w:hyperlink>
          </w:p>
        </w:tc>
      </w:tr>
      <w:tr w:rsidR="00E375A1" w:rsidRPr="00F26A9A" w14:paraId="671D8EEC" w14:textId="77777777" w:rsidTr="016468FB">
        <w:trPr>
          <w:trHeight w:val="1112"/>
        </w:trPr>
        <w:tc>
          <w:tcPr>
            <w:tcW w:w="2410" w:type="dxa"/>
            <w:shd w:val="clear" w:color="auto" w:fill="E1EBF7"/>
          </w:tcPr>
          <w:p w14:paraId="662A7DE8" w14:textId="073DFA2B" w:rsidR="00E375A1" w:rsidRPr="00F26A9A" w:rsidRDefault="00E375A1" w:rsidP="004B1955">
            <w:pPr>
              <w:keepNext/>
              <w:keepLines/>
              <w:jc w:val="right"/>
              <w:rPr>
                <w:rFonts w:cs="Calibri"/>
                <w:b/>
                <w:bCs/>
                <w:sz w:val="20"/>
                <w:szCs w:val="20"/>
              </w:rPr>
            </w:pPr>
            <w:r w:rsidRPr="00F26A9A">
              <w:rPr>
                <w:rFonts w:cs="Calibri"/>
                <w:b/>
                <w:bCs/>
                <w:sz w:val="20"/>
                <w:szCs w:val="20"/>
              </w:rPr>
              <w:t xml:space="preserve">Recommendation addressed to the Legislative/Governing bodies: </w:t>
            </w:r>
          </w:p>
        </w:tc>
        <w:tc>
          <w:tcPr>
            <w:tcW w:w="11766" w:type="dxa"/>
            <w:shd w:val="clear" w:color="auto" w:fill="FFFFFF" w:themeFill="background1"/>
          </w:tcPr>
          <w:p w14:paraId="072D1223" w14:textId="77777777" w:rsidR="00E375A1" w:rsidRPr="00F26A9A" w:rsidRDefault="00E375A1" w:rsidP="004B1955">
            <w:pPr>
              <w:keepNext/>
              <w:keepLines/>
              <w:rPr>
                <w:rFonts w:cs="Calibri"/>
                <w:sz w:val="20"/>
                <w:szCs w:val="20"/>
              </w:rPr>
            </w:pPr>
            <w:r w:rsidRPr="00F26A9A">
              <w:rPr>
                <w:rFonts w:cs="Calibri"/>
                <w:b/>
                <w:bCs/>
                <w:color w:val="000000"/>
                <w:sz w:val="20"/>
                <w:szCs w:val="20"/>
                <w:highlight w:val="cyan"/>
              </w:rPr>
              <w:t>Recommendation 5:</w:t>
            </w:r>
            <w:r w:rsidRPr="00F26A9A">
              <w:rPr>
                <w:rFonts w:cs="Calibri"/>
                <w:b/>
                <w:bCs/>
                <w:color w:val="000000"/>
                <w:sz w:val="20"/>
                <w:szCs w:val="20"/>
              </w:rPr>
              <w:t xml:space="preserve"> </w:t>
            </w:r>
            <w:r w:rsidRPr="00F26A9A">
              <w:rPr>
                <w:rFonts w:cs="Calibri"/>
                <w:color w:val="000000"/>
                <w:sz w:val="20"/>
                <w:szCs w:val="20"/>
              </w:rPr>
              <w:t>The legislative and/or governing bodies of the United Nations system organizations should request the executive heads who have not yet done so to include in their reports on human resources relevant data and information on the use of non-staff personnel, such as the number of non-staff personnel, years of service, location of employment, nationality and gender.</w:t>
            </w:r>
          </w:p>
        </w:tc>
      </w:tr>
      <w:tr w:rsidR="00E375A1" w:rsidRPr="00F26A9A" w14:paraId="43B04353" w14:textId="77777777" w:rsidTr="016468FB">
        <w:tc>
          <w:tcPr>
            <w:tcW w:w="2410" w:type="dxa"/>
            <w:shd w:val="clear" w:color="auto" w:fill="EAF1DD" w:themeFill="accent3" w:themeFillTint="33"/>
          </w:tcPr>
          <w:p w14:paraId="7400D523" w14:textId="77777777" w:rsidR="00E375A1" w:rsidRPr="00F26A9A" w:rsidRDefault="00E375A1" w:rsidP="004B1955">
            <w:pPr>
              <w:keepNext/>
              <w:keepLines/>
              <w:jc w:val="right"/>
              <w:rPr>
                <w:rFonts w:cs="Calibri"/>
                <w:b/>
                <w:bCs/>
                <w:sz w:val="20"/>
                <w:szCs w:val="20"/>
              </w:rPr>
            </w:pPr>
            <w:r w:rsidRPr="00F26A9A">
              <w:rPr>
                <w:rFonts w:cs="Calibri"/>
                <w:b/>
                <w:bCs/>
                <w:sz w:val="20"/>
                <w:szCs w:val="20"/>
              </w:rPr>
              <w:t>Action Required</w:t>
            </w:r>
            <w:r w:rsidRPr="00F26A9A">
              <w:rPr>
                <w:rFonts w:cs="Calibri"/>
                <w:sz w:val="20"/>
                <w:szCs w:val="20"/>
              </w:rPr>
              <w:t xml:space="preserve">:  </w:t>
            </w:r>
          </w:p>
        </w:tc>
        <w:tc>
          <w:tcPr>
            <w:tcW w:w="11766" w:type="dxa"/>
          </w:tcPr>
          <w:p w14:paraId="5EFDA503" w14:textId="77777777" w:rsidR="00E375A1" w:rsidRPr="00F26A9A" w:rsidRDefault="00E375A1" w:rsidP="004B1955">
            <w:pPr>
              <w:keepNext/>
              <w:keepLines/>
              <w:rPr>
                <w:rFonts w:cs="Calibri"/>
                <w:b/>
                <w:bCs/>
                <w:sz w:val="20"/>
                <w:szCs w:val="20"/>
              </w:rPr>
            </w:pPr>
            <w:r w:rsidRPr="00F26A9A">
              <w:rPr>
                <w:rFonts w:cs="Calibri"/>
                <w:sz w:val="20"/>
                <w:szCs w:val="20"/>
                <w:highlight w:val="green"/>
              </w:rPr>
              <w:t>(</w:t>
            </w:r>
            <w:r w:rsidRPr="00F26A9A">
              <w:rPr>
                <w:rFonts w:cs="Calibri"/>
                <w:b/>
                <w:bCs/>
                <w:sz w:val="20"/>
                <w:szCs w:val="20"/>
                <w:highlight w:val="green"/>
              </w:rPr>
              <w:t>Accept</w:t>
            </w:r>
            <w:r w:rsidRPr="00F26A9A">
              <w:rPr>
                <w:rFonts w:cs="Calibri"/>
                <w:sz w:val="20"/>
                <w:szCs w:val="20"/>
                <w:highlight w:val="green"/>
              </w:rPr>
              <w:t>,</w:t>
            </w:r>
            <w:r w:rsidRPr="00F26A9A">
              <w:rPr>
                <w:rFonts w:cs="Calibri"/>
                <w:sz w:val="20"/>
                <w:szCs w:val="20"/>
              </w:rPr>
              <w:t xml:space="preserve"> Not accept, Not Relevant or Requires further consideration)</w:t>
            </w:r>
          </w:p>
        </w:tc>
      </w:tr>
      <w:tr w:rsidR="00E375A1" w:rsidRPr="00F26A9A" w14:paraId="79A0EFD8" w14:textId="77777777" w:rsidTr="016468FB">
        <w:tc>
          <w:tcPr>
            <w:tcW w:w="2410" w:type="dxa"/>
          </w:tcPr>
          <w:p w14:paraId="5C139BD2" w14:textId="77777777" w:rsidR="00E375A1" w:rsidRPr="00F26A9A" w:rsidRDefault="00E375A1" w:rsidP="004B1955">
            <w:pPr>
              <w:keepNext/>
              <w:keepLines/>
              <w:jc w:val="right"/>
              <w:rPr>
                <w:rFonts w:cs="Calibri"/>
                <w:b/>
                <w:bCs/>
                <w:sz w:val="20"/>
                <w:szCs w:val="20"/>
              </w:rPr>
            </w:pPr>
            <w:r w:rsidRPr="00F26A9A">
              <w:rPr>
                <w:rFonts w:cs="Calibri"/>
                <w:b/>
                <w:bCs/>
                <w:sz w:val="20"/>
                <w:szCs w:val="20"/>
              </w:rPr>
              <w:t>ITU comments on pertinence, financial and human resource implications:</w:t>
            </w:r>
          </w:p>
        </w:tc>
        <w:tc>
          <w:tcPr>
            <w:tcW w:w="11766" w:type="dxa"/>
          </w:tcPr>
          <w:p w14:paraId="774DAADE" w14:textId="77777777" w:rsidR="00E375A1" w:rsidRPr="00F26A9A" w:rsidRDefault="00E375A1" w:rsidP="004B1955">
            <w:pPr>
              <w:keepNext/>
              <w:keepLines/>
              <w:rPr>
                <w:rFonts w:cs="Calibri"/>
                <w:b/>
                <w:bCs/>
                <w:sz w:val="20"/>
                <w:szCs w:val="20"/>
              </w:rPr>
            </w:pPr>
            <w:r w:rsidRPr="00F26A9A">
              <w:rPr>
                <w:rFonts w:cs="Calibri"/>
                <w:sz w:val="20"/>
                <w:szCs w:val="20"/>
              </w:rPr>
              <w:t>Data on non-staff contracts is already provided in the Human Resources Report on Workforce analytics. Additional relevant data and information on the use of non-staff personnel may be incorporated into this dashboard as needed. It will be implemented within both current financial and human resources.</w:t>
            </w:r>
          </w:p>
        </w:tc>
      </w:tr>
      <w:tr w:rsidR="00E375A1" w:rsidRPr="00F26A9A" w14:paraId="6CD95F7A" w14:textId="77777777" w:rsidTr="016468FB">
        <w:tc>
          <w:tcPr>
            <w:tcW w:w="2410" w:type="dxa"/>
          </w:tcPr>
          <w:p w14:paraId="2E1E3292" w14:textId="77777777" w:rsidR="00E375A1" w:rsidRPr="00F26A9A" w:rsidRDefault="00E375A1" w:rsidP="004B1955">
            <w:pPr>
              <w:keepNext/>
              <w:keepLines/>
              <w:jc w:val="right"/>
              <w:rPr>
                <w:rFonts w:cs="Calibri"/>
                <w:b/>
                <w:bCs/>
                <w:sz w:val="20"/>
                <w:szCs w:val="20"/>
              </w:rPr>
            </w:pPr>
            <w:hyperlink r:id="rId30" w:history="1">
              <w:r w:rsidRPr="00F26A9A">
                <w:rPr>
                  <w:rStyle w:val="Hyperlink"/>
                  <w:rFonts w:cs="Calibri"/>
                  <w:b/>
                  <w:bCs/>
                  <w:sz w:val="20"/>
                  <w:szCs w:val="20"/>
                </w:rPr>
                <w:t>CEB UN system wide comments</w:t>
              </w:r>
            </w:hyperlink>
            <w:r w:rsidRPr="00F26A9A">
              <w:rPr>
                <w:rFonts w:cs="Calibri"/>
                <w:b/>
                <w:bCs/>
                <w:sz w:val="20"/>
                <w:szCs w:val="20"/>
              </w:rPr>
              <w:t xml:space="preserve">: </w:t>
            </w:r>
          </w:p>
        </w:tc>
        <w:tc>
          <w:tcPr>
            <w:tcW w:w="11766" w:type="dxa"/>
          </w:tcPr>
          <w:p w14:paraId="5786E3AE" w14:textId="3DCFE200" w:rsidR="00E375A1" w:rsidRPr="00F26A9A" w:rsidRDefault="00E375A1" w:rsidP="004B1955">
            <w:pPr>
              <w:keepNext/>
              <w:keepLines/>
              <w:rPr>
                <w:rFonts w:cs="Calibri"/>
                <w:sz w:val="20"/>
                <w:szCs w:val="20"/>
              </w:rPr>
            </w:pPr>
            <w:r w:rsidRPr="00F26A9A">
              <w:rPr>
                <w:rFonts w:cs="Calibri"/>
                <w:sz w:val="20"/>
                <w:szCs w:val="20"/>
              </w:rPr>
              <w:t xml:space="preserve">Many organizations already produce regular reports as requested by their governing bodies. Efforts are already </w:t>
            </w:r>
            <w:r w:rsidR="00292021">
              <w:rPr>
                <w:rFonts w:cs="Calibri"/>
                <w:sz w:val="20"/>
                <w:szCs w:val="20"/>
              </w:rPr>
              <w:t>underway</w:t>
            </w:r>
            <w:r w:rsidRPr="00F26A9A">
              <w:rPr>
                <w:rFonts w:cs="Calibri"/>
                <w:sz w:val="20"/>
                <w:szCs w:val="20"/>
              </w:rPr>
              <w:t xml:space="preserve"> to enhance the availability and quality of data, noting that the variable “years of service” is not fully applicable to non-staff personnel, who are often engaged on a shorter-term basis. It is also recalled that the spectrum of non-staff modalities is very diverse and may not lend itself to generalized comprehensive reporting.</w:t>
            </w:r>
          </w:p>
        </w:tc>
      </w:tr>
      <w:tr w:rsidR="00E375A1" w:rsidRPr="00F26A9A" w14:paraId="16211B5C" w14:textId="77777777" w:rsidTr="016468FB">
        <w:tc>
          <w:tcPr>
            <w:tcW w:w="2410" w:type="dxa"/>
          </w:tcPr>
          <w:p w14:paraId="6A30C048" w14:textId="77777777" w:rsidR="00E375A1" w:rsidRPr="00F26A9A" w:rsidRDefault="00E375A1" w:rsidP="00C36A93">
            <w:pPr>
              <w:jc w:val="right"/>
              <w:rPr>
                <w:rFonts w:cs="Calibri"/>
                <w:sz w:val="20"/>
                <w:szCs w:val="20"/>
              </w:rPr>
            </w:pPr>
            <w:r w:rsidRPr="00F26A9A">
              <w:rPr>
                <w:rFonts w:cs="Calibri"/>
                <w:b/>
                <w:bCs/>
                <w:sz w:val="20"/>
                <w:szCs w:val="20"/>
              </w:rPr>
              <w:t>Implementation Status:</w:t>
            </w:r>
          </w:p>
        </w:tc>
        <w:tc>
          <w:tcPr>
            <w:tcW w:w="11766" w:type="dxa"/>
          </w:tcPr>
          <w:p w14:paraId="6B4D78D3" w14:textId="77777777" w:rsidR="00E375A1" w:rsidRPr="00F26A9A" w:rsidRDefault="00E375A1" w:rsidP="00C36A93">
            <w:pPr>
              <w:rPr>
                <w:rFonts w:cs="Calibri"/>
                <w:sz w:val="20"/>
                <w:szCs w:val="20"/>
              </w:rPr>
            </w:pPr>
            <w:r w:rsidRPr="00F26A9A">
              <w:rPr>
                <w:rFonts w:cs="Calibri"/>
                <w:sz w:val="20"/>
                <w:szCs w:val="20"/>
              </w:rPr>
              <w:t>Implemented</w:t>
            </w:r>
          </w:p>
        </w:tc>
      </w:tr>
    </w:tbl>
    <w:p w14:paraId="3849BD03" w14:textId="77777777" w:rsidR="007A3FCD" w:rsidRPr="00F26A9A" w:rsidRDefault="007A3FCD" w:rsidP="00C36A93">
      <w:pPr>
        <w:pStyle w:val="Reasons"/>
        <w:rPr>
          <w:rFonts w:asciiTheme="minorHAnsi" w:hAnsiTheme="minorHAnsi" w:cstheme="minorHAnsi"/>
          <w:lang w:val="en-GB"/>
        </w:rPr>
      </w:pPr>
    </w:p>
    <w:p w14:paraId="7FE4E5AA" w14:textId="77777777" w:rsidR="007A3FCD" w:rsidRPr="00F26A9A" w:rsidRDefault="007A3FCD" w:rsidP="004D76B1">
      <w:pPr>
        <w:spacing w:before="480"/>
        <w:jc w:val="center"/>
      </w:pPr>
      <w:r w:rsidRPr="00F26A9A">
        <w:t>______________</w:t>
      </w:r>
    </w:p>
    <w:sectPr w:rsidR="007A3FCD" w:rsidRPr="00F26A9A" w:rsidSect="00E375A1">
      <w:headerReference w:type="default" r:id="rId31"/>
      <w:footerReference w:type="default" r:id="rId32"/>
      <w:pgSz w:w="16834" w:h="11907" w:orient="landscape"/>
      <w:pgMar w:top="1418" w:right="1418" w:bottom="1418" w:left="1418"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751EE" w14:textId="77777777" w:rsidR="005441B6" w:rsidRDefault="005441B6">
      <w:r>
        <w:separator/>
      </w:r>
    </w:p>
  </w:endnote>
  <w:endnote w:type="continuationSeparator" w:id="0">
    <w:p w14:paraId="415B04B1" w14:textId="77777777" w:rsidR="005441B6" w:rsidRDefault="005441B6">
      <w:r>
        <w:continuationSeparator/>
      </w:r>
    </w:p>
  </w:endnote>
  <w:endnote w:type="continuationNotice" w:id="1">
    <w:p w14:paraId="4FC23279" w14:textId="77777777" w:rsidR="005441B6" w:rsidRDefault="005441B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14629F6" w14:textId="77777777" w:rsidTr="00C36A93">
      <w:trPr>
        <w:jc w:val="center"/>
      </w:trPr>
      <w:tc>
        <w:tcPr>
          <w:tcW w:w="1803" w:type="dxa"/>
          <w:vAlign w:val="center"/>
        </w:tcPr>
        <w:p w14:paraId="396535A8" w14:textId="77777777" w:rsidR="00EE49E8" w:rsidRDefault="00C6520B" w:rsidP="00EE49E8">
          <w:pPr>
            <w:pStyle w:val="Header"/>
            <w:jc w:val="left"/>
            <w:rPr>
              <w:noProof/>
            </w:rPr>
          </w:pPr>
          <w:r>
            <w:rPr>
              <w:noProof/>
            </w:rPr>
            <w:t>gDoc #</w:t>
          </w:r>
        </w:p>
      </w:tc>
      <w:tc>
        <w:tcPr>
          <w:tcW w:w="8261" w:type="dxa"/>
        </w:tcPr>
        <w:p w14:paraId="7AC84D30" w14:textId="77777777" w:rsidR="00EE49E8" w:rsidRPr="00E06FD5" w:rsidRDefault="00EE49E8" w:rsidP="001F5569">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/xx-E</w:t>
          </w:r>
          <w:r>
            <w:rPr>
              <w:bCs/>
            </w:rPr>
            <w:tab/>
          </w:r>
          <w:r>
            <w:fldChar w:fldCharType="begin"/>
          </w:r>
          <w:r>
            <w:instrText>PAGE</w:instrText>
          </w:r>
          <w:r>
            <w:fldChar w:fldCharType="separate"/>
          </w:r>
          <w:r>
            <w:t>1</w:t>
          </w:r>
          <w:r>
            <w:rPr>
              <w:noProof/>
            </w:rPr>
            <w:fldChar w:fldCharType="end"/>
          </w:r>
        </w:p>
      </w:tc>
    </w:tr>
  </w:tbl>
  <w:p w14:paraId="2BC4C891"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14CFB82C" w14:textId="77777777" w:rsidTr="006B77F1">
      <w:trPr>
        <w:jc w:val="center"/>
      </w:trPr>
      <w:tc>
        <w:tcPr>
          <w:tcW w:w="1803" w:type="dxa"/>
          <w:vAlign w:val="center"/>
        </w:tcPr>
        <w:p w14:paraId="41F6D472"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3540DF9F" w14:textId="57AAA4E9" w:rsidR="00EE49E8" w:rsidRPr="00E06FD5" w:rsidRDefault="00EE49E8" w:rsidP="001F5569">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E375A1">
            <w:rPr>
              <w:bCs/>
            </w:rPr>
            <w:t>57</w:t>
          </w:r>
          <w:r w:rsidRPr="00623AE3">
            <w:rPr>
              <w:bCs/>
            </w:rPr>
            <w:t>-E</w:t>
          </w:r>
          <w:r>
            <w:rPr>
              <w:bCs/>
            </w:rPr>
            <w:tab/>
          </w:r>
          <w:r>
            <w:fldChar w:fldCharType="begin"/>
          </w:r>
          <w:r>
            <w:instrText>PAGE</w:instrText>
          </w:r>
          <w:r>
            <w:fldChar w:fldCharType="separate"/>
          </w:r>
          <w:r>
            <w:t>1</w:t>
          </w:r>
          <w:r>
            <w:rPr>
              <w:noProof/>
            </w:rPr>
            <w:fldChar w:fldCharType="end"/>
          </w:r>
        </w:p>
      </w:tc>
    </w:tr>
  </w:tbl>
  <w:p w14:paraId="7FD9288D" w14:textId="77777777" w:rsidR="00A514A4" w:rsidRPr="00623AE3" w:rsidRDefault="00A514A4" w:rsidP="00EE49E8">
    <w:pPr>
      <w:pStyle w:val="Header"/>
      <w:tabs>
        <w:tab w:val="left" w:pos="8080"/>
        <w:tab w:val="right" w:pos="9072"/>
      </w:tabs>
      <w:jc w:val="righ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375A1" w:rsidRPr="00784011" w14:paraId="54E559F9" w14:textId="77777777" w:rsidTr="00C36A93">
      <w:trPr>
        <w:jc w:val="center"/>
      </w:trPr>
      <w:tc>
        <w:tcPr>
          <w:tcW w:w="1803" w:type="dxa"/>
          <w:vAlign w:val="center"/>
        </w:tcPr>
        <w:p w14:paraId="3445ADF2" w14:textId="77777777" w:rsidR="00E375A1" w:rsidRDefault="00E375A1" w:rsidP="00EE49E8">
          <w:pPr>
            <w:pStyle w:val="Header"/>
            <w:jc w:val="left"/>
            <w:rPr>
              <w:noProof/>
            </w:rPr>
          </w:pPr>
          <w:r>
            <w:rPr>
              <w:noProof/>
            </w:rPr>
            <w:t>gDoc #</w:t>
          </w:r>
        </w:p>
      </w:tc>
      <w:tc>
        <w:tcPr>
          <w:tcW w:w="8261" w:type="dxa"/>
        </w:tcPr>
        <w:p w14:paraId="702EF7CD" w14:textId="4D1715A1" w:rsidR="00E375A1" w:rsidRPr="00E06FD5" w:rsidRDefault="00E375A1" w:rsidP="001F5569">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25</w:t>
          </w:r>
          <w:r w:rsidRPr="00623AE3">
            <w:rPr>
              <w:bCs/>
            </w:rPr>
            <w:t>/</w:t>
          </w:r>
          <w:r>
            <w:rPr>
              <w:bCs/>
            </w:rPr>
            <w:t>57</w:t>
          </w:r>
          <w:r w:rsidRPr="00623AE3">
            <w:rPr>
              <w:bCs/>
            </w:rPr>
            <w:t>-E</w:t>
          </w:r>
          <w:r>
            <w:rPr>
              <w:bCs/>
            </w:rPr>
            <w:tab/>
          </w:r>
          <w:r>
            <w:fldChar w:fldCharType="begin"/>
          </w:r>
          <w:r>
            <w:instrText>PAGE</w:instrText>
          </w:r>
          <w:r>
            <w:fldChar w:fldCharType="separate"/>
          </w:r>
          <w:r>
            <w:t>1</w:t>
          </w:r>
          <w:r>
            <w:rPr>
              <w:noProof/>
            </w:rPr>
            <w:fldChar w:fldCharType="end"/>
          </w:r>
        </w:p>
      </w:tc>
    </w:tr>
  </w:tbl>
  <w:p w14:paraId="7DB991E0" w14:textId="77777777" w:rsidR="00E375A1" w:rsidRPr="00DB1936" w:rsidRDefault="00E375A1" w:rsidP="00EE49E8">
    <w:pPr>
      <w:pStyle w:val="Header"/>
      <w:tabs>
        <w:tab w:val="left" w:pos="8080"/>
        <w:tab w:val="right" w:pos="9072"/>
      </w:tabs>
      <w:jc w:val="lef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D8A90" w14:textId="77777777" w:rsidR="005441B6" w:rsidRDefault="005441B6">
      <w:r>
        <w:t>____________________</w:t>
      </w:r>
    </w:p>
  </w:footnote>
  <w:footnote w:type="continuationSeparator" w:id="0">
    <w:p w14:paraId="30C4C937" w14:textId="77777777" w:rsidR="005441B6" w:rsidRDefault="005441B6">
      <w:r>
        <w:continuationSeparator/>
      </w:r>
    </w:p>
  </w:footnote>
  <w:footnote w:type="continuationNotice" w:id="1">
    <w:p w14:paraId="1AD6509B" w14:textId="77777777" w:rsidR="005441B6" w:rsidRDefault="005441B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6B2361A8" w14:textId="77777777" w:rsidTr="00C36A93">
      <w:trPr>
        <w:trHeight w:val="1104"/>
        <w:jc w:val="center"/>
      </w:trPr>
      <w:tc>
        <w:tcPr>
          <w:tcW w:w="4390" w:type="dxa"/>
          <w:vAlign w:val="center"/>
        </w:tcPr>
        <w:p w14:paraId="71E912A1" w14:textId="77777777" w:rsidR="00AD3606" w:rsidRPr="009621F8" w:rsidRDefault="003936D3" w:rsidP="00CF4A2B">
          <w:pPr>
            <w:pStyle w:val="Header"/>
            <w:jc w:val="left"/>
            <w:rPr>
              <w:rFonts w:ascii="Arial" w:hAnsi="Arial" w:cs="Arial"/>
              <w:b/>
              <w:bCs/>
              <w:color w:val="009CD6"/>
              <w:sz w:val="36"/>
              <w:szCs w:val="36"/>
            </w:rPr>
          </w:pPr>
          <w:bookmarkStart w:id="12" w:name="_Hlk133422111"/>
          <w:r>
            <w:rPr>
              <w:rFonts w:ascii="Arial" w:hAnsi="Arial" w:cs="Arial"/>
              <w:b/>
              <w:bCs/>
              <w:noProof/>
              <w:color w:val="009CD6"/>
              <w:sz w:val="36"/>
              <w:szCs w:val="36"/>
            </w:rPr>
            <w:drawing>
              <wp:inline distT="0" distB="0" distL="0" distR="0" wp14:anchorId="1BAC2A70" wp14:editId="36E4C4E8">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157C9291" w14:textId="77777777" w:rsidR="00AD3606" w:rsidRDefault="00AD3606" w:rsidP="00AD3606">
          <w:pPr>
            <w:pStyle w:val="Header"/>
            <w:jc w:val="right"/>
            <w:rPr>
              <w:rFonts w:ascii="Arial" w:hAnsi="Arial" w:cs="Arial"/>
              <w:b/>
              <w:bCs/>
              <w:color w:val="009CD6"/>
              <w:szCs w:val="18"/>
            </w:rPr>
          </w:pPr>
        </w:p>
        <w:p w14:paraId="670F83B0" w14:textId="77777777" w:rsidR="00AD3606" w:rsidRDefault="00AD3606" w:rsidP="00AD3606">
          <w:pPr>
            <w:pStyle w:val="Header"/>
            <w:jc w:val="right"/>
            <w:rPr>
              <w:rFonts w:ascii="Arial" w:hAnsi="Arial" w:cs="Arial"/>
              <w:b/>
              <w:bCs/>
              <w:color w:val="009CD6"/>
              <w:szCs w:val="18"/>
            </w:rPr>
          </w:pPr>
        </w:p>
        <w:p w14:paraId="593BEDEC"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47664B96"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0162D74B" wp14:editId="47EA1803">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18FF1"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A6FC8" w14:textId="77777777" w:rsidR="00E375A1" w:rsidRDefault="00E375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82C3DE2"/>
    <w:multiLevelType w:val="hybridMultilevel"/>
    <w:tmpl w:val="8FE26D38"/>
    <w:lvl w:ilvl="0" w:tplc="080900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905603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5A1"/>
    <w:rsid w:val="00010D4F"/>
    <w:rsid w:val="000210D4"/>
    <w:rsid w:val="000239D7"/>
    <w:rsid w:val="0006007D"/>
    <w:rsid w:val="0006103C"/>
    <w:rsid w:val="00063016"/>
    <w:rsid w:val="00066795"/>
    <w:rsid w:val="0007035B"/>
    <w:rsid w:val="0007171E"/>
    <w:rsid w:val="00076AF6"/>
    <w:rsid w:val="00085CF2"/>
    <w:rsid w:val="0009510D"/>
    <w:rsid w:val="0009527A"/>
    <w:rsid w:val="000A5F15"/>
    <w:rsid w:val="000B1705"/>
    <w:rsid w:val="000D75B2"/>
    <w:rsid w:val="000F5DDB"/>
    <w:rsid w:val="001121F5"/>
    <w:rsid w:val="00120DB3"/>
    <w:rsid w:val="001400DC"/>
    <w:rsid w:val="00140CE1"/>
    <w:rsid w:val="0017539C"/>
    <w:rsid w:val="00175AC2"/>
    <w:rsid w:val="0017609F"/>
    <w:rsid w:val="00176F47"/>
    <w:rsid w:val="001810CA"/>
    <w:rsid w:val="001A3154"/>
    <w:rsid w:val="001A3302"/>
    <w:rsid w:val="001A7D1D"/>
    <w:rsid w:val="001B51DD"/>
    <w:rsid w:val="001C0B19"/>
    <w:rsid w:val="001C2540"/>
    <w:rsid w:val="001C628E"/>
    <w:rsid w:val="001D02D3"/>
    <w:rsid w:val="001D1D2A"/>
    <w:rsid w:val="001E0F7B"/>
    <w:rsid w:val="001F5569"/>
    <w:rsid w:val="00203FBA"/>
    <w:rsid w:val="002119FD"/>
    <w:rsid w:val="002130E0"/>
    <w:rsid w:val="00221F46"/>
    <w:rsid w:val="00264425"/>
    <w:rsid w:val="00265875"/>
    <w:rsid w:val="0027303B"/>
    <w:rsid w:val="0028109B"/>
    <w:rsid w:val="00292021"/>
    <w:rsid w:val="002A2188"/>
    <w:rsid w:val="002B1F58"/>
    <w:rsid w:val="002C1C7A"/>
    <w:rsid w:val="002C3F32"/>
    <w:rsid w:val="002C54E2"/>
    <w:rsid w:val="002E0BD8"/>
    <w:rsid w:val="0030160F"/>
    <w:rsid w:val="00310562"/>
    <w:rsid w:val="00312222"/>
    <w:rsid w:val="00320223"/>
    <w:rsid w:val="00322D0D"/>
    <w:rsid w:val="003403DF"/>
    <w:rsid w:val="003437AF"/>
    <w:rsid w:val="00361465"/>
    <w:rsid w:val="003877F5"/>
    <w:rsid w:val="00390E97"/>
    <w:rsid w:val="003936D3"/>
    <w:rsid w:val="003942D4"/>
    <w:rsid w:val="003958A8"/>
    <w:rsid w:val="003A259A"/>
    <w:rsid w:val="003B29C2"/>
    <w:rsid w:val="003B4FAF"/>
    <w:rsid w:val="003C2533"/>
    <w:rsid w:val="003C44CE"/>
    <w:rsid w:val="003D5A7F"/>
    <w:rsid w:val="003E5008"/>
    <w:rsid w:val="0040435A"/>
    <w:rsid w:val="00406B59"/>
    <w:rsid w:val="00416A24"/>
    <w:rsid w:val="00431D9E"/>
    <w:rsid w:val="0043359A"/>
    <w:rsid w:val="00433CE8"/>
    <w:rsid w:val="00434A5C"/>
    <w:rsid w:val="00453079"/>
    <w:rsid w:val="004544D9"/>
    <w:rsid w:val="00472BAD"/>
    <w:rsid w:val="00484009"/>
    <w:rsid w:val="00490D09"/>
    <w:rsid w:val="00490E72"/>
    <w:rsid w:val="00491157"/>
    <w:rsid w:val="00491BA9"/>
    <w:rsid w:val="004921C8"/>
    <w:rsid w:val="00495B0B"/>
    <w:rsid w:val="004A1B8B"/>
    <w:rsid w:val="004B1955"/>
    <w:rsid w:val="004C745B"/>
    <w:rsid w:val="004D1851"/>
    <w:rsid w:val="004D2A88"/>
    <w:rsid w:val="004D599D"/>
    <w:rsid w:val="004D76B1"/>
    <w:rsid w:val="004E2EA5"/>
    <w:rsid w:val="004E3AEB"/>
    <w:rsid w:val="0050223C"/>
    <w:rsid w:val="00504660"/>
    <w:rsid w:val="005243FF"/>
    <w:rsid w:val="005441B6"/>
    <w:rsid w:val="00564FBC"/>
    <w:rsid w:val="005800BC"/>
    <w:rsid w:val="0058132A"/>
    <w:rsid w:val="00582442"/>
    <w:rsid w:val="005A1604"/>
    <w:rsid w:val="005E6C12"/>
    <w:rsid w:val="005F3269"/>
    <w:rsid w:val="00623AE3"/>
    <w:rsid w:val="00633D56"/>
    <w:rsid w:val="0064737F"/>
    <w:rsid w:val="00651FA7"/>
    <w:rsid w:val="006535F1"/>
    <w:rsid w:val="0065557D"/>
    <w:rsid w:val="00660D50"/>
    <w:rsid w:val="00662984"/>
    <w:rsid w:val="006716BB"/>
    <w:rsid w:val="006A0DAF"/>
    <w:rsid w:val="006B1859"/>
    <w:rsid w:val="006B6680"/>
    <w:rsid w:val="006B6DCC"/>
    <w:rsid w:val="006B77F1"/>
    <w:rsid w:val="006D23CB"/>
    <w:rsid w:val="00702DEF"/>
    <w:rsid w:val="00706861"/>
    <w:rsid w:val="00722551"/>
    <w:rsid w:val="00741D6E"/>
    <w:rsid w:val="0075051B"/>
    <w:rsid w:val="00756A0D"/>
    <w:rsid w:val="0077110E"/>
    <w:rsid w:val="00793188"/>
    <w:rsid w:val="00794D34"/>
    <w:rsid w:val="007A1CED"/>
    <w:rsid w:val="007A3FCD"/>
    <w:rsid w:val="007B19CF"/>
    <w:rsid w:val="007D01AF"/>
    <w:rsid w:val="007D6AD5"/>
    <w:rsid w:val="007D7E60"/>
    <w:rsid w:val="008007A5"/>
    <w:rsid w:val="00813E5E"/>
    <w:rsid w:val="0083581B"/>
    <w:rsid w:val="00842749"/>
    <w:rsid w:val="00842E79"/>
    <w:rsid w:val="00860273"/>
    <w:rsid w:val="008636B8"/>
    <w:rsid w:val="00863874"/>
    <w:rsid w:val="00864AFF"/>
    <w:rsid w:val="00865925"/>
    <w:rsid w:val="00874448"/>
    <w:rsid w:val="00877200"/>
    <w:rsid w:val="00895182"/>
    <w:rsid w:val="008B4A6A"/>
    <w:rsid w:val="008C7E27"/>
    <w:rsid w:val="008E362F"/>
    <w:rsid w:val="008E6C8B"/>
    <w:rsid w:val="008F7448"/>
    <w:rsid w:val="00900514"/>
    <w:rsid w:val="0090147A"/>
    <w:rsid w:val="009173EF"/>
    <w:rsid w:val="009251B4"/>
    <w:rsid w:val="00932132"/>
    <w:rsid w:val="00932906"/>
    <w:rsid w:val="00961B0B"/>
    <w:rsid w:val="00962660"/>
    <w:rsid w:val="00962D33"/>
    <w:rsid w:val="009A1C0F"/>
    <w:rsid w:val="009B38C3"/>
    <w:rsid w:val="009D4A54"/>
    <w:rsid w:val="009E17BD"/>
    <w:rsid w:val="009E485A"/>
    <w:rsid w:val="009F5898"/>
    <w:rsid w:val="00A04CEC"/>
    <w:rsid w:val="00A25C3E"/>
    <w:rsid w:val="00A27F92"/>
    <w:rsid w:val="00A32257"/>
    <w:rsid w:val="00A33051"/>
    <w:rsid w:val="00A36D20"/>
    <w:rsid w:val="00A4246A"/>
    <w:rsid w:val="00A514A4"/>
    <w:rsid w:val="00A55622"/>
    <w:rsid w:val="00A676CA"/>
    <w:rsid w:val="00A83502"/>
    <w:rsid w:val="00A94BAB"/>
    <w:rsid w:val="00A94E8E"/>
    <w:rsid w:val="00AD15B3"/>
    <w:rsid w:val="00AD3606"/>
    <w:rsid w:val="00AD4A3D"/>
    <w:rsid w:val="00AF6E49"/>
    <w:rsid w:val="00B0300B"/>
    <w:rsid w:val="00B04A67"/>
    <w:rsid w:val="00B0583C"/>
    <w:rsid w:val="00B13F60"/>
    <w:rsid w:val="00B40A81"/>
    <w:rsid w:val="00B41511"/>
    <w:rsid w:val="00B42F77"/>
    <w:rsid w:val="00B44910"/>
    <w:rsid w:val="00B44E3E"/>
    <w:rsid w:val="00B72267"/>
    <w:rsid w:val="00B76EB6"/>
    <w:rsid w:val="00B7737B"/>
    <w:rsid w:val="00B824C8"/>
    <w:rsid w:val="00B84B9D"/>
    <w:rsid w:val="00B85EEC"/>
    <w:rsid w:val="00B9131F"/>
    <w:rsid w:val="00BB0646"/>
    <w:rsid w:val="00BB6D4C"/>
    <w:rsid w:val="00BC251A"/>
    <w:rsid w:val="00BC3038"/>
    <w:rsid w:val="00BC4A20"/>
    <w:rsid w:val="00BD032B"/>
    <w:rsid w:val="00BE01C6"/>
    <w:rsid w:val="00BE0CF4"/>
    <w:rsid w:val="00BE2640"/>
    <w:rsid w:val="00BF1FDE"/>
    <w:rsid w:val="00C01189"/>
    <w:rsid w:val="00C0458D"/>
    <w:rsid w:val="00C36A93"/>
    <w:rsid w:val="00C374DE"/>
    <w:rsid w:val="00C47A6A"/>
    <w:rsid w:val="00C47AD4"/>
    <w:rsid w:val="00C52D81"/>
    <w:rsid w:val="00C55198"/>
    <w:rsid w:val="00C6520B"/>
    <w:rsid w:val="00CA6393"/>
    <w:rsid w:val="00CA7995"/>
    <w:rsid w:val="00CB18FF"/>
    <w:rsid w:val="00CC49A6"/>
    <w:rsid w:val="00CD0C08"/>
    <w:rsid w:val="00CE03FB"/>
    <w:rsid w:val="00CE433C"/>
    <w:rsid w:val="00CF0161"/>
    <w:rsid w:val="00CF33F3"/>
    <w:rsid w:val="00CF4A2B"/>
    <w:rsid w:val="00D024CA"/>
    <w:rsid w:val="00D06183"/>
    <w:rsid w:val="00D22C42"/>
    <w:rsid w:val="00D35F7B"/>
    <w:rsid w:val="00D65041"/>
    <w:rsid w:val="00DA1F0A"/>
    <w:rsid w:val="00DA3869"/>
    <w:rsid w:val="00DB0F26"/>
    <w:rsid w:val="00DB1936"/>
    <w:rsid w:val="00DB384B"/>
    <w:rsid w:val="00DE02DE"/>
    <w:rsid w:val="00DE5B3A"/>
    <w:rsid w:val="00DF0189"/>
    <w:rsid w:val="00E06FD5"/>
    <w:rsid w:val="00E10E80"/>
    <w:rsid w:val="00E124F0"/>
    <w:rsid w:val="00E227F3"/>
    <w:rsid w:val="00E248DB"/>
    <w:rsid w:val="00E375A1"/>
    <w:rsid w:val="00E53C74"/>
    <w:rsid w:val="00E545C6"/>
    <w:rsid w:val="00E60F04"/>
    <w:rsid w:val="00E64CB2"/>
    <w:rsid w:val="00E65B24"/>
    <w:rsid w:val="00E854E4"/>
    <w:rsid w:val="00E86DBF"/>
    <w:rsid w:val="00E876BC"/>
    <w:rsid w:val="00E95AE6"/>
    <w:rsid w:val="00E969AF"/>
    <w:rsid w:val="00E97254"/>
    <w:rsid w:val="00EB0D6F"/>
    <w:rsid w:val="00EB2232"/>
    <w:rsid w:val="00EC5337"/>
    <w:rsid w:val="00EE219F"/>
    <w:rsid w:val="00EE49E8"/>
    <w:rsid w:val="00EE73BD"/>
    <w:rsid w:val="00F16AB4"/>
    <w:rsid w:val="00F16BAB"/>
    <w:rsid w:val="00F2150A"/>
    <w:rsid w:val="00F231D8"/>
    <w:rsid w:val="00F26A9A"/>
    <w:rsid w:val="00F44C00"/>
    <w:rsid w:val="00F45D2C"/>
    <w:rsid w:val="00F46C5F"/>
    <w:rsid w:val="00F54202"/>
    <w:rsid w:val="00F632C0"/>
    <w:rsid w:val="00F641E1"/>
    <w:rsid w:val="00F7621F"/>
    <w:rsid w:val="00F90CAD"/>
    <w:rsid w:val="00F94A63"/>
    <w:rsid w:val="00FA1281"/>
    <w:rsid w:val="00FA1C28"/>
    <w:rsid w:val="00FB1279"/>
    <w:rsid w:val="00FB6B76"/>
    <w:rsid w:val="00FB7596"/>
    <w:rsid w:val="00FE250E"/>
    <w:rsid w:val="00FE4077"/>
    <w:rsid w:val="00FE500D"/>
    <w:rsid w:val="00FE6012"/>
    <w:rsid w:val="00FE77D2"/>
    <w:rsid w:val="00FF39B1"/>
    <w:rsid w:val="016468FB"/>
    <w:rsid w:val="0E143534"/>
    <w:rsid w:val="140EC15A"/>
    <w:rsid w:val="14EE402D"/>
    <w:rsid w:val="152A74A5"/>
    <w:rsid w:val="2B1D7BCB"/>
    <w:rsid w:val="35D83A90"/>
    <w:rsid w:val="57436A4E"/>
    <w:rsid w:val="65C0806C"/>
    <w:rsid w:val="68A777E6"/>
    <w:rsid w:val="6CCC91FA"/>
    <w:rsid w:val="726C9714"/>
    <w:rsid w:val="770AA441"/>
    <w:rsid w:val="7BCD9B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6237AA"/>
  <w15:docId w15:val="{E7494887-B9D3-4FA5-972A-22BF4A6EA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176F47"/>
    <w:pPr>
      <w:framePr w:wrap="around" w:vAnchor="margin" w:hAnchor="page" w:x="1821" w:y="2317"/>
      <w:spacing w:before="120" w:after="120"/>
    </w:pPr>
    <w:rPr>
      <w:sz w:val="32"/>
      <w:szCs w:val="32"/>
    </w:r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paragraph" w:styleId="ListParagraph">
    <w:name w:val="List Paragraph"/>
    <w:basedOn w:val="Normal"/>
    <w:uiPriority w:val="34"/>
    <w:qFormat/>
    <w:rsid w:val="00E375A1"/>
    <w:pPr>
      <w:ind w:left="720"/>
      <w:contextualSpacing/>
    </w:pPr>
  </w:style>
  <w:style w:type="paragraph" w:styleId="Revision">
    <w:name w:val="Revision"/>
    <w:hidden/>
    <w:uiPriority w:val="99"/>
    <w:semiHidden/>
    <w:rsid w:val="00633D56"/>
    <w:rPr>
      <w:rFonts w:ascii="Calibri" w:hAnsi="Calibri"/>
      <w:sz w:val="24"/>
      <w:lang w:val="en-GB" w:eastAsia="en-US"/>
    </w:rPr>
  </w:style>
  <w:style w:type="paragraph" w:styleId="CommentText">
    <w:name w:val="annotation text"/>
    <w:basedOn w:val="Normal"/>
    <w:link w:val="CommentTextChar"/>
    <w:unhideWhenUsed/>
    <w:rsid w:val="007A1CED"/>
    <w:rPr>
      <w:sz w:val="20"/>
    </w:rPr>
  </w:style>
  <w:style w:type="character" w:customStyle="1" w:styleId="CommentTextChar">
    <w:name w:val="Comment Text Char"/>
    <w:basedOn w:val="DefaultParagraphFont"/>
    <w:link w:val="CommentText"/>
    <w:rsid w:val="007A1CED"/>
    <w:rPr>
      <w:rFonts w:ascii="Calibri" w:hAnsi="Calibri"/>
      <w:lang w:val="en-GB" w:eastAsia="en-US"/>
    </w:rPr>
  </w:style>
  <w:style w:type="character" w:styleId="CommentReference">
    <w:name w:val="annotation reference"/>
    <w:basedOn w:val="DefaultParagraphFont"/>
    <w:semiHidden/>
    <w:unhideWhenUsed/>
    <w:rsid w:val="007A1CED"/>
    <w:rPr>
      <w:sz w:val="16"/>
      <w:szCs w:val="16"/>
    </w:rPr>
  </w:style>
  <w:style w:type="paragraph" w:styleId="CommentSubject">
    <w:name w:val="annotation subject"/>
    <w:basedOn w:val="CommentText"/>
    <w:next w:val="CommentText"/>
    <w:link w:val="CommentSubjectChar"/>
    <w:semiHidden/>
    <w:unhideWhenUsed/>
    <w:rsid w:val="003E5008"/>
    <w:rPr>
      <w:b/>
      <w:bCs/>
    </w:rPr>
  </w:style>
  <w:style w:type="character" w:customStyle="1" w:styleId="CommentSubjectChar">
    <w:name w:val="Comment Subject Char"/>
    <w:basedOn w:val="CommentTextChar"/>
    <w:link w:val="CommentSubject"/>
    <w:semiHidden/>
    <w:rsid w:val="003E5008"/>
    <w:rPr>
      <w:rFonts w:ascii="Calibri" w:hAnsi="Calibri"/>
      <w:b/>
      <w:bCs/>
      <w:lang w:val="en-GB" w:eastAsia="en-US"/>
    </w:rPr>
  </w:style>
  <w:style w:type="character" w:styleId="Mention">
    <w:name w:val="Mention"/>
    <w:basedOn w:val="DefaultParagraphFont"/>
    <w:uiPriority w:val="99"/>
    <w:unhideWhenUsed/>
    <w:rsid w:val="003E500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1"/>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2-CL-C-0061/en" TargetMode="External"/><Relationship Id="rId18" Type="http://schemas.openxmlformats.org/officeDocument/2006/relationships/hyperlink" Target="https://www.unjiu.org/sites/www.unjiu.org/files/jiu-rep-2024-4_review_highlights.pdf" TargetMode="External"/><Relationship Id="rId26" Type="http://schemas.openxmlformats.org/officeDocument/2006/relationships/hyperlink" Target="https://www.unjiu.org/sites/www.unjiu.org/files/jiu-rep-2023-9_review_highlights.pdf" TargetMode="External"/><Relationship Id="rId3" Type="http://schemas.openxmlformats.org/officeDocument/2006/relationships/customXml" Target="../customXml/item3.xml"/><Relationship Id="rId21" Type="http://schemas.openxmlformats.org/officeDocument/2006/relationships/hyperlink" Target="https://www.unjiu.org/sites/www.unjiu.org/files/review_highlights_jiu_rep_2024_3_parts_i_and_ii_0.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md/S23-CL-C-0057/en" TargetMode="External"/><Relationship Id="rId17" Type="http://schemas.openxmlformats.org/officeDocument/2006/relationships/hyperlink" Target="https://www.unjiu.org/sites/www.unjiu.org/files/jiu_rep_2024_4_english.pdf" TargetMode="External"/><Relationship Id="rId25" Type="http://schemas.openxmlformats.org/officeDocument/2006/relationships/hyperlink" Target="https://www.unjiu.org/sites/www.unjiu.org/files/jiu_rep_2023_9_english.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unjiu.org/sites/www.unjiu.org/files/jiu_rep_2024_3_part_ii_english.pdf" TargetMode="External"/><Relationship Id="rId29" Type="http://schemas.openxmlformats.org/officeDocument/2006/relationships/hyperlink" Target="https://www.unjiu.org/sites/www.unjiu.org/files/jiu-rep-2023-8_review_highlights_appendix_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4-CL-C-0057/en" TargetMode="External"/><Relationship Id="rId24" Type="http://schemas.openxmlformats.org/officeDocument/2006/relationships/hyperlink" Target="https://www.unjiu.org/sites/www.unjiu.org/files/a-79-717-add1-e.pdf"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unjiu.org/sites/www.unjiu.org/files/jiu-rep-2014-2_review_highlights.pdf" TargetMode="External"/><Relationship Id="rId28" Type="http://schemas.openxmlformats.org/officeDocument/2006/relationships/hyperlink" Target="https://www.unjiu.org/sites/www.unjiu.org/files/jiu_rep_2023_8_english_0.pdf" TargetMode="External"/><Relationship Id="rId10" Type="http://schemas.openxmlformats.org/officeDocument/2006/relationships/endnotes" Target="endnotes.xml"/><Relationship Id="rId19" Type="http://schemas.openxmlformats.org/officeDocument/2006/relationships/hyperlink" Target="https://www.unjiu.org/sites/www.unjiu.org/files/jiu_rep_2024_3_part_i_english_0.pdf"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unjiu.org/sites/www.unjiu.org/files/jiu_rep_2024_2_0.pdf" TargetMode="External"/><Relationship Id="rId27" Type="http://schemas.openxmlformats.org/officeDocument/2006/relationships/hyperlink" Target="https://www.unjiu.org/sites/www.unjiu.org/files/a_79_695_add1-en.pdf" TargetMode="External"/><Relationship Id="rId30" Type="http://schemas.openxmlformats.org/officeDocument/2006/relationships/hyperlink" Target="https://www.unjiu.org/sites/www.unjiu.org/files/a_79_694_add1-en.pdf" TargetMode="Externa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8" ma:contentTypeDescription="Create a new document." ma:contentTypeScope="" ma:versionID="df57621dcd9cb730b7324d398b3ce10c">
  <xsd:schema xmlns:xsd="http://www.w3.org/2001/XMLSchema" xmlns:xs="http://www.w3.org/2001/XMLSchema" xmlns:p="http://schemas.microsoft.com/office/2006/metadata/properties" xmlns:ns2="a1cf676c-2816-4389-ad5d-0f2e7c7e67c4" targetNamespace="http://schemas.microsoft.com/office/2006/metadata/properties" ma:root="true" ma:fieldsID="21bebef123d8a211588512afbbbc1c26"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303720-831B-4AE1-8FEE-8BF975CD27FA}">
  <ds:schemaRefs>
    <ds:schemaRef ds:uri="http://schemas.microsoft.com/sharepoint/v3/contenttype/forms"/>
  </ds:schemaRefs>
</ds:datastoreItem>
</file>

<file path=customXml/itemProps2.xml><?xml version="1.0" encoding="utf-8"?>
<ds:datastoreItem xmlns:ds="http://schemas.openxmlformats.org/officeDocument/2006/customXml" ds:itemID="{B456371B-AF8F-476A-A94A-26377488457E}">
  <ds:schemaRefs>
    <ds:schemaRef ds:uri="a1cf676c-2816-4389-ad5d-0f2e7c7e67c4"/>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FB311AA1-551B-483A-9E61-4446D8B45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PE_Council25.dotx</Template>
  <TotalTime>10</TotalTime>
  <Pages>5</Pages>
  <Words>1763</Words>
  <Characters>12275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JIU reports on United Nations system-wide issues for 2023-2024 and recommendations to executive heads and legislative bodies</vt:lpstr>
    </vt:vector>
  </TitlesOfParts>
  <Manager>General Secretariat</Manager>
  <Company>International Telecommunication Union (ITU)</Company>
  <LinksUpToDate>false</LinksUpToDate>
  <CharactersWithSpaces>14010</CharactersWithSpaces>
  <SharedDoc>false</SharedDoc>
  <HLinks>
    <vt:vector size="210" baseType="variant">
      <vt:variant>
        <vt:i4>2424920</vt:i4>
      </vt:variant>
      <vt:variant>
        <vt:i4>48</vt:i4>
      </vt:variant>
      <vt:variant>
        <vt:i4>0</vt:i4>
      </vt:variant>
      <vt:variant>
        <vt:i4>5</vt:i4>
      </vt:variant>
      <vt:variant>
        <vt:lpwstr>https://www.unjiu.org/sites/www.unjiu.org/files/a_79_694_add1-en.pdf</vt:lpwstr>
      </vt:variant>
      <vt:variant>
        <vt:lpwstr/>
      </vt:variant>
      <vt:variant>
        <vt:i4>6815807</vt:i4>
      </vt:variant>
      <vt:variant>
        <vt:i4>45</vt:i4>
      </vt:variant>
      <vt:variant>
        <vt:i4>0</vt:i4>
      </vt:variant>
      <vt:variant>
        <vt:i4>5</vt:i4>
      </vt:variant>
      <vt:variant>
        <vt:lpwstr>https://www.unjiu.org/sites/www.unjiu.org/files/jiu-rep-2023-8_review_highlights_appendix_0.pdf</vt:lpwstr>
      </vt:variant>
      <vt:variant>
        <vt:lpwstr/>
      </vt:variant>
      <vt:variant>
        <vt:i4>196660</vt:i4>
      </vt:variant>
      <vt:variant>
        <vt:i4>42</vt:i4>
      </vt:variant>
      <vt:variant>
        <vt:i4>0</vt:i4>
      </vt:variant>
      <vt:variant>
        <vt:i4>5</vt:i4>
      </vt:variant>
      <vt:variant>
        <vt:lpwstr>https://www.unjiu.org/sites/www.unjiu.org/files/jiu_rep_2023_8_english_0.pdf</vt:lpwstr>
      </vt:variant>
      <vt:variant>
        <vt:lpwstr/>
      </vt:variant>
      <vt:variant>
        <vt:i4>2359384</vt:i4>
      </vt:variant>
      <vt:variant>
        <vt:i4>39</vt:i4>
      </vt:variant>
      <vt:variant>
        <vt:i4>0</vt:i4>
      </vt:variant>
      <vt:variant>
        <vt:i4>5</vt:i4>
      </vt:variant>
      <vt:variant>
        <vt:lpwstr>https://www.unjiu.org/sites/www.unjiu.org/files/a_79_695_add1-en.pdf</vt:lpwstr>
      </vt:variant>
      <vt:variant>
        <vt:lpwstr/>
      </vt:variant>
      <vt:variant>
        <vt:i4>8126563</vt:i4>
      </vt:variant>
      <vt:variant>
        <vt:i4>36</vt:i4>
      </vt:variant>
      <vt:variant>
        <vt:i4>0</vt:i4>
      </vt:variant>
      <vt:variant>
        <vt:i4>5</vt:i4>
      </vt:variant>
      <vt:variant>
        <vt:lpwstr>https://www.unjiu.org/sites/www.unjiu.org/files/jiu-rep-2023-9_review_highlights.pdf</vt:lpwstr>
      </vt:variant>
      <vt:variant>
        <vt:lpwstr/>
      </vt:variant>
      <vt:variant>
        <vt:i4>3276907</vt:i4>
      </vt:variant>
      <vt:variant>
        <vt:i4>33</vt:i4>
      </vt:variant>
      <vt:variant>
        <vt:i4>0</vt:i4>
      </vt:variant>
      <vt:variant>
        <vt:i4>5</vt:i4>
      </vt:variant>
      <vt:variant>
        <vt:lpwstr>https://www.unjiu.org/sites/www.unjiu.org/files/jiu_rep_2023_9_english.pdf</vt:lpwstr>
      </vt:variant>
      <vt:variant>
        <vt:lpwstr/>
      </vt:variant>
      <vt:variant>
        <vt:i4>6750314</vt:i4>
      </vt:variant>
      <vt:variant>
        <vt:i4>30</vt:i4>
      </vt:variant>
      <vt:variant>
        <vt:i4>0</vt:i4>
      </vt:variant>
      <vt:variant>
        <vt:i4>5</vt:i4>
      </vt:variant>
      <vt:variant>
        <vt:lpwstr>https://www.unjiu.org/sites/www.unjiu.org/files/a-79-717-add1-e.pdf</vt:lpwstr>
      </vt:variant>
      <vt:variant>
        <vt:lpwstr/>
      </vt:variant>
      <vt:variant>
        <vt:i4>7340128</vt:i4>
      </vt:variant>
      <vt:variant>
        <vt:i4>27</vt:i4>
      </vt:variant>
      <vt:variant>
        <vt:i4>0</vt:i4>
      </vt:variant>
      <vt:variant>
        <vt:i4>5</vt:i4>
      </vt:variant>
      <vt:variant>
        <vt:lpwstr>https://www.unjiu.org/sites/www.unjiu.org/files/jiu-rep-2014-2_review_highlights.pdf</vt:lpwstr>
      </vt:variant>
      <vt:variant>
        <vt:lpwstr/>
      </vt:variant>
      <vt:variant>
        <vt:i4>851994</vt:i4>
      </vt:variant>
      <vt:variant>
        <vt:i4>24</vt:i4>
      </vt:variant>
      <vt:variant>
        <vt:i4>0</vt:i4>
      </vt:variant>
      <vt:variant>
        <vt:i4>5</vt:i4>
      </vt:variant>
      <vt:variant>
        <vt:lpwstr>https://www.unjiu.org/sites/www.unjiu.org/files/jiu_rep_2024_2_0.pdf</vt:lpwstr>
      </vt:variant>
      <vt:variant>
        <vt:lpwstr/>
      </vt:variant>
      <vt:variant>
        <vt:i4>2031632</vt:i4>
      </vt:variant>
      <vt:variant>
        <vt:i4>21</vt:i4>
      </vt:variant>
      <vt:variant>
        <vt:i4>0</vt:i4>
      </vt:variant>
      <vt:variant>
        <vt:i4>5</vt:i4>
      </vt:variant>
      <vt:variant>
        <vt:lpwstr>https://www.unjiu.org/sites/www.unjiu.org/files/review_highlights_jiu_rep_2024_3_parts_i_and_ii_0.pdf</vt:lpwstr>
      </vt:variant>
      <vt:variant>
        <vt:lpwstr/>
      </vt:variant>
      <vt:variant>
        <vt:i4>720968</vt:i4>
      </vt:variant>
      <vt:variant>
        <vt:i4>18</vt:i4>
      </vt:variant>
      <vt:variant>
        <vt:i4>0</vt:i4>
      </vt:variant>
      <vt:variant>
        <vt:i4>5</vt:i4>
      </vt:variant>
      <vt:variant>
        <vt:lpwstr>https://www.unjiu.org/sites/www.unjiu.org/files/jiu_rep_2024_3_part_ii_english.pdf</vt:lpwstr>
      </vt:variant>
      <vt:variant>
        <vt:lpwstr/>
      </vt:variant>
      <vt:variant>
        <vt:i4>4980847</vt:i4>
      </vt:variant>
      <vt:variant>
        <vt:i4>15</vt:i4>
      </vt:variant>
      <vt:variant>
        <vt:i4>0</vt:i4>
      </vt:variant>
      <vt:variant>
        <vt:i4>5</vt:i4>
      </vt:variant>
      <vt:variant>
        <vt:lpwstr>https://www.unjiu.org/sites/www.unjiu.org/files/jiu_rep_2024_3_part_i_english_0.pdf</vt:lpwstr>
      </vt:variant>
      <vt:variant>
        <vt:lpwstr/>
      </vt:variant>
      <vt:variant>
        <vt:i4>7733347</vt:i4>
      </vt:variant>
      <vt:variant>
        <vt:i4>12</vt:i4>
      </vt:variant>
      <vt:variant>
        <vt:i4>0</vt:i4>
      </vt:variant>
      <vt:variant>
        <vt:i4>5</vt:i4>
      </vt:variant>
      <vt:variant>
        <vt:lpwstr>https://www.unjiu.org/sites/www.unjiu.org/files/jiu-rep-2024-4_review_highlights.pdf</vt:lpwstr>
      </vt:variant>
      <vt:variant>
        <vt:lpwstr/>
      </vt:variant>
      <vt:variant>
        <vt:i4>3670123</vt:i4>
      </vt:variant>
      <vt:variant>
        <vt:i4>9</vt:i4>
      </vt:variant>
      <vt:variant>
        <vt:i4>0</vt:i4>
      </vt:variant>
      <vt:variant>
        <vt:i4>5</vt:i4>
      </vt:variant>
      <vt:variant>
        <vt:lpwstr>https://www.unjiu.org/sites/www.unjiu.org/files/jiu_rep_2024_4_english.pdf</vt:lpwstr>
      </vt:variant>
      <vt:variant>
        <vt:lpwstr/>
      </vt:variant>
      <vt:variant>
        <vt:i4>7405626</vt:i4>
      </vt:variant>
      <vt:variant>
        <vt:i4>6</vt:i4>
      </vt:variant>
      <vt:variant>
        <vt:i4>0</vt:i4>
      </vt:variant>
      <vt:variant>
        <vt:i4>5</vt:i4>
      </vt:variant>
      <vt:variant>
        <vt:lpwstr>https://www.itu.int/md/S22-CL-C-0061/en</vt:lpwstr>
      </vt:variant>
      <vt:variant>
        <vt:lpwstr/>
      </vt:variant>
      <vt:variant>
        <vt:i4>7733305</vt:i4>
      </vt:variant>
      <vt:variant>
        <vt:i4>3</vt:i4>
      </vt:variant>
      <vt:variant>
        <vt:i4>0</vt:i4>
      </vt:variant>
      <vt:variant>
        <vt:i4>5</vt:i4>
      </vt:variant>
      <vt:variant>
        <vt:lpwstr>https://www.itu.int/md/S23-CL-C-0057/en</vt:lpwstr>
      </vt:variant>
      <vt:variant>
        <vt:lpwstr/>
      </vt:variant>
      <vt:variant>
        <vt:i4>7405625</vt:i4>
      </vt:variant>
      <vt:variant>
        <vt:i4>0</vt:i4>
      </vt:variant>
      <vt:variant>
        <vt:i4>0</vt:i4>
      </vt:variant>
      <vt:variant>
        <vt:i4>5</vt:i4>
      </vt:variant>
      <vt:variant>
        <vt:lpwstr>https://www.itu.int/md/S24-CL-C-0057/en</vt:lpwstr>
      </vt:variant>
      <vt:variant>
        <vt:lpwstr/>
      </vt:variant>
      <vt:variant>
        <vt:i4>196633</vt:i4>
      </vt:variant>
      <vt:variant>
        <vt:i4>3</vt:i4>
      </vt:variant>
      <vt:variant>
        <vt:i4>0</vt:i4>
      </vt:variant>
      <vt:variant>
        <vt:i4>5</vt:i4>
      </vt:variant>
      <vt:variant>
        <vt:lpwstr>https://council.itu.int/2025/en/</vt:lpwstr>
      </vt:variant>
      <vt:variant>
        <vt:lpwstr/>
      </vt:variant>
      <vt:variant>
        <vt:i4>6291482</vt:i4>
      </vt:variant>
      <vt:variant>
        <vt:i4>48</vt:i4>
      </vt:variant>
      <vt:variant>
        <vt:i4>0</vt:i4>
      </vt:variant>
      <vt:variant>
        <vt:i4>5</vt:i4>
      </vt:variant>
      <vt:variant>
        <vt:lpwstr>mailto:fei.you@itu.int</vt:lpwstr>
      </vt:variant>
      <vt:variant>
        <vt:lpwstr/>
      </vt:variant>
      <vt:variant>
        <vt:i4>4849725</vt:i4>
      </vt:variant>
      <vt:variant>
        <vt:i4>45</vt:i4>
      </vt:variant>
      <vt:variant>
        <vt:i4>0</vt:i4>
      </vt:variant>
      <vt:variant>
        <vt:i4>5</vt:i4>
      </vt:variant>
      <vt:variant>
        <vt:lpwstr>mailto:subira.suedi@itu.int</vt:lpwstr>
      </vt:variant>
      <vt:variant>
        <vt:lpwstr/>
      </vt:variant>
      <vt:variant>
        <vt:i4>65641</vt:i4>
      </vt:variant>
      <vt:variant>
        <vt:i4>42</vt:i4>
      </vt:variant>
      <vt:variant>
        <vt:i4>0</vt:i4>
      </vt:variant>
      <vt:variant>
        <vt:i4>5</vt:i4>
      </vt:variant>
      <vt:variant>
        <vt:lpwstr>mailto:maria.traficanti@itu.int</vt:lpwstr>
      </vt:variant>
      <vt:variant>
        <vt:lpwstr/>
      </vt:variant>
      <vt:variant>
        <vt:i4>721005</vt:i4>
      </vt:variant>
      <vt:variant>
        <vt:i4>39</vt:i4>
      </vt:variant>
      <vt:variant>
        <vt:i4>0</vt:i4>
      </vt:variant>
      <vt:variant>
        <vt:i4>5</vt:i4>
      </vt:variant>
      <vt:variant>
        <vt:lpwstr>mailto:tomas.lamanauskas@itu.int</vt:lpwstr>
      </vt:variant>
      <vt:variant>
        <vt:lpwstr/>
      </vt:variant>
      <vt:variant>
        <vt:i4>6684698</vt:i4>
      </vt:variant>
      <vt:variant>
        <vt:i4>36</vt:i4>
      </vt:variant>
      <vt:variant>
        <vt:i4>0</vt:i4>
      </vt:variant>
      <vt:variant>
        <vt:i4>5</vt:i4>
      </vt:variant>
      <vt:variant>
        <vt:lpwstr>mailto:mario.castrogrande@itu.int</vt:lpwstr>
      </vt:variant>
      <vt:variant>
        <vt:lpwstr/>
      </vt:variant>
      <vt:variant>
        <vt:i4>721005</vt:i4>
      </vt:variant>
      <vt:variant>
        <vt:i4>33</vt:i4>
      </vt:variant>
      <vt:variant>
        <vt:i4>0</vt:i4>
      </vt:variant>
      <vt:variant>
        <vt:i4>5</vt:i4>
      </vt:variant>
      <vt:variant>
        <vt:lpwstr>mailto:tomas.lamanauskas@itu.int</vt:lpwstr>
      </vt:variant>
      <vt:variant>
        <vt:lpwstr/>
      </vt:variant>
      <vt:variant>
        <vt:i4>721005</vt:i4>
      </vt:variant>
      <vt:variant>
        <vt:i4>30</vt:i4>
      </vt:variant>
      <vt:variant>
        <vt:i4>0</vt:i4>
      </vt:variant>
      <vt:variant>
        <vt:i4>5</vt:i4>
      </vt:variant>
      <vt:variant>
        <vt:lpwstr>mailto:tomas.lamanauskas@itu.int</vt:lpwstr>
      </vt:variant>
      <vt:variant>
        <vt:lpwstr/>
      </vt:variant>
      <vt:variant>
        <vt:i4>6684698</vt:i4>
      </vt:variant>
      <vt:variant>
        <vt:i4>27</vt:i4>
      </vt:variant>
      <vt:variant>
        <vt:i4>0</vt:i4>
      </vt:variant>
      <vt:variant>
        <vt:i4>5</vt:i4>
      </vt:variant>
      <vt:variant>
        <vt:lpwstr>mailto:mario.castrogrande@itu.int</vt:lpwstr>
      </vt:variant>
      <vt:variant>
        <vt:lpwstr/>
      </vt:variant>
      <vt:variant>
        <vt:i4>3211335</vt:i4>
      </vt:variant>
      <vt:variant>
        <vt:i4>24</vt:i4>
      </vt:variant>
      <vt:variant>
        <vt:i4>0</vt:i4>
      </vt:variant>
      <vt:variant>
        <vt:i4>5</vt:i4>
      </vt:variant>
      <vt:variant>
        <vt:lpwstr>mailto:alassane.ba@itu.int</vt:lpwstr>
      </vt:variant>
      <vt:variant>
        <vt:lpwstr/>
      </vt:variant>
      <vt:variant>
        <vt:i4>5439614</vt:i4>
      </vt:variant>
      <vt:variant>
        <vt:i4>21</vt:i4>
      </vt:variant>
      <vt:variant>
        <vt:i4>0</vt:i4>
      </vt:variant>
      <vt:variant>
        <vt:i4>5</vt:i4>
      </vt:variant>
      <vt:variant>
        <vt:lpwstr>mailto:jean-paul.lovato@itu.int</vt:lpwstr>
      </vt:variant>
      <vt:variant>
        <vt:lpwstr/>
      </vt:variant>
      <vt:variant>
        <vt:i4>721005</vt:i4>
      </vt:variant>
      <vt:variant>
        <vt:i4>18</vt:i4>
      </vt:variant>
      <vt:variant>
        <vt:i4>0</vt:i4>
      </vt:variant>
      <vt:variant>
        <vt:i4>5</vt:i4>
      </vt:variant>
      <vt:variant>
        <vt:lpwstr>mailto:tomas.lamanauskas@itu.int</vt:lpwstr>
      </vt:variant>
      <vt:variant>
        <vt:lpwstr/>
      </vt:variant>
      <vt:variant>
        <vt:i4>6684698</vt:i4>
      </vt:variant>
      <vt:variant>
        <vt:i4>15</vt:i4>
      </vt:variant>
      <vt:variant>
        <vt:i4>0</vt:i4>
      </vt:variant>
      <vt:variant>
        <vt:i4>5</vt:i4>
      </vt:variant>
      <vt:variant>
        <vt:lpwstr>mailto:mario.castrogrande@itu.int</vt:lpwstr>
      </vt:variant>
      <vt:variant>
        <vt:lpwstr/>
      </vt:variant>
      <vt:variant>
        <vt:i4>6684698</vt:i4>
      </vt:variant>
      <vt:variant>
        <vt:i4>12</vt:i4>
      </vt:variant>
      <vt:variant>
        <vt:i4>0</vt:i4>
      </vt:variant>
      <vt:variant>
        <vt:i4>5</vt:i4>
      </vt:variant>
      <vt:variant>
        <vt:lpwstr>mailto:mario.castrogrande@itu.int</vt:lpwstr>
      </vt:variant>
      <vt:variant>
        <vt:lpwstr/>
      </vt:variant>
      <vt:variant>
        <vt:i4>721005</vt:i4>
      </vt:variant>
      <vt:variant>
        <vt:i4>9</vt:i4>
      </vt:variant>
      <vt:variant>
        <vt:i4>0</vt:i4>
      </vt:variant>
      <vt:variant>
        <vt:i4>5</vt:i4>
      </vt:variant>
      <vt:variant>
        <vt:lpwstr>mailto:tomas.lamanauskas@itu.int</vt:lpwstr>
      </vt:variant>
      <vt:variant>
        <vt:lpwstr/>
      </vt:variant>
      <vt:variant>
        <vt:i4>6684698</vt:i4>
      </vt:variant>
      <vt:variant>
        <vt:i4>6</vt:i4>
      </vt:variant>
      <vt:variant>
        <vt:i4>0</vt:i4>
      </vt:variant>
      <vt:variant>
        <vt:i4>5</vt:i4>
      </vt:variant>
      <vt:variant>
        <vt:lpwstr>mailto:mario.castrogrande@itu.int</vt:lpwstr>
      </vt:variant>
      <vt:variant>
        <vt:lpwstr/>
      </vt:variant>
      <vt:variant>
        <vt:i4>721005</vt:i4>
      </vt:variant>
      <vt:variant>
        <vt:i4>3</vt:i4>
      </vt:variant>
      <vt:variant>
        <vt:i4>0</vt:i4>
      </vt:variant>
      <vt:variant>
        <vt:i4>5</vt:i4>
      </vt:variant>
      <vt:variant>
        <vt:lpwstr>mailto:tomas.lamanauskas@itu.int</vt:lpwstr>
      </vt:variant>
      <vt:variant>
        <vt:lpwstr/>
      </vt:variant>
      <vt:variant>
        <vt:i4>6684698</vt:i4>
      </vt:variant>
      <vt:variant>
        <vt:i4>0</vt:i4>
      </vt:variant>
      <vt:variant>
        <vt:i4>0</vt:i4>
      </vt:variant>
      <vt:variant>
        <vt:i4>5</vt:i4>
      </vt:variant>
      <vt:variant>
        <vt:lpwstr>mailto:mario.castrogrande@itu.int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JIU reports on United Nations system-wide issues for 2023-2024 and recommendations to executive heads and legislative bodies</dc:title>
  <dc:subject>Council 2025</dc:subject>
  <dc:creator>LRT</dc:creator>
  <cp:keywords>C25; C2025; Council 2025; ITU160</cp:keywords>
  <dc:description/>
  <cp:lastModifiedBy>GBS</cp:lastModifiedBy>
  <cp:revision>3</cp:revision>
  <cp:lastPrinted>2000-07-18T13:30:00Z</cp:lastPrinted>
  <dcterms:created xsi:type="dcterms:W3CDTF">2025-05-16T14:30:00Z</dcterms:created>
  <dcterms:modified xsi:type="dcterms:W3CDTF">2025-05-16T14:39:00Z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ies>
</file>