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1BC4622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B96B4A" w:rsidRPr="00F26A9A">
              <w:rPr>
                <w:b/>
              </w:rPr>
              <w:t>ADM 2</w:t>
            </w:r>
          </w:p>
        </w:tc>
        <w:tc>
          <w:tcPr>
            <w:tcW w:w="5245" w:type="dxa"/>
          </w:tcPr>
          <w:p w14:paraId="64410F78" w14:textId="0D965F8A"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B96B4A">
              <w:rPr>
                <w:rFonts w:hint="eastAsia"/>
                <w:b/>
                <w:lang w:val="fr-CH" w:eastAsia="zh-CN"/>
              </w:rPr>
              <w:t>57</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67C17A4D" w:rsidR="00E24D59" w:rsidRPr="00E85629" w:rsidRDefault="00B96B4A" w:rsidP="00E31DCE">
            <w:pPr>
              <w:tabs>
                <w:tab w:val="left" w:pos="851"/>
              </w:tabs>
              <w:spacing w:before="0"/>
              <w:jc w:val="right"/>
              <w:rPr>
                <w:b/>
              </w:rPr>
            </w:pPr>
            <w:r>
              <w:rPr>
                <w:rFonts w:hint="eastAsia"/>
                <w:b/>
                <w:lang w:eastAsia="zh-CN"/>
              </w:rPr>
              <w:t>2025</w:t>
            </w:r>
            <w:r>
              <w:rPr>
                <w:rFonts w:hint="eastAsia"/>
                <w:b/>
                <w:lang w:eastAsia="zh-CN"/>
              </w:rPr>
              <w:t>年</w:t>
            </w:r>
            <w:r w:rsidR="00993F93">
              <w:rPr>
                <w:rFonts w:hint="eastAsia"/>
                <w:b/>
                <w:lang w:eastAsia="zh-CN"/>
              </w:rPr>
              <w:t>5</w:t>
            </w:r>
            <w:r>
              <w:rPr>
                <w:rFonts w:hint="eastAsia"/>
                <w:b/>
                <w:lang w:eastAsia="zh-CN"/>
              </w:rPr>
              <w:t>月</w:t>
            </w:r>
            <w:r w:rsidR="00993F93">
              <w:rPr>
                <w:rFonts w:hint="eastAsia"/>
                <w:b/>
                <w:lang w:eastAsia="zh-CN"/>
              </w:rPr>
              <w:t>16</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6CA77BB0"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B96B4A">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851478" w14:textId="77777777" w:rsidTr="00E31DCE">
        <w:trPr>
          <w:cantSplit/>
        </w:trPr>
        <w:tc>
          <w:tcPr>
            <w:tcW w:w="9214" w:type="dxa"/>
            <w:gridSpan w:val="2"/>
            <w:tcMar>
              <w:left w:w="0" w:type="dxa"/>
            </w:tcMar>
          </w:tcPr>
          <w:p w14:paraId="152174A8" w14:textId="2482C0C5" w:rsidR="00E24D59" w:rsidRPr="00477D57" w:rsidRDefault="00B96B4A" w:rsidP="00E31DCE">
            <w:pPr>
              <w:pStyle w:val="Subtitle"/>
              <w:framePr w:hSpace="0" w:wrap="auto" w:hAnchor="text" w:xAlign="left" w:yAlign="inline"/>
              <w:rPr>
                <w:rFonts w:eastAsia="SimSun"/>
                <w:lang w:eastAsia="zh-CN"/>
              </w:rPr>
            </w:pPr>
            <w:bookmarkStart w:id="6" w:name="dtitle1" w:colFirst="0" w:colLast="0"/>
            <w:bookmarkEnd w:id="5"/>
            <w:r w:rsidRPr="00B96B4A">
              <w:rPr>
                <w:rFonts w:eastAsia="SimSun" w:hint="eastAsia"/>
                <w:lang w:eastAsia="zh-CN"/>
              </w:rPr>
              <w:t>联检组关于</w:t>
            </w:r>
            <w:r w:rsidRPr="00B96B4A">
              <w:rPr>
                <w:rFonts w:eastAsia="SimSun" w:hint="eastAsia"/>
                <w:lang w:eastAsia="zh-CN"/>
              </w:rPr>
              <w:t>2023-2024</w:t>
            </w:r>
            <w:r w:rsidRPr="00B96B4A">
              <w:rPr>
                <w:rFonts w:eastAsia="SimSun" w:hint="eastAsia"/>
                <w:lang w:eastAsia="zh-CN"/>
              </w:rPr>
              <w:t>年联合国系统范围</w:t>
            </w:r>
            <w:proofErr w:type="gramStart"/>
            <w:r w:rsidRPr="00B96B4A">
              <w:rPr>
                <w:rFonts w:eastAsia="SimSun" w:hint="eastAsia"/>
                <w:lang w:eastAsia="zh-CN"/>
              </w:rPr>
              <w:t>内问题</w:t>
            </w:r>
            <w:proofErr w:type="gramEnd"/>
            <w:r w:rsidRPr="00B96B4A">
              <w:rPr>
                <w:rFonts w:eastAsia="SimSun" w:hint="eastAsia"/>
                <w:lang w:eastAsia="zh-CN"/>
              </w:rPr>
              <w:t>的报告及</w:t>
            </w:r>
            <w:r w:rsidR="0095211E">
              <w:rPr>
                <w:rFonts w:eastAsia="SimSun"/>
                <w:lang w:val="en-US" w:eastAsia="zh-CN"/>
              </w:rPr>
              <w:br/>
            </w:r>
            <w:r w:rsidRPr="00B96B4A">
              <w:rPr>
                <w:rFonts w:eastAsia="SimSun" w:hint="eastAsia"/>
                <w:lang w:eastAsia="zh-CN"/>
              </w:rPr>
              <w:t>向立法机构提出的建议</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112D2BA9" w14:textId="5A85B48A" w:rsidR="003F086E" w:rsidRPr="00477D57" w:rsidRDefault="00B96B4A" w:rsidP="00D62844">
            <w:pPr>
              <w:ind w:firstLineChars="200" w:firstLine="480"/>
              <w:rPr>
                <w:rFonts w:asciiTheme="majorEastAsia" w:eastAsiaTheme="majorEastAsia" w:hAnsiTheme="majorEastAsia"/>
                <w:lang w:eastAsia="zh-CN"/>
              </w:rPr>
            </w:pPr>
            <w:r w:rsidRPr="00312AD4">
              <w:rPr>
                <w:rFonts w:hint="eastAsia"/>
                <w:lang w:eastAsia="zh-CN"/>
              </w:rPr>
              <w:t>本文件介绍了自理事会上次会议以来联检组提交的</w:t>
            </w:r>
            <w:r w:rsidRPr="00312AD4">
              <w:rPr>
                <w:rFonts w:hint="eastAsia"/>
                <w:lang w:eastAsia="zh-CN"/>
              </w:rPr>
              <w:t>202</w:t>
            </w:r>
            <w:r>
              <w:rPr>
                <w:rFonts w:hint="eastAsia"/>
                <w:lang w:eastAsia="zh-CN"/>
              </w:rPr>
              <w:t>3</w:t>
            </w:r>
            <w:r w:rsidRPr="00312AD4">
              <w:rPr>
                <w:rFonts w:hint="eastAsia"/>
                <w:lang w:eastAsia="zh-CN"/>
              </w:rPr>
              <w:t>/202</w:t>
            </w:r>
            <w:r>
              <w:rPr>
                <w:rFonts w:hint="eastAsia"/>
                <w:lang w:eastAsia="zh-CN"/>
              </w:rPr>
              <w:t>4</w:t>
            </w:r>
            <w:r w:rsidRPr="00312AD4">
              <w:rPr>
                <w:rFonts w:hint="eastAsia"/>
                <w:lang w:eastAsia="zh-CN"/>
              </w:rPr>
              <w:t>年工作计划报告</w:t>
            </w:r>
            <w:r>
              <w:rPr>
                <w:rFonts w:hint="eastAsia"/>
                <w:lang w:eastAsia="zh-CN"/>
              </w:rPr>
              <w:t>摘要表</w:t>
            </w:r>
            <w:r w:rsidRPr="00312AD4">
              <w:rPr>
                <w:rFonts w:hint="eastAsia"/>
                <w:lang w:eastAsia="zh-CN"/>
              </w:rPr>
              <w:t>，其中详细介绍了向国际电联管理机构提出的一系列建议，以及秘书处的评论意见（如有）。</w:t>
            </w:r>
            <w:r>
              <w:rPr>
                <w:rFonts w:hint="eastAsia"/>
                <w:lang w:eastAsia="zh-CN"/>
              </w:rPr>
              <w:t>还</w:t>
            </w:r>
            <w:r w:rsidRPr="00312AD4">
              <w:rPr>
                <w:rFonts w:hint="eastAsia"/>
                <w:lang w:eastAsia="zh-CN"/>
              </w:rPr>
              <w:t>提供</w:t>
            </w:r>
            <w:r>
              <w:rPr>
                <w:rFonts w:hint="eastAsia"/>
                <w:lang w:eastAsia="zh-CN"/>
              </w:rPr>
              <w:t>了</w:t>
            </w:r>
            <w:r w:rsidRPr="00312AD4">
              <w:rPr>
                <w:rFonts w:hint="eastAsia"/>
                <w:lang w:eastAsia="zh-CN"/>
              </w:rPr>
              <w:t>完整报告、要点摘要和</w:t>
            </w:r>
            <w:r>
              <w:rPr>
                <w:rFonts w:hint="eastAsia"/>
                <w:lang w:eastAsia="zh-CN"/>
              </w:rPr>
              <w:t>行政首长协调理事会（</w:t>
            </w:r>
            <w:r w:rsidRPr="00312AD4">
              <w:rPr>
                <w:rFonts w:hint="eastAsia"/>
                <w:lang w:eastAsia="zh-CN"/>
              </w:rPr>
              <w:t>CEB</w:t>
            </w:r>
            <w:r>
              <w:rPr>
                <w:rFonts w:hint="eastAsia"/>
                <w:lang w:eastAsia="zh-CN"/>
              </w:rPr>
              <w:t>）意见</w:t>
            </w:r>
            <w:r w:rsidRPr="00312AD4">
              <w:rPr>
                <w:rFonts w:hint="eastAsia"/>
                <w:lang w:eastAsia="zh-CN"/>
              </w:rPr>
              <w:t>（如有）的</w:t>
            </w:r>
            <w:r>
              <w:rPr>
                <w:rFonts w:hint="eastAsia"/>
                <w:lang w:eastAsia="zh-CN"/>
              </w:rPr>
              <w:t>相关</w:t>
            </w:r>
            <w:r w:rsidRPr="00312AD4">
              <w:rPr>
                <w:rFonts w:hint="eastAsia"/>
                <w:lang w:eastAsia="zh-CN"/>
              </w:rPr>
              <w:t>链接。</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7B3C8B82" w:rsidR="003F086E" w:rsidRPr="00477D57" w:rsidRDefault="00B96B4A" w:rsidP="00D62844">
            <w:pPr>
              <w:ind w:firstLineChars="200" w:firstLine="480"/>
              <w:rPr>
                <w:rFonts w:asciiTheme="majorEastAsia" w:eastAsiaTheme="majorEastAsia" w:hAnsiTheme="majorEastAsia"/>
                <w:lang w:eastAsia="zh-CN"/>
              </w:rPr>
            </w:pPr>
            <w:r w:rsidRPr="00E3586B">
              <w:rPr>
                <w:rFonts w:hint="eastAsia"/>
                <w:lang w:eastAsia="zh-CN"/>
              </w:rPr>
              <w:t>请理事会</w:t>
            </w:r>
            <w:r w:rsidRPr="00E3586B">
              <w:rPr>
                <w:rFonts w:hint="eastAsia"/>
                <w:b/>
                <w:bCs/>
                <w:lang w:eastAsia="zh-CN"/>
              </w:rPr>
              <w:t>审议</w:t>
            </w:r>
            <w:r w:rsidRPr="00E3586B">
              <w:rPr>
                <w:rFonts w:hint="eastAsia"/>
                <w:lang w:eastAsia="zh-CN"/>
              </w:rPr>
              <w:t>向立法</w:t>
            </w:r>
            <w:r>
              <w:rPr>
                <w:rFonts w:hint="eastAsia"/>
                <w:lang w:eastAsia="zh-CN"/>
              </w:rPr>
              <w:t>机构</w:t>
            </w:r>
            <w:r w:rsidRPr="00E3586B">
              <w:rPr>
                <w:rFonts w:hint="eastAsia"/>
                <w:lang w:eastAsia="zh-CN"/>
              </w:rPr>
              <w:t>提出的六项建议（有关审查相互</w:t>
            </w:r>
            <w:r>
              <w:rPr>
                <w:rFonts w:hint="eastAsia"/>
                <w:lang w:eastAsia="zh-CN"/>
              </w:rPr>
              <w:t>承认</w:t>
            </w:r>
            <w:r w:rsidRPr="00E3586B">
              <w:rPr>
                <w:rFonts w:hint="eastAsia"/>
                <w:lang w:eastAsia="zh-CN"/>
              </w:rPr>
              <w:t>原则</w:t>
            </w:r>
            <w:r>
              <w:rPr>
                <w:rFonts w:hint="eastAsia"/>
                <w:lang w:eastAsia="zh-CN"/>
              </w:rPr>
              <w:t>落实</w:t>
            </w:r>
            <w:r w:rsidRPr="00E3586B">
              <w:rPr>
                <w:rFonts w:hint="eastAsia"/>
                <w:lang w:eastAsia="zh-CN"/>
              </w:rPr>
              <w:t>情况的建议</w:t>
            </w:r>
            <w:r w:rsidRPr="00E3586B">
              <w:rPr>
                <w:rFonts w:hint="eastAsia"/>
                <w:lang w:eastAsia="zh-CN"/>
              </w:rPr>
              <w:t>5</w:t>
            </w:r>
            <w:r>
              <w:rPr>
                <w:rFonts w:hint="eastAsia"/>
                <w:lang w:eastAsia="zh-CN"/>
              </w:rPr>
              <w:t>；</w:t>
            </w:r>
            <w:r w:rsidRPr="00E3586B">
              <w:rPr>
                <w:rFonts w:hint="eastAsia"/>
                <w:lang w:eastAsia="zh-CN"/>
              </w:rPr>
              <w:t>有关审查联合国系统各组织</w:t>
            </w:r>
            <w:r>
              <w:rPr>
                <w:rFonts w:hint="eastAsia"/>
                <w:lang w:eastAsia="zh-CN"/>
              </w:rPr>
              <w:t>的</w:t>
            </w:r>
            <w:r w:rsidRPr="00E3586B">
              <w:rPr>
                <w:rFonts w:hint="eastAsia"/>
                <w:lang w:eastAsia="zh-CN"/>
              </w:rPr>
              <w:t>预算</w:t>
            </w:r>
            <w:r>
              <w:rPr>
                <w:rFonts w:hint="eastAsia"/>
                <w:lang w:eastAsia="zh-CN"/>
              </w:rPr>
              <w:t>编制</w:t>
            </w:r>
            <w:r w:rsidRPr="00E3586B">
              <w:rPr>
                <w:rFonts w:hint="eastAsia"/>
                <w:lang w:eastAsia="zh-CN"/>
              </w:rPr>
              <w:t>的建议</w:t>
            </w:r>
            <w:r w:rsidRPr="00E3586B">
              <w:rPr>
                <w:rFonts w:hint="eastAsia"/>
                <w:lang w:eastAsia="zh-CN"/>
              </w:rPr>
              <w:t>2</w:t>
            </w:r>
            <w:r w:rsidRPr="00E3586B">
              <w:rPr>
                <w:rFonts w:hint="eastAsia"/>
                <w:lang w:eastAsia="zh-CN"/>
              </w:rPr>
              <w:t>和建议</w:t>
            </w:r>
            <w:r w:rsidRPr="00E3586B">
              <w:rPr>
                <w:rFonts w:hint="eastAsia"/>
                <w:lang w:eastAsia="zh-CN"/>
              </w:rPr>
              <w:t>3</w:t>
            </w:r>
            <w:r>
              <w:rPr>
                <w:rFonts w:hint="eastAsia"/>
                <w:lang w:eastAsia="zh-CN"/>
              </w:rPr>
              <w:t>；有</w:t>
            </w:r>
            <w:r w:rsidRPr="00E3586B">
              <w:rPr>
                <w:rFonts w:hint="eastAsia"/>
                <w:lang w:eastAsia="zh-CN"/>
              </w:rPr>
              <w:t>关审查</w:t>
            </w:r>
            <w:r>
              <w:rPr>
                <w:rFonts w:hint="eastAsia"/>
                <w:lang w:eastAsia="zh-CN"/>
              </w:rPr>
              <w:t>对</w:t>
            </w:r>
            <w:r w:rsidRPr="00E3586B">
              <w:rPr>
                <w:rFonts w:hint="eastAsia"/>
                <w:lang w:eastAsia="zh-CN"/>
              </w:rPr>
              <w:t>联检组报告和建议的审议</w:t>
            </w:r>
            <w:r>
              <w:rPr>
                <w:rFonts w:hint="eastAsia"/>
                <w:lang w:eastAsia="zh-CN"/>
              </w:rPr>
              <w:t>情况</w:t>
            </w:r>
            <w:r w:rsidRPr="00E3586B">
              <w:rPr>
                <w:rFonts w:hint="eastAsia"/>
                <w:lang w:eastAsia="zh-CN"/>
              </w:rPr>
              <w:t>和采取的行动的建议</w:t>
            </w:r>
            <w:r w:rsidRPr="00E3586B">
              <w:rPr>
                <w:rFonts w:hint="eastAsia"/>
                <w:lang w:eastAsia="zh-CN"/>
              </w:rPr>
              <w:t>2</w:t>
            </w:r>
            <w:r>
              <w:rPr>
                <w:rFonts w:hint="eastAsia"/>
                <w:lang w:eastAsia="zh-CN"/>
              </w:rPr>
              <w:t>；有</w:t>
            </w:r>
            <w:r w:rsidRPr="00E3586B">
              <w:rPr>
                <w:rFonts w:hint="eastAsia"/>
                <w:lang w:eastAsia="zh-CN"/>
              </w:rPr>
              <w:t>关审查</w:t>
            </w:r>
            <w:r>
              <w:rPr>
                <w:rFonts w:hint="eastAsia"/>
                <w:lang w:eastAsia="zh-CN"/>
              </w:rPr>
              <w:t>健康</w:t>
            </w:r>
            <w:r w:rsidRPr="00E3586B">
              <w:rPr>
                <w:rFonts w:hint="eastAsia"/>
                <w:lang w:eastAsia="zh-CN"/>
              </w:rPr>
              <w:t>保险计划的质量、效</w:t>
            </w:r>
            <w:r>
              <w:rPr>
                <w:rFonts w:hint="eastAsia"/>
                <w:lang w:eastAsia="zh-CN"/>
              </w:rPr>
              <w:t>力</w:t>
            </w:r>
            <w:r w:rsidRPr="00E3586B">
              <w:rPr>
                <w:rFonts w:hint="eastAsia"/>
                <w:lang w:eastAsia="zh-CN"/>
              </w:rPr>
              <w:t>、效率和可持续性的建议</w:t>
            </w:r>
            <w:r w:rsidRPr="00E3586B">
              <w:rPr>
                <w:rFonts w:hint="eastAsia"/>
                <w:lang w:eastAsia="zh-CN"/>
              </w:rPr>
              <w:t>7</w:t>
            </w:r>
            <w:r>
              <w:rPr>
                <w:rFonts w:hint="eastAsia"/>
                <w:lang w:eastAsia="zh-CN"/>
              </w:rPr>
              <w:t>；</w:t>
            </w:r>
            <w:r w:rsidRPr="00E3586B">
              <w:rPr>
                <w:rFonts w:hint="eastAsia"/>
                <w:lang w:eastAsia="zh-CN"/>
              </w:rPr>
              <w:t>以及有关审查</w:t>
            </w:r>
            <w:r>
              <w:rPr>
                <w:rFonts w:hint="eastAsia"/>
                <w:lang w:eastAsia="zh-CN"/>
              </w:rPr>
              <w:t>编外人员使用情况</w:t>
            </w:r>
            <w:r w:rsidRPr="00E3586B">
              <w:rPr>
                <w:rFonts w:hint="eastAsia"/>
                <w:lang w:eastAsia="zh-CN"/>
              </w:rPr>
              <w:t>和</w:t>
            </w:r>
            <w:r>
              <w:rPr>
                <w:rFonts w:hint="eastAsia"/>
                <w:lang w:eastAsia="zh-CN"/>
              </w:rPr>
              <w:t>有</w:t>
            </w:r>
            <w:r w:rsidRPr="00E3586B">
              <w:rPr>
                <w:rFonts w:hint="eastAsia"/>
                <w:lang w:eastAsia="zh-CN"/>
              </w:rPr>
              <w:t>关合同模式的建议</w:t>
            </w:r>
            <w:r w:rsidRPr="00E3586B">
              <w:rPr>
                <w:rFonts w:hint="eastAsia"/>
                <w:lang w:eastAsia="zh-CN"/>
              </w:rPr>
              <w:t>5</w:t>
            </w:r>
            <w:r w:rsidRPr="00E3586B">
              <w:rPr>
                <w:rFonts w:hint="eastAsia"/>
                <w:lang w:eastAsia="zh-CN"/>
              </w:rPr>
              <w:t>），并</w:t>
            </w:r>
            <w:r w:rsidRPr="00BC6781">
              <w:rPr>
                <w:rFonts w:hint="eastAsia"/>
                <w:b/>
                <w:bCs/>
                <w:lang w:eastAsia="zh-CN"/>
              </w:rPr>
              <w:t>决定</w:t>
            </w:r>
            <w:r w:rsidRPr="00E3586B">
              <w:rPr>
                <w:rFonts w:hint="eastAsia"/>
                <w:lang w:eastAsia="zh-CN"/>
              </w:rPr>
              <w:t>是否接受这些</w:t>
            </w:r>
            <w:r>
              <w:rPr>
                <w:rFonts w:hint="eastAsia"/>
                <w:lang w:eastAsia="zh-CN"/>
              </w:rPr>
              <w:t>建议</w:t>
            </w:r>
            <w:r w:rsidRPr="00E3586B">
              <w:rPr>
                <w:rFonts w:hint="eastAsia"/>
                <w:lang w:eastAsia="zh-CN"/>
              </w:rPr>
              <w:t>。</w:t>
            </w:r>
          </w:p>
          <w:p w14:paraId="06CF1837"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1E09A3F" w14:textId="72A37E7F" w:rsidR="003F086E" w:rsidRPr="00477D57" w:rsidRDefault="00B96B4A" w:rsidP="00D62844">
            <w:pPr>
              <w:ind w:firstLineChars="200" w:firstLine="480"/>
              <w:rPr>
                <w:rFonts w:asciiTheme="majorEastAsia" w:eastAsiaTheme="majorEastAsia" w:hAnsiTheme="majorEastAsia"/>
                <w:lang w:eastAsia="zh-CN"/>
              </w:rPr>
            </w:pPr>
            <w:r w:rsidRPr="00312AD4">
              <w:rPr>
                <w:rFonts w:hint="eastAsia"/>
                <w:lang w:eastAsia="zh-CN"/>
              </w:rPr>
              <w:t>卓越的人力资源和组织创新。</w:t>
            </w:r>
          </w:p>
          <w:p w14:paraId="308A396E" w14:textId="77777777" w:rsidR="003F086E" w:rsidRPr="00477D57" w:rsidRDefault="003F086E" w:rsidP="00477D57">
            <w:pPr>
              <w:rPr>
                <w:b/>
                <w:bCs/>
                <w:lang w:eastAsia="zh-CN"/>
              </w:rPr>
            </w:pPr>
            <w:r w:rsidRPr="00477D57">
              <w:rPr>
                <w:b/>
                <w:bCs/>
                <w:lang w:eastAsia="zh-CN"/>
              </w:rPr>
              <w:t>财务影响</w:t>
            </w:r>
          </w:p>
          <w:p w14:paraId="41CA02EF" w14:textId="7C67F81E" w:rsidR="008F64AD" w:rsidRPr="00477D57" w:rsidRDefault="00B96B4A" w:rsidP="00D62844">
            <w:pPr>
              <w:ind w:firstLineChars="200" w:firstLine="480"/>
              <w:rPr>
                <w:rFonts w:asciiTheme="majorEastAsia" w:eastAsiaTheme="majorEastAsia" w:hAnsiTheme="majorEastAsia"/>
                <w:lang w:eastAsia="zh-CN"/>
              </w:rPr>
            </w:pPr>
            <w:r w:rsidRPr="00E3586B">
              <w:rPr>
                <w:rFonts w:hint="eastAsia"/>
                <w:lang w:eastAsia="zh-CN"/>
              </w:rPr>
              <w:t>无财务影响，将在现有财务和人力资源范围内实施。</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402D620F" w:rsidR="00E24D59" w:rsidRPr="00993F93" w:rsidRDefault="00993F93" w:rsidP="00D62844">
            <w:pPr>
              <w:spacing w:after="120"/>
              <w:ind w:firstLineChars="200" w:firstLine="440"/>
              <w:rPr>
                <w:rFonts w:asciiTheme="majorEastAsia" w:eastAsia="STKaiti" w:hAnsiTheme="majorEastAsia"/>
                <w:sz w:val="22"/>
                <w:szCs w:val="22"/>
                <w:lang w:eastAsia="zh-CN"/>
              </w:rPr>
            </w:pPr>
            <w:r w:rsidRPr="00993F93">
              <w:rPr>
                <w:rFonts w:eastAsia="STKaiti" w:hint="eastAsia"/>
                <w:sz w:val="22"/>
                <w:szCs w:val="22"/>
                <w:lang w:eastAsia="zh-CN"/>
              </w:rPr>
              <w:t>理事会</w:t>
            </w:r>
            <w:r w:rsidRPr="00993F93">
              <w:rPr>
                <w:rFonts w:eastAsia="STKaiti"/>
              </w:rPr>
              <w:fldChar w:fldCharType="begin"/>
            </w:r>
            <w:r w:rsidRPr="00993F93">
              <w:rPr>
                <w:rFonts w:eastAsia="STKaiti"/>
                <w:lang w:eastAsia="zh-CN"/>
              </w:rPr>
              <w:instrText>HYPERLINK "https://www.itu.int/md/S24-CL-C-0057/en"</w:instrText>
            </w:r>
            <w:r w:rsidRPr="00993F93">
              <w:rPr>
                <w:rFonts w:eastAsia="STKaiti"/>
              </w:rPr>
            </w:r>
            <w:r w:rsidRPr="00993F93">
              <w:rPr>
                <w:rFonts w:eastAsia="STKaiti"/>
              </w:rPr>
              <w:fldChar w:fldCharType="separate"/>
            </w:r>
            <w:r w:rsidRPr="00993F93">
              <w:rPr>
                <w:rStyle w:val="Hyperlink"/>
                <w:rFonts w:eastAsia="STKaiti"/>
                <w:sz w:val="22"/>
                <w:szCs w:val="22"/>
                <w:lang w:eastAsia="zh-CN"/>
              </w:rPr>
              <w:t>C24/57</w:t>
            </w:r>
            <w:r w:rsidRPr="00993F93">
              <w:rPr>
                <w:rFonts w:eastAsia="STKaiti"/>
              </w:rPr>
              <w:fldChar w:fldCharType="end"/>
            </w:r>
            <w:r w:rsidRPr="00993F93">
              <w:rPr>
                <w:rFonts w:eastAsia="STKaiti" w:hint="eastAsia"/>
                <w:lang w:eastAsia="zh-CN"/>
              </w:rPr>
              <w:t>、</w:t>
            </w:r>
            <w:r>
              <w:fldChar w:fldCharType="begin"/>
            </w:r>
            <w:r>
              <w:rPr>
                <w:lang w:eastAsia="zh-CN"/>
              </w:rPr>
              <w:instrText>HYPERLINK "https://www.itu.int/md/S23-CL-C-0057/en"</w:instrText>
            </w:r>
            <w:r>
              <w:fldChar w:fldCharType="separate"/>
            </w:r>
            <w:r w:rsidRPr="00993F93">
              <w:rPr>
                <w:rStyle w:val="Hyperlink"/>
                <w:rFonts w:eastAsia="STKaiti"/>
                <w:sz w:val="22"/>
                <w:szCs w:val="22"/>
                <w:lang w:eastAsia="zh-CN"/>
              </w:rPr>
              <w:t>C23/57</w:t>
            </w:r>
            <w:r>
              <w:fldChar w:fldCharType="end"/>
            </w:r>
            <w:r w:rsidRPr="00993F93">
              <w:rPr>
                <w:rFonts w:eastAsia="STKaiti" w:hint="eastAsia"/>
                <w:sz w:val="22"/>
                <w:szCs w:val="22"/>
                <w:lang w:eastAsia="zh-CN"/>
              </w:rPr>
              <w:t>以及</w:t>
            </w:r>
            <w:r w:rsidRPr="00993F93">
              <w:rPr>
                <w:rFonts w:eastAsia="STKaiti"/>
              </w:rPr>
              <w:fldChar w:fldCharType="begin"/>
            </w:r>
            <w:r w:rsidRPr="00993F93">
              <w:rPr>
                <w:rFonts w:eastAsia="STKaiti"/>
                <w:lang w:eastAsia="zh-CN"/>
              </w:rPr>
              <w:instrText>HYPERLINK "https://www.itu.int/md/S22-CL-C-0061/en"</w:instrText>
            </w:r>
            <w:r w:rsidRPr="00993F93">
              <w:rPr>
                <w:rFonts w:eastAsia="STKaiti"/>
              </w:rPr>
            </w:r>
            <w:r w:rsidRPr="00993F93">
              <w:rPr>
                <w:rFonts w:eastAsia="STKaiti"/>
              </w:rPr>
              <w:fldChar w:fldCharType="separate"/>
            </w:r>
            <w:r w:rsidRPr="00993F93">
              <w:rPr>
                <w:rStyle w:val="Hyperlink"/>
                <w:rFonts w:eastAsia="STKaiti"/>
                <w:sz w:val="22"/>
                <w:szCs w:val="22"/>
                <w:lang w:eastAsia="zh-CN"/>
              </w:rPr>
              <w:t>C22/61</w:t>
            </w:r>
            <w:r w:rsidRPr="00993F93">
              <w:rPr>
                <w:rFonts w:eastAsia="STKaiti"/>
              </w:rPr>
              <w:fldChar w:fldCharType="end"/>
            </w:r>
            <w:r w:rsidRPr="00993F93">
              <w:rPr>
                <w:rFonts w:eastAsia="STKaiti" w:hint="eastAsia"/>
                <w:sz w:val="22"/>
                <w:szCs w:val="22"/>
                <w:lang w:eastAsia="zh-CN"/>
              </w:rPr>
              <w:t>号报告</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51C8A27" w14:textId="77777777" w:rsidR="00EA64F8" w:rsidRDefault="00EA64F8">
      <w:pPr>
        <w:tabs>
          <w:tab w:val="clear" w:pos="794"/>
          <w:tab w:val="clear" w:pos="1191"/>
          <w:tab w:val="clear" w:pos="1588"/>
          <w:tab w:val="clear" w:pos="1985"/>
        </w:tabs>
        <w:overflowPunct/>
        <w:autoSpaceDE/>
        <w:autoSpaceDN/>
        <w:adjustRightInd/>
        <w:spacing w:before="0"/>
        <w:textAlignment w:val="auto"/>
        <w:rPr>
          <w:lang w:eastAsia="zh-CN"/>
        </w:rPr>
        <w:sectPr w:rsidR="00EA64F8"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6976ADE2" w14:textId="77777777" w:rsidR="00EA64F8" w:rsidRPr="00EA64F8" w:rsidRDefault="00EA64F8" w:rsidP="00EA64F8">
      <w:pPr>
        <w:keepNext/>
        <w:keepLines/>
        <w:tabs>
          <w:tab w:val="clear" w:pos="794"/>
          <w:tab w:val="clear" w:pos="1191"/>
          <w:tab w:val="clear" w:pos="1588"/>
          <w:tab w:val="clear" w:pos="1985"/>
          <w:tab w:val="left" w:pos="567"/>
          <w:tab w:val="left" w:pos="1134"/>
          <w:tab w:val="left" w:pos="1701"/>
          <w:tab w:val="left" w:pos="2268"/>
          <w:tab w:val="left" w:pos="2835"/>
        </w:tabs>
        <w:spacing w:after="240"/>
        <w:jc w:val="center"/>
        <w:rPr>
          <w:rFonts w:eastAsiaTheme="minorEastAsia"/>
          <w:b/>
          <w:sz w:val="28"/>
          <w:lang w:eastAsia="zh-CN"/>
        </w:rPr>
      </w:pPr>
      <w:r w:rsidRPr="00EA64F8">
        <w:rPr>
          <w:b/>
          <w:sz w:val="28"/>
          <w:lang w:eastAsia="zh-CN"/>
        </w:rPr>
        <w:lastRenderedPageBreak/>
        <w:t>2023-2024</w:t>
      </w:r>
      <w:r w:rsidRPr="00EA64F8">
        <w:rPr>
          <w:rFonts w:hint="eastAsia"/>
          <w:b/>
          <w:sz w:val="28"/>
          <w:lang w:eastAsia="zh-CN"/>
        </w:rPr>
        <w:t>年联检组关于联合国系统范围内的报告</w:t>
      </w:r>
    </w:p>
    <w:tbl>
      <w:tblPr>
        <w:tblStyle w:val="TableGrid1"/>
        <w:tblW w:w="14176" w:type="dxa"/>
        <w:tblInd w:w="-147" w:type="dxa"/>
        <w:tblLook w:val="04A0" w:firstRow="1" w:lastRow="0" w:firstColumn="1" w:lastColumn="0" w:noHBand="0" w:noVBand="1"/>
      </w:tblPr>
      <w:tblGrid>
        <w:gridCol w:w="2410"/>
        <w:gridCol w:w="11766"/>
      </w:tblGrid>
      <w:tr w:rsidR="00EA64F8" w:rsidRPr="00EA64F8" w14:paraId="525E69E5" w14:textId="77777777" w:rsidTr="00D002E2">
        <w:trPr>
          <w:trHeight w:val="405"/>
        </w:trPr>
        <w:tc>
          <w:tcPr>
            <w:tcW w:w="14176" w:type="dxa"/>
            <w:gridSpan w:val="2"/>
            <w:shd w:val="clear" w:color="auto" w:fill="FFFF00"/>
          </w:tcPr>
          <w:p w14:paraId="6E47C506" w14:textId="7F903E93" w:rsidR="00EA64F8" w:rsidRPr="00EA64F8" w:rsidRDefault="00EA64F8" w:rsidP="00FB1866">
            <w:pPr>
              <w:tabs>
                <w:tab w:val="clear" w:pos="794"/>
                <w:tab w:val="clear" w:pos="1191"/>
                <w:tab w:val="clear" w:pos="1588"/>
                <w:tab w:val="clear" w:pos="1985"/>
              </w:tabs>
              <w:autoSpaceDN/>
              <w:spacing w:before="80" w:after="80"/>
              <w:ind w:left="360" w:hanging="360"/>
              <w:jc w:val="center"/>
              <w:rPr>
                <w:rFonts w:eastAsiaTheme="minorEastAsia" w:cs="Calibri"/>
                <w:b/>
                <w:color w:val="000000"/>
                <w:sz w:val="20"/>
                <w:highlight w:val="yellow"/>
                <w:lang w:eastAsia="zh-CN"/>
              </w:rPr>
            </w:pPr>
            <w:r w:rsidRPr="00EA64F8">
              <w:rPr>
                <w:rFonts w:eastAsiaTheme="minorEastAsia" w:cs="Calibri"/>
                <w:b/>
                <w:bCs/>
                <w:color w:val="000000"/>
                <w:sz w:val="20"/>
                <w:lang w:eastAsia="zh-CN"/>
              </w:rPr>
              <w:t xml:space="preserve">JIU/REP/2024/4 </w:t>
            </w:r>
            <w:hyperlink r:id="rId11" w:history="1">
              <w:r w:rsidRPr="00EA64F8">
                <w:rPr>
                  <w:rFonts w:ascii="Microsoft YaHei" w:eastAsiaTheme="minorEastAsia" w:hAnsi="Microsoft YaHei" w:cs="Microsoft YaHei" w:hint="eastAsia"/>
                  <w:b/>
                  <w:bCs/>
                  <w:color w:val="4F81BD" w:themeColor="accent1"/>
                  <w:sz w:val="20"/>
                  <w:u w:val="single"/>
                  <w:lang w:eastAsia="zh-CN"/>
                </w:rPr>
                <w:t>审查联合国系统内相互承认原则的落实情况</w:t>
              </w:r>
            </w:hyperlink>
            <w:r w:rsidRPr="00EA64F8">
              <w:rPr>
                <w:rFonts w:eastAsiaTheme="minorEastAsia"/>
                <w:lang w:eastAsia="zh-CN"/>
              </w:rPr>
              <w:br/>
            </w:r>
            <w:r w:rsidRPr="00EA64F8">
              <w:rPr>
                <w:rFonts w:eastAsiaTheme="minorEastAsia" w:cs="Calibri" w:hint="eastAsia"/>
                <w:b/>
                <w:bCs/>
                <w:color w:val="000000"/>
                <w:sz w:val="20"/>
                <w:lang w:eastAsia="zh-CN"/>
              </w:rPr>
              <w:t>国际电联联系人：</w:t>
            </w:r>
            <w:r w:rsidRPr="00EA64F8">
              <w:rPr>
                <w:rFonts w:eastAsiaTheme="minorEastAsia" w:cs="Calibri"/>
                <w:b/>
                <w:bCs/>
                <w:color w:val="000000"/>
                <w:sz w:val="20"/>
                <w:lang w:eastAsia="zh-CN"/>
              </w:rPr>
              <w:t>Alassane Ba</w:t>
            </w:r>
            <w:r w:rsidR="00895EA5">
              <w:rPr>
                <w:rFonts w:eastAsiaTheme="minorEastAsia" w:cs="Calibri"/>
                <w:b/>
                <w:bCs/>
                <w:color w:val="000000"/>
                <w:sz w:val="20"/>
                <w:lang w:eastAsia="zh-CN"/>
              </w:rPr>
              <w:br/>
            </w:r>
            <w:r w:rsidRPr="00EA64F8">
              <w:rPr>
                <w:rFonts w:ascii="Symbol" w:eastAsiaTheme="minorEastAsia" w:hAnsi="Symbol" w:cs="Calibri"/>
                <w:color w:val="000000"/>
                <w:sz w:val="20"/>
                <w:highlight w:val="yellow"/>
                <w:lang w:eastAsia="zh-CN"/>
              </w:rPr>
              <w:t></w:t>
            </w:r>
            <w:r w:rsidR="00FB1866" w:rsidRPr="00F26A9A">
              <w:rPr>
                <w:rFonts w:ascii="Symbol" w:hAnsi="Symbol" w:cs="Calibri"/>
                <w:color w:val="000000"/>
                <w:sz w:val="20"/>
                <w:szCs w:val="20"/>
                <w:highlight w:val="yellow"/>
                <w:lang w:eastAsia="zh-CN"/>
              </w:rPr>
              <w:tab/>
            </w:r>
            <w:hyperlink r:id="rId12">
              <w:r w:rsidRPr="00EA64F8">
                <w:rPr>
                  <w:rFonts w:eastAsiaTheme="minorEastAsia" w:cs="Calibri"/>
                  <w:b/>
                  <w:bCs/>
                  <w:color w:val="4F81BD" w:themeColor="accent1"/>
                  <w:sz w:val="20"/>
                  <w:u w:val="single"/>
                  <w:lang w:eastAsia="zh-CN"/>
                </w:rPr>
                <w:t>审查</w:t>
              </w:r>
              <w:r w:rsidRPr="00EA64F8">
                <w:rPr>
                  <w:rFonts w:eastAsiaTheme="minorEastAsia" w:cs="Calibri" w:hint="eastAsia"/>
                  <w:b/>
                  <w:bCs/>
                  <w:color w:val="4F81BD" w:themeColor="accent1"/>
                  <w:sz w:val="20"/>
                  <w:u w:val="single"/>
                  <w:lang w:eastAsia="zh-CN"/>
                </w:rPr>
                <w:t>要</w:t>
              </w:r>
              <w:r w:rsidRPr="00EA64F8">
                <w:rPr>
                  <w:rFonts w:eastAsiaTheme="minorEastAsia" w:cs="Calibri"/>
                  <w:b/>
                  <w:bCs/>
                  <w:color w:val="4F81BD" w:themeColor="accent1"/>
                  <w:sz w:val="20"/>
                  <w:u w:val="single"/>
                  <w:lang w:eastAsia="zh-CN"/>
                </w:rPr>
                <w:t>点</w:t>
              </w:r>
            </w:hyperlink>
          </w:p>
        </w:tc>
      </w:tr>
      <w:tr w:rsidR="00EA64F8" w:rsidRPr="00EA64F8" w14:paraId="59AE25E8" w14:textId="77777777" w:rsidTr="00D002E2">
        <w:trPr>
          <w:trHeight w:val="570"/>
        </w:trPr>
        <w:tc>
          <w:tcPr>
            <w:tcW w:w="2410" w:type="dxa"/>
            <w:shd w:val="clear" w:color="auto" w:fill="E1EBF7"/>
          </w:tcPr>
          <w:p w14:paraId="0B1153A1" w14:textId="7CF3D1A0"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向立法</w:t>
            </w:r>
            <w:r w:rsidRPr="00EA64F8">
              <w:rPr>
                <w:rFonts w:eastAsiaTheme="minorEastAsia" w:cs="Calibri" w:hint="eastAsia"/>
                <w:b/>
                <w:bCs/>
                <w:sz w:val="20"/>
                <w:lang w:eastAsia="zh-CN"/>
              </w:rPr>
              <w:t>/</w:t>
            </w:r>
            <w:r w:rsidRPr="00EA64F8">
              <w:rPr>
                <w:rFonts w:eastAsiaTheme="minorEastAsia" w:cs="Calibri" w:hint="eastAsia"/>
                <w:b/>
                <w:bCs/>
                <w:sz w:val="20"/>
                <w:lang w:eastAsia="zh-CN"/>
              </w:rPr>
              <w:t>理事机构</w:t>
            </w:r>
            <w:r w:rsidR="00893CB4">
              <w:rPr>
                <w:rFonts w:eastAsiaTheme="minorEastAsia" w:cs="Calibri"/>
                <w:b/>
                <w:bCs/>
                <w:sz w:val="20"/>
                <w:lang w:eastAsia="zh-CN"/>
              </w:rPr>
              <w:br/>
            </w:r>
            <w:r w:rsidRPr="00EA64F8">
              <w:rPr>
                <w:rFonts w:eastAsiaTheme="minorEastAsia" w:cs="Calibri" w:hint="eastAsia"/>
                <w:b/>
                <w:bCs/>
                <w:sz w:val="20"/>
                <w:lang w:eastAsia="zh-CN"/>
              </w:rPr>
              <w:t>提出的建议：</w:t>
            </w:r>
          </w:p>
        </w:tc>
        <w:tc>
          <w:tcPr>
            <w:tcW w:w="11766" w:type="dxa"/>
            <w:shd w:val="clear" w:color="auto" w:fill="FFFFFF" w:themeFill="background1"/>
          </w:tcPr>
          <w:p w14:paraId="32C20E5F"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color w:val="000000" w:themeColor="text1"/>
                <w:sz w:val="20"/>
                <w:lang w:eastAsia="zh-CN"/>
              </w:rPr>
            </w:pPr>
            <w:r w:rsidRPr="00EA64F8">
              <w:rPr>
                <w:rFonts w:eastAsiaTheme="minorEastAsia" w:cs="Calibri" w:hint="eastAsia"/>
                <w:b/>
                <w:color w:val="000000" w:themeColor="text1"/>
                <w:sz w:val="20"/>
                <w:highlight w:val="cyan"/>
                <w:lang w:eastAsia="zh-CN"/>
              </w:rPr>
              <w:t>建议</w:t>
            </w:r>
            <w:r w:rsidRPr="00EA64F8">
              <w:rPr>
                <w:rFonts w:eastAsiaTheme="minorEastAsia" w:cs="Calibri"/>
                <w:b/>
                <w:color w:val="000000" w:themeColor="text1"/>
                <w:sz w:val="20"/>
                <w:highlight w:val="cyan"/>
                <w:lang w:eastAsia="zh-CN"/>
              </w:rPr>
              <w:t>5</w:t>
            </w:r>
            <w:r w:rsidRPr="00EA64F8">
              <w:rPr>
                <w:rFonts w:eastAsiaTheme="minorEastAsia" w:cs="Calibri" w:hint="eastAsia"/>
                <w:b/>
                <w:color w:val="000000" w:themeColor="text1"/>
                <w:sz w:val="20"/>
                <w:highlight w:val="cyan"/>
                <w:lang w:eastAsia="zh-CN"/>
              </w:rPr>
              <w:t>：</w:t>
            </w:r>
            <w:r w:rsidRPr="00EA64F8">
              <w:rPr>
                <w:rFonts w:eastAsiaTheme="minorEastAsia" w:cs="Calibri" w:hint="eastAsia"/>
                <w:color w:val="000000" w:themeColor="text1"/>
                <w:sz w:val="20"/>
                <w:lang w:eastAsia="zh-CN"/>
              </w:rPr>
              <w:t>联合国系统各组织的立法机关和理事机构应在</w:t>
            </w:r>
            <w:r w:rsidRPr="00EA64F8">
              <w:rPr>
                <w:rFonts w:eastAsiaTheme="minorEastAsia" w:cs="Calibri" w:hint="eastAsia"/>
                <w:color w:val="000000" w:themeColor="text1"/>
                <w:sz w:val="20"/>
                <w:lang w:eastAsia="zh-CN"/>
              </w:rPr>
              <w:t>2026</w:t>
            </w:r>
            <w:r w:rsidRPr="00EA64F8">
              <w:rPr>
                <w:rFonts w:eastAsiaTheme="minorEastAsia" w:cs="Calibri" w:hint="eastAsia"/>
                <w:color w:val="000000" w:themeColor="text1"/>
                <w:sz w:val="20"/>
                <w:lang w:eastAsia="zh-CN"/>
              </w:rPr>
              <w:t>年底之前要求签署《相互承认声明》但尚未将实施相互承认原则所取得的效率增益纳入其定期报告的各组织的行政首长执行这种做法，以确保进行适当的监测和监督。</w:t>
            </w:r>
          </w:p>
        </w:tc>
      </w:tr>
      <w:tr w:rsidR="00EA64F8" w:rsidRPr="00EA64F8" w14:paraId="53C577EB" w14:textId="77777777" w:rsidTr="00D002E2">
        <w:tc>
          <w:tcPr>
            <w:tcW w:w="2410" w:type="dxa"/>
            <w:shd w:val="clear" w:color="auto" w:fill="EAF1DD" w:themeFill="accent3" w:themeFillTint="33"/>
          </w:tcPr>
          <w:p w14:paraId="08F1157E" w14:textId="02AD1B11"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rPr>
            </w:pPr>
            <w:r w:rsidRPr="00EA64F8">
              <w:rPr>
                <w:rFonts w:eastAsiaTheme="minorEastAsia" w:cs="Calibri" w:hint="eastAsia"/>
                <w:b/>
                <w:bCs/>
                <w:sz w:val="20"/>
                <w:lang w:eastAsia="zh-CN"/>
              </w:rPr>
              <w:t>需采取的行动：</w:t>
            </w:r>
          </w:p>
        </w:tc>
        <w:tc>
          <w:tcPr>
            <w:tcW w:w="11766" w:type="dxa"/>
          </w:tcPr>
          <w:p w14:paraId="23D23EF1" w14:textId="0D18D78D"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EA64F8">
              <w:rPr>
                <w:rFonts w:eastAsiaTheme="minorEastAsia" w:cs="Calibri" w:hint="eastAsia"/>
                <w:sz w:val="20"/>
                <w:highlight w:val="green"/>
                <w:lang w:eastAsia="zh-CN"/>
              </w:rPr>
              <w:t>（</w:t>
            </w:r>
            <w:r w:rsidRPr="00EA64F8">
              <w:rPr>
                <w:rFonts w:eastAsiaTheme="minorEastAsia" w:cs="Calibri" w:hint="eastAsia"/>
                <w:b/>
                <w:bCs/>
                <w:sz w:val="20"/>
                <w:highlight w:val="green"/>
                <w:lang w:eastAsia="zh-CN"/>
              </w:rPr>
              <w:t>接受</w:t>
            </w:r>
            <w:r w:rsidRPr="00EA64F8">
              <w:rPr>
                <w:rFonts w:eastAsiaTheme="minorEastAsia" w:cs="Calibri" w:hint="eastAsia"/>
                <w:sz w:val="20"/>
                <w:lang w:eastAsia="zh-CN"/>
              </w:rPr>
              <w:t>、不接受、不相关或需要进一步审议）</w:t>
            </w:r>
          </w:p>
        </w:tc>
      </w:tr>
      <w:tr w:rsidR="00EA64F8" w:rsidRPr="00EA64F8" w14:paraId="6C184648" w14:textId="77777777" w:rsidTr="00D002E2">
        <w:tc>
          <w:tcPr>
            <w:tcW w:w="2410" w:type="dxa"/>
          </w:tcPr>
          <w:p w14:paraId="59966071" w14:textId="30BDE83A"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国际电联有关相关性、财务和人力资源</w:t>
            </w:r>
            <w:r w:rsidR="00893CB4">
              <w:rPr>
                <w:rFonts w:eastAsiaTheme="minorEastAsia" w:cs="Calibri"/>
                <w:b/>
                <w:bCs/>
                <w:sz w:val="20"/>
                <w:lang w:eastAsia="zh-CN"/>
              </w:rPr>
              <w:br/>
            </w:r>
            <w:r w:rsidRPr="00EA64F8">
              <w:rPr>
                <w:rFonts w:eastAsiaTheme="minorEastAsia" w:cs="Calibri" w:hint="eastAsia"/>
                <w:b/>
                <w:bCs/>
                <w:sz w:val="20"/>
                <w:lang w:eastAsia="zh-CN"/>
              </w:rPr>
              <w:t>影响的意见：</w:t>
            </w:r>
          </w:p>
        </w:tc>
        <w:tc>
          <w:tcPr>
            <w:tcW w:w="11766" w:type="dxa"/>
          </w:tcPr>
          <w:p w14:paraId="54A57F7A" w14:textId="045AC65F" w:rsidR="00EA64F8" w:rsidRPr="00993F93"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asciiTheme="minorHAnsi" w:eastAsiaTheme="minorEastAsia" w:hAnsiTheme="minorHAnsi"/>
                <w:sz w:val="20"/>
                <w:lang w:eastAsia="zh-CN"/>
              </w:rPr>
            </w:pPr>
            <w:r w:rsidRPr="00EA64F8">
              <w:rPr>
                <w:rFonts w:asciiTheme="minorHAnsi" w:eastAsiaTheme="minorEastAsia" w:hAnsiTheme="minorHAnsi" w:hint="eastAsia"/>
                <w:sz w:val="20"/>
                <w:lang w:eastAsia="zh-CN"/>
              </w:rPr>
              <w:t>国际电联是《相互承认声明》的签署方。国际电联应接受该建议，并将在其定期报告中提及因实施相互承认原则而获得的效率增益。</w:t>
            </w:r>
            <w:r w:rsidRPr="00EA64F8">
              <w:rPr>
                <w:rFonts w:eastAsiaTheme="minorEastAsia" w:cs="Calibri" w:hint="eastAsia"/>
                <w:color w:val="000000" w:themeColor="text1"/>
                <w:sz w:val="20"/>
                <w:lang w:eastAsia="zh-CN"/>
              </w:rPr>
              <w:t>根据建议</w:t>
            </w:r>
            <w:r w:rsidRPr="00EA64F8">
              <w:rPr>
                <w:rFonts w:eastAsiaTheme="minorEastAsia" w:cs="Calibri" w:hint="eastAsia"/>
                <w:color w:val="000000" w:themeColor="text1"/>
                <w:sz w:val="20"/>
                <w:lang w:eastAsia="zh-CN"/>
              </w:rPr>
              <w:t>#2</w:t>
            </w:r>
            <w:r w:rsidRPr="00EA64F8">
              <w:rPr>
                <w:rFonts w:eastAsiaTheme="minorEastAsia" w:cs="Calibri" w:hint="eastAsia"/>
                <w:color w:val="000000" w:themeColor="text1"/>
                <w:sz w:val="20"/>
                <w:lang w:eastAsia="zh-CN"/>
              </w:rPr>
              <w:t>和首协会人力资源网络（</w:t>
            </w:r>
            <w:r w:rsidRPr="00EA64F8">
              <w:rPr>
                <w:rFonts w:eastAsiaTheme="minorEastAsia" w:cs="Calibri" w:hint="eastAsia"/>
                <w:color w:val="000000" w:themeColor="text1"/>
                <w:sz w:val="20"/>
                <w:lang w:eastAsia="zh-CN"/>
              </w:rPr>
              <w:t>CEB HRN</w:t>
            </w:r>
            <w:r w:rsidRPr="00EA64F8">
              <w:rPr>
                <w:rFonts w:eastAsiaTheme="minorEastAsia" w:cs="Calibri" w:hint="eastAsia"/>
                <w:color w:val="000000" w:themeColor="text1"/>
                <w:sz w:val="20"/>
                <w:lang w:eastAsia="zh-CN"/>
              </w:rPr>
              <w:t>）制定的运作导则，国际电联预计将利用《相互承认声明》提高效率。采购工作将通过采购网络进行。</w:t>
            </w:r>
          </w:p>
        </w:tc>
      </w:tr>
      <w:tr w:rsidR="00EA64F8" w:rsidRPr="00EA64F8" w14:paraId="06F53064" w14:textId="77777777" w:rsidTr="00D002E2">
        <w:tc>
          <w:tcPr>
            <w:tcW w:w="2410" w:type="dxa"/>
          </w:tcPr>
          <w:p w14:paraId="7A4D25A0" w14:textId="7B516746"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联合国系统首协会</w:t>
            </w:r>
            <w:r w:rsidR="00893CB4">
              <w:rPr>
                <w:rFonts w:eastAsiaTheme="minorEastAsia" w:cs="Calibri"/>
                <w:b/>
                <w:bCs/>
                <w:sz w:val="20"/>
                <w:lang w:eastAsia="zh-CN"/>
              </w:rPr>
              <w:br/>
            </w:r>
            <w:r w:rsidRPr="00EA64F8">
              <w:rPr>
                <w:rFonts w:eastAsiaTheme="minorEastAsia" w:cs="Calibri" w:hint="eastAsia"/>
                <w:b/>
                <w:bCs/>
                <w:sz w:val="20"/>
                <w:lang w:eastAsia="zh-CN"/>
              </w:rPr>
              <w:t>范围内的意见：</w:t>
            </w:r>
          </w:p>
        </w:tc>
        <w:tc>
          <w:tcPr>
            <w:tcW w:w="11766" w:type="dxa"/>
          </w:tcPr>
          <w:p w14:paraId="7CA9537F"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rPr>
            </w:pPr>
            <w:r w:rsidRPr="00EA64F8">
              <w:rPr>
                <w:rFonts w:eastAsiaTheme="minorEastAsia" w:cs="Calibri" w:hint="eastAsia"/>
                <w:b/>
                <w:bCs/>
                <w:color w:val="FF0000"/>
                <w:sz w:val="20"/>
                <w:lang w:eastAsia="zh-CN"/>
              </w:rPr>
              <w:t>尚未提供</w:t>
            </w:r>
          </w:p>
        </w:tc>
      </w:tr>
      <w:tr w:rsidR="00EA64F8" w:rsidRPr="00EA64F8" w14:paraId="3B1AED08" w14:textId="77777777" w:rsidTr="00D002E2">
        <w:tc>
          <w:tcPr>
            <w:tcW w:w="2410" w:type="dxa"/>
          </w:tcPr>
          <w:p w14:paraId="074E2C8C"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sz w:val="20"/>
              </w:rPr>
            </w:pPr>
            <w:r w:rsidRPr="00EA64F8">
              <w:rPr>
                <w:rFonts w:eastAsiaTheme="minorEastAsia" w:cs="Calibri" w:hint="eastAsia"/>
                <w:b/>
                <w:bCs/>
                <w:sz w:val="20"/>
                <w:lang w:eastAsia="zh-CN"/>
              </w:rPr>
              <w:t>落实情况：</w:t>
            </w:r>
          </w:p>
        </w:tc>
        <w:tc>
          <w:tcPr>
            <w:tcW w:w="11766" w:type="dxa"/>
          </w:tcPr>
          <w:p w14:paraId="5D0F9D85"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rPr>
            </w:pPr>
            <w:r w:rsidRPr="00EA64F8">
              <w:rPr>
                <w:rFonts w:eastAsiaTheme="minorEastAsia" w:cs="Calibri" w:hint="eastAsia"/>
                <w:sz w:val="20"/>
                <w:lang w:eastAsia="zh-CN"/>
              </w:rPr>
              <w:t>进行中</w:t>
            </w:r>
          </w:p>
        </w:tc>
      </w:tr>
      <w:tr w:rsidR="00EA64F8" w:rsidRPr="00EA64F8" w14:paraId="7FF71CCF" w14:textId="77777777" w:rsidTr="00D002E2">
        <w:trPr>
          <w:trHeight w:val="405"/>
        </w:trPr>
        <w:tc>
          <w:tcPr>
            <w:tcW w:w="14176" w:type="dxa"/>
            <w:gridSpan w:val="2"/>
            <w:shd w:val="clear" w:color="auto" w:fill="FFFF00"/>
          </w:tcPr>
          <w:p w14:paraId="1D772C9C" w14:textId="20DE62C7" w:rsidR="00EA64F8" w:rsidRPr="00EA64F8" w:rsidRDefault="00EA64F8" w:rsidP="004B6F19">
            <w:pPr>
              <w:keepNext/>
              <w:tabs>
                <w:tab w:val="clear" w:pos="794"/>
                <w:tab w:val="clear" w:pos="1191"/>
                <w:tab w:val="clear" w:pos="1588"/>
                <w:tab w:val="clear" w:pos="1985"/>
              </w:tabs>
              <w:overflowPunct/>
              <w:autoSpaceDE/>
              <w:adjustRightInd/>
              <w:spacing w:before="80" w:after="80"/>
              <w:ind w:left="357" w:hanging="357"/>
              <w:jc w:val="center"/>
              <w:textAlignment w:val="auto"/>
              <w:rPr>
                <w:rFonts w:eastAsiaTheme="minorEastAsia" w:cs="Calibri"/>
                <w:b/>
                <w:bCs/>
                <w:color w:val="000000"/>
                <w:sz w:val="20"/>
                <w:lang w:eastAsia="zh-CN"/>
              </w:rPr>
            </w:pPr>
            <w:r w:rsidRPr="00EA64F8">
              <w:rPr>
                <w:rFonts w:eastAsiaTheme="minorEastAsia" w:cs="Calibri"/>
                <w:b/>
                <w:bCs/>
                <w:color w:val="000000"/>
                <w:sz w:val="20"/>
                <w:lang w:eastAsia="zh-CN"/>
              </w:rPr>
              <w:t>JIU/REP/2024/3</w:t>
            </w:r>
            <w:r w:rsidRPr="00EA64F8">
              <w:rPr>
                <w:rFonts w:ascii="Microsoft YaHei" w:eastAsiaTheme="minorEastAsia" w:hAnsi="Microsoft YaHei" w:cs="Microsoft YaHei" w:hint="eastAsia"/>
                <w:b/>
                <w:bCs/>
                <w:color w:val="000000"/>
                <w:sz w:val="20"/>
                <w:lang w:eastAsia="zh-CN"/>
              </w:rPr>
              <w:t>（第一部分）</w:t>
            </w:r>
            <w:hyperlink r:id="rId13" w:history="1">
              <w:r w:rsidRPr="00EA64F8">
                <w:rPr>
                  <w:rFonts w:asciiTheme="minorHAnsi" w:eastAsiaTheme="minorEastAsia" w:hAnsiTheme="minorHAnsi" w:cstheme="minorHAnsi"/>
                  <w:b/>
                  <w:bCs/>
                  <w:color w:val="4F81BD" w:themeColor="accent1"/>
                  <w:sz w:val="20"/>
                  <w:u w:val="single"/>
                  <w:lang w:eastAsia="zh-CN"/>
                </w:rPr>
                <w:t>联合国系统各组织的预算编制第一部分</w:t>
              </w:r>
              <w:r w:rsidRPr="00EA64F8">
                <w:rPr>
                  <w:rFonts w:asciiTheme="minorHAnsi" w:eastAsiaTheme="minorEastAsia" w:hAnsiTheme="minorHAnsi" w:cstheme="minorHAnsi"/>
                  <w:b/>
                  <w:bCs/>
                  <w:color w:val="4F81BD" w:themeColor="accent1"/>
                  <w:sz w:val="20"/>
                  <w:u w:val="single"/>
                  <w:lang w:eastAsia="zh-CN"/>
                </w:rPr>
                <w:t xml:space="preserve"> – </w:t>
              </w:r>
              <w:r w:rsidRPr="00EA64F8">
                <w:rPr>
                  <w:rFonts w:asciiTheme="minorHAnsi" w:eastAsiaTheme="minorEastAsia" w:hAnsiTheme="minorHAnsi" w:cstheme="minorHAnsi"/>
                  <w:b/>
                  <w:bCs/>
                  <w:color w:val="4F81BD" w:themeColor="accent1"/>
                  <w:sz w:val="20"/>
                  <w:u w:val="single"/>
                  <w:lang w:eastAsia="zh-CN"/>
                </w:rPr>
                <w:t>比较性分析</w:t>
              </w:r>
            </w:hyperlink>
            <w:r w:rsidRPr="00EA64F8">
              <w:rPr>
                <w:rFonts w:asciiTheme="minorHAnsi" w:eastAsiaTheme="minorEastAsia" w:hAnsiTheme="minorHAnsi" w:cstheme="minorHAnsi"/>
                <w:b/>
                <w:bCs/>
                <w:sz w:val="20"/>
                <w:lang w:eastAsia="zh-CN"/>
              </w:rPr>
              <w:br/>
            </w:r>
            <w:r w:rsidRPr="00EA64F8">
              <w:rPr>
                <w:rFonts w:asciiTheme="minorHAnsi" w:eastAsiaTheme="minorEastAsia" w:hAnsiTheme="minorHAnsi" w:cstheme="minorHAnsi"/>
                <w:b/>
                <w:bCs/>
                <w:color w:val="000000"/>
                <w:sz w:val="20"/>
                <w:lang w:eastAsia="zh-CN"/>
              </w:rPr>
              <w:t>JIU/REP/2024/3</w:t>
            </w:r>
            <w:r w:rsidRPr="00EA64F8">
              <w:rPr>
                <w:rFonts w:asciiTheme="minorHAnsi" w:eastAsiaTheme="minorEastAsia" w:hAnsiTheme="minorHAnsi" w:cstheme="minorHAnsi"/>
                <w:b/>
                <w:bCs/>
                <w:color w:val="000000"/>
                <w:sz w:val="20"/>
                <w:lang w:eastAsia="zh-CN"/>
              </w:rPr>
              <w:t>（第二部分）</w:t>
            </w:r>
            <w:hyperlink r:id="rId14" w:history="1">
              <w:r w:rsidRPr="00EA64F8">
                <w:rPr>
                  <w:rFonts w:asciiTheme="minorHAnsi" w:eastAsiaTheme="minorEastAsia" w:hAnsiTheme="minorHAnsi" w:cstheme="minorHAnsi"/>
                  <w:b/>
                  <w:bCs/>
                  <w:color w:val="4F81BD" w:themeColor="accent1"/>
                  <w:sz w:val="20"/>
                  <w:u w:val="single"/>
                  <w:lang w:eastAsia="zh-CN"/>
                </w:rPr>
                <w:t>联合国系统各组织的预算编制第二部分</w:t>
              </w:r>
              <w:r w:rsidRPr="00EA64F8">
                <w:rPr>
                  <w:rFonts w:asciiTheme="minorHAnsi" w:eastAsiaTheme="minorEastAsia" w:hAnsiTheme="minorHAnsi" w:cstheme="minorHAnsi"/>
                  <w:b/>
                  <w:bCs/>
                  <w:color w:val="4F81BD" w:themeColor="accent1"/>
                  <w:sz w:val="20"/>
                  <w:u w:val="single"/>
                  <w:lang w:eastAsia="zh-CN"/>
                </w:rPr>
                <w:t xml:space="preserve"> – </w:t>
              </w:r>
              <w:r w:rsidRPr="00EA64F8">
                <w:rPr>
                  <w:rFonts w:asciiTheme="minorHAnsi" w:eastAsiaTheme="minorEastAsia" w:hAnsiTheme="minorHAnsi" w:cstheme="minorHAnsi"/>
                  <w:b/>
                  <w:bCs/>
                  <w:color w:val="4F81BD" w:themeColor="accent1"/>
                  <w:sz w:val="20"/>
                  <w:u w:val="single"/>
                  <w:lang w:eastAsia="zh-CN"/>
                </w:rPr>
                <w:t>参考表格</w:t>
              </w:r>
            </w:hyperlink>
            <w:r w:rsidRPr="00EA64F8">
              <w:rPr>
                <w:rFonts w:eastAsiaTheme="minorEastAsia" w:cs="Calibri"/>
                <w:b/>
                <w:bCs/>
                <w:color w:val="0000FF"/>
                <w:sz w:val="20"/>
                <w:lang w:eastAsia="zh-CN"/>
              </w:rPr>
              <w:br/>
            </w:r>
            <w:r w:rsidRPr="00EA64F8">
              <w:rPr>
                <w:rFonts w:eastAsiaTheme="minorEastAsia" w:cs="Calibri" w:hint="eastAsia"/>
                <w:b/>
                <w:bCs/>
                <w:sz w:val="20"/>
                <w:lang w:eastAsia="zh-CN"/>
              </w:rPr>
              <w:t>国际电联联系人：</w:t>
            </w:r>
            <w:r w:rsidRPr="00EA64F8">
              <w:rPr>
                <w:rFonts w:eastAsiaTheme="minorEastAsia" w:cs="Calibri"/>
                <w:b/>
                <w:bCs/>
                <w:sz w:val="20"/>
                <w:lang w:eastAsia="zh-CN"/>
              </w:rPr>
              <w:t>Jean-Paul Lovato</w:t>
            </w:r>
            <w:r w:rsidR="00895EA5">
              <w:rPr>
                <w:rFonts w:eastAsiaTheme="minorEastAsia" w:cs="Calibri"/>
                <w:b/>
                <w:bCs/>
                <w:sz w:val="20"/>
                <w:lang w:eastAsia="zh-CN"/>
              </w:rPr>
              <w:br/>
            </w:r>
            <w:r w:rsidRPr="00EA64F8">
              <w:rPr>
                <w:rFonts w:ascii="Symbol" w:eastAsiaTheme="minorEastAsia" w:hAnsi="Symbol" w:cs="Calibri"/>
                <w:bCs/>
                <w:color w:val="000000"/>
                <w:sz w:val="20"/>
                <w:lang w:eastAsia="zh-CN"/>
              </w:rPr>
              <w:t></w:t>
            </w:r>
            <w:r w:rsidRPr="00EA64F8">
              <w:rPr>
                <w:rFonts w:ascii="Symbol" w:eastAsiaTheme="minorEastAsia" w:hAnsi="Symbol" w:cs="Calibri"/>
                <w:bCs/>
                <w:color w:val="000000"/>
                <w:sz w:val="20"/>
                <w:lang w:eastAsia="zh-CN"/>
              </w:rPr>
              <w:tab/>
            </w:r>
            <w:r>
              <w:fldChar w:fldCharType="begin"/>
            </w:r>
            <w:r>
              <w:rPr>
                <w:lang w:eastAsia="zh-CN"/>
              </w:rPr>
              <w:instrText>HYPERLINK "https://www.unjiu.org/sites/www.unjiu.org/files/review_highlights_jiu_rep_2024_3_parts_i_and_ii_0.pdf"</w:instrText>
            </w:r>
            <w:r>
              <w:fldChar w:fldCharType="separate"/>
            </w:r>
            <w:r w:rsidRPr="00EA64F8">
              <w:rPr>
                <w:rFonts w:eastAsiaTheme="minorEastAsia" w:cs="Calibri"/>
                <w:b/>
                <w:bCs/>
                <w:color w:val="4F81BD" w:themeColor="accent1"/>
                <w:sz w:val="20"/>
                <w:u w:val="single"/>
                <w:lang w:eastAsia="zh-CN"/>
              </w:rPr>
              <w:t>审查要点</w:t>
            </w:r>
            <w:r>
              <w:fldChar w:fldCharType="end"/>
            </w:r>
          </w:p>
        </w:tc>
      </w:tr>
      <w:tr w:rsidR="00EA64F8" w:rsidRPr="00EA64F8" w14:paraId="1F540E7C" w14:textId="77777777" w:rsidTr="00D002E2">
        <w:trPr>
          <w:trHeight w:val="653"/>
        </w:trPr>
        <w:tc>
          <w:tcPr>
            <w:tcW w:w="2410" w:type="dxa"/>
            <w:shd w:val="clear" w:color="auto" w:fill="E1EBF7"/>
          </w:tcPr>
          <w:p w14:paraId="46191D9F" w14:textId="6F48943A" w:rsidR="00EA64F8" w:rsidRPr="00EA64F8" w:rsidRDefault="00EA64F8" w:rsidP="00893CB4">
            <w:pPr>
              <w:keepNext/>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向立法</w:t>
            </w:r>
            <w:r w:rsidRPr="00EA64F8">
              <w:rPr>
                <w:rFonts w:eastAsiaTheme="minorEastAsia" w:cs="Calibri" w:hint="eastAsia"/>
                <w:b/>
                <w:bCs/>
                <w:sz w:val="20"/>
                <w:lang w:eastAsia="zh-CN"/>
              </w:rPr>
              <w:t>/</w:t>
            </w:r>
            <w:r w:rsidRPr="00EA64F8">
              <w:rPr>
                <w:rFonts w:eastAsiaTheme="minorEastAsia" w:cs="Calibri" w:hint="eastAsia"/>
                <w:b/>
                <w:bCs/>
                <w:sz w:val="20"/>
                <w:lang w:eastAsia="zh-CN"/>
              </w:rPr>
              <w:t>理事机构</w:t>
            </w:r>
            <w:r w:rsidR="00893CB4">
              <w:rPr>
                <w:rFonts w:eastAsiaTheme="minorEastAsia" w:cs="Calibri"/>
                <w:b/>
                <w:bCs/>
                <w:sz w:val="20"/>
                <w:lang w:eastAsia="zh-CN"/>
              </w:rPr>
              <w:br/>
            </w:r>
            <w:r w:rsidRPr="00EA64F8">
              <w:rPr>
                <w:rFonts w:eastAsiaTheme="minorEastAsia" w:cs="Calibri" w:hint="eastAsia"/>
                <w:b/>
                <w:bCs/>
                <w:sz w:val="20"/>
                <w:lang w:eastAsia="zh-CN"/>
              </w:rPr>
              <w:t>提出的建议：</w:t>
            </w:r>
          </w:p>
        </w:tc>
        <w:tc>
          <w:tcPr>
            <w:tcW w:w="11766" w:type="dxa"/>
            <w:shd w:val="clear" w:color="auto" w:fill="FFFFFF" w:themeFill="background1"/>
          </w:tcPr>
          <w:p w14:paraId="4C92304E" w14:textId="77777777" w:rsidR="00EA64F8" w:rsidRPr="00EA64F8" w:rsidRDefault="00EA64F8" w:rsidP="00893CB4">
            <w:pPr>
              <w:keepNext/>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eastAsiaTheme="minorEastAsia" w:cs="Calibri" w:hint="eastAsia"/>
                <w:b/>
                <w:bCs/>
                <w:color w:val="000000"/>
                <w:sz w:val="20"/>
                <w:highlight w:val="cyan"/>
                <w:lang w:eastAsia="zh-CN"/>
              </w:rPr>
              <w:t>建议</w:t>
            </w:r>
            <w:r w:rsidRPr="00EA64F8">
              <w:rPr>
                <w:rFonts w:eastAsiaTheme="minorEastAsia" w:cs="Calibri"/>
                <w:b/>
                <w:bCs/>
                <w:color w:val="000000"/>
                <w:sz w:val="20"/>
                <w:highlight w:val="cyan"/>
                <w:lang w:eastAsia="zh-CN"/>
              </w:rPr>
              <w:t>2</w:t>
            </w:r>
            <w:r w:rsidRPr="00EA64F8">
              <w:rPr>
                <w:rFonts w:eastAsiaTheme="minorEastAsia" w:cs="Calibri" w:hint="eastAsia"/>
                <w:b/>
                <w:bCs/>
                <w:color w:val="000000"/>
                <w:sz w:val="20"/>
                <w:highlight w:val="cyan"/>
                <w:lang w:eastAsia="zh-CN"/>
              </w:rPr>
              <w:t>：</w:t>
            </w:r>
            <w:r w:rsidRPr="00EA64F8">
              <w:rPr>
                <w:rFonts w:eastAsiaTheme="minorEastAsia" w:cs="Calibri" w:hint="eastAsia"/>
                <w:color w:val="000000"/>
                <w:sz w:val="20"/>
                <w:lang w:eastAsia="zh-CN"/>
              </w:rPr>
              <w:t>联检组参与组织的立法机关和理事机构应要求各组织的行政首长以其作为首协会成员的身份，在</w:t>
            </w:r>
            <w:r w:rsidRPr="00EA64F8">
              <w:rPr>
                <w:rFonts w:eastAsiaTheme="minorEastAsia" w:cs="Calibri" w:hint="eastAsia"/>
                <w:color w:val="000000"/>
                <w:sz w:val="20"/>
                <w:lang w:eastAsia="zh-CN"/>
              </w:rPr>
              <w:t>2027</w:t>
            </w:r>
            <w:r w:rsidRPr="00EA64F8">
              <w:rPr>
                <w:rFonts w:eastAsiaTheme="minorEastAsia" w:cs="Calibri" w:hint="eastAsia"/>
                <w:color w:val="000000"/>
                <w:sz w:val="20"/>
                <w:lang w:eastAsia="zh-CN"/>
              </w:rPr>
              <w:t>年底前更新《标准支出用途分类》，并予以公开，特别是作为预算编制的参考文件。</w:t>
            </w:r>
          </w:p>
        </w:tc>
      </w:tr>
      <w:tr w:rsidR="00EA64F8" w:rsidRPr="00EA64F8" w14:paraId="5B242D6D" w14:textId="77777777" w:rsidTr="00D002E2">
        <w:tc>
          <w:tcPr>
            <w:tcW w:w="2410" w:type="dxa"/>
            <w:shd w:val="clear" w:color="auto" w:fill="EAF1DD" w:themeFill="accent3" w:themeFillTint="33"/>
          </w:tcPr>
          <w:p w14:paraId="76BC5EF8" w14:textId="7BC7E67F" w:rsidR="00EA64F8" w:rsidRPr="00EA64F8" w:rsidRDefault="00EA64F8" w:rsidP="00893CB4">
            <w:pPr>
              <w:keepNext/>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rPr>
            </w:pPr>
            <w:proofErr w:type="spellStart"/>
            <w:r w:rsidRPr="00EA64F8">
              <w:rPr>
                <w:rFonts w:eastAsiaTheme="minorEastAsia" w:cs="Calibri" w:hint="eastAsia"/>
                <w:b/>
                <w:bCs/>
                <w:sz w:val="20"/>
              </w:rPr>
              <w:t>需采取的行动</w:t>
            </w:r>
            <w:proofErr w:type="spellEnd"/>
            <w:r w:rsidRPr="00EA64F8">
              <w:rPr>
                <w:rFonts w:eastAsiaTheme="minorEastAsia" w:cs="Calibri" w:hint="eastAsia"/>
                <w:b/>
                <w:bCs/>
                <w:sz w:val="20"/>
              </w:rPr>
              <w:t>：</w:t>
            </w:r>
          </w:p>
        </w:tc>
        <w:tc>
          <w:tcPr>
            <w:tcW w:w="11766" w:type="dxa"/>
          </w:tcPr>
          <w:p w14:paraId="33944B94" w14:textId="77777777" w:rsidR="00EA64F8" w:rsidRPr="00EA64F8" w:rsidRDefault="00EA64F8" w:rsidP="00893CB4">
            <w:pPr>
              <w:keepNext/>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EA64F8">
              <w:rPr>
                <w:rFonts w:eastAsiaTheme="minorEastAsia" w:cs="Calibri" w:hint="eastAsia"/>
                <w:sz w:val="20"/>
                <w:highlight w:val="green"/>
                <w:lang w:eastAsia="zh-CN"/>
              </w:rPr>
              <w:t>（</w:t>
            </w:r>
            <w:r w:rsidRPr="00EA64F8">
              <w:rPr>
                <w:rFonts w:eastAsiaTheme="minorEastAsia" w:cs="Calibri" w:hint="eastAsia"/>
                <w:b/>
                <w:bCs/>
                <w:sz w:val="20"/>
                <w:highlight w:val="green"/>
                <w:lang w:eastAsia="zh-CN"/>
              </w:rPr>
              <w:t>接受</w:t>
            </w:r>
            <w:r w:rsidRPr="00EA64F8">
              <w:rPr>
                <w:rFonts w:eastAsiaTheme="minorEastAsia" w:cs="Calibri" w:hint="eastAsia"/>
                <w:sz w:val="20"/>
                <w:lang w:eastAsia="zh-CN"/>
              </w:rPr>
              <w:t>、不接受、不相关或需要进一步审议）</w:t>
            </w:r>
          </w:p>
        </w:tc>
      </w:tr>
      <w:tr w:rsidR="00EA64F8" w:rsidRPr="00EA64F8" w14:paraId="16A37080" w14:textId="77777777" w:rsidTr="00D002E2">
        <w:tc>
          <w:tcPr>
            <w:tcW w:w="2410" w:type="dxa"/>
          </w:tcPr>
          <w:p w14:paraId="15EFA570" w14:textId="1AC76A60"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国际电联有关相关性、财务和人力资源</w:t>
            </w:r>
            <w:r w:rsidR="00893CB4">
              <w:rPr>
                <w:rFonts w:eastAsiaTheme="minorEastAsia" w:cs="Calibri"/>
                <w:b/>
                <w:bCs/>
                <w:sz w:val="20"/>
                <w:lang w:eastAsia="zh-CN"/>
              </w:rPr>
              <w:br/>
            </w:r>
            <w:r w:rsidRPr="00EA64F8">
              <w:rPr>
                <w:rFonts w:eastAsiaTheme="minorEastAsia" w:cs="Calibri" w:hint="eastAsia"/>
                <w:b/>
                <w:bCs/>
                <w:sz w:val="20"/>
                <w:lang w:eastAsia="zh-CN"/>
              </w:rPr>
              <w:t>影响的意见：</w:t>
            </w:r>
          </w:p>
        </w:tc>
        <w:tc>
          <w:tcPr>
            <w:tcW w:w="11766" w:type="dxa"/>
          </w:tcPr>
          <w:p w14:paraId="25AA7050"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asciiTheme="minorHAnsi" w:eastAsiaTheme="minorEastAsia" w:hAnsiTheme="minorHAnsi"/>
                <w:sz w:val="20"/>
                <w:lang w:eastAsia="zh-CN"/>
              </w:rPr>
            </w:pPr>
            <w:r w:rsidRPr="00EA64F8">
              <w:rPr>
                <w:rFonts w:asciiTheme="minorHAnsi" w:eastAsiaTheme="minorEastAsia" w:hAnsiTheme="minorHAnsi" w:hint="eastAsia"/>
                <w:sz w:val="20"/>
                <w:lang w:eastAsia="zh-CN"/>
              </w:rPr>
              <w:t>根据现行《财务规则》，国际电联内部已有标准支出用途分类。此外，财务报表一经管理机构批准，即向公众公开。支出类别用于预算的编制和核定。</w:t>
            </w:r>
          </w:p>
        </w:tc>
      </w:tr>
      <w:tr w:rsidR="00EA64F8" w:rsidRPr="00EA64F8" w14:paraId="326357D6" w14:textId="77777777" w:rsidTr="00D002E2">
        <w:tc>
          <w:tcPr>
            <w:tcW w:w="2410" w:type="dxa"/>
          </w:tcPr>
          <w:p w14:paraId="171FA443" w14:textId="56B28C91"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lastRenderedPageBreak/>
              <w:t>联合国系统首协会</w:t>
            </w:r>
            <w:r w:rsidR="00893CB4">
              <w:rPr>
                <w:rFonts w:eastAsiaTheme="minorEastAsia" w:cs="Calibri"/>
                <w:b/>
                <w:bCs/>
                <w:sz w:val="20"/>
                <w:lang w:eastAsia="zh-CN"/>
              </w:rPr>
              <w:br/>
            </w:r>
            <w:r w:rsidRPr="00EA64F8">
              <w:rPr>
                <w:rFonts w:eastAsiaTheme="minorEastAsia" w:cs="Calibri" w:hint="eastAsia"/>
                <w:b/>
                <w:bCs/>
                <w:sz w:val="20"/>
                <w:lang w:eastAsia="zh-CN"/>
              </w:rPr>
              <w:t>范围内的意见：</w:t>
            </w:r>
          </w:p>
        </w:tc>
        <w:tc>
          <w:tcPr>
            <w:tcW w:w="11766" w:type="dxa"/>
          </w:tcPr>
          <w:p w14:paraId="33ED55F0" w14:textId="2978E5C8"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eastAsiaTheme="minorEastAsia" w:cs="Calibri" w:hint="eastAsia"/>
                <w:sz w:val="20"/>
                <w:lang w:eastAsia="zh-CN"/>
              </w:rPr>
              <w:t>部分组织虽然对更新《标准支出用途分类》以供参考的建议表示有限支持，但也指出参考性分类不应限制各组织调整其会计支出科目，以支持和促进基于成果的预算编制。此外，若干组织认为此项建议已得到落实，提及了由多个组织协调制定、并已获得这些实体的执行委员会共同批准的《联合成本回收政策》。</w:t>
            </w:r>
          </w:p>
          <w:p w14:paraId="3306A97C"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eastAsiaTheme="minorEastAsia" w:cs="Calibri" w:hint="eastAsia"/>
                <w:sz w:val="20"/>
                <w:lang w:eastAsia="zh-CN"/>
              </w:rPr>
              <w:t>其他组织指出，成本类别源于会计科目表，反映了一个组织的具体职责，试图进行协调可能与会计科目表的最佳做法相矛盾。此外，还强调，鉴于联合国不同组织具有不同职责和运作方式，要在它们之间统一支出用途分类存在挑战。为此，考虑到各组织的职责和运作模式的特异性，标准支出用途分类的任何拟议更新都应主要用于机构间报告，而不是预算编制。</w:t>
            </w:r>
          </w:p>
          <w:p w14:paraId="21A0D6F6"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EA64F8">
              <w:rPr>
                <w:rFonts w:eastAsiaTheme="minorEastAsia" w:cs="Calibri" w:hint="eastAsia"/>
                <w:sz w:val="20"/>
                <w:lang w:eastAsia="zh-CN"/>
              </w:rPr>
              <w:t>关于实施时间表，各组织强调，由于需要获得财务和预算网络成员之间的集体同意，且这个过程可能耗时较长，因此无法承诺遵守拟议时间表。</w:t>
            </w:r>
          </w:p>
        </w:tc>
      </w:tr>
      <w:tr w:rsidR="00EA64F8" w:rsidRPr="00EA64F8" w14:paraId="0F841E27" w14:textId="77777777" w:rsidTr="00D002E2">
        <w:tc>
          <w:tcPr>
            <w:tcW w:w="2410" w:type="dxa"/>
          </w:tcPr>
          <w:p w14:paraId="282D76A0"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sz w:val="20"/>
              </w:rPr>
            </w:pPr>
            <w:r w:rsidRPr="00EA64F8">
              <w:rPr>
                <w:rFonts w:eastAsiaTheme="minorEastAsia" w:cs="Calibri" w:hint="eastAsia"/>
                <w:b/>
                <w:bCs/>
                <w:sz w:val="20"/>
                <w:lang w:eastAsia="zh-CN"/>
              </w:rPr>
              <w:t>落实情况：</w:t>
            </w:r>
          </w:p>
        </w:tc>
        <w:tc>
          <w:tcPr>
            <w:tcW w:w="11766" w:type="dxa"/>
          </w:tcPr>
          <w:p w14:paraId="732C8F58"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asciiTheme="minorHAnsi" w:eastAsiaTheme="minorEastAsia" w:hAnsiTheme="minorHAnsi" w:hint="eastAsia"/>
                <w:sz w:val="20"/>
                <w:lang w:eastAsia="zh-CN"/>
              </w:rPr>
              <w:t>将在国际电联目前正在进行的财务改革框架内落实。</w:t>
            </w:r>
          </w:p>
        </w:tc>
      </w:tr>
      <w:tr w:rsidR="00EA64F8" w:rsidRPr="00EA64F8" w14:paraId="4FF1EFBF" w14:textId="77777777" w:rsidTr="00D002E2">
        <w:trPr>
          <w:trHeight w:val="129"/>
        </w:trPr>
        <w:tc>
          <w:tcPr>
            <w:tcW w:w="14176" w:type="dxa"/>
            <w:gridSpan w:val="2"/>
            <w:shd w:val="clear" w:color="auto" w:fill="F2F2F2" w:themeFill="background1" w:themeFillShade="F2"/>
          </w:tcPr>
          <w:p w14:paraId="5A858952" w14:textId="77777777" w:rsidR="00EA64F8" w:rsidRPr="00EA64F8" w:rsidRDefault="00EA64F8" w:rsidP="0095211E">
            <w:pPr>
              <w:tabs>
                <w:tab w:val="clear" w:pos="794"/>
                <w:tab w:val="clear" w:pos="1191"/>
                <w:tab w:val="clear" w:pos="1588"/>
                <w:tab w:val="clear" w:pos="1985"/>
                <w:tab w:val="left" w:pos="567"/>
                <w:tab w:val="left" w:pos="1701"/>
                <w:tab w:val="left" w:pos="2268"/>
                <w:tab w:val="left" w:pos="2835"/>
              </w:tabs>
              <w:spacing w:before="0"/>
              <w:rPr>
                <w:rFonts w:asciiTheme="minorHAnsi" w:hAnsiTheme="minorHAnsi"/>
                <w:sz w:val="20"/>
                <w:lang w:eastAsia="zh-CN"/>
              </w:rPr>
            </w:pPr>
          </w:p>
        </w:tc>
      </w:tr>
      <w:tr w:rsidR="00EA64F8" w:rsidRPr="00EA64F8" w14:paraId="65A95201" w14:textId="77777777" w:rsidTr="00D002E2">
        <w:trPr>
          <w:trHeight w:val="251"/>
        </w:trPr>
        <w:tc>
          <w:tcPr>
            <w:tcW w:w="2410" w:type="dxa"/>
            <w:shd w:val="clear" w:color="auto" w:fill="E1EBF7"/>
          </w:tcPr>
          <w:p w14:paraId="0F874DE1" w14:textId="4E6B6D7B" w:rsidR="00EA64F8" w:rsidRPr="00EA64F8" w:rsidRDefault="00EA64F8" w:rsidP="0095211E">
            <w:pPr>
              <w:keepNext/>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sz w:val="20"/>
                <w:lang w:eastAsia="zh-CN"/>
              </w:rPr>
              <w:br w:type="page"/>
            </w:r>
            <w:r w:rsidRPr="00EA64F8">
              <w:rPr>
                <w:rFonts w:eastAsiaTheme="minorEastAsia" w:cs="Calibri" w:hint="eastAsia"/>
                <w:b/>
                <w:bCs/>
                <w:sz w:val="20"/>
                <w:lang w:eastAsia="zh-CN"/>
              </w:rPr>
              <w:t>向立法</w:t>
            </w:r>
            <w:r w:rsidRPr="00EA64F8">
              <w:rPr>
                <w:rFonts w:eastAsiaTheme="minorEastAsia" w:cs="Calibri" w:hint="eastAsia"/>
                <w:b/>
                <w:bCs/>
                <w:sz w:val="20"/>
                <w:lang w:eastAsia="zh-CN"/>
              </w:rPr>
              <w:t>/</w:t>
            </w:r>
            <w:r w:rsidRPr="00EA64F8">
              <w:rPr>
                <w:rFonts w:eastAsiaTheme="minorEastAsia" w:cs="Calibri" w:hint="eastAsia"/>
                <w:b/>
                <w:bCs/>
                <w:sz w:val="20"/>
                <w:lang w:eastAsia="zh-CN"/>
              </w:rPr>
              <w:t>理事机构</w:t>
            </w:r>
            <w:r w:rsidR="00893CB4">
              <w:rPr>
                <w:rFonts w:eastAsiaTheme="minorEastAsia" w:cs="Calibri"/>
                <w:b/>
                <w:bCs/>
                <w:sz w:val="20"/>
                <w:lang w:eastAsia="zh-CN"/>
              </w:rPr>
              <w:br/>
            </w:r>
            <w:r w:rsidRPr="00EA64F8">
              <w:rPr>
                <w:rFonts w:eastAsiaTheme="minorEastAsia" w:cs="Calibri" w:hint="eastAsia"/>
                <w:b/>
                <w:bCs/>
                <w:sz w:val="20"/>
                <w:lang w:eastAsia="zh-CN"/>
              </w:rPr>
              <w:t>提出的建议：</w:t>
            </w:r>
          </w:p>
        </w:tc>
        <w:tc>
          <w:tcPr>
            <w:tcW w:w="11766" w:type="dxa"/>
            <w:shd w:val="clear" w:color="auto" w:fill="FFFFFF" w:themeFill="background1"/>
          </w:tcPr>
          <w:p w14:paraId="54C35BE5" w14:textId="77777777" w:rsidR="00EA64F8" w:rsidRPr="00EA64F8" w:rsidRDefault="00EA64F8" w:rsidP="00893CB4">
            <w:pPr>
              <w:keepNext/>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ascii="Microsoft YaHei" w:eastAsiaTheme="minorEastAsia" w:hAnsi="Microsoft YaHei" w:cs="Microsoft YaHei" w:hint="eastAsia"/>
                <w:b/>
                <w:bCs/>
                <w:color w:val="000000"/>
                <w:sz w:val="20"/>
                <w:highlight w:val="cyan"/>
                <w:lang w:eastAsia="zh-CN"/>
              </w:rPr>
              <w:t>建议</w:t>
            </w:r>
            <w:r w:rsidRPr="00EA64F8">
              <w:rPr>
                <w:rFonts w:eastAsiaTheme="minorEastAsia" w:cs="Calibri"/>
                <w:b/>
                <w:bCs/>
                <w:color w:val="000000"/>
                <w:sz w:val="20"/>
                <w:highlight w:val="cyan"/>
                <w:lang w:eastAsia="zh-CN"/>
              </w:rPr>
              <w:t>3</w:t>
            </w:r>
            <w:r w:rsidRPr="00EA64F8">
              <w:rPr>
                <w:rFonts w:ascii="Microsoft YaHei" w:eastAsiaTheme="minorEastAsia" w:hAnsi="Microsoft YaHei" w:cs="Microsoft YaHei" w:hint="eastAsia"/>
                <w:b/>
                <w:bCs/>
                <w:color w:val="000000"/>
                <w:sz w:val="20"/>
                <w:highlight w:val="cyan"/>
                <w:lang w:eastAsia="zh-CN"/>
              </w:rPr>
              <w:t>：</w:t>
            </w:r>
            <w:r w:rsidRPr="00EA64F8">
              <w:rPr>
                <w:rFonts w:eastAsiaTheme="minorEastAsia" w:cs="Calibri" w:hint="eastAsia"/>
                <w:color w:val="000000"/>
                <w:sz w:val="20"/>
                <w:lang w:eastAsia="zh-CN"/>
              </w:rPr>
              <w:t>联检组参与组织的立法机关和理事机构应要求相关组织的行政首长自下一个预算周期起，不得降低现行预算审议过程中提供的信息详细程度，以确保决策过程切实有效。</w:t>
            </w:r>
          </w:p>
        </w:tc>
      </w:tr>
      <w:tr w:rsidR="00EA64F8" w:rsidRPr="00EA64F8" w14:paraId="5BCDDEA4" w14:textId="77777777" w:rsidTr="00D002E2">
        <w:tc>
          <w:tcPr>
            <w:tcW w:w="2410" w:type="dxa"/>
            <w:shd w:val="clear" w:color="auto" w:fill="EAF1DD" w:themeFill="accent3" w:themeFillTint="33"/>
          </w:tcPr>
          <w:p w14:paraId="2BBBED32" w14:textId="36A979AB"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rPr>
            </w:pPr>
            <w:r w:rsidRPr="00EA64F8">
              <w:rPr>
                <w:rFonts w:eastAsiaTheme="minorEastAsia" w:cs="Calibri" w:hint="eastAsia"/>
                <w:b/>
                <w:bCs/>
                <w:sz w:val="20"/>
                <w:lang w:eastAsia="zh-CN"/>
              </w:rPr>
              <w:t>需采取的行动：</w:t>
            </w:r>
          </w:p>
        </w:tc>
        <w:tc>
          <w:tcPr>
            <w:tcW w:w="11766" w:type="dxa"/>
          </w:tcPr>
          <w:p w14:paraId="6387622A"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EA64F8">
              <w:rPr>
                <w:rFonts w:eastAsiaTheme="minorEastAsia" w:cs="Calibri" w:hint="eastAsia"/>
                <w:sz w:val="20"/>
                <w:highlight w:val="green"/>
                <w:lang w:eastAsia="zh-CN"/>
              </w:rPr>
              <w:t>（</w:t>
            </w:r>
            <w:r w:rsidRPr="00EA64F8">
              <w:rPr>
                <w:rFonts w:eastAsiaTheme="minorEastAsia" w:cs="Calibri" w:hint="eastAsia"/>
                <w:b/>
                <w:bCs/>
                <w:sz w:val="20"/>
                <w:highlight w:val="green"/>
                <w:lang w:eastAsia="zh-CN"/>
              </w:rPr>
              <w:t>接受</w:t>
            </w:r>
            <w:r w:rsidRPr="00EA64F8">
              <w:rPr>
                <w:rFonts w:eastAsiaTheme="minorEastAsia" w:cs="Calibri" w:hint="eastAsia"/>
                <w:sz w:val="20"/>
                <w:lang w:eastAsia="zh-CN"/>
              </w:rPr>
              <w:t>、不接受、不相关或需要进一步审议）</w:t>
            </w:r>
          </w:p>
        </w:tc>
      </w:tr>
      <w:tr w:rsidR="00EA64F8" w:rsidRPr="00EA64F8" w14:paraId="78986473" w14:textId="77777777" w:rsidTr="00D002E2">
        <w:tc>
          <w:tcPr>
            <w:tcW w:w="2410" w:type="dxa"/>
          </w:tcPr>
          <w:p w14:paraId="03E31D50" w14:textId="0A53DDA1"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国际电联有关相关性、财务和人力资源</w:t>
            </w:r>
            <w:r w:rsidR="00893CB4">
              <w:rPr>
                <w:rFonts w:eastAsiaTheme="minorEastAsia" w:cs="Calibri"/>
                <w:b/>
                <w:bCs/>
                <w:sz w:val="20"/>
                <w:lang w:eastAsia="zh-CN"/>
              </w:rPr>
              <w:br/>
            </w:r>
            <w:r w:rsidRPr="00EA64F8">
              <w:rPr>
                <w:rFonts w:eastAsiaTheme="minorEastAsia" w:cs="Calibri" w:hint="eastAsia"/>
                <w:b/>
                <w:bCs/>
                <w:sz w:val="20"/>
                <w:lang w:eastAsia="zh-CN"/>
              </w:rPr>
              <w:t>影响的意见：</w:t>
            </w:r>
          </w:p>
        </w:tc>
        <w:tc>
          <w:tcPr>
            <w:tcW w:w="11766" w:type="dxa"/>
          </w:tcPr>
          <w:p w14:paraId="3AE83079" w14:textId="19A6F022"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asciiTheme="minorHAnsi" w:eastAsiaTheme="minorEastAsia" w:hAnsiTheme="minorHAnsi"/>
                <w:sz w:val="20"/>
                <w:lang w:eastAsia="zh-CN"/>
              </w:rPr>
            </w:pPr>
            <w:r w:rsidRPr="00EA64F8">
              <w:rPr>
                <w:rFonts w:asciiTheme="minorHAnsi" w:eastAsiaTheme="minorEastAsia" w:hAnsiTheme="minorHAnsi" w:hint="eastAsia"/>
                <w:sz w:val="20"/>
                <w:lang w:eastAsia="zh-CN"/>
              </w:rPr>
              <w:t>国际电联持续向其成员提供</w:t>
            </w:r>
            <w:r w:rsidR="00993F93">
              <w:rPr>
                <w:rFonts w:asciiTheme="minorHAnsi" w:eastAsiaTheme="minorEastAsia" w:hAnsiTheme="minorHAnsi" w:hint="eastAsia"/>
                <w:sz w:val="20"/>
                <w:lang w:eastAsia="zh-CN"/>
              </w:rPr>
              <w:t>高度详细</w:t>
            </w:r>
            <w:r w:rsidRPr="00EA64F8">
              <w:rPr>
                <w:rFonts w:asciiTheme="minorHAnsi" w:eastAsiaTheme="minorEastAsia" w:hAnsiTheme="minorHAnsi" w:hint="eastAsia"/>
                <w:sz w:val="20"/>
                <w:lang w:eastAsia="zh-CN"/>
              </w:rPr>
              <w:t>的信息，作为其预算审查的一部分。这种详细程度不仅得以保持，甚至还有所提升。这些详细信息为我们成员在审批预算时提供了决策过程的保障。</w:t>
            </w:r>
          </w:p>
        </w:tc>
      </w:tr>
      <w:tr w:rsidR="00EA64F8" w:rsidRPr="00EA64F8" w14:paraId="5E10F215" w14:textId="77777777" w:rsidTr="00D002E2">
        <w:tc>
          <w:tcPr>
            <w:tcW w:w="2410" w:type="dxa"/>
          </w:tcPr>
          <w:p w14:paraId="09528F75" w14:textId="4E6A2A13"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联合国系统首协会</w:t>
            </w:r>
            <w:r w:rsidR="00893CB4">
              <w:rPr>
                <w:rFonts w:eastAsiaTheme="minorEastAsia" w:cs="Calibri"/>
                <w:b/>
                <w:bCs/>
                <w:sz w:val="20"/>
                <w:lang w:eastAsia="zh-CN"/>
              </w:rPr>
              <w:br/>
            </w:r>
            <w:r w:rsidRPr="00EA64F8">
              <w:rPr>
                <w:rFonts w:eastAsiaTheme="minorEastAsia" w:cs="Calibri" w:hint="eastAsia"/>
                <w:b/>
                <w:bCs/>
                <w:sz w:val="20"/>
                <w:lang w:eastAsia="zh-CN"/>
              </w:rPr>
              <w:t>范围内的意见：</w:t>
            </w:r>
          </w:p>
        </w:tc>
        <w:tc>
          <w:tcPr>
            <w:tcW w:w="11766" w:type="dxa"/>
          </w:tcPr>
          <w:p w14:paraId="3F5642C3" w14:textId="0D4092A3"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eastAsiaTheme="minorEastAsia" w:cs="Calibri" w:hint="eastAsia"/>
                <w:sz w:val="20"/>
                <w:lang w:eastAsia="zh-CN"/>
              </w:rPr>
              <w:t>各组织普遍不反对这项建议，但是指出，所需的信息详略程度应取决于需求而非预设标准，且降低详细程度不一定会削弱透明度或问责性。另有意见指出，这项建议可能与部分理事机构呼吁精简和简化提交理事机构的文件的建议相矛盾。</w:t>
            </w:r>
            <w:r w:rsidR="00993F93" w:rsidRPr="00993F93">
              <w:rPr>
                <w:rFonts w:eastAsiaTheme="minorEastAsia" w:cs="Calibri" w:hint="eastAsia"/>
                <w:sz w:val="20"/>
                <w:lang w:eastAsia="zh-CN"/>
              </w:rPr>
              <w:t>一些组织</w:t>
            </w:r>
            <w:r w:rsidR="00176E18">
              <w:rPr>
                <w:rFonts w:eastAsiaTheme="minorEastAsia" w:cs="Calibri" w:hint="eastAsia"/>
                <w:sz w:val="20"/>
                <w:lang w:eastAsia="zh-CN"/>
              </w:rPr>
              <w:t>指出</w:t>
            </w:r>
            <w:r w:rsidR="00993F93" w:rsidRPr="00993F93">
              <w:rPr>
                <w:rFonts w:eastAsiaTheme="minorEastAsia" w:cs="Calibri" w:hint="eastAsia"/>
                <w:sz w:val="20"/>
                <w:lang w:eastAsia="zh-CN"/>
              </w:rPr>
              <w:t>，在特殊情况下（如流动性挑战），可能需要采取临时措施，通过暂时降低</w:t>
            </w:r>
            <w:r w:rsidR="00176E18">
              <w:rPr>
                <w:rFonts w:eastAsiaTheme="minorEastAsia" w:cs="Calibri" w:hint="eastAsia"/>
                <w:sz w:val="20"/>
                <w:lang w:eastAsia="zh-CN"/>
              </w:rPr>
              <w:t>详细</w:t>
            </w:r>
            <w:r w:rsidR="00993F93" w:rsidRPr="00993F93">
              <w:rPr>
                <w:rFonts w:eastAsiaTheme="minorEastAsia" w:cs="Calibri" w:hint="eastAsia"/>
                <w:sz w:val="20"/>
                <w:lang w:eastAsia="zh-CN"/>
              </w:rPr>
              <w:t>程度来降低文件制作成本</w:t>
            </w:r>
            <w:r w:rsidR="00993F93">
              <w:rPr>
                <w:rFonts w:eastAsiaTheme="minorEastAsia" w:cs="Calibri" w:hint="eastAsia"/>
                <w:sz w:val="20"/>
                <w:lang w:eastAsia="zh-CN"/>
              </w:rPr>
              <w:t>。</w:t>
            </w:r>
          </w:p>
          <w:p w14:paraId="6B4C02B6"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EA64F8">
              <w:rPr>
                <w:rFonts w:eastAsiaTheme="minorEastAsia" w:cs="Calibri" w:hint="eastAsia"/>
                <w:sz w:val="20"/>
                <w:lang w:eastAsia="zh-CN"/>
              </w:rPr>
              <w:t>多个组织认为所提议的建议已得到落实，并确认当前提供的信息详细程度已属充分。</w:t>
            </w:r>
          </w:p>
        </w:tc>
      </w:tr>
      <w:tr w:rsidR="00EA64F8" w:rsidRPr="00EA64F8" w14:paraId="0BFB3092" w14:textId="77777777" w:rsidTr="00D002E2">
        <w:tc>
          <w:tcPr>
            <w:tcW w:w="2410" w:type="dxa"/>
          </w:tcPr>
          <w:p w14:paraId="4B23F41B"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sz w:val="20"/>
              </w:rPr>
            </w:pPr>
            <w:r w:rsidRPr="00EA64F8">
              <w:rPr>
                <w:rFonts w:eastAsiaTheme="minorEastAsia" w:cs="Calibri" w:hint="eastAsia"/>
                <w:b/>
                <w:bCs/>
                <w:sz w:val="20"/>
                <w:lang w:eastAsia="zh-CN"/>
              </w:rPr>
              <w:t>落实情况：</w:t>
            </w:r>
          </w:p>
        </w:tc>
        <w:tc>
          <w:tcPr>
            <w:tcW w:w="11766" w:type="dxa"/>
          </w:tcPr>
          <w:p w14:paraId="3D589FE7"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asciiTheme="minorHAnsi" w:eastAsiaTheme="minorEastAsia" w:hAnsiTheme="minorHAnsi" w:hint="eastAsia"/>
                <w:sz w:val="20"/>
                <w:lang w:eastAsia="zh-CN"/>
              </w:rPr>
              <w:t>进行中：与以往预算相比，国际电联</w:t>
            </w:r>
            <w:r w:rsidRPr="00EA64F8">
              <w:rPr>
                <w:rFonts w:asciiTheme="minorHAnsi" w:eastAsiaTheme="minorEastAsia" w:hAnsiTheme="minorHAnsi" w:hint="eastAsia"/>
                <w:sz w:val="20"/>
                <w:lang w:eastAsia="zh-CN"/>
              </w:rPr>
              <w:t>2026-2027</w:t>
            </w:r>
            <w:r w:rsidRPr="00EA64F8">
              <w:rPr>
                <w:rFonts w:asciiTheme="minorHAnsi" w:eastAsiaTheme="minorEastAsia" w:hAnsiTheme="minorHAnsi" w:hint="eastAsia"/>
                <w:sz w:val="20"/>
                <w:lang w:eastAsia="zh-CN"/>
              </w:rPr>
              <w:t>年预算将包含更多信息和细节。</w:t>
            </w:r>
          </w:p>
        </w:tc>
      </w:tr>
      <w:tr w:rsidR="00EA64F8" w:rsidRPr="00EA64F8" w14:paraId="1D5855D1" w14:textId="77777777" w:rsidTr="00D002E2">
        <w:trPr>
          <w:trHeight w:val="405"/>
        </w:trPr>
        <w:tc>
          <w:tcPr>
            <w:tcW w:w="14176" w:type="dxa"/>
            <w:gridSpan w:val="2"/>
            <w:shd w:val="clear" w:color="auto" w:fill="FFFF00"/>
          </w:tcPr>
          <w:p w14:paraId="43CCA810" w14:textId="68D8E5FD" w:rsidR="00EA64F8" w:rsidRPr="00EA64F8" w:rsidRDefault="00EA64F8" w:rsidP="0095211E">
            <w:pPr>
              <w:pageBreakBefore/>
              <w:tabs>
                <w:tab w:val="clear" w:pos="794"/>
                <w:tab w:val="clear" w:pos="1191"/>
                <w:tab w:val="clear" w:pos="1588"/>
                <w:tab w:val="clear" w:pos="1985"/>
              </w:tabs>
              <w:overflowPunct/>
              <w:autoSpaceDE/>
              <w:adjustRightInd/>
              <w:spacing w:before="80" w:after="80"/>
              <w:ind w:left="357" w:hanging="357"/>
              <w:jc w:val="center"/>
              <w:textAlignment w:val="auto"/>
              <w:rPr>
                <w:rFonts w:eastAsiaTheme="minorEastAsia" w:cs="Calibri"/>
                <w:b/>
                <w:bCs/>
                <w:color w:val="000000"/>
                <w:sz w:val="20"/>
                <w:lang w:eastAsia="zh-CN"/>
              </w:rPr>
            </w:pPr>
            <w:r w:rsidRPr="00EA64F8">
              <w:rPr>
                <w:rFonts w:eastAsiaTheme="minorEastAsia" w:cs="Calibri"/>
                <w:b/>
                <w:bCs/>
                <w:color w:val="000000"/>
                <w:sz w:val="20"/>
                <w:lang w:eastAsia="zh-CN"/>
              </w:rPr>
              <w:lastRenderedPageBreak/>
              <w:t xml:space="preserve">JIU/REP/2024/2 </w:t>
            </w:r>
            <w:hyperlink r:id="rId15" w:history="1">
              <w:r w:rsidRPr="00EA64F8">
                <w:rPr>
                  <w:rFonts w:eastAsiaTheme="minorEastAsia" w:cs="Calibri"/>
                  <w:b/>
                  <w:bCs/>
                  <w:color w:val="4F81BD" w:themeColor="accent1"/>
                  <w:sz w:val="20"/>
                  <w:u w:val="single"/>
                  <w:lang w:eastAsia="zh-CN"/>
                </w:rPr>
                <w:t>审</w:t>
              </w:r>
              <w:r w:rsidRPr="00EA64F8">
                <w:rPr>
                  <w:rFonts w:eastAsiaTheme="minorEastAsia" w:cs="Calibri" w:hint="eastAsia"/>
                  <w:b/>
                  <w:bCs/>
                  <w:color w:val="4F81BD" w:themeColor="accent1"/>
                  <w:sz w:val="20"/>
                  <w:u w:val="single"/>
                  <w:lang w:eastAsia="zh-CN"/>
                </w:rPr>
                <w:t>查</w:t>
              </w:r>
              <w:r w:rsidRPr="00EA64F8">
                <w:rPr>
                  <w:rFonts w:eastAsiaTheme="minorEastAsia" w:cs="Calibri"/>
                  <w:b/>
                  <w:bCs/>
                  <w:color w:val="4F81BD" w:themeColor="accent1"/>
                  <w:sz w:val="20"/>
                  <w:u w:val="single"/>
                  <w:lang w:eastAsia="zh-CN"/>
                </w:rPr>
                <w:t>联合国系统各组织对联合检查组报告和建议的审议</w:t>
              </w:r>
              <w:r w:rsidRPr="00EA64F8">
                <w:rPr>
                  <w:rFonts w:eastAsiaTheme="minorEastAsia" w:cs="Calibri" w:hint="eastAsia"/>
                  <w:b/>
                  <w:bCs/>
                  <w:color w:val="4F81BD" w:themeColor="accent1"/>
                  <w:sz w:val="20"/>
                  <w:u w:val="single"/>
                  <w:lang w:eastAsia="zh-CN"/>
                </w:rPr>
                <w:t>情况和</w:t>
              </w:r>
              <w:r w:rsidRPr="00EA64F8">
                <w:rPr>
                  <w:rFonts w:eastAsiaTheme="minorEastAsia" w:cs="Calibri"/>
                  <w:b/>
                  <w:bCs/>
                  <w:color w:val="4F81BD" w:themeColor="accent1"/>
                  <w:sz w:val="20"/>
                  <w:u w:val="single"/>
                  <w:lang w:eastAsia="zh-CN"/>
                </w:rPr>
                <w:t>采取的行动</w:t>
              </w:r>
            </w:hyperlink>
            <w:r w:rsidRPr="00EA64F8">
              <w:rPr>
                <w:rFonts w:eastAsiaTheme="minorEastAsia" w:cs="Calibri"/>
                <w:b/>
                <w:bCs/>
                <w:sz w:val="20"/>
                <w:lang w:eastAsia="zh-CN"/>
              </w:rPr>
              <w:t xml:space="preserve"> </w:t>
            </w:r>
            <w:r w:rsidRPr="00EA64F8">
              <w:rPr>
                <w:rFonts w:eastAsiaTheme="minorEastAsia" w:cs="Calibri"/>
                <w:b/>
                <w:bCs/>
                <w:color w:val="0000FF"/>
                <w:sz w:val="20"/>
                <w:lang w:eastAsia="zh-CN"/>
              </w:rPr>
              <w:t xml:space="preserve">– </w:t>
            </w:r>
            <w:r w:rsidR="00893CB4">
              <w:rPr>
                <w:rFonts w:eastAsiaTheme="minorEastAsia" w:cs="Calibri"/>
                <w:b/>
                <w:bCs/>
                <w:color w:val="0000FF"/>
                <w:sz w:val="20"/>
                <w:lang w:eastAsia="zh-CN"/>
              </w:rPr>
              <w:br/>
            </w:r>
            <w:r w:rsidRPr="00EA64F8">
              <w:rPr>
                <w:rFonts w:eastAsiaTheme="minorEastAsia" w:cs="Calibri" w:hint="eastAsia"/>
                <w:b/>
                <w:bCs/>
                <w:sz w:val="20"/>
                <w:lang w:eastAsia="zh-CN"/>
              </w:rPr>
              <w:t>国际电联联系人：</w:t>
            </w:r>
            <w:r w:rsidRPr="00EA64F8">
              <w:rPr>
                <w:rFonts w:eastAsiaTheme="minorEastAsia" w:cs="Calibri"/>
                <w:b/>
                <w:bCs/>
                <w:sz w:val="20"/>
                <w:lang w:eastAsia="zh-CN"/>
              </w:rPr>
              <w:t>Mario Castro Grande</w:t>
            </w:r>
            <w:r w:rsidR="00895EA5">
              <w:rPr>
                <w:rFonts w:eastAsiaTheme="minorEastAsia" w:cs="Calibri"/>
                <w:b/>
                <w:bCs/>
                <w:sz w:val="20"/>
                <w:lang w:eastAsia="zh-CN"/>
              </w:rPr>
              <w:br/>
            </w:r>
            <w:r w:rsidRPr="00EA64F8">
              <w:rPr>
                <w:rFonts w:ascii="Symbol" w:eastAsiaTheme="minorEastAsia" w:hAnsi="Symbol" w:cs="Calibri"/>
                <w:bCs/>
                <w:color w:val="000000"/>
                <w:sz w:val="20"/>
                <w:lang w:eastAsia="zh-CN"/>
              </w:rPr>
              <w:t></w:t>
            </w:r>
            <w:r w:rsidRPr="00EA64F8">
              <w:rPr>
                <w:rFonts w:ascii="Symbol" w:eastAsiaTheme="minorEastAsia" w:hAnsi="Symbol" w:cs="Calibri"/>
                <w:bCs/>
                <w:color w:val="000000"/>
                <w:sz w:val="20"/>
                <w:lang w:eastAsia="zh-CN"/>
              </w:rPr>
              <w:tab/>
            </w:r>
            <w:hyperlink r:id="rId16" w:history="1">
              <w:r w:rsidRPr="00EA64F8">
                <w:rPr>
                  <w:rFonts w:eastAsiaTheme="minorEastAsia" w:cs="Calibri"/>
                  <w:b/>
                  <w:bCs/>
                  <w:color w:val="4F81BD" w:themeColor="accent1"/>
                  <w:sz w:val="20"/>
                  <w:u w:val="single"/>
                  <w:lang w:eastAsia="zh-CN"/>
                </w:rPr>
                <w:t>审查要点</w:t>
              </w:r>
            </w:hyperlink>
          </w:p>
        </w:tc>
      </w:tr>
      <w:tr w:rsidR="00EA64F8" w:rsidRPr="00EA64F8" w14:paraId="32DD5030" w14:textId="77777777" w:rsidTr="00893CB4">
        <w:trPr>
          <w:trHeight w:val="698"/>
        </w:trPr>
        <w:tc>
          <w:tcPr>
            <w:tcW w:w="2410" w:type="dxa"/>
            <w:shd w:val="clear" w:color="auto" w:fill="E1EBF7" w:themeFill="text2" w:themeFillTint="1A"/>
          </w:tcPr>
          <w:p w14:paraId="60E0EAE5" w14:textId="59DD0AC5"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向立法</w:t>
            </w:r>
            <w:r w:rsidRPr="00EA64F8">
              <w:rPr>
                <w:rFonts w:eastAsiaTheme="minorEastAsia" w:cs="Calibri" w:hint="eastAsia"/>
                <w:b/>
                <w:bCs/>
                <w:sz w:val="20"/>
                <w:lang w:eastAsia="zh-CN"/>
              </w:rPr>
              <w:t>/</w:t>
            </w:r>
            <w:r w:rsidRPr="00EA64F8">
              <w:rPr>
                <w:rFonts w:eastAsiaTheme="minorEastAsia" w:cs="Calibri" w:hint="eastAsia"/>
                <w:b/>
                <w:bCs/>
                <w:sz w:val="20"/>
                <w:lang w:eastAsia="zh-CN"/>
              </w:rPr>
              <w:t>理事机构</w:t>
            </w:r>
            <w:r w:rsidR="00893CB4">
              <w:rPr>
                <w:rFonts w:eastAsiaTheme="minorEastAsia" w:cs="Calibri"/>
                <w:b/>
                <w:bCs/>
                <w:sz w:val="20"/>
                <w:lang w:eastAsia="zh-CN"/>
              </w:rPr>
              <w:br/>
            </w:r>
            <w:r w:rsidRPr="00EA64F8">
              <w:rPr>
                <w:rFonts w:eastAsiaTheme="minorEastAsia" w:cs="Calibri" w:hint="eastAsia"/>
                <w:b/>
                <w:bCs/>
                <w:sz w:val="20"/>
                <w:lang w:eastAsia="zh-CN"/>
              </w:rPr>
              <w:t>提出的建议：</w:t>
            </w:r>
          </w:p>
        </w:tc>
        <w:tc>
          <w:tcPr>
            <w:tcW w:w="11766" w:type="dxa"/>
            <w:shd w:val="clear" w:color="auto" w:fill="FFFFFF" w:themeFill="background1"/>
          </w:tcPr>
          <w:p w14:paraId="2FA04755" w14:textId="0F40A724"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color w:val="000000"/>
                <w:sz w:val="20"/>
                <w:lang w:eastAsia="zh-CN"/>
              </w:rPr>
            </w:pPr>
            <w:r w:rsidRPr="00EA64F8">
              <w:rPr>
                <w:rFonts w:eastAsiaTheme="minorEastAsia" w:cs="Calibri" w:hint="eastAsia"/>
                <w:b/>
                <w:bCs/>
                <w:color w:val="000000"/>
                <w:sz w:val="20"/>
                <w:highlight w:val="cyan"/>
                <w:lang w:eastAsia="zh-CN"/>
              </w:rPr>
              <w:t>建议</w:t>
            </w:r>
            <w:r w:rsidRPr="00EA64F8">
              <w:rPr>
                <w:rFonts w:eastAsiaTheme="minorEastAsia" w:cs="Calibri"/>
                <w:b/>
                <w:bCs/>
                <w:color w:val="000000"/>
                <w:sz w:val="20"/>
                <w:highlight w:val="cyan"/>
                <w:lang w:eastAsia="zh-CN"/>
              </w:rPr>
              <w:t>2</w:t>
            </w:r>
            <w:r w:rsidRPr="00EA64F8">
              <w:rPr>
                <w:rFonts w:eastAsiaTheme="minorEastAsia" w:cs="Calibri" w:hint="eastAsia"/>
                <w:b/>
                <w:bCs/>
                <w:color w:val="000000"/>
                <w:sz w:val="20"/>
                <w:highlight w:val="cyan"/>
                <w:lang w:eastAsia="zh-CN"/>
              </w:rPr>
              <w:t>：</w:t>
            </w:r>
            <w:r w:rsidRPr="00EA64F8">
              <w:rPr>
                <w:rFonts w:eastAsiaTheme="minorEastAsia" w:cs="Calibri" w:hint="eastAsia"/>
                <w:color w:val="000000"/>
                <w:sz w:val="20"/>
                <w:lang w:eastAsia="zh-CN"/>
              </w:rPr>
              <w:t>联合国系统各组织的立法机关和理事机构应在</w:t>
            </w:r>
            <w:r w:rsidRPr="00EA64F8">
              <w:rPr>
                <w:rFonts w:eastAsiaTheme="minorEastAsia" w:cs="Calibri" w:hint="eastAsia"/>
                <w:color w:val="000000"/>
                <w:sz w:val="20"/>
                <w:lang w:eastAsia="zh-CN"/>
              </w:rPr>
              <w:t>2025</w:t>
            </w:r>
            <w:r w:rsidRPr="00EA64F8">
              <w:rPr>
                <w:rFonts w:eastAsiaTheme="minorEastAsia" w:cs="Calibri" w:hint="eastAsia"/>
                <w:color w:val="000000"/>
                <w:sz w:val="20"/>
                <w:lang w:eastAsia="zh-CN"/>
              </w:rPr>
              <w:t>年底前重新审查其审议联检组报告和建议的程序，包括就联检组报告和建议</w:t>
            </w:r>
            <w:r w:rsidR="00893CB4" w:rsidRPr="00EA64F8">
              <w:rPr>
                <w:rFonts w:eastAsiaTheme="minorEastAsia" w:cs="Calibri" w:hint="eastAsia"/>
                <w:color w:val="000000"/>
                <w:sz w:val="20"/>
                <w:lang w:eastAsia="zh-CN"/>
              </w:rPr>
              <w:t>做出</w:t>
            </w:r>
            <w:r w:rsidRPr="00EA64F8">
              <w:rPr>
                <w:rFonts w:eastAsiaTheme="minorEastAsia" w:cs="Calibri" w:hint="eastAsia"/>
                <w:color w:val="000000"/>
                <w:sz w:val="20"/>
                <w:lang w:eastAsia="zh-CN"/>
              </w:rPr>
              <w:t>决策的情况和对执行联检组往年建议的监测情况，为此应酌情考虑到本报告所指出的良好做法实例。</w:t>
            </w:r>
          </w:p>
        </w:tc>
      </w:tr>
      <w:tr w:rsidR="00EA64F8" w:rsidRPr="00EA64F8" w14:paraId="6FBE94D2" w14:textId="77777777" w:rsidTr="00D002E2">
        <w:tc>
          <w:tcPr>
            <w:tcW w:w="2410" w:type="dxa"/>
            <w:shd w:val="clear" w:color="auto" w:fill="EAF1DD" w:themeFill="accent3" w:themeFillTint="33"/>
          </w:tcPr>
          <w:p w14:paraId="6F59FFC6" w14:textId="3644DD42"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rPr>
            </w:pPr>
            <w:r w:rsidRPr="00EA64F8">
              <w:rPr>
                <w:rFonts w:eastAsiaTheme="minorEastAsia" w:cs="Calibri" w:hint="eastAsia"/>
                <w:b/>
                <w:bCs/>
                <w:sz w:val="20"/>
                <w:lang w:eastAsia="zh-CN"/>
              </w:rPr>
              <w:t>需采取的行动：</w:t>
            </w:r>
          </w:p>
        </w:tc>
        <w:tc>
          <w:tcPr>
            <w:tcW w:w="11766" w:type="dxa"/>
          </w:tcPr>
          <w:p w14:paraId="6AB653ED" w14:textId="5F2A286F"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EA64F8">
              <w:rPr>
                <w:rFonts w:eastAsiaTheme="minorEastAsia" w:cs="Calibri" w:hint="eastAsia"/>
                <w:sz w:val="20"/>
                <w:highlight w:val="green"/>
                <w:lang w:eastAsia="zh-CN"/>
              </w:rPr>
              <w:t>（</w:t>
            </w:r>
            <w:r w:rsidRPr="00EA64F8">
              <w:rPr>
                <w:rFonts w:eastAsiaTheme="minorEastAsia" w:cs="Calibri" w:hint="eastAsia"/>
                <w:b/>
                <w:bCs/>
                <w:sz w:val="20"/>
                <w:highlight w:val="green"/>
                <w:lang w:eastAsia="zh-CN"/>
              </w:rPr>
              <w:t>接受</w:t>
            </w:r>
            <w:r w:rsidRPr="00EA64F8">
              <w:rPr>
                <w:rFonts w:eastAsiaTheme="minorEastAsia" w:cs="Calibri" w:hint="eastAsia"/>
                <w:sz w:val="20"/>
                <w:lang w:eastAsia="zh-CN"/>
              </w:rPr>
              <w:t>、不接受、不相关或需要进一步审议）</w:t>
            </w:r>
          </w:p>
        </w:tc>
      </w:tr>
      <w:tr w:rsidR="00EA64F8" w:rsidRPr="00EA64F8" w14:paraId="721D7496" w14:textId="77777777" w:rsidTr="00D002E2">
        <w:trPr>
          <w:trHeight w:val="835"/>
        </w:trPr>
        <w:tc>
          <w:tcPr>
            <w:tcW w:w="2410" w:type="dxa"/>
          </w:tcPr>
          <w:p w14:paraId="7D602170" w14:textId="0FF308AD"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国际电联有关相关性、财务和人力资源</w:t>
            </w:r>
            <w:r w:rsidR="00893CB4">
              <w:rPr>
                <w:rFonts w:eastAsiaTheme="minorEastAsia" w:cs="Calibri"/>
                <w:b/>
                <w:bCs/>
                <w:sz w:val="20"/>
                <w:lang w:eastAsia="zh-CN"/>
              </w:rPr>
              <w:br/>
            </w:r>
            <w:r w:rsidRPr="00EA64F8">
              <w:rPr>
                <w:rFonts w:eastAsiaTheme="minorEastAsia" w:cs="Calibri" w:hint="eastAsia"/>
                <w:b/>
                <w:bCs/>
                <w:sz w:val="20"/>
                <w:lang w:eastAsia="zh-CN"/>
              </w:rPr>
              <w:t>影响的意见：</w:t>
            </w:r>
          </w:p>
        </w:tc>
        <w:tc>
          <w:tcPr>
            <w:tcW w:w="11766" w:type="dxa"/>
          </w:tcPr>
          <w:p w14:paraId="6BEFCE48" w14:textId="6F5E13BF"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eastAsiaTheme="minorEastAsia" w:cs="Calibri" w:hint="eastAsia"/>
                <w:sz w:val="20"/>
                <w:lang w:eastAsia="zh-CN"/>
              </w:rPr>
              <w:t>国际电联秘书处建议接受该建议并指出，与其他联合国系统实体一样，秘书处认为现有的程序和系统已属充分，不需要采取任何进一步行动。如有必要，秘书处愿意接受进一步的指导。</w:t>
            </w:r>
          </w:p>
          <w:p w14:paraId="69C97F17"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eastAsiaTheme="minorEastAsia" w:cs="Calibri" w:hint="eastAsia"/>
                <w:sz w:val="20"/>
                <w:lang w:eastAsia="zh-CN"/>
              </w:rPr>
              <w:t>按照目前的做法，不会产生额外的财务和人力资源影响。</w:t>
            </w:r>
          </w:p>
        </w:tc>
      </w:tr>
      <w:tr w:rsidR="00EA64F8" w:rsidRPr="00EA64F8" w14:paraId="7B51C5FD" w14:textId="77777777" w:rsidTr="00D002E2">
        <w:tc>
          <w:tcPr>
            <w:tcW w:w="2410" w:type="dxa"/>
          </w:tcPr>
          <w:p w14:paraId="6F0E9986" w14:textId="79A097E8"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ascii="SimSun" w:hAnsi="SimSun" w:cs="Calibri"/>
                <w:b/>
                <w:bCs/>
                <w:sz w:val="20"/>
                <w:lang w:eastAsia="zh-CN"/>
              </w:rPr>
            </w:pPr>
            <w:hyperlink r:id="rId17" w:history="1">
              <w:r w:rsidRPr="00EA64F8">
                <w:rPr>
                  <w:rFonts w:ascii="SimSun" w:hAnsi="SimSun" w:cs="Microsoft YaHei" w:hint="eastAsia"/>
                  <w:b/>
                  <w:bCs/>
                  <w:color w:val="4F81BD" w:themeColor="accent1"/>
                  <w:sz w:val="20"/>
                  <w:u w:val="single"/>
                  <w:lang w:eastAsia="zh-CN"/>
                </w:rPr>
                <w:t>联合国系统首协会</w:t>
              </w:r>
              <w:r w:rsidR="00893CB4">
                <w:rPr>
                  <w:rFonts w:ascii="SimSun" w:eastAsiaTheme="minorEastAsia" w:hAnsi="SimSun" w:cs="Microsoft YaHei"/>
                  <w:b/>
                  <w:bCs/>
                  <w:color w:val="4F81BD" w:themeColor="accent1"/>
                  <w:sz w:val="20"/>
                  <w:u w:val="single"/>
                  <w:lang w:eastAsia="zh-CN"/>
                </w:rPr>
                <w:br/>
              </w:r>
              <w:r w:rsidRPr="00EA64F8">
                <w:rPr>
                  <w:rFonts w:ascii="SimSun" w:hAnsi="SimSun" w:cs="Microsoft YaHei" w:hint="eastAsia"/>
                  <w:b/>
                  <w:bCs/>
                  <w:color w:val="4F81BD" w:themeColor="accent1"/>
                  <w:sz w:val="20"/>
                  <w:u w:val="single"/>
                  <w:lang w:eastAsia="zh-CN"/>
                </w:rPr>
                <w:t>范围内的意见</w:t>
              </w:r>
            </w:hyperlink>
            <w:r w:rsidRPr="00EA64F8">
              <w:rPr>
                <w:rFonts w:ascii="SimSun" w:hAnsi="SimSun" w:cs="Microsoft YaHei" w:hint="eastAsia"/>
                <w:b/>
                <w:bCs/>
                <w:sz w:val="20"/>
                <w:lang w:eastAsia="zh-CN"/>
              </w:rPr>
              <w:t>：</w:t>
            </w:r>
          </w:p>
        </w:tc>
        <w:tc>
          <w:tcPr>
            <w:tcW w:w="11766" w:type="dxa"/>
          </w:tcPr>
          <w:p w14:paraId="1E248D69"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cs="Calibri"/>
                <w:b/>
                <w:bCs/>
                <w:sz w:val="20"/>
                <w:lang w:eastAsia="zh-CN"/>
              </w:rPr>
            </w:pPr>
            <w:r w:rsidRPr="00EA64F8">
              <w:rPr>
                <w:rFonts w:ascii="SimSun" w:hAnsi="SimSun" w:cs="Microsoft YaHei" w:hint="eastAsia"/>
                <w:sz w:val="20"/>
                <w:lang w:eastAsia="zh-CN"/>
              </w:rPr>
              <w:t>多个</w:t>
            </w:r>
            <w:r w:rsidRPr="00EA64F8">
              <w:rPr>
                <w:rFonts w:asciiTheme="minorEastAsia" w:eastAsiaTheme="minorEastAsia" w:hAnsiTheme="minorEastAsia" w:cs="Calibri" w:hint="eastAsia"/>
                <w:sz w:val="20"/>
                <w:lang w:eastAsia="zh-CN"/>
              </w:rPr>
              <w:t>组织已做好准备响应各自立法机关和理事机构提出的要求，即修改联检组报告和建议的现行汇报方式。</w:t>
            </w:r>
            <w:r w:rsidRPr="00EA64F8">
              <w:rPr>
                <w:rFonts w:asciiTheme="minorEastAsia" w:eastAsiaTheme="minorEastAsia" w:hAnsiTheme="minorEastAsia" w:cs="Microsoft YaHei" w:hint="eastAsia"/>
                <w:sz w:val="20"/>
                <w:lang w:eastAsia="zh-CN"/>
              </w:rPr>
              <w:t>其它组织则认为现有程序和系统已足够，无需采取进一步行动</w:t>
            </w:r>
            <w:r w:rsidRPr="00EA64F8">
              <w:rPr>
                <w:rFonts w:asciiTheme="minorEastAsia" w:eastAsiaTheme="minorEastAsia" w:hAnsiTheme="minorEastAsia" w:cs="Calibri" w:hint="eastAsia"/>
                <w:sz w:val="20"/>
                <w:lang w:eastAsia="zh-CN"/>
              </w:rPr>
              <w:t>。</w:t>
            </w:r>
          </w:p>
        </w:tc>
      </w:tr>
      <w:tr w:rsidR="00EA64F8" w:rsidRPr="00EA64F8" w14:paraId="066F4DEF" w14:textId="77777777" w:rsidTr="00D002E2">
        <w:tc>
          <w:tcPr>
            <w:tcW w:w="2410" w:type="dxa"/>
          </w:tcPr>
          <w:p w14:paraId="0B257ABE"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cs="Calibri"/>
                <w:sz w:val="20"/>
              </w:rPr>
            </w:pPr>
            <w:r w:rsidRPr="00EA64F8">
              <w:rPr>
                <w:rFonts w:eastAsiaTheme="minorEastAsia" w:cs="Calibri" w:hint="eastAsia"/>
                <w:b/>
                <w:bCs/>
                <w:sz w:val="20"/>
                <w:lang w:eastAsia="zh-CN"/>
              </w:rPr>
              <w:t>落实情况：</w:t>
            </w:r>
          </w:p>
        </w:tc>
        <w:tc>
          <w:tcPr>
            <w:tcW w:w="11766" w:type="dxa"/>
          </w:tcPr>
          <w:p w14:paraId="37E27A01"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cs="Calibri"/>
                <w:sz w:val="20"/>
              </w:rPr>
            </w:pPr>
            <w:r w:rsidRPr="00EA64F8">
              <w:rPr>
                <w:rFonts w:asciiTheme="minorEastAsia" w:eastAsiaTheme="minorEastAsia" w:hAnsiTheme="minorEastAsia" w:cs="Microsoft YaHei" w:hint="eastAsia"/>
                <w:sz w:val="20"/>
                <w:lang w:eastAsia="zh-CN"/>
              </w:rPr>
              <w:t>进行中</w:t>
            </w:r>
          </w:p>
        </w:tc>
      </w:tr>
      <w:tr w:rsidR="00EA64F8" w:rsidRPr="00EA64F8" w14:paraId="63709B0E" w14:textId="77777777" w:rsidTr="00D002E2">
        <w:trPr>
          <w:trHeight w:val="405"/>
        </w:trPr>
        <w:tc>
          <w:tcPr>
            <w:tcW w:w="14176" w:type="dxa"/>
            <w:gridSpan w:val="2"/>
            <w:shd w:val="clear" w:color="auto" w:fill="FFFF00"/>
          </w:tcPr>
          <w:p w14:paraId="5E0AE7EF" w14:textId="574D545D" w:rsidR="00EA64F8" w:rsidRPr="00EA64F8" w:rsidRDefault="00EA64F8" w:rsidP="00FB1866">
            <w:pPr>
              <w:keepNext/>
              <w:tabs>
                <w:tab w:val="clear" w:pos="794"/>
                <w:tab w:val="clear" w:pos="1191"/>
                <w:tab w:val="clear" w:pos="1588"/>
                <w:tab w:val="clear" w:pos="1985"/>
              </w:tabs>
              <w:overflowPunct/>
              <w:autoSpaceDE/>
              <w:adjustRightInd/>
              <w:spacing w:before="80" w:after="80"/>
              <w:ind w:left="360" w:hanging="360"/>
              <w:jc w:val="center"/>
              <w:textAlignment w:val="auto"/>
              <w:rPr>
                <w:rFonts w:eastAsiaTheme="minorEastAsia" w:cs="Calibri"/>
                <w:b/>
                <w:bCs/>
                <w:color w:val="000000"/>
                <w:sz w:val="20"/>
                <w:lang w:eastAsia="zh-CN"/>
              </w:rPr>
            </w:pPr>
            <w:r w:rsidRPr="00EA64F8">
              <w:rPr>
                <w:rFonts w:eastAsiaTheme="minorEastAsia" w:cs="Calibri"/>
                <w:b/>
                <w:bCs/>
                <w:color w:val="000000"/>
                <w:sz w:val="20"/>
                <w:lang w:eastAsia="zh-CN"/>
              </w:rPr>
              <w:t xml:space="preserve">JIU/REP/2023/9 </w:t>
            </w:r>
            <w:hyperlink r:id="rId18" w:history="1">
              <w:r w:rsidRPr="00EA64F8">
                <w:rPr>
                  <w:rFonts w:ascii="Microsoft YaHei" w:eastAsiaTheme="minorEastAsia" w:hAnsi="Microsoft YaHei" w:cs="Microsoft YaHei" w:hint="eastAsia"/>
                  <w:b/>
                  <w:bCs/>
                  <w:color w:val="4F81BD" w:themeColor="accent1"/>
                  <w:sz w:val="20"/>
                  <w:u w:val="single"/>
                  <w:lang w:eastAsia="zh-CN"/>
                </w:rPr>
                <w:t>审查联合国系统各组织健康保险计划的质量、效力、效率和可持续性</w:t>
              </w:r>
            </w:hyperlink>
            <w:r w:rsidRPr="00EA64F8">
              <w:rPr>
                <w:rFonts w:eastAsiaTheme="minorEastAsia"/>
                <w:lang w:eastAsia="zh-CN"/>
              </w:rPr>
              <w:br/>
            </w:r>
            <w:r w:rsidRPr="00EA64F8">
              <w:rPr>
                <w:rFonts w:eastAsiaTheme="minorEastAsia" w:cs="Calibri" w:hint="eastAsia"/>
                <w:b/>
                <w:bCs/>
                <w:sz w:val="20"/>
                <w:lang w:eastAsia="zh-CN"/>
              </w:rPr>
              <w:t>国际电联联系人：</w:t>
            </w:r>
            <w:r w:rsidRPr="00EA64F8">
              <w:rPr>
                <w:rFonts w:eastAsiaTheme="minorEastAsia" w:cs="Calibri"/>
                <w:b/>
                <w:bCs/>
                <w:sz w:val="20"/>
                <w:lang w:eastAsia="zh-CN"/>
              </w:rPr>
              <w:t>Subira Suedi</w:t>
            </w:r>
            <w:r w:rsidR="00895EA5">
              <w:rPr>
                <w:rFonts w:eastAsiaTheme="minorEastAsia" w:cs="Calibri"/>
                <w:b/>
                <w:bCs/>
                <w:sz w:val="20"/>
                <w:lang w:eastAsia="zh-CN"/>
              </w:rPr>
              <w:br/>
            </w:r>
            <w:r w:rsidRPr="00EA64F8">
              <w:rPr>
                <w:rFonts w:ascii="Symbol" w:eastAsiaTheme="minorEastAsia" w:hAnsi="Symbol" w:cs="Calibri"/>
                <w:bCs/>
                <w:color w:val="000000"/>
                <w:sz w:val="20"/>
                <w:lang w:eastAsia="zh-CN"/>
              </w:rPr>
              <w:t></w:t>
            </w:r>
            <w:r w:rsidRPr="00EA64F8">
              <w:rPr>
                <w:rFonts w:ascii="Symbol" w:eastAsiaTheme="minorEastAsia" w:hAnsi="Symbol" w:cs="Calibri"/>
                <w:bCs/>
                <w:color w:val="000000"/>
                <w:sz w:val="20"/>
                <w:lang w:eastAsia="zh-CN"/>
              </w:rPr>
              <w:tab/>
            </w:r>
            <w:hyperlink r:id="rId19" w:history="1">
              <w:r w:rsidRPr="00EA64F8">
                <w:rPr>
                  <w:rFonts w:eastAsiaTheme="minorEastAsia" w:cs="Calibri"/>
                  <w:b/>
                  <w:bCs/>
                  <w:color w:val="4F81BD" w:themeColor="accent1"/>
                  <w:sz w:val="20"/>
                  <w:u w:val="single"/>
                  <w:lang w:eastAsia="zh-CN"/>
                </w:rPr>
                <w:t>审查要点</w:t>
              </w:r>
            </w:hyperlink>
          </w:p>
        </w:tc>
      </w:tr>
      <w:tr w:rsidR="00EA64F8" w:rsidRPr="00EA64F8" w14:paraId="7CE18697" w14:textId="77777777" w:rsidTr="0095211E">
        <w:trPr>
          <w:trHeight w:val="624"/>
        </w:trPr>
        <w:tc>
          <w:tcPr>
            <w:tcW w:w="2410" w:type="dxa"/>
            <w:shd w:val="clear" w:color="auto" w:fill="E1EBF7" w:themeFill="text2" w:themeFillTint="1A"/>
          </w:tcPr>
          <w:p w14:paraId="71F9631E" w14:textId="31CF1BA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向立法</w:t>
            </w:r>
            <w:r w:rsidRPr="00EA64F8">
              <w:rPr>
                <w:rFonts w:eastAsiaTheme="minorEastAsia" w:cs="Calibri" w:hint="eastAsia"/>
                <w:b/>
                <w:bCs/>
                <w:sz w:val="20"/>
                <w:lang w:eastAsia="zh-CN"/>
              </w:rPr>
              <w:t>/</w:t>
            </w:r>
            <w:r w:rsidRPr="00EA64F8">
              <w:rPr>
                <w:rFonts w:eastAsiaTheme="minorEastAsia" w:cs="Calibri" w:hint="eastAsia"/>
                <w:b/>
                <w:bCs/>
                <w:sz w:val="20"/>
                <w:lang w:eastAsia="zh-CN"/>
              </w:rPr>
              <w:t>理事机构</w:t>
            </w:r>
            <w:r w:rsidR="00895EA5">
              <w:rPr>
                <w:rFonts w:eastAsiaTheme="minorEastAsia" w:cs="Calibri"/>
                <w:b/>
                <w:bCs/>
                <w:sz w:val="20"/>
                <w:lang w:eastAsia="zh-CN"/>
              </w:rPr>
              <w:br/>
            </w:r>
            <w:r w:rsidRPr="00EA64F8">
              <w:rPr>
                <w:rFonts w:eastAsiaTheme="minorEastAsia" w:cs="Calibri" w:hint="eastAsia"/>
                <w:b/>
                <w:bCs/>
                <w:sz w:val="20"/>
                <w:lang w:eastAsia="zh-CN"/>
              </w:rPr>
              <w:t>提出的建议：</w:t>
            </w:r>
          </w:p>
        </w:tc>
        <w:tc>
          <w:tcPr>
            <w:tcW w:w="11766" w:type="dxa"/>
            <w:shd w:val="clear" w:color="auto" w:fill="FFFFFF" w:themeFill="background1"/>
          </w:tcPr>
          <w:p w14:paraId="075C597B"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color w:val="000000"/>
                <w:sz w:val="20"/>
                <w:lang w:eastAsia="zh-CN"/>
              </w:rPr>
            </w:pPr>
            <w:r w:rsidRPr="00EA64F8">
              <w:rPr>
                <w:rFonts w:eastAsiaTheme="minorEastAsia" w:cs="Calibri" w:hint="eastAsia"/>
                <w:b/>
                <w:bCs/>
                <w:color w:val="000000"/>
                <w:sz w:val="20"/>
                <w:highlight w:val="cyan"/>
                <w:lang w:eastAsia="zh-CN"/>
              </w:rPr>
              <w:t>建议</w:t>
            </w:r>
            <w:r w:rsidRPr="00EA64F8">
              <w:rPr>
                <w:rFonts w:eastAsiaTheme="minorEastAsia" w:cs="Calibri"/>
                <w:b/>
                <w:bCs/>
                <w:color w:val="000000"/>
                <w:sz w:val="20"/>
                <w:highlight w:val="cyan"/>
                <w:lang w:eastAsia="zh-CN"/>
              </w:rPr>
              <w:t>7</w:t>
            </w:r>
            <w:r w:rsidRPr="00EA64F8">
              <w:rPr>
                <w:rFonts w:eastAsiaTheme="minorEastAsia" w:cs="Calibri" w:hint="eastAsia"/>
                <w:b/>
                <w:bCs/>
                <w:color w:val="000000"/>
                <w:sz w:val="20"/>
                <w:highlight w:val="cyan"/>
                <w:lang w:eastAsia="zh-CN"/>
              </w:rPr>
              <w:t>：</w:t>
            </w:r>
            <w:r w:rsidRPr="00EA64F8">
              <w:rPr>
                <w:rFonts w:eastAsiaTheme="minorEastAsia" w:cs="Calibri" w:hint="eastAsia"/>
                <w:color w:val="000000"/>
                <w:sz w:val="20"/>
                <w:lang w:eastAsia="zh-CN"/>
              </w:rPr>
              <w:t>联合国系统各组织的立法机关和（或）理事机构如尚未批准一项计划，为分摊会费供资员额的离职后健康保险应计负债供资，则应为此制定一项长期战略，至少包含所有新征聘工作人员的未来离职后健康保险负债。（第</w:t>
            </w:r>
            <w:r w:rsidRPr="00EA64F8">
              <w:rPr>
                <w:rFonts w:eastAsiaTheme="minorEastAsia" w:cs="Calibri" w:hint="eastAsia"/>
                <w:color w:val="000000"/>
                <w:sz w:val="20"/>
                <w:lang w:eastAsia="zh-CN"/>
              </w:rPr>
              <w:t>234</w:t>
            </w:r>
            <w:r w:rsidRPr="00EA64F8">
              <w:rPr>
                <w:rFonts w:eastAsiaTheme="minorEastAsia" w:cs="Calibri" w:hint="eastAsia"/>
                <w:color w:val="000000"/>
                <w:sz w:val="20"/>
                <w:lang w:eastAsia="zh-CN"/>
              </w:rPr>
              <w:t>段）</w:t>
            </w:r>
          </w:p>
        </w:tc>
      </w:tr>
      <w:tr w:rsidR="00EA64F8" w:rsidRPr="00EA64F8" w14:paraId="35E0213F" w14:textId="77777777" w:rsidTr="00D002E2">
        <w:tc>
          <w:tcPr>
            <w:tcW w:w="2410" w:type="dxa"/>
            <w:shd w:val="clear" w:color="auto" w:fill="EAF1DD" w:themeFill="accent3" w:themeFillTint="33"/>
          </w:tcPr>
          <w:p w14:paraId="72F556EC" w14:textId="5F8DF13E"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rPr>
            </w:pPr>
            <w:r w:rsidRPr="00EA64F8">
              <w:rPr>
                <w:rFonts w:eastAsiaTheme="minorEastAsia" w:cs="Calibri" w:hint="eastAsia"/>
                <w:b/>
                <w:bCs/>
                <w:sz w:val="20"/>
                <w:lang w:eastAsia="zh-CN"/>
              </w:rPr>
              <w:t>需采取的行动：</w:t>
            </w:r>
          </w:p>
        </w:tc>
        <w:tc>
          <w:tcPr>
            <w:tcW w:w="11766" w:type="dxa"/>
          </w:tcPr>
          <w:p w14:paraId="4914968B"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EA64F8">
              <w:rPr>
                <w:rFonts w:eastAsiaTheme="minorEastAsia" w:cs="Calibri" w:hint="eastAsia"/>
                <w:b/>
                <w:bCs/>
                <w:sz w:val="20"/>
                <w:highlight w:val="green"/>
                <w:lang w:eastAsia="zh-CN"/>
              </w:rPr>
              <w:t>接受</w:t>
            </w:r>
            <w:r w:rsidRPr="00EA64F8">
              <w:rPr>
                <w:rFonts w:eastAsiaTheme="minorEastAsia" w:cs="Calibri" w:hint="eastAsia"/>
                <w:sz w:val="20"/>
                <w:lang w:eastAsia="zh-CN"/>
              </w:rPr>
              <w:t>、不接受、不相关或需要进一步审议</w:t>
            </w:r>
          </w:p>
        </w:tc>
      </w:tr>
      <w:tr w:rsidR="00EA64F8" w:rsidRPr="00EA64F8" w14:paraId="30F4EB59" w14:textId="77777777" w:rsidTr="00D002E2">
        <w:tc>
          <w:tcPr>
            <w:tcW w:w="2410" w:type="dxa"/>
          </w:tcPr>
          <w:p w14:paraId="7268440D" w14:textId="7164A8C3"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国际电联有关相关性、财务和人力资源</w:t>
            </w:r>
            <w:r w:rsidR="00895EA5">
              <w:rPr>
                <w:rFonts w:eastAsiaTheme="minorEastAsia" w:cs="Calibri"/>
                <w:b/>
                <w:bCs/>
                <w:sz w:val="20"/>
                <w:lang w:eastAsia="zh-CN"/>
              </w:rPr>
              <w:br/>
            </w:r>
            <w:r w:rsidRPr="00EA64F8">
              <w:rPr>
                <w:rFonts w:eastAsiaTheme="minorEastAsia" w:cs="Calibri" w:hint="eastAsia"/>
                <w:b/>
                <w:bCs/>
                <w:sz w:val="20"/>
                <w:lang w:eastAsia="zh-CN"/>
              </w:rPr>
              <w:t>影响的意见：</w:t>
            </w:r>
          </w:p>
        </w:tc>
        <w:tc>
          <w:tcPr>
            <w:tcW w:w="11766" w:type="dxa"/>
          </w:tcPr>
          <w:p w14:paraId="2507A295"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EA64F8">
              <w:rPr>
                <w:rFonts w:eastAsiaTheme="minorEastAsia" w:cs="Calibri" w:hint="eastAsia"/>
                <w:sz w:val="20"/>
                <w:lang w:eastAsia="zh-CN"/>
              </w:rPr>
              <w:t>国际电联持续探索解决</w:t>
            </w:r>
            <w:r w:rsidRPr="00EA64F8">
              <w:rPr>
                <w:rFonts w:eastAsiaTheme="minorEastAsia" w:cs="Calibri" w:hint="eastAsia"/>
                <w:sz w:val="20"/>
                <w:lang w:eastAsia="zh-CN"/>
              </w:rPr>
              <w:t>ASHI</w:t>
            </w:r>
            <w:r w:rsidRPr="00EA64F8">
              <w:rPr>
                <w:rFonts w:eastAsiaTheme="minorEastAsia" w:cs="Calibri" w:hint="eastAsia"/>
                <w:sz w:val="20"/>
                <w:lang w:eastAsia="zh-CN"/>
              </w:rPr>
              <w:t>负债问题的可能机制，并在此期间每年拨款</w:t>
            </w:r>
            <w:r w:rsidRPr="00EA64F8">
              <w:rPr>
                <w:rFonts w:eastAsiaTheme="minorEastAsia" w:cs="Calibri" w:hint="eastAsia"/>
                <w:sz w:val="20"/>
                <w:lang w:eastAsia="zh-CN"/>
              </w:rPr>
              <w:t>100</w:t>
            </w:r>
            <w:r w:rsidRPr="00EA64F8">
              <w:rPr>
                <w:rFonts w:eastAsiaTheme="minorEastAsia" w:cs="Calibri" w:hint="eastAsia"/>
                <w:sz w:val="20"/>
                <w:lang w:eastAsia="zh-CN"/>
              </w:rPr>
              <w:t>万瑞郎补充其</w:t>
            </w:r>
            <w:r w:rsidRPr="00EA64F8">
              <w:rPr>
                <w:rFonts w:eastAsiaTheme="minorEastAsia" w:cs="Calibri" w:hint="eastAsia"/>
                <w:sz w:val="20"/>
                <w:lang w:eastAsia="zh-CN"/>
              </w:rPr>
              <w:t>ASHI</w:t>
            </w:r>
            <w:r w:rsidRPr="00EA64F8">
              <w:rPr>
                <w:rFonts w:eastAsiaTheme="minorEastAsia" w:cs="Calibri" w:hint="eastAsia"/>
                <w:sz w:val="20"/>
                <w:lang w:eastAsia="zh-CN"/>
              </w:rPr>
              <w:t>基金。在当前的财务不确定性下，制定长期战略仍然具有挑战性。</w:t>
            </w:r>
          </w:p>
        </w:tc>
      </w:tr>
      <w:tr w:rsidR="00EA64F8" w:rsidRPr="00EA64F8" w14:paraId="7EB875FC" w14:textId="77777777" w:rsidTr="00D002E2">
        <w:tc>
          <w:tcPr>
            <w:tcW w:w="2410" w:type="dxa"/>
          </w:tcPr>
          <w:p w14:paraId="3EF5782B" w14:textId="3DAB2B8A"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hyperlink r:id="rId20" w:history="1">
              <w:r w:rsidRPr="00EA64F8">
                <w:rPr>
                  <w:rFonts w:eastAsiaTheme="minorEastAsia" w:cs="Calibri"/>
                  <w:b/>
                  <w:bCs/>
                  <w:color w:val="4F81BD" w:themeColor="accent1"/>
                  <w:sz w:val="20"/>
                  <w:u w:val="single"/>
                  <w:lang w:eastAsia="zh-CN"/>
                </w:rPr>
                <w:t>联合国系统首协会</w:t>
              </w:r>
              <w:r w:rsidR="00895EA5">
                <w:rPr>
                  <w:rFonts w:eastAsiaTheme="minorEastAsia" w:cs="Calibri"/>
                  <w:b/>
                  <w:bCs/>
                  <w:color w:val="4F81BD" w:themeColor="accent1"/>
                  <w:sz w:val="20"/>
                  <w:u w:val="single"/>
                  <w:lang w:eastAsia="zh-CN"/>
                </w:rPr>
                <w:br/>
              </w:r>
              <w:r w:rsidRPr="00EA64F8">
                <w:rPr>
                  <w:rFonts w:eastAsiaTheme="minorEastAsia" w:cs="Calibri"/>
                  <w:b/>
                  <w:bCs/>
                  <w:color w:val="4F81BD" w:themeColor="accent1"/>
                  <w:sz w:val="20"/>
                  <w:u w:val="single"/>
                  <w:lang w:eastAsia="zh-CN"/>
                </w:rPr>
                <w:t>范围内的意见</w:t>
              </w:r>
            </w:hyperlink>
            <w:r w:rsidRPr="00EA64F8">
              <w:rPr>
                <w:rFonts w:eastAsiaTheme="minorEastAsia" w:cs="Calibri" w:hint="eastAsia"/>
                <w:b/>
                <w:bCs/>
                <w:sz w:val="20"/>
                <w:lang w:eastAsia="zh-CN"/>
              </w:rPr>
              <w:t>：</w:t>
            </w:r>
          </w:p>
        </w:tc>
        <w:tc>
          <w:tcPr>
            <w:tcW w:w="11766" w:type="dxa"/>
          </w:tcPr>
          <w:p w14:paraId="6A0FE45B"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eastAsiaTheme="minorEastAsia" w:cs="Calibri" w:hint="eastAsia"/>
                <w:sz w:val="20"/>
                <w:lang w:eastAsia="zh-CN"/>
              </w:rPr>
              <w:t>部分组织指出，当前平衡预算的财务限制可能会阻碍该建议的实施；不过，目前正在探索离职后健康保险基金的创新融资方式，以缓解和管理因未备基金负债累积所带来的财务风险与不确定性。</w:t>
            </w:r>
          </w:p>
        </w:tc>
      </w:tr>
      <w:tr w:rsidR="00EA64F8" w:rsidRPr="00EA64F8" w14:paraId="251E7456" w14:textId="77777777" w:rsidTr="00D002E2">
        <w:tc>
          <w:tcPr>
            <w:tcW w:w="2410" w:type="dxa"/>
          </w:tcPr>
          <w:p w14:paraId="05933937"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sz w:val="20"/>
              </w:rPr>
            </w:pPr>
            <w:r w:rsidRPr="00EA64F8">
              <w:rPr>
                <w:rFonts w:eastAsiaTheme="minorEastAsia" w:cs="Calibri" w:hint="eastAsia"/>
                <w:b/>
                <w:bCs/>
                <w:sz w:val="20"/>
                <w:lang w:eastAsia="zh-CN"/>
              </w:rPr>
              <w:t>落实情况：</w:t>
            </w:r>
          </w:p>
        </w:tc>
        <w:tc>
          <w:tcPr>
            <w:tcW w:w="11766" w:type="dxa"/>
          </w:tcPr>
          <w:p w14:paraId="7C069F69" w14:textId="3525525B" w:rsidR="00EA64F8" w:rsidRPr="00EA64F8" w:rsidRDefault="00176E1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rPr>
            </w:pPr>
            <w:r>
              <w:rPr>
                <w:rFonts w:eastAsiaTheme="minorEastAsia" w:cs="Calibri" w:hint="eastAsia"/>
                <w:sz w:val="20"/>
                <w:lang w:eastAsia="zh-CN"/>
              </w:rPr>
              <w:t>进行中</w:t>
            </w:r>
          </w:p>
        </w:tc>
      </w:tr>
      <w:tr w:rsidR="00EA64F8" w:rsidRPr="00EA64F8" w14:paraId="54BB6A31" w14:textId="77777777" w:rsidTr="00D002E2">
        <w:trPr>
          <w:trHeight w:val="405"/>
        </w:trPr>
        <w:tc>
          <w:tcPr>
            <w:tcW w:w="14176" w:type="dxa"/>
            <w:gridSpan w:val="2"/>
            <w:shd w:val="clear" w:color="auto" w:fill="FFFF00"/>
          </w:tcPr>
          <w:p w14:paraId="20CC3289" w14:textId="787D787F" w:rsidR="00EA64F8" w:rsidRPr="00EA64F8" w:rsidRDefault="00EA64F8" w:rsidP="0037364E">
            <w:pPr>
              <w:keepNext/>
              <w:keepLines/>
              <w:pageBreakBefore/>
              <w:tabs>
                <w:tab w:val="clear" w:pos="794"/>
                <w:tab w:val="clear" w:pos="1191"/>
                <w:tab w:val="clear" w:pos="1588"/>
                <w:tab w:val="clear" w:pos="1985"/>
              </w:tabs>
              <w:overflowPunct/>
              <w:autoSpaceDE/>
              <w:adjustRightInd/>
              <w:spacing w:before="80" w:after="80"/>
              <w:ind w:left="332" w:hanging="332"/>
              <w:jc w:val="center"/>
              <w:textAlignment w:val="auto"/>
              <w:rPr>
                <w:rFonts w:eastAsiaTheme="minorEastAsia" w:cs="Calibri"/>
                <w:color w:val="000000"/>
                <w:sz w:val="20"/>
                <w:lang w:eastAsia="zh-CN"/>
              </w:rPr>
            </w:pPr>
            <w:r w:rsidRPr="00EA64F8">
              <w:rPr>
                <w:rFonts w:eastAsiaTheme="minorEastAsia" w:cs="Calibri"/>
                <w:b/>
                <w:bCs/>
                <w:color w:val="000000"/>
                <w:sz w:val="20"/>
                <w:lang w:eastAsia="zh-CN"/>
              </w:rPr>
              <w:lastRenderedPageBreak/>
              <w:t xml:space="preserve">JIU/REP/2023/8 </w:t>
            </w:r>
            <w:hyperlink r:id="rId21" w:history="1">
              <w:r w:rsidRPr="00EA64F8">
                <w:rPr>
                  <w:rFonts w:eastAsiaTheme="minorEastAsia" w:cs="Calibri"/>
                  <w:b/>
                  <w:bCs/>
                  <w:color w:val="4F81BD" w:themeColor="accent1"/>
                  <w:sz w:val="20"/>
                  <w:u w:val="single"/>
                  <w:lang w:eastAsia="zh-CN"/>
                </w:rPr>
                <w:t>对联合国系统各组织编外人员使用情况及有关合同模式的审查</w:t>
              </w:r>
            </w:hyperlink>
            <w:r w:rsidR="00895EA5">
              <w:rPr>
                <w:rFonts w:eastAsiaTheme="minorEastAsia" w:cs="Calibri"/>
                <w:b/>
                <w:bCs/>
                <w:color w:val="0000FF"/>
                <w:sz w:val="20"/>
                <w:lang w:eastAsia="zh-CN"/>
              </w:rPr>
              <w:br/>
            </w:r>
            <w:r w:rsidRPr="00EA64F8">
              <w:rPr>
                <w:rFonts w:eastAsiaTheme="minorEastAsia" w:cs="Calibri" w:hint="eastAsia"/>
                <w:b/>
                <w:bCs/>
                <w:sz w:val="20"/>
                <w:lang w:eastAsia="zh-CN"/>
              </w:rPr>
              <w:t>国际电联联系人：</w:t>
            </w:r>
            <w:r w:rsidRPr="00EA64F8">
              <w:rPr>
                <w:rFonts w:eastAsiaTheme="minorEastAsia" w:cs="Calibri"/>
                <w:b/>
                <w:bCs/>
                <w:sz w:val="20"/>
                <w:lang w:eastAsia="zh-CN"/>
              </w:rPr>
              <w:t>Maria Traficanti</w:t>
            </w:r>
            <w:r w:rsidR="00895EA5">
              <w:rPr>
                <w:rFonts w:eastAsiaTheme="minorEastAsia" w:cs="Calibri"/>
                <w:b/>
                <w:bCs/>
                <w:sz w:val="20"/>
                <w:lang w:eastAsia="zh-CN"/>
              </w:rPr>
              <w:br/>
            </w:r>
            <w:r w:rsidRPr="00EA64F8">
              <w:rPr>
                <w:rFonts w:ascii="Symbol" w:eastAsiaTheme="minorEastAsia" w:hAnsi="Symbol" w:cs="Calibri"/>
                <w:color w:val="000000"/>
                <w:sz w:val="20"/>
                <w:lang w:eastAsia="zh-CN"/>
              </w:rPr>
              <w:t></w:t>
            </w:r>
            <w:r w:rsidRPr="00EA64F8">
              <w:rPr>
                <w:rFonts w:ascii="Symbol" w:eastAsiaTheme="minorEastAsia" w:hAnsi="Symbol" w:cs="Calibri"/>
                <w:color w:val="000000"/>
                <w:sz w:val="20"/>
                <w:lang w:eastAsia="zh-CN"/>
              </w:rPr>
              <w:tab/>
            </w:r>
            <w:hyperlink r:id="rId22" w:history="1">
              <w:r w:rsidRPr="00EA64F8">
                <w:rPr>
                  <w:rFonts w:eastAsiaTheme="minorEastAsia" w:cs="Calibri"/>
                  <w:b/>
                  <w:bCs/>
                  <w:color w:val="4F81BD" w:themeColor="accent1"/>
                  <w:sz w:val="20"/>
                  <w:u w:val="single"/>
                  <w:lang w:eastAsia="zh-CN"/>
                </w:rPr>
                <w:t>审查要点</w:t>
              </w:r>
            </w:hyperlink>
          </w:p>
        </w:tc>
      </w:tr>
      <w:tr w:rsidR="00EA64F8" w:rsidRPr="00EA64F8" w14:paraId="25891B37" w14:textId="77777777" w:rsidTr="0095211E">
        <w:trPr>
          <w:trHeight w:val="608"/>
        </w:trPr>
        <w:tc>
          <w:tcPr>
            <w:tcW w:w="2410" w:type="dxa"/>
            <w:shd w:val="clear" w:color="auto" w:fill="E1EBF7" w:themeFill="text2" w:themeFillTint="1A"/>
          </w:tcPr>
          <w:p w14:paraId="34E5AB06" w14:textId="00849DA5" w:rsidR="00EA64F8" w:rsidRPr="00EA64F8" w:rsidRDefault="00EA64F8" w:rsidP="00893CB4">
            <w:pPr>
              <w:keepNext/>
              <w:keepLines/>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向立法</w:t>
            </w:r>
            <w:r w:rsidRPr="00EA64F8">
              <w:rPr>
                <w:rFonts w:eastAsiaTheme="minorEastAsia" w:cs="Calibri" w:hint="eastAsia"/>
                <w:b/>
                <w:bCs/>
                <w:sz w:val="20"/>
                <w:lang w:eastAsia="zh-CN"/>
              </w:rPr>
              <w:t>/</w:t>
            </w:r>
            <w:r w:rsidRPr="00EA64F8">
              <w:rPr>
                <w:rFonts w:eastAsiaTheme="minorEastAsia" w:cs="Calibri" w:hint="eastAsia"/>
                <w:b/>
                <w:bCs/>
                <w:sz w:val="20"/>
                <w:lang w:eastAsia="zh-CN"/>
              </w:rPr>
              <w:t>理事机构</w:t>
            </w:r>
            <w:r w:rsidR="00895EA5">
              <w:rPr>
                <w:rFonts w:eastAsiaTheme="minorEastAsia" w:cs="Calibri"/>
                <w:b/>
                <w:bCs/>
                <w:sz w:val="20"/>
                <w:lang w:eastAsia="zh-CN"/>
              </w:rPr>
              <w:br/>
            </w:r>
            <w:r w:rsidRPr="00EA64F8">
              <w:rPr>
                <w:rFonts w:eastAsiaTheme="minorEastAsia" w:cs="Calibri" w:hint="eastAsia"/>
                <w:b/>
                <w:bCs/>
                <w:sz w:val="20"/>
                <w:lang w:eastAsia="zh-CN"/>
              </w:rPr>
              <w:t>提出的建议：</w:t>
            </w:r>
          </w:p>
        </w:tc>
        <w:tc>
          <w:tcPr>
            <w:tcW w:w="11766" w:type="dxa"/>
            <w:shd w:val="clear" w:color="auto" w:fill="FFFFFF" w:themeFill="background1"/>
          </w:tcPr>
          <w:p w14:paraId="69DEDB1F" w14:textId="77777777" w:rsidR="00EA64F8" w:rsidRPr="00EA64F8" w:rsidRDefault="00EA64F8" w:rsidP="00893CB4">
            <w:pPr>
              <w:keepNext/>
              <w:keepLines/>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color w:val="000000"/>
                <w:sz w:val="20"/>
                <w:lang w:eastAsia="zh-CN"/>
              </w:rPr>
            </w:pPr>
            <w:r w:rsidRPr="00EA64F8">
              <w:rPr>
                <w:rFonts w:eastAsiaTheme="minorEastAsia" w:cs="Calibri" w:hint="eastAsia"/>
                <w:b/>
                <w:bCs/>
                <w:color w:val="000000"/>
                <w:sz w:val="20"/>
                <w:highlight w:val="cyan"/>
                <w:lang w:eastAsia="zh-CN"/>
              </w:rPr>
              <w:t>建议</w:t>
            </w:r>
            <w:r w:rsidRPr="00EA64F8">
              <w:rPr>
                <w:rFonts w:eastAsiaTheme="minorEastAsia" w:cs="Calibri"/>
                <w:b/>
                <w:bCs/>
                <w:color w:val="000000"/>
                <w:sz w:val="20"/>
                <w:highlight w:val="cyan"/>
                <w:lang w:eastAsia="zh-CN"/>
              </w:rPr>
              <w:t>5</w:t>
            </w:r>
            <w:r w:rsidRPr="00EA64F8">
              <w:rPr>
                <w:rFonts w:eastAsiaTheme="minorEastAsia" w:cs="Calibri" w:hint="eastAsia"/>
                <w:b/>
                <w:bCs/>
                <w:color w:val="000000"/>
                <w:sz w:val="20"/>
                <w:highlight w:val="cyan"/>
                <w:lang w:eastAsia="zh-CN"/>
              </w:rPr>
              <w:t>：</w:t>
            </w:r>
            <w:r w:rsidRPr="00EA64F8">
              <w:rPr>
                <w:rFonts w:eastAsiaTheme="minorEastAsia" w:cs="Calibri" w:hint="eastAsia"/>
                <w:color w:val="000000"/>
                <w:sz w:val="20"/>
                <w:lang w:eastAsia="zh-CN"/>
              </w:rPr>
              <w:t>如果行政首长在其人力资源报告中尚未列入关于编外人员使用情况的相关数据和信息，则联合国系统各组织的立法和（或）理事机构应要求其行政首长列入相关数据和信息，如编外人员的人数、服务年限、就业地点、国籍和性别。</w:t>
            </w:r>
          </w:p>
        </w:tc>
      </w:tr>
      <w:tr w:rsidR="00EA64F8" w:rsidRPr="00EA64F8" w14:paraId="3D77A598" w14:textId="77777777" w:rsidTr="00D002E2">
        <w:tc>
          <w:tcPr>
            <w:tcW w:w="2410" w:type="dxa"/>
            <w:shd w:val="clear" w:color="auto" w:fill="EAF1DD" w:themeFill="accent3" w:themeFillTint="33"/>
          </w:tcPr>
          <w:p w14:paraId="17E5D67D" w14:textId="1CC29724" w:rsidR="00EA64F8" w:rsidRPr="00EA64F8" w:rsidRDefault="00EA64F8" w:rsidP="00893CB4">
            <w:pPr>
              <w:keepNext/>
              <w:keepLines/>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rPr>
            </w:pPr>
            <w:r w:rsidRPr="00EA64F8">
              <w:rPr>
                <w:rFonts w:eastAsiaTheme="minorEastAsia" w:cs="Calibri" w:hint="eastAsia"/>
                <w:b/>
                <w:bCs/>
                <w:sz w:val="20"/>
                <w:lang w:eastAsia="zh-CN"/>
              </w:rPr>
              <w:t>需采取的行动：</w:t>
            </w:r>
          </w:p>
        </w:tc>
        <w:tc>
          <w:tcPr>
            <w:tcW w:w="11766" w:type="dxa"/>
          </w:tcPr>
          <w:p w14:paraId="67623427" w14:textId="79B98F2F" w:rsidR="00EA64F8" w:rsidRPr="00EA64F8" w:rsidRDefault="00EA64F8" w:rsidP="00893CB4">
            <w:pPr>
              <w:keepNext/>
              <w:keepLines/>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95211E">
              <w:rPr>
                <w:rFonts w:eastAsiaTheme="minorEastAsia" w:cs="Calibri" w:hint="eastAsia"/>
                <w:sz w:val="20"/>
                <w:highlight w:val="green"/>
                <w:lang w:eastAsia="zh-CN"/>
              </w:rPr>
              <w:t>（</w:t>
            </w:r>
            <w:r w:rsidRPr="00EA64F8">
              <w:rPr>
                <w:rFonts w:eastAsiaTheme="minorEastAsia" w:cs="Calibri" w:hint="eastAsia"/>
                <w:b/>
                <w:bCs/>
                <w:sz w:val="20"/>
                <w:highlight w:val="green"/>
                <w:lang w:eastAsia="zh-CN"/>
              </w:rPr>
              <w:t>接受</w:t>
            </w:r>
            <w:r w:rsidRPr="00EA64F8">
              <w:rPr>
                <w:rFonts w:eastAsiaTheme="minorEastAsia" w:cs="Calibri" w:hint="eastAsia"/>
                <w:sz w:val="20"/>
                <w:lang w:eastAsia="zh-CN"/>
              </w:rPr>
              <w:t>、不接受、不相关或需要进一步审议）</w:t>
            </w:r>
          </w:p>
        </w:tc>
      </w:tr>
      <w:tr w:rsidR="00EA64F8" w:rsidRPr="00EA64F8" w14:paraId="605BE3D0" w14:textId="77777777" w:rsidTr="00D002E2">
        <w:tc>
          <w:tcPr>
            <w:tcW w:w="2410" w:type="dxa"/>
          </w:tcPr>
          <w:p w14:paraId="32188180" w14:textId="7AA08001" w:rsidR="00EA64F8" w:rsidRPr="00EA64F8" w:rsidRDefault="00EA64F8" w:rsidP="00893CB4">
            <w:pPr>
              <w:keepNext/>
              <w:keepLines/>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r w:rsidRPr="00EA64F8">
              <w:rPr>
                <w:rFonts w:eastAsiaTheme="minorEastAsia" w:cs="Calibri" w:hint="eastAsia"/>
                <w:b/>
                <w:bCs/>
                <w:sz w:val="20"/>
                <w:lang w:eastAsia="zh-CN"/>
              </w:rPr>
              <w:t>国际电联有关相关性、财务和人力资源</w:t>
            </w:r>
            <w:r w:rsidR="00895EA5">
              <w:rPr>
                <w:rFonts w:eastAsiaTheme="minorEastAsia" w:cs="Calibri"/>
                <w:b/>
                <w:bCs/>
                <w:sz w:val="20"/>
                <w:lang w:eastAsia="zh-CN"/>
              </w:rPr>
              <w:br/>
            </w:r>
            <w:r w:rsidRPr="00EA64F8">
              <w:rPr>
                <w:rFonts w:eastAsiaTheme="minorEastAsia" w:cs="Calibri" w:hint="eastAsia"/>
                <w:b/>
                <w:bCs/>
                <w:sz w:val="20"/>
                <w:lang w:eastAsia="zh-CN"/>
              </w:rPr>
              <w:t>影响的意见：</w:t>
            </w:r>
          </w:p>
        </w:tc>
        <w:tc>
          <w:tcPr>
            <w:tcW w:w="11766" w:type="dxa"/>
          </w:tcPr>
          <w:p w14:paraId="712CD7B3" w14:textId="77777777" w:rsidR="00EA64F8" w:rsidRPr="00EA64F8" w:rsidRDefault="00EA64F8" w:rsidP="00893CB4">
            <w:pPr>
              <w:keepNext/>
              <w:keepLines/>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b/>
                <w:bCs/>
                <w:sz w:val="20"/>
                <w:lang w:eastAsia="zh-CN"/>
              </w:rPr>
            </w:pPr>
            <w:r w:rsidRPr="00EA64F8">
              <w:rPr>
                <w:rFonts w:eastAsiaTheme="minorEastAsia" w:cs="Calibri" w:hint="eastAsia"/>
                <w:sz w:val="20"/>
                <w:lang w:eastAsia="zh-CN"/>
              </w:rPr>
              <w:t>关于编外人员合同的数据已在关于员工队伍分析的人力资源报告中提供。如有需要，可在此信息概览中纳入更多有关编外人员使用情况的相关数据和信息。将在现有财务和人力资源范围内实施该建议。</w:t>
            </w:r>
          </w:p>
        </w:tc>
      </w:tr>
      <w:tr w:rsidR="00EA64F8" w:rsidRPr="00EA64F8" w14:paraId="5E486E91" w14:textId="77777777" w:rsidTr="00D002E2">
        <w:tc>
          <w:tcPr>
            <w:tcW w:w="2410" w:type="dxa"/>
          </w:tcPr>
          <w:p w14:paraId="403F9115" w14:textId="7A5BA7FD" w:rsidR="00EA64F8" w:rsidRPr="00EA64F8" w:rsidRDefault="00EA64F8" w:rsidP="00893CB4">
            <w:pPr>
              <w:keepNext/>
              <w:keepLines/>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b/>
                <w:bCs/>
                <w:sz w:val="20"/>
                <w:lang w:eastAsia="zh-CN"/>
              </w:rPr>
            </w:pPr>
            <w:hyperlink r:id="rId23" w:history="1">
              <w:r w:rsidRPr="00EA64F8">
                <w:rPr>
                  <w:rFonts w:eastAsiaTheme="minorEastAsia" w:cs="Calibri"/>
                  <w:b/>
                  <w:bCs/>
                  <w:color w:val="4F81BD" w:themeColor="accent1"/>
                  <w:sz w:val="20"/>
                  <w:u w:val="single"/>
                  <w:lang w:eastAsia="zh-CN"/>
                </w:rPr>
                <w:t>联合国系统首协会</w:t>
              </w:r>
              <w:r w:rsidR="00895EA5">
                <w:rPr>
                  <w:rFonts w:eastAsiaTheme="minorEastAsia" w:cs="Calibri"/>
                  <w:b/>
                  <w:bCs/>
                  <w:color w:val="4F81BD" w:themeColor="accent1"/>
                  <w:sz w:val="20"/>
                  <w:u w:val="single"/>
                  <w:lang w:eastAsia="zh-CN"/>
                </w:rPr>
                <w:br/>
              </w:r>
              <w:r w:rsidRPr="00EA64F8">
                <w:rPr>
                  <w:rFonts w:eastAsiaTheme="minorEastAsia" w:cs="Calibri"/>
                  <w:b/>
                  <w:bCs/>
                  <w:color w:val="4F81BD" w:themeColor="accent1"/>
                  <w:sz w:val="20"/>
                  <w:u w:val="single"/>
                  <w:lang w:eastAsia="zh-CN"/>
                </w:rPr>
                <w:t>范围内的意见</w:t>
              </w:r>
            </w:hyperlink>
            <w:r w:rsidRPr="00EA64F8">
              <w:rPr>
                <w:rFonts w:eastAsiaTheme="minorEastAsia" w:cs="Calibri" w:hint="eastAsia"/>
                <w:b/>
                <w:bCs/>
                <w:sz w:val="20"/>
                <w:lang w:eastAsia="zh-CN"/>
              </w:rPr>
              <w:t>：</w:t>
            </w:r>
          </w:p>
        </w:tc>
        <w:tc>
          <w:tcPr>
            <w:tcW w:w="11766" w:type="dxa"/>
          </w:tcPr>
          <w:p w14:paraId="61ADA965" w14:textId="77777777" w:rsidR="00EA64F8" w:rsidRPr="00EA64F8" w:rsidRDefault="00EA64F8" w:rsidP="00893CB4">
            <w:pPr>
              <w:keepNext/>
              <w:keepLines/>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lang w:eastAsia="zh-CN"/>
              </w:rPr>
            </w:pPr>
            <w:r w:rsidRPr="00EA64F8">
              <w:rPr>
                <w:rFonts w:eastAsiaTheme="minorEastAsia" w:cs="Calibri" w:hint="eastAsia"/>
                <w:sz w:val="20"/>
                <w:lang w:eastAsia="zh-CN"/>
              </w:rPr>
              <w:t>许多组织已按照其理事机构的要求编制定期报告。目前正在努力提升数据的可用性和质量，但需注意“服务年限”这一变量并不完全适用于编外人员，他们的受聘期限往往较短。同时需要指出的是，编外人员的合同模式非常多样化，可能难以采用统一的综合报告形式。</w:t>
            </w:r>
          </w:p>
        </w:tc>
      </w:tr>
      <w:tr w:rsidR="00EA64F8" w:rsidRPr="00EA64F8" w14:paraId="3ABFE68A" w14:textId="77777777" w:rsidTr="00D002E2">
        <w:tc>
          <w:tcPr>
            <w:tcW w:w="2410" w:type="dxa"/>
          </w:tcPr>
          <w:p w14:paraId="1BC69994"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jc w:val="right"/>
              <w:rPr>
                <w:rFonts w:eastAsiaTheme="minorEastAsia" w:cs="Calibri"/>
                <w:sz w:val="20"/>
              </w:rPr>
            </w:pPr>
            <w:r w:rsidRPr="00EA64F8">
              <w:rPr>
                <w:rFonts w:eastAsiaTheme="minorEastAsia" w:cs="Calibri" w:hint="eastAsia"/>
                <w:b/>
                <w:bCs/>
                <w:sz w:val="20"/>
                <w:lang w:eastAsia="zh-CN"/>
              </w:rPr>
              <w:t>落实情况：</w:t>
            </w:r>
          </w:p>
        </w:tc>
        <w:tc>
          <w:tcPr>
            <w:tcW w:w="11766" w:type="dxa"/>
          </w:tcPr>
          <w:p w14:paraId="2CFE81A2" w14:textId="77777777" w:rsidR="00EA64F8" w:rsidRPr="00EA64F8" w:rsidRDefault="00EA64F8" w:rsidP="00893CB4">
            <w:pPr>
              <w:tabs>
                <w:tab w:val="clear" w:pos="794"/>
                <w:tab w:val="clear" w:pos="1191"/>
                <w:tab w:val="clear" w:pos="1588"/>
                <w:tab w:val="clear" w:pos="1985"/>
                <w:tab w:val="left" w:pos="567"/>
                <w:tab w:val="left" w:pos="1701"/>
                <w:tab w:val="left" w:pos="2268"/>
                <w:tab w:val="left" w:pos="2835"/>
              </w:tabs>
              <w:spacing w:before="80" w:after="80"/>
              <w:rPr>
                <w:rFonts w:eastAsiaTheme="minorEastAsia" w:cs="Calibri"/>
                <w:sz w:val="20"/>
              </w:rPr>
            </w:pPr>
            <w:r w:rsidRPr="00EA64F8">
              <w:rPr>
                <w:rFonts w:eastAsiaTheme="minorEastAsia" w:cs="Calibri" w:hint="eastAsia"/>
                <w:sz w:val="20"/>
                <w:lang w:eastAsia="zh-CN"/>
              </w:rPr>
              <w:t>已落实</w:t>
            </w:r>
          </w:p>
        </w:tc>
      </w:tr>
    </w:tbl>
    <w:p w14:paraId="6EFC08EF" w14:textId="77777777" w:rsidR="00EA64F8" w:rsidRPr="00EA64F8" w:rsidRDefault="00EA64F8" w:rsidP="00EA64F8">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HAnsi"/>
        </w:rPr>
      </w:pPr>
    </w:p>
    <w:p w14:paraId="7C7F8E6D" w14:textId="2948836E" w:rsidR="00E323D0" w:rsidRPr="00895EA5" w:rsidRDefault="00EA64F8" w:rsidP="00895EA5">
      <w:pPr>
        <w:tabs>
          <w:tab w:val="clear" w:pos="794"/>
          <w:tab w:val="clear" w:pos="1191"/>
          <w:tab w:val="clear" w:pos="1588"/>
          <w:tab w:val="clear" w:pos="1985"/>
          <w:tab w:val="left" w:pos="567"/>
          <w:tab w:val="left" w:pos="1134"/>
          <w:tab w:val="left" w:pos="1701"/>
          <w:tab w:val="left" w:pos="2268"/>
          <w:tab w:val="left" w:pos="2835"/>
        </w:tabs>
        <w:jc w:val="center"/>
        <w:rPr>
          <w:rFonts w:eastAsiaTheme="minorEastAsia"/>
        </w:rPr>
      </w:pPr>
      <w:r w:rsidRPr="00EA64F8">
        <w:rPr>
          <w:rFonts w:eastAsiaTheme="minorEastAsia"/>
        </w:rPr>
        <w:t>______________</w:t>
      </w:r>
    </w:p>
    <w:sectPr w:rsidR="00E323D0" w:rsidRPr="00895EA5" w:rsidSect="00EA64F8">
      <w:headerReference w:type="default" r:id="rId24"/>
      <w:footerReference w:type="default" r:id="rId25"/>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38D77" w14:textId="77777777" w:rsidR="0017273F" w:rsidRDefault="0017273F">
      <w:r>
        <w:separator/>
      </w:r>
    </w:p>
  </w:endnote>
  <w:endnote w:type="continuationSeparator" w:id="0">
    <w:p w14:paraId="39B4B67C" w14:textId="77777777" w:rsidR="0017273F" w:rsidRDefault="0017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charset w:val="00"/>
    <w:family w:val="swiss"/>
    <w:notTrueType/>
    <w:pitch w:val="variable"/>
    <w:sig w:usb0="A00002EF"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4BD8989B" w14:textId="77777777"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/xx-C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6D376B6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EA64F8">
            <w:rPr>
              <w:rFonts w:eastAsiaTheme="minorEastAsia" w:hint="eastAsia"/>
              <w:bCs/>
              <w:color w:val="808080" w:themeColor="background1" w:themeShade="80"/>
              <w:lang w:eastAsia="zh-CN"/>
            </w:rPr>
            <w:t>57</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375A1" w:rsidRPr="00784011" w14:paraId="0290C290" w14:textId="77777777" w:rsidTr="0042469C">
      <w:trPr>
        <w:jc w:val="center"/>
      </w:trPr>
      <w:tc>
        <w:tcPr>
          <w:tcW w:w="1803" w:type="dxa"/>
          <w:vAlign w:val="center"/>
        </w:tcPr>
        <w:p w14:paraId="3B470BC7" w14:textId="69024729" w:rsidR="0037364E" w:rsidRPr="00EA64F8" w:rsidRDefault="0037364E" w:rsidP="00EE49E8">
          <w:pPr>
            <w:pStyle w:val="Header"/>
            <w:jc w:val="left"/>
            <w:rPr>
              <w:rFonts w:eastAsiaTheme="minorEastAsia"/>
              <w:noProof/>
              <w:lang w:eastAsia="zh-CN"/>
            </w:rPr>
          </w:pPr>
          <w:r>
            <w:rPr>
              <w:noProof/>
            </w:rPr>
            <w:t>gDoc #</w:t>
          </w:r>
          <w:r w:rsidR="00EA64F8">
            <w:rPr>
              <w:rFonts w:eastAsiaTheme="minorEastAsia" w:hint="eastAsia"/>
              <w:noProof/>
              <w:lang w:eastAsia="zh-CN"/>
            </w:rPr>
            <w:t>2501101</w:t>
          </w:r>
        </w:p>
      </w:tc>
      <w:tc>
        <w:tcPr>
          <w:tcW w:w="8261" w:type="dxa"/>
        </w:tcPr>
        <w:p w14:paraId="2F9BAEE1" w14:textId="77777777" w:rsidR="0037364E" w:rsidRPr="00E06FD5" w:rsidRDefault="0037364E"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57</w:t>
          </w:r>
          <w:r w:rsidRPr="00623AE3">
            <w:rPr>
              <w:bCs/>
            </w:rPr>
            <w:t>-</w:t>
          </w:r>
          <w:r>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0684B31B" w14:textId="77777777" w:rsidR="0037364E" w:rsidRPr="00DB1936" w:rsidRDefault="0037364E" w:rsidP="00EE49E8">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54F55" w14:textId="77777777" w:rsidR="0017273F" w:rsidRDefault="0017273F">
      <w:r>
        <w:t>____________________</w:t>
      </w:r>
    </w:p>
  </w:footnote>
  <w:footnote w:type="continuationSeparator" w:id="0">
    <w:p w14:paraId="76106A16" w14:textId="77777777" w:rsidR="0017273F" w:rsidRDefault="0017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257859354"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A967" w14:textId="77777777" w:rsidR="0037364E" w:rsidRDefault="00373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7012"/>
    <w:rsid w:val="000F35F7"/>
    <w:rsid w:val="00100D84"/>
    <w:rsid w:val="001113B9"/>
    <w:rsid w:val="00124C9D"/>
    <w:rsid w:val="001305DE"/>
    <w:rsid w:val="0015333E"/>
    <w:rsid w:val="00157773"/>
    <w:rsid w:val="0017273F"/>
    <w:rsid w:val="00176E18"/>
    <w:rsid w:val="0018251A"/>
    <w:rsid w:val="00190272"/>
    <w:rsid w:val="00193244"/>
    <w:rsid w:val="00195C6C"/>
    <w:rsid w:val="00195FED"/>
    <w:rsid w:val="001A4BD6"/>
    <w:rsid w:val="001B6E2B"/>
    <w:rsid w:val="001D5A18"/>
    <w:rsid w:val="00215132"/>
    <w:rsid w:val="00224449"/>
    <w:rsid w:val="00227189"/>
    <w:rsid w:val="00280EB8"/>
    <w:rsid w:val="002A6670"/>
    <w:rsid w:val="002C3F32"/>
    <w:rsid w:val="00303502"/>
    <w:rsid w:val="00325C25"/>
    <w:rsid w:val="00326DEF"/>
    <w:rsid w:val="00372C8F"/>
    <w:rsid w:val="0037364E"/>
    <w:rsid w:val="00380ECE"/>
    <w:rsid w:val="00393DDF"/>
    <w:rsid w:val="00397F55"/>
    <w:rsid w:val="003B4454"/>
    <w:rsid w:val="003C2E37"/>
    <w:rsid w:val="003F086E"/>
    <w:rsid w:val="003F1415"/>
    <w:rsid w:val="0040144C"/>
    <w:rsid w:val="00403EB7"/>
    <w:rsid w:val="004178E6"/>
    <w:rsid w:val="00430BF0"/>
    <w:rsid w:val="00457BC3"/>
    <w:rsid w:val="004672E6"/>
    <w:rsid w:val="00474ED1"/>
    <w:rsid w:val="00477D57"/>
    <w:rsid w:val="00491BA9"/>
    <w:rsid w:val="00493085"/>
    <w:rsid w:val="004A36EC"/>
    <w:rsid w:val="004B6F19"/>
    <w:rsid w:val="004D163F"/>
    <w:rsid w:val="004E4BFF"/>
    <w:rsid w:val="004F2598"/>
    <w:rsid w:val="005403F7"/>
    <w:rsid w:val="00540632"/>
    <w:rsid w:val="00541CF4"/>
    <w:rsid w:val="005451E8"/>
    <w:rsid w:val="005507F2"/>
    <w:rsid w:val="005759CC"/>
    <w:rsid w:val="005A72E1"/>
    <w:rsid w:val="005B07A4"/>
    <w:rsid w:val="005C2B44"/>
    <w:rsid w:val="005C6632"/>
    <w:rsid w:val="005D1C9E"/>
    <w:rsid w:val="00630DD5"/>
    <w:rsid w:val="00637584"/>
    <w:rsid w:val="00654257"/>
    <w:rsid w:val="0065435A"/>
    <w:rsid w:val="00670D8A"/>
    <w:rsid w:val="006A2DD3"/>
    <w:rsid w:val="006A5113"/>
    <w:rsid w:val="006A5AF8"/>
    <w:rsid w:val="006C36CD"/>
    <w:rsid w:val="00700D1F"/>
    <w:rsid w:val="007205CB"/>
    <w:rsid w:val="0072138B"/>
    <w:rsid w:val="00726073"/>
    <w:rsid w:val="007262EB"/>
    <w:rsid w:val="00734FE8"/>
    <w:rsid w:val="007360CE"/>
    <w:rsid w:val="0077110E"/>
    <w:rsid w:val="00772315"/>
    <w:rsid w:val="00775157"/>
    <w:rsid w:val="007813AE"/>
    <w:rsid w:val="007A37DB"/>
    <w:rsid w:val="007B0CD5"/>
    <w:rsid w:val="007E189D"/>
    <w:rsid w:val="007E63A6"/>
    <w:rsid w:val="007F0210"/>
    <w:rsid w:val="00806E3F"/>
    <w:rsid w:val="00811259"/>
    <w:rsid w:val="00813AA2"/>
    <w:rsid w:val="008173A3"/>
    <w:rsid w:val="008418F5"/>
    <w:rsid w:val="0086059C"/>
    <w:rsid w:val="00864589"/>
    <w:rsid w:val="00874C82"/>
    <w:rsid w:val="00890AFB"/>
    <w:rsid w:val="00890FC4"/>
    <w:rsid w:val="00893CB4"/>
    <w:rsid w:val="00895905"/>
    <w:rsid w:val="00895EA5"/>
    <w:rsid w:val="008F64AD"/>
    <w:rsid w:val="00911230"/>
    <w:rsid w:val="00911867"/>
    <w:rsid w:val="009164A9"/>
    <w:rsid w:val="009258CB"/>
    <w:rsid w:val="0093362E"/>
    <w:rsid w:val="00944563"/>
    <w:rsid w:val="0095211E"/>
    <w:rsid w:val="00953160"/>
    <w:rsid w:val="00956144"/>
    <w:rsid w:val="009625D8"/>
    <w:rsid w:val="00983878"/>
    <w:rsid w:val="0098459B"/>
    <w:rsid w:val="00993F93"/>
    <w:rsid w:val="00997185"/>
    <w:rsid w:val="009B06B8"/>
    <w:rsid w:val="009C2458"/>
    <w:rsid w:val="009C4A7B"/>
    <w:rsid w:val="009C6123"/>
    <w:rsid w:val="009F1E3E"/>
    <w:rsid w:val="00A1213C"/>
    <w:rsid w:val="00A13406"/>
    <w:rsid w:val="00A272FF"/>
    <w:rsid w:val="00A5354B"/>
    <w:rsid w:val="00A71B57"/>
    <w:rsid w:val="00AB42C1"/>
    <w:rsid w:val="00AC516F"/>
    <w:rsid w:val="00AE195F"/>
    <w:rsid w:val="00AE2926"/>
    <w:rsid w:val="00AF3303"/>
    <w:rsid w:val="00B0184B"/>
    <w:rsid w:val="00B035CD"/>
    <w:rsid w:val="00B05181"/>
    <w:rsid w:val="00B0769D"/>
    <w:rsid w:val="00B217F8"/>
    <w:rsid w:val="00B218E9"/>
    <w:rsid w:val="00B332EA"/>
    <w:rsid w:val="00B40A53"/>
    <w:rsid w:val="00B45365"/>
    <w:rsid w:val="00B46A65"/>
    <w:rsid w:val="00B60184"/>
    <w:rsid w:val="00B60CA3"/>
    <w:rsid w:val="00B62D20"/>
    <w:rsid w:val="00B81E75"/>
    <w:rsid w:val="00B93453"/>
    <w:rsid w:val="00B9445B"/>
    <w:rsid w:val="00B96B4A"/>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299D"/>
    <w:rsid w:val="00CE6F22"/>
    <w:rsid w:val="00CF41F6"/>
    <w:rsid w:val="00CF7D3E"/>
    <w:rsid w:val="00D02B4E"/>
    <w:rsid w:val="00D21F11"/>
    <w:rsid w:val="00D36817"/>
    <w:rsid w:val="00D453EE"/>
    <w:rsid w:val="00D5666C"/>
    <w:rsid w:val="00D62844"/>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67C67"/>
    <w:rsid w:val="00E74BC2"/>
    <w:rsid w:val="00E77476"/>
    <w:rsid w:val="00E8228B"/>
    <w:rsid w:val="00E97582"/>
    <w:rsid w:val="00EA64F8"/>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1866"/>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table" w:customStyle="1" w:styleId="TableGrid1">
    <w:name w:val="Table Grid1"/>
    <w:basedOn w:val="TableNormal"/>
    <w:next w:val="TableGrid"/>
    <w:uiPriority w:val="39"/>
    <w:rsid w:val="00EA64F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jiu.org/sites/www.unjiu.org/files/jiu_rep_2024_3_part_i_english_0.pdf" TargetMode="External"/><Relationship Id="rId18" Type="http://schemas.openxmlformats.org/officeDocument/2006/relationships/hyperlink" Target="https://www.unjiu.org/sites/www.unjiu.org/files/jiu_rep_2023_9_english.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jiu.org/sites/www.unjiu.org/files/jiu_rep_2023_8_english_0.pdf" TargetMode="External"/><Relationship Id="rId7" Type="http://schemas.openxmlformats.org/officeDocument/2006/relationships/endnotes" Target="endnotes.xml"/><Relationship Id="rId12" Type="http://schemas.openxmlformats.org/officeDocument/2006/relationships/hyperlink" Target="https://www.unjiu.org/sites/www.unjiu.org/files/jiu-rep-2024-4_review_highlights.pdf" TargetMode="External"/><Relationship Id="rId17" Type="http://schemas.openxmlformats.org/officeDocument/2006/relationships/hyperlink" Target="https://www.unjiu.org/sites/www.unjiu.org/files/a-79-717-add1-e.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unjiu.org/sites/www.unjiu.org/files/jiu-rep-2014-2_review_highlights.pdf" TargetMode="External"/><Relationship Id="rId20" Type="http://schemas.openxmlformats.org/officeDocument/2006/relationships/hyperlink" Target="https://www.unjiu.org/sites/www.unjiu.org/files/a_79_695_add1-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sites/www.unjiu.org/files/jiu_rep_2024_4_english.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njiu.org/sites/www.unjiu.org/files/jiu_rep_2024_2_0.pdf" TargetMode="External"/><Relationship Id="rId23" Type="http://schemas.openxmlformats.org/officeDocument/2006/relationships/hyperlink" Target="https://www.unjiu.org/sites/www.unjiu.org/files/a_79_694_add1-en.pdf" TargetMode="External"/><Relationship Id="rId10" Type="http://schemas.openxmlformats.org/officeDocument/2006/relationships/footer" Target="footer2.xml"/><Relationship Id="rId19" Type="http://schemas.openxmlformats.org/officeDocument/2006/relationships/hyperlink" Target="https://www.unjiu.org/sites/www.unjiu.org/files/jiu-rep-2023-9_review_highlight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njiu.org/sites/www.unjiu.org/files/jiu_rep_2024_3_part_ii_english.pdf" TargetMode="External"/><Relationship Id="rId22" Type="http://schemas.openxmlformats.org/officeDocument/2006/relationships/hyperlink" Target="https://www.unjiu.org/sites/www.unjiu.org/files/jiu-rep-2023-8_review_highlights_appendix_0.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3170</Words>
  <Characters>3429</Characters>
  <Application>Microsoft Office Word</Application>
  <DocSecurity>0</DocSecurity>
  <Lines>163</Lines>
  <Paragraphs>88</Paragraphs>
  <ScaleCrop>false</ScaleCrop>
  <HeadingPairs>
    <vt:vector size="2" baseType="variant">
      <vt:variant>
        <vt:lpstr>Title</vt:lpstr>
      </vt:variant>
      <vt:variant>
        <vt:i4>1</vt:i4>
      </vt:variant>
    </vt:vector>
  </HeadingPairs>
  <TitlesOfParts>
    <vt:vector size="1" baseType="lpstr">
      <vt:lpstr>JIU reports on United Nations system-wide issues for 2023-2024 and recommendations to legislative bodies</vt:lpstr>
    </vt:vector>
  </TitlesOfParts>
  <Manager>General Secretariat - Pool</Manager>
  <Company>International Telecommunication Union (ITU)</Company>
  <LinksUpToDate>false</LinksUpToDate>
  <CharactersWithSpaces>3482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2023-2024 and recommendations to legislative bodies</dc:title>
  <dc:subject>ITU Council 2025</dc:subject>
  <cp:keywords>C2025, C25, Council-25</cp:keywords>
  <dc:description/>
  <cp:lastPrinted>2015-02-24T13:23:00Z</cp:lastPrinted>
  <dcterms:created xsi:type="dcterms:W3CDTF">2025-05-22T13:49:00Z</dcterms:created>
  <dcterms:modified xsi:type="dcterms:W3CDTF">2025-05-22T13:49:00Z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