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105"/>
        <w:gridCol w:w="2966"/>
      </w:tblGrid>
      <w:tr w:rsidR="007B0AA0" w14:paraId="48997CD5" w14:textId="77777777" w:rsidTr="00F363FE">
        <w:tc>
          <w:tcPr>
            <w:tcW w:w="6512" w:type="dxa"/>
          </w:tcPr>
          <w:p w14:paraId="2A49C02F" w14:textId="365B9675" w:rsidR="007B0AA0" w:rsidRPr="007B0AA0" w:rsidRDefault="003A29E7" w:rsidP="003A29E7">
            <w:pPr>
              <w:spacing w:before="60" w:after="60" w:line="260" w:lineRule="exact"/>
              <w:rPr>
                <w:b/>
                <w:bCs/>
                <w:rtl/>
                <w:lang w:bidi="ar-EG"/>
              </w:rPr>
            </w:pPr>
            <w:r w:rsidRPr="003A29E7">
              <w:rPr>
                <w:rFonts w:hint="cs"/>
                <w:b/>
                <w:bCs/>
                <w:rtl/>
                <w:lang w:bidi="ar-EG"/>
              </w:rPr>
              <w:t xml:space="preserve">بند جدول الأعمال: </w:t>
            </w:r>
            <w:r w:rsidRPr="003A29E7">
              <w:rPr>
                <w:b/>
                <w:bCs/>
                <w:lang w:bidi="ar-EG"/>
              </w:rPr>
              <w:t>ADM 2</w:t>
            </w:r>
          </w:p>
        </w:tc>
        <w:tc>
          <w:tcPr>
            <w:tcW w:w="3117" w:type="dxa"/>
          </w:tcPr>
          <w:p w14:paraId="6A5E8ECF" w14:textId="6B2F35D5" w:rsidR="007B0AA0" w:rsidRPr="007B0AA0" w:rsidRDefault="007B0AA0" w:rsidP="00F363FE">
            <w:pPr>
              <w:spacing w:before="60" w:after="60" w:line="260" w:lineRule="exact"/>
              <w:rPr>
                <w:b/>
                <w:bCs/>
                <w:lang w:bidi="ar-EG"/>
              </w:rPr>
            </w:pPr>
            <w:r w:rsidRPr="007B0AA0">
              <w:rPr>
                <w:rFonts w:hint="cs"/>
                <w:b/>
                <w:bCs/>
                <w:rtl/>
                <w:lang w:bidi="ar-EG"/>
              </w:rPr>
              <w:t xml:space="preserve">الوثيقة </w:t>
            </w:r>
            <w:r w:rsidRPr="007B0AA0">
              <w:rPr>
                <w:b/>
                <w:bCs/>
                <w:lang w:bidi="ar-EG"/>
              </w:rPr>
              <w:t>C2</w:t>
            </w:r>
            <w:r w:rsidR="006F363C">
              <w:rPr>
                <w:b/>
                <w:bCs/>
                <w:lang w:bidi="ar-EG"/>
              </w:rPr>
              <w:t>5</w:t>
            </w:r>
            <w:r w:rsidRPr="007B0AA0">
              <w:rPr>
                <w:b/>
                <w:bCs/>
                <w:lang w:bidi="ar-EG"/>
              </w:rPr>
              <w:t>/</w:t>
            </w:r>
            <w:r w:rsidR="003A29E7">
              <w:rPr>
                <w:b/>
                <w:bCs/>
                <w:lang w:bidi="ar-EG"/>
              </w:rPr>
              <w:t>57</w:t>
            </w:r>
            <w:r w:rsidRPr="007B0AA0">
              <w:rPr>
                <w:b/>
                <w:bCs/>
                <w:lang w:bidi="ar-EG"/>
              </w:rPr>
              <w:t>-A</w:t>
            </w:r>
          </w:p>
        </w:tc>
      </w:tr>
      <w:tr w:rsidR="007B0AA0" w14:paraId="6ADAE9E2" w14:textId="77777777" w:rsidTr="00F363FE">
        <w:tc>
          <w:tcPr>
            <w:tcW w:w="6512" w:type="dxa"/>
          </w:tcPr>
          <w:p w14:paraId="4356C4DB" w14:textId="77777777" w:rsidR="007B0AA0" w:rsidRPr="007B0AA0" w:rsidRDefault="007B0AA0" w:rsidP="00F363FE">
            <w:pPr>
              <w:spacing w:before="60" w:after="60" w:line="260" w:lineRule="exact"/>
              <w:rPr>
                <w:b/>
                <w:bCs/>
                <w:rtl/>
                <w:lang w:bidi="ar-EG"/>
              </w:rPr>
            </w:pPr>
          </w:p>
        </w:tc>
        <w:tc>
          <w:tcPr>
            <w:tcW w:w="3117" w:type="dxa"/>
          </w:tcPr>
          <w:p w14:paraId="72CAD85A" w14:textId="6C3DA432" w:rsidR="007B0AA0" w:rsidRPr="007B0AA0" w:rsidRDefault="00E643E1" w:rsidP="00F363FE">
            <w:pPr>
              <w:spacing w:before="60" w:after="60" w:line="260" w:lineRule="exact"/>
              <w:rPr>
                <w:b/>
                <w:bCs/>
                <w:rtl/>
                <w:lang w:bidi="ar-EG"/>
              </w:rPr>
            </w:pPr>
            <w:r>
              <w:rPr>
                <w:rFonts w:hint="cs"/>
                <w:b/>
                <w:bCs/>
                <w:rtl/>
                <w:lang w:bidi="ar-EG"/>
              </w:rPr>
              <w:t>16</w:t>
            </w:r>
            <w:r w:rsidR="003A29E7" w:rsidRPr="00A434F6">
              <w:rPr>
                <w:b/>
                <w:bCs/>
                <w:rtl/>
                <w:lang w:bidi="ar-EG"/>
              </w:rPr>
              <w:t xml:space="preserve"> </w:t>
            </w:r>
            <w:r>
              <w:rPr>
                <w:rFonts w:hint="cs"/>
                <w:b/>
                <w:bCs/>
                <w:rtl/>
                <w:lang w:bidi="ar-EG"/>
              </w:rPr>
              <w:t>مايو</w:t>
            </w:r>
            <w:r w:rsidR="003A29E7" w:rsidRPr="00A434F6">
              <w:rPr>
                <w:b/>
                <w:bCs/>
                <w:rtl/>
                <w:lang w:bidi="ar-EG"/>
              </w:rPr>
              <w:t xml:space="preserve"> 2025</w:t>
            </w:r>
          </w:p>
        </w:tc>
      </w:tr>
      <w:tr w:rsidR="007B0AA0" w14:paraId="388A863B" w14:textId="77777777" w:rsidTr="00F363FE">
        <w:tc>
          <w:tcPr>
            <w:tcW w:w="6512" w:type="dxa"/>
          </w:tcPr>
          <w:p w14:paraId="6B4B603C" w14:textId="77777777" w:rsidR="007B0AA0" w:rsidRPr="007B0AA0" w:rsidRDefault="007B0AA0" w:rsidP="00F363FE">
            <w:pPr>
              <w:spacing w:before="60" w:after="60" w:line="260" w:lineRule="exact"/>
              <w:rPr>
                <w:b/>
                <w:bCs/>
                <w:rtl/>
                <w:lang w:bidi="ar-EG"/>
              </w:rPr>
            </w:pPr>
          </w:p>
        </w:tc>
        <w:tc>
          <w:tcPr>
            <w:tcW w:w="3117" w:type="dxa"/>
          </w:tcPr>
          <w:p w14:paraId="45B7D59B" w14:textId="77777777" w:rsidR="007B0AA0" w:rsidRPr="007B0AA0" w:rsidRDefault="001D64C7" w:rsidP="00F363FE">
            <w:pPr>
              <w:spacing w:before="60" w:after="60" w:line="260" w:lineRule="exact"/>
              <w:rPr>
                <w:b/>
                <w:bCs/>
                <w:rtl/>
                <w:lang w:bidi="ar-EG"/>
              </w:rPr>
            </w:pPr>
            <w:r w:rsidRPr="007B0AA0">
              <w:rPr>
                <w:rFonts w:hint="cs"/>
                <w:b/>
                <w:bCs/>
                <w:rtl/>
                <w:lang w:bidi="ar-EG"/>
              </w:rPr>
              <w:t>الأصل: بالإنكليزية</w:t>
            </w:r>
          </w:p>
        </w:tc>
      </w:tr>
      <w:tr w:rsidR="007B0AA0" w14:paraId="62B0A392" w14:textId="77777777" w:rsidTr="00F363FE">
        <w:tc>
          <w:tcPr>
            <w:tcW w:w="6512" w:type="dxa"/>
          </w:tcPr>
          <w:p w14:paraId="354C66FE" w14:textId="77777777" w:rsidR="007B0AA0" w:rsidRDefault="007B0AA0" w:rsidP="00F363FE">
            <w:pPr>
              <w:spacing w:before="60" w:after="60" w:line="260" w:lineRule="exact"/>
              <w:rPr>
                <w:lang w:bidi="ar-EG"/>
              </w:rPr>
            </w:pPr>
          </w:p>
        </w:tc>
        <w:tc>
          <w:tcPr>
            <w:tcW w:w="3117" w:type="dxa"/>
          </w:tcPr>
          <w:p w14:paraId="4F17E4C8" w14:textId="77777777" w:rsidR="007B0AA0" w:rsidRDefault="007B0AA0" w:rsidP="00F363FE">
            <w:pPr>
              <w:spacing w:before="60" w:after="60" w:line="260" w:lineRule="exact"/>
              <w:rPr>
                <w:rtl/>
                <w:lang w:bidi="ar-EG"/>
              </w:rPr>
            </w:pPr>
          </w:p>
        </w:tc>
      </w:tr>
      <w:tr w:rsidR="007B0AA0" w14:paraId="2479E7DB" w14:textId="77777777" w:rsidTr="00EE7446">
        <w:tc>
          <w:tcPr>
            <w:tcW w:w="9629" w:type="dxa"/>
            <w:gridSpan w:val="2"/>
          </w:tcPr>
          <w:p w14:paraId="2D800CDB" w14:textId="77777777" w:rsidR="007B0AA0" w:rsidRDefault="001D64C7" w:rsidP="007B0AA0">
            <w:pPr>
              <w:pStyle w:val="Source"/>
              <w:jc w:val="left"/>
              <w:rPr>
                <w:lang w:bidi="ar-EG"/>
              </w:rPr>
            </w:pPr>
            <w:r>
              <w:rPr>
                <w:rFonts w:hint="cs"/>
                <w:rtl/>
                <w:lang w:bidi="ar-EG"/>
              </w:rPr>
              <w:t>تقرير من الأمينة العامة</w:t>
            </w:r>
          </w:p>
        </w:tc>
      </w:tr>
      <w:tr w:rsidR="007B0AA0" w14:paraId="3A6885FE" w14:textId="77777777" w:rsidTr="007B0AA0">
        <w:tc>
          <w:tcPr>
            <w:tcW w:w="9629" w:type="dxa"/>
            <w:gridSpan w:val="2"/>
            <w:tcBorders>
              <w:bottom w:val="single" w:sz="4" w:space="0" w:color="auto"/>
            </w:tcBorders>
          </w:tcPr>
          <w:p w14:paraId="73C07C2B" w14:textId="29E773E3" w:rsidR="007B0AA0" w:rsidRPr="005546CF" w:rsidRDefault="003A29E7" w:rsidP="003A29E7">
            <w:pPr>
              <w:pStyle w:val="Subtitle0"/>
              <w:rPr>
                <w:sz w:val="32"/>
                <w:szCs w:val="32"/>
              </w:rPr>
            </w:pPr>
            <w:r w:rsidRPr="003A29E7">
              <w:rPr>
                <w:sz w:val="32"/>
                <w:szCs w:val="32"/>
                <w:rtl/>
                <w:lang w:bidi="ar-SY"/>
              </w:rPr>
              <w:t>تقارير وحدة التفتيش المشتركة بشأن المسائل المتعلقة</w:t>
            </w:r>
            <w:r w:rsidRPr="003A29E7">
              <w:rPr>
                <w:rFonts w:hint="cs"/>
                <w:sz w:val="32"/>
                <w:szCs w:val="32"/>
                <w:rtl/>
                <w:lang w:bidi="ar-SY"/>
              </w:rPr>
              <w:t xml:space="preserve"> </w:t>
            </w:r>
            <w:r w:rsidRPr="003A29E7">
              <w:rPr>
                <w:sz w:val="32"/>
                <w:szCs w:val="32"/>
                <w:rtl/>
                <w:lang w:bidi="ar-SY"/>
              </w:rPr>
              <w:t>بمنظومة</w:t>
            </w:r>
            <w:r w:rsidRPr="003A29E7">
              <w:rPr>
                <w:rFonts w:hint="cs"/>
                <w:sz w:val="32"/>
                <w:szCs w:val="32"/>
                <w:rtl/>
                <w:lang w:bidi="ar-SY"/>
              </w:rPr>
              <w:t xml:space="preserve"> </w:t>
            </w:r>
            <w:r w:rsidRPr="003A29E7">
              <w:rPr>
                <w:sz w:val="32"/>
                <w:szCs w:val="32"/>
                <w:rtl/>
                <w:lang w:bidi="ar-SY"/>
              </w:rPr>
              <w:t>الأمم</w:t>
            </w:r>
            <w:r w:rsidRPr="003A29E7">
              <w:rPr>
                <w:rFonts w:hint="cs"/>
                <w:sz w:val="32"/>
                <w:szCs w:val="32"/>
                <w:rtl/>
                <w:lang w:bidi="ar-SY"/>
              </w:rPr>
              <w:t xml:space="preserve"> </w:t>
            </w:r>
            <w:r w:rsidRPr="003A29E7">
              <w:rPr>
                <w:sz w:val="32"/>
                <w:szCs w:val="32"/>
                <w:rtl/>
                <w:lang w:bidi="ar-SY"/>
              </w:rPr>
              <w:t>المتحدة</w:t>
            </w:r>
            <w:r w:rsidRPr="003A29E7">
              <w:rPr>
                <w:rFonts w:hint="cs"/>
                <w:sz w:val="32"/>
                <w:szCs w:val="32"/>
                <w:rtl/>
                <w:lang w:bidi="ar-SY"/>
              </w:rPr>
              <w:t xml:space="preserve"> </w:t>
            </w:r>
            <w:r w:rsidRPr="003A29E7">
              <w:rPr>
                <w:sz w:val="32"/>
                <w:szCs w:val="32"/>
                <w:rtl/>
                <w:lang w:bidi="ar-SY"/>
              </w:rPr>
              <w:t>ككل في</w:t>
            </w:r>
            <w:r w:rsidRPr="003A29E7">
              <w:rPr>
                <w:rFonts w:hint="cs"/>
                <w:sz w:val="32"/>
                <w:szCs w:val="32"/>
                <w:rtl/>
                <w:lang w:bidi="ar-SY"/>
              </w:rPr>
              <w:t> </w:t>
            </w:r>
            <w:r w:rsidRPr="003A29E7">
              <w:rPr>
                <w:sz w:val="32"/>
                <w:szCs w:val="32"/>
                <w:rtl/>
                <w:lang w:bidi="ar-SY"/>
              </w:rPr>
              <w:t>الفترة 202</w:t>
            </w:r>
            <w:r w:rsidRPr="003A29E7">
              <w:rPr>
                <w:rFonts w:hint="cs"/>
                <w:sz w:val="32"/>
                <w:szCs w:val="32"/>
                <w:rtl/>
                <w:lang w:bidi="ar-SY"/>
              </w:rPr>
              <w:t>3</w:t>
            </w:r>
            <w:r w:rsidRPr="003A29E7">
              <w:rPr>
                <w:sz w:val="32"/>
                <w:szCs w:val="32"/>
                <w:rtl/>
                <w:lang w:bidi="ar-SY"/>
              </w:rPr>
              <w:t>-202</w:t>
            </w:r>
            <w:r w:rsidRPr="003A29E7">
              <w:rPr>
                <w:rFonts w:hint="cs"/>
                <w:sz w:val="32"/>
                <w:szCs w:val="32"/>
                <w:rtl/>
                <w:lang w:bidi="ar-SY"/>
              </w:rPr>
              <w:t>4</w:t>
            </w:r>
            <w:r w:rsidRPr="003A29E7">
              <w:rPr>
                <w:sz w:val="32"/>
                <w:szCs w:val="32"/>
                <w:rtl/>
                <w:lang w:bidi="ar-SY"/>
              </w:rPr>
              <w:t xml:space="preserve"> وتوصيات الوحدة </w:t>
            </w:r>
            <w:r w:rsidRPr="003A29E7">
              <w:rPr>
                <w:rFonts w:hint="cs"/>
                <w:sz w:val="32"/>
                <w:szCs w:val="32"/>
                <w:rtl/>
                <w:lang w:bidi="ar-SY"/>
              </w:rPr>
              <w:t>ل</w:t>
            </w:r>
            <w:r w:rsidRPr="003A29E7">
              <w:rPr>
                <w:sz w:val="32"/>
                <w:szCs w:val="32"/>
                <w:rtl/>
                <w:lang w:bidi="ar-SY"/>
              </w:rPr>
              <w:t>لهيئات التشريعية</w:t>
            </w:r>
          </w:p>
        </w:tc>
      </w:tr>
      <w:tr w:rsidR="007B0AA0" w14:paraId="79D5C82B" w14:textId="77777777" w:rsidTr="007B0AA0">
        <w:tc>
          <w:tcPr>
            <w:tcW w:w="9629" w:type="dxa"/>
            <w:gridSpan w:val="2"/>
            <w:tcBorders>
              <w:top w:val="single" w:sz="4" w:space="0" w:color="auto"/>
              <w:bottom w:val="single" w:sz="4" w:space="0" w:color="auto"/>
            </w:tcBorders>
          </w:tcPr>
          <w:p w14:paraId="56E92B3A" w14:textId="59832C5E" w:rsidR="007B0AA0" w:rsidRPr="007B0AA0" w:rsidRDefault="007B0AA0" w:rsidP="007B0AA0">
            <w:pPr>
              <w:rPr>
                <w:b/>
                <w:bCs/>
                <w:rtl/>
                <w:lang w:bidi="ar-EG"/>
              </w:rPr>
            </w:pPr>
            <w:r w:rsidRPr="007B0AA0">
              <w:rPr>
                <w:rFonts w:hint="cs"/>
                <w:b/>
                <w:bCs/>
                <w:rtl/>
              </w:rPr>
              <w:t>الغرض</w:t>
            </w:r>
          </w:p>
          <w:p w14:paraId="4A2C34A0" w14:textId="308E35F7" w:rsidR="007B0AA0" w:rsidRDefault="003A29E7" w:rsidP="003A29E7">
            <w:pPr>
              <w:rPr>
                <w:rtl/>
              </w:rPr>
            </w:pPr>
            <w:r w:rsidRPr="003A29E7">
              <w:rPr>
                <w:rtl/>
                <w:lang w:bidi="ar-SY"/>
              </w:rPr>
              <w:t>تعرض هذه الوثيقة جدولا</w:t>
            </w:r>
            <w:r w:rsidR="009D10CF">
              <w:rPr>
                <w:rFonts w:hint="cs"/>
                <w:rtl/>
                <w:lang w:bidi="ar-SY"/>
              </w:rPr>
              <w:t xml:space="preserve">ً </w:t>
            </w:r>
            <w:r w:rsidRPr="003A29E7">
              <w:rPr>
                <w:rtl/>
                <w:lang w:bidi="ar-SY"/>
              </w:rPr>
              <w:t>موجزا</w:t>
            </w:r>
            <w:r w:rsidR="00032E96">
              <w:rPr>
                <w:rFonts w:hint="cs"/>
                <w:rtl/>
                <w:lang w:bidi="ar-SY"/>
              </w:rPr>
              <w:t>ً</w:t>
            </w:r>
            <w:r w:rsidRPr="003A29E7">
              <w:rPr>
                <w:rtl/>
                <w:lang w:bidi="ar-SY"/>
              </w:rPr>
              <w:t xml:space="preserve"> لتقارير وحدة التفتيش المشتركة المنبثقة عن برنامج العمل </w:t>
            </w:r>
            <w:r w:rsidRPr="003A29E7">
              <w:rPr>
                <w:cs/>
                <w:lang w:bidi="ar-SY"/>
              </w:rPr>
              <w:t>‎</w:t>
            </w:r>
            <w:r w:rsidRPr="003A29E7">
              <w:t>2024/2023</w:t>
            </w:r>
            <w:r w:rsidRPr="003A29E7">
              <w:rPr>
                <w:rtl/>
                <w:lang w:bidi="ar-SY"/>
              </w:rPr>
              <w:t xml:space="preserve"> </w:t>
            </w:r>
            <w:r w:rsidRPr="003A29E7">
              <w:rPr>
                <w:rFonts w:hint="cs"/>
                <w:rtl/>
              </w:rPr>
              <w:t>و</w:t>
            </w:r>
            <w:r w:rsidRPr="003A29E7">
              <w:rPr>
                <w:rtl/>
                <w:lang w:bidi="ar-SY"/>
              </w:rPr>
              <w:t xml:space="preserve">‏المتاحة منذ دورة </w:t>
            </w:r>
            <w:r w:rsidRPr="003A29E7">
              <w:rPr>
                <w:rFonts w:hint="cs"/>
                <w:rtl/>
                <w:lang w:bidi="ar-SY"/>
              </w:rPr>
              <w:t>ا</w:t>
            </w:r>
            <w:r w:rsidRPr="003A29E7">
              <w:rPr>
                <w:rtl/>
                <w:lang w:bidi="ar-SY"/>
              </w:rPr>
              <w:t>لمجلس</w:t>
            </w:r>
            <w:r w:rsidRPr="003A29E7">
              <w:rPr>
                <w:rFonts w:hint="cs"/>
                <w:rtl/>
                <w:lang w:bidi="ar-SY"/>
              </w:rPr>
              <w:t xml:space="preserve"> </w:t>
            </w:r>
            <w:r w:rsidRPr="003A29E7">
              <w:rPr>
                <w:rtl/>
                <w:lang w:bidi="ar-SY"/>
              </w:rPr>
              <w:t>الأخيرة، وت</w:t>
            </w:r>
            <w:r w:rsidRPr="003A29E7">
              <w:rPr>
                <w:rFonts w:hint="cs"/>
                <w:rtl/>
                <w:lang w:bidi="ar-SY"/>
              </w:rPr>
              <w:t>تطرق بالتفصيل</w:t>
            </w:r>
            <w:r w:rsidRPr="003A29E7">
              <w:rPr>
                <w:rtl/>
                <w:lang w:bidi="ar-SY"/>
              </w:rPr>
              <w:t xml:space="preserve"> </w:t>
            </w:r>
            <w:r w:rsidRPr="003A29E7">
              <w:rPr>
                <w:rFonts w:hint="cs"/>
                <w:rtl/>
                <w:lang w:bidi="ar-SY"/>
              </w:rPr>
              <w:t xml:space="preserve">إلى </w:t>
            </w:r>
            <w:r w:rsidRPr="003A29E7">
              <w:rPr>
                <w:rtl/>
                <w:lang w:bidi="ar-SY"/>
              </w:rPr>
              <w:t xml:space="preserve">مجموعة التوصيات الموجهة إلى الهيئات الإدارية للاتحاد، </w:t>
            </w:r>
            <w:r w:rsidRPr="003A29E7">
              <w:rPr>
                <w:rFonts w:hint="cs"/>
                <w:rtl/>
                <w:lang w:bidi="ar-SY"/>
              </w:rPr>
              <w:t>وكذلك</w:t>
            </w:r>
            <w:r w:rsidRPr="003A29E7">
              <w:rPr>
                <w:rtl/>
                <w:lang w:bidi="ar-SY"/>
              </w:rPr>
              <w:t xml:space="preserve"> تعليقات من الأمانة، حيث</w:t>
            </w:r>
            <w:r w:rsidRPr="003A29E7">
              <w:rPr>
                <w:rFonts w:hint="cs"/>
                <w:rtl/>
                <w:lang w:bidi="ar-SY"/>
              </w:rPr>
              <w:t>ما انطبق الأمر</w:t>
            </w:r>
            <w:r w:rsidRPr="003A29E7">
              <w:rPr>
                <w:rFonts w:hint="cs"/>
                <w:rtl/>
                <w:lang w:bidi="ar-EG"/>
              </w:rPr>
              <w:t>. وترد</w:t>
            </w:r>
            <w:r w:rsidRPr="003A29E7">
              <w:rPr>
                <w:rtl/>
                <w:lang w:bidi="ar-SY"/>
              </w:rPr>
              <w:t xml:space="preserve"> روابط للتقارير الكاملة، وأبرز النقاط الموجزة، </w:t>
            </w:r>
            <w:r w:rsidRPr="003A29E7">
              <w:rPr>
                <w:cs/>
                <w:lang w:bidi="ar-SY"/>
              </w:rPr>
              <w:t>‎</w:t>
            </w:r>
            <w:r w:rsidRPr="003A29E7">
              <w:rPr>
                <w:rFonts w:hint="cs"/>
                <w:rtl/>
                <w:lang w:bidi="ar-SY"/>
              </w:rPr>
              <w:t>و</w:t>
            </w:r>
            <w:r w:rsidRPr="003A29E7">
              <w:rPr>
                <w:rtl/>
                <w:lang w:bidi="ar-SY"/>
              </w:rPr>
              <w:t>تعليقات</w:t>
            </w:r>
            <w:r w:rsidRPr="003A29E7">
              <w:rPr>
                <w:rFonts w:hint="cs"/>
                <w:rtl/>
                <w:lang w:bidi="ar-SY"/>
              </w:rPr>
              <w:t xml:space="preserve"> من </w:t>
            </w:r>
            <w:r w:rsidRPr="003A29E7">
              <w:rPr>
                <w:rtl/>
                <w:lang w:bidi="ar-SY"/>
              </w:rPr>
              <w:t xml:space="preserve">مجلس الرؤساء التنفيذيين، حيثما </w:t>
            </w:r>
            <w:r w:rsidRPr="003A29E7">
              <w:rPr>
                <w:rFonts w:hint="cs"/>
                <w:rtl/>
                <w:lang w:bidi="ar-SY"/>
              </w:rPr>
              <w:t>أتيح ذلك.</w:t>
            </w:r>
          </w:p>
          <w:p w14:paraId="1CEBAED3" w14:textId="77777777" w:rsidR="007B0AA0" w:rsidRPr="007B0AA0" w:rsidRDefault="007B0AA0" w:rsidP="007B0AA0">
            <w:pPr>
              <w:rPr>
                <w:b/>
                <w:bCs/>
                <w:rtl/>
              </w:rPr>
            </w:pPr>
            <w:r w:rsidRPr="007B0AA0">
              <w:rPr>
                <w:rFonts w:hint="cs"/>
                <w:b/>
                <w:bCs/>
                <w:rtl/>
              </w:rPr>
              <w:t>الإجراء المطلوب من المجلس</w:t>
            </w:r>
          </w:p>
          <w:p w14:paraId="189EA02F" w14:textId="0A9AEA25" w:rsidR="007B0AA0" w:rsidRPr="00F25214" w:rsidRDefault="003A29E7" w:rsidP="003A29E7">
            <w:pPr>
              <w:rPr>
                <w:rtl/>
              </w:rPr>
            </w:pPr>
            <w:r w:rsidRPr="003A29E7">
              <w:rPr>
                <w:rtl/>
              </w:rPr>
              <w:t>ي</w:t>
            </w:r>
            <w:r w:rsidR="006C6E28">
              <w:rPr>
                <w:rFonts w:hint="cs"/>
                <w:rtl/>
              </w:rPr>
              <w:t>ُ</w:t>
            </w:r>
            <w:r w:rsidRPr="003A29E7">
              <w:rPr>
                <w:rtl/>
              </w:rPr>
              <w:t>دعى المجلس إلى</w:t>
            </w:r>
            <w:r w:rsidRPr="003A29E7">
              <w:rPr>
                <w:b/>
                <w:bCs/>
                <w:rtl/>
              </w:rPr>
              <w:t xml:space="preserve"> النظر</w:t>
            </w:r>
            <w:r w:rsidRPr="003A29E7">
              <w:rPr>
                <w:rtl/>
              </w:rPr>
              <w:t xml:space="preserve"> في </w:t>
            </w:r>
            <w:r w:rsidRPr="002B7B06">
              <w:rPr>
                <w:rtl/>
              </w:rPr>
              <w:t>التوصيات الست</w:t>
            </w:r>
            <w:r w:rsidRPr="003A29E7">
              <w:rPr>
                <w:rtl/>
              </w:rPr>
              <w:t xml:space="preserve"> الموجهة إلى الهيئات التشريعية (التوصية </w:t>
            </w:r>
            <w:r w:rsidRPr="003A29E7">
              <w:rPr>
                <w:cs/>
              </w:rPr>
              <w:t>‎</w:t>
            </w:r>
            <w:r w:rsidRPr="003A29E7">
              <w:rPr>
                <w:rFonts w:hint="cs"/>
                <w:rtl/>
              </w:rPr>
              <w:t>5</w:t>
            </w:r>
            <w:r w:rsidRPr="003A29E7">
              <w:rPr>
                <w:rtl/>
              </w:rPr>
              <w:t xml:space="preserve"> ‏بشأن استعراض تنفيذ مبدأ الاعتراف المتبادل؛ والتوصيتان </w:t>
            </w:r>
            <w:r w:rsidRPr="003A29E7">
              <w:rPr>
                <w:cs/>
              </w:rPr>
              <w:t>‎</w:t>
            </w:r>
            <w:r w:rsidRPr="003A29E7">
              <w:t>2</w:t>
            </w:r>
            <w:r w:rsidRPr="003A29E7">
              <w:rPr>
                <w:rtl/>
              </w:rPr>
              <w:t xml:space="preserve"> ‏و</w:t>
            </w:r>
            <w:r w:rsidRPr="003A29E7">
              <w:rPr>
                <w:cs/>
              </w:rPr>
              <w:t>‎</w:t>
            </w:r>
            <w:r w:rsidRPr="003A29E7">
              <w:t>3</w:t>
            </w:r>
            <w:r w:rsidRPr="003A29E7">
              <w:rPr>
                <w:rtl/>
              </w:rPr>
              <w:t xml:space="preserve"> ‏بشأن استعراض إعداد الميزانية</w:t>
            </w:r>
            <w:r w:rsidRPr="003A29E7">
              <w:rPr>
                <w:rFonts w:hint="cs"/>
                <w:rtl/>
              </w:rPr>
              <w:t xml:space="preserve"> </w:t>
            </w:r>
            <w:r w:rsidRPr="003A29E7">
              <w:rPr>
                <w:rtl/>
              </w:rPr>
              <w:t xml:space="preserve">في منظمات منظومة الأمم المتحدة؛ والتوصية </w:t>
            </w:r>
            <w:r w:rsidRPr="003A29E7">
              <w:rPr>
                <w:cs/>
              </w:rPr>
              <w:t>‎</w:t>
            </w:r>
            <w:r w:rsidRPr="003A29E7">
              <w:t>2</w:t>
            </w:r>
            <w:r w:rsidRPr="003A29E7">
              <w:rPr>
                <w:rtl/>
              </w:rPr>
              <w:t xml:space="preserve"> ‏بشأن استعراض تقارير وتوصيات وحدة التفتيش المشتركة </w:t>
            </w:r>
            <w:r w:rsidRPr="003A29E7">
              <w:rPr>
                <w:rFonts w:hint="cs"/>
                <w:rtl/>
              </w:rPr>
              <w:t>و</w:t>
            </w:r>
            <w:r w:rsidRPr="003A29E7">
              <w:rPr>
                <w:rtl/>
              </w:rPr>
              <w:t>النظر في</w:t>
            </w:r>
            <w:r w:rsidRPr="003A29E7">
              <w:rPr>
                <w:rFonts w:hint="cs"/>
                <w:rtl/>
                <w:lang w:bidi="ar-EG"/>
              </w:rPr>
              <w:t>ها والإجراءات المتخَذة بشأنها</w:t>
            </w:r>
            <w:r w:rsidRPr="003A29E7">
              <w:rPr>
                <w:rtl/>
              </w:rPr>
              <w:t xml:space="preserve">؛ والتوصية </w:t>
            </w:r>
            <w:r w:rsidRPr="003A29E7">
              <w:rPr>
                <w:cs/>
              </w:rPr>
              <w:t>‎</w:t>
            </w:r>
            <w:r w:rsidRPr="003A29E7">
              <w:t>7</w:t>
            </w:r>
            <w:r w:rsidRPr="003A29E7">
              <w:rPr>
                <w:rtl/>
              </w:rPr>
              <w:t xml:space="preserve"> ‏ بشأن استعراض جودة </w:t>
            </w:r>
            <w:r w:rsidRPr="00F25214">
              <w:rPr>
                <w:rtl/>
              </w:rPr>
              <w:t xml:space="preserve">وفعالية وكفاءة واستدامة خطط التأمين الصحي؛ والتوصية </w:t>
            </w:r>
            <w:r w:rsidRPr="00F25214">
              <w:rPr>
                <w:cs/>
              </w:rPr>
              <w:t>‎</w:t>
            </w:r>
            <w:r w:rsidRPr="00F25214">
              <w:t>5</w:t>
            </w:r>
            <w:r w:rsidRPr="00F25214">
              <w:rPr>
                <w:rtl/>
              </w:rPr>
              <w:t xml:space="preserve"> ‏ بشأن استعراض </w:t>
            </w:r>
            <w:r w:rsidRPr="00F25214">
              <w:rPr>
                <w:rFonts w:hint="cs"/>
                <w:rtl/>
              </w:rPr>
              <w:t xml:space="preserve">استخدام </w:t>
            </w:r>
            <w:r w:rsidRPr="00F25214">
              <w:rPr>
                <w:rtl/>
              </w:rPr>
              <w:t>الأفراد من غير الموظفين وما يتصل ب</w:t>
            </w:r>
            <w:r w:rsidRPr="00F25214">
              <w:rPr>
                <w:rFonts w:hint="cs"/>
                <w:rtl/>
              </w:rPr>
              <w:t>ذلك</w:t>
            </w:r>
            <w:r w:rsidRPr="00F25214">
              <w:rPr>
                <w:rtl/>
              </w:rPr>
              <w:t xml:space="preserve"> من </w:t>
            </w:r>
            <w:r w:rsidRPr="00F25214">
              <w:rPr>
                <w:rFonts w:hint="cs"/>
                <w:rtl/>
              </w:rPr>
              <w:t>طرائق</w:t>
            </w:r>
            <w:r w:rsidRPr="00F25214">
              <w:rPr>
                <w:rtl/>
              </w:rPr>
              <w:t xml:space="preserve"> تعاقدية) و</w:t>
            </w:r>
            <w:r w:rsidRPr="00F25214">
              <w:rPr>
                <w:b/>
                <w:bCs/>
                <w:rtl/>
              </w:rPr>
              <w:t>البت</w:t>
            </w:r>
            <w:r w:rsidRPr="00F25214">
              <w:rPr>
                <w:rtl/>
              </w:rPr>
              <w:t xml:space="preserve"> في قبولها.</w:t>
            </w:r>
            <w:r w:rsidRPr="00F25214">
              <w:rPr>
                <w:cs/>
              </w:rPr>
              <w:t>‎</w:t>
            </w:r>
          </w:p>
          <w:p w14:paraId="1873E226" w14:textId="78B90C2D" w:rsidR="007B0AA0" w:rsidRPr="00F25214" w:rsidRDefault="00F25214" w:rsidP="007B0AA0">
            <w:pPr>
              <w:rPr>
                <w:b/>
                <w:bCs/>
                <w:rtl/>
              </w:rPr>
            </w:pPr>
            <w:r w:rsidRPr="00F25214">
              <w:rPr>
                <w:rFonts w:hint="cs"/>
                <w:b/>
                <w:bCs/>
                <w:rtl/>
              </w:rPr>
              <w:t>الروابط ذات</w:t>
            </w:r>
            <w:r w:rsidR="007B0AA0" w:rsidRPr="00F25214">
              <w:rPr>
                <w:b/>
                <w:bCs/>
                <w:rtl/>
              </w:rPr>
              <w:t xml:space="preserve"> الصلة بالخطة ال</w:t>
            </w:r>
            <w:r w:rsidR="007B0AA0" w:rsidRPr="00F25214">
              <w:rPr>
                <w:rFonts w:hint="cs"/>
                <w:b/>
                <w:bCs/>
                <w:rtl/>
              </w:rPr>
              <w:t>ا</w:t>
            </w:r>
            <w:r w:rsidR="007B0AA0" w:rsidRPr="00F25214">
              <w:rPr>
                <w:b/>
                <w:bCs/>
                <w:rtl/>
              </w:rPr>
              <w:t>ستراتيجية</w:t>
            </w:r>
          </w:p>
          <w:p w14:paraId="30B792B0" w14:textId="24AD0863" w:rsidR="007B0AA0" w:rsidRPr="00F25214" w:rsidRDefault="003A29E7" w:rsidP="003A29E7">
            <w:pPr>
              <w:rPr>
                <w:rtl/>
              </w:rPr>
            </w:pPr>
            <w:r w:rsidRPr="00F25214">
              <w:rPr>
                <w:rtl/>
              </w:rPr>
              <w:t xml:space="preserve">التميز في مجال الموارد البشرية والابتكار </w:t>
            </w:r>
            <w:r w:rsidRPr="00F25214">
              <w:rPr>
                <w:rFonts w:hint="cs"/>
                <w:rtl/>
              </w:rPr>
              <w:t>المؤسسي.</w:t>
            </w:r>
          </w:p>
          <w:p w14:paraId="0D833D56" w14:textId="77777777" w:rsidR="007B0AA0" w:rsidRDefault="007B0AA0" w:rsidP="00B97F32">
            <w:pPr>
              <w:rPr>
                <w:b/>
                <w:bCs/>
              </w:rPr>
            </w:pPr>
            <w:r w:rsidRPr="00F25214">
              <w:rPr>
                <w:rFonts w:hint="cs"/>
                <w:b/>
                <w:bCs/>
                <w:rtl/>
              </w:rPr>
              <w:t>الآثار المالية</w:t>
            </w:r>
          </w:p>
          <w:p w14:paraId="7ED4C615" w14:textId="2514CDA2" w:rsidR="006F363C" w:rsidRPr="005546CF" w:rsidRDefault="003A29E7" w:rsidP="003A29E7">
            <w:pPr>
              <w:rPr>
                <w:rtl/>
              </w:rPr>
            </w:pPr>
            <w:r w:rsidRPr="003A29E7">
              <w:rPr>
                <w:rtl/>
              </w:rPr>
              <w:t>‏لا آثار مالية</w:t>
            </w:r>
            <w:r w:rsidRPr="003A29E7">
              <w:rPr>
                <w:rFonts w:hint="cs"/>
                <w:rtl/>
              </w:rPr>
              <w:t>،</w:t>
            </w:r>
            <w:r w:rsidRPr="003A29E7">
              <w:rPr>
                <w:rtl/>
              </w:rPr>
              <w:t xml:space="preserve"> وينبغي تنفيذها في حدود الموارد المالية والبشرية الحالية</w:t>
            </w:r>
            <w:r w:rsidRPr="003A29E7">
              <w:rPr>
                <w:cs/>
              </w:rPr>
              <w:t>‎</w:t>
            </w:r>
            <w:r w:rsidRPr="003A29E7">
              <w:rPr>
                <w:rFonts w:hint="cs"/>
                <w:rtl/>
                <w:cs/>
              </w:rPr>
              <w:t>.</w:t>
            </w:r>
          </w:p>
          <w:p w14:paraId="43C01C86" w14:textId="77777777" w:rsidR="007B0AA0" w:rsidRPr="007B0AA0" w:rsidRDefault="007B0AA0" w:rsidP="007B0AA0">
            <w:pPr>
              <w:rPr>
                <w:rFonts w:ascii="Traditional Arabic" w:hAnsi="Traditional Arabic" w:cs="Traditional Arabic"/>
                <w:sz w:val="30"/>
                <w:szCs w:val="30"/>
                <w:rtl/>
              </w:rPr>
            </w:pPr>
            <w:r w:rsidRPr="007B0AA0">
              <w:rPr>
                <w:rFonts w:ascii="Traditional Arabic" w:hAnsi="Traditional Arabic" w:cs="Traditional Arabic"/>
                <w:sz w:val="30"/>
                <w:szCs w:val="30"/>
                <w:rtl/>
              </w:rPr>
              <w:t>___________</w:t>
            </w:r>
          </w:p>
          <w:p w14:paraId="3C131520" w14:textId="77777777" w:rsidR="007B0AA0" w:rsidRPr="007B0AA0" w:rsidRDefault="007B0AA0" w:rsidP="007B0AA0">
            <w:pPr>
              <w:rPr>
                <w:b/>
                <w:bCs/>
                <w:rtl/>
              </w:rPr>
            </w:pPr>
            <w:r w:rsidRPr="007B0AA0">
              <w:rPr>
                <w:rFonts w:hint="cs"/>
                <w:b/>
                <w:bCs/>
                <w:rtl/>
              </w:rPr>
              <w:t>المراجع</w:t>
            </w:r>
          </w:p>
          <w:p w14:paraId="431E3B4D" w14:textId="6CB91C70" w:rsidR="007B0AA0" w:rsidRPr="005546CF" w:rsidRDefault="003A29E7" w:rsidP="00336CAE">
            <w:pPr>
              <w:spacing w:after="120"/>
              <w:rPr>
                <w:i/>
                <w:iCs/>
                <w:rtl/>
              </w:rPr>
            </w:pPr>
            <w:hyperlink r:id="rId8" w:history="1">
              <w:r w:rsidRPr="00943521">
                <w:rPr>
                  <w:rStyle w:val="Hyperlink"/>
                  <w:rFonts w:ascii="Dubai" w:eastAsiaTheme="minorEastAsia" w:hAnsi="Dubai" w:cs="Dubai"/>
                  <w:i/>
                  <w:iCs/>
                  <w:noProof w:val="0"/>
                  <w:sz w:val="22"/>
                  <w:rtl/>
                  <w:lang w:val="en-US" w:eastAsia="zh-CN"/>
                </w:rPr>
                <w:t>‏</w:t>
              </w:r>
              <w:r w:rsidR="00E643E1">
                <w:rPr>
                  <w:rStyle w:val="Hyperlink"/>
                  <w:rFonts w:ascii="Dubai" w:eastAsiaTheme="minorEastAsia" w:hAnsi="Dubai" w:cs="Dubai" w:hint="cs"/>
                  <w:i/>
                  <w:iCs/>
                  <w:noProof w:val="0"/>
                  <w:sz w:val="22"/>
                  <w:rtl/>
                  <w:lang w:val="en-US" w:eastAsia="zh-CN"/>
                </w:rPr>
                <w:t>ت</w:t>
              </w:r>
              <w:r w:rsidR="00E643E1">
                <w:rPr>
                  <w:rStyle w:val="Hyperlink"/>
                  <w:rFonts w:ascii="Dubai" w:hAnsi="Dubai" w:cs="Dubai" w:hint="cs"/>
                  <w:i/>
                  <w:iCs/>
                  <w:rtl/>
                </w:rPr>
                <w:t>قارير المجلس</w:t>
              </w:r>
            </w:hyperlink>
            <w:r w:rsidR="00E643E1">
              <w:rPr>
                <w:rFonts w:hint="cs"/>
                <w:rtl/>
              </w:rPr>
              <w:t xml:space="preserve"> </w:t>
            </w:r>
            <w:hyperlink r:id="rId9" w:history="1">
              <w:r w:rsidR="007E40A1" w:rsidRPr="007E40A1">
                <w:rPr>
                  <w:rStyle w:val="Hyperlink"/>
                  <w:rFonts w:ascii="Dubai" w:eastAsiaTheme="minorEastAsia" w:hAnsi="Dubai" w:cs="Dubai"/>
                  <w:i/>
                  <w:iCs/>
                  <w:noProof w:val="0"/>
                  <w:sz w:val="22"/>
                  <w:lang w:eastAsia="zh-CN"/>
                </w:rPr>
                <w:t>C24/57</w:t>
              </w:r>
            </w:hyperlink>
            <w:r w:rsidRPr="003A29E7">
              <w:rPr>
                <w:i/>
                <w:iCs/>
                <w:rtl/>
              </w:rPr>
              <w:t xml:space="preserve">‏؛ </w:t>
            </w:r>
            <w:hyperlink r:id="rId10" w:history="1">
              <w:r w:rsidRPr="00943521">
                <w:rPr>
                  <w:rStyle w:val="Hyperlink"/>
                  <w:rFonts w:ascii="Dubai" w:eastAsiaTheme="minorEastAsia" w:hAnsi="Dubai" w:cs="Dubai"/>
                  <w:i/>
                  <w:iCs/>
                  <w:noProof w:val="0"/>
                  <w:sz w:val="22"/>
                  <w:cs/>
                  <w:lang w:val="en-US" w:eastAsia="zh-CN"/>
                </w:rPr>
                <w:t>‎</w:t>
              </w:r>
              <w:hyperlink r:id="rId11" w:history="1">
                <w:r w:rsidR="007E40A1" w:rsidRPr="007E40A1">
                  <w:rPr>
                    <w:rStyle w:val="Hyperlink"/>
                    <w:rFonts w:ascii="Dubai" w:eastAsiaTheme="minorEastAsia" w:hAnsi="Dubai" w:cs="Dubai"/>
                    <w:i/>
                    <w:iCs/>
                    <w:noProof w:val="0"/>
                    <w:sz w:val="22"/>
                    <w:lang w:eastAsia="zh-CN"/>
                  </w:rPr>
                  <w:t>C23/57</w:t>
                </w:r>
              </w:hyperlink>
            </w:hyperlink>
            <w:r w:rsidRPr="003A29E7">
              <w:rPr>
                <w:i/>
                <w:iCs/>
                <w:rtl/>
              </w:rPr>
              <w:t>؛</w:t>
            </w:r>
            <w:r w:rsidR="007E40A1">
              <w:rPr>
                <w:rFonts w:hint="cs"/>
                <w:i/>
                <w:iCs/>
                <w:rtl/>
              </w:rPr>
              <w:t xml:space="preserve"> </w:t>
            </w:r>
            <w:hyperlink r:id="rId12" w:history="1">
              <w:r w:rsidR="007E40A1" w:rsidRPr="007E40A1">
                <w:rPr>
                  <w:rStyle w:val="Hyperlink"/>
                  <w:rFonts w:ascii="Dubai" w:eastAsiaTheme="minorEastAsia" w:hAnsi="Dubai" w:cs="Dubai"/>
                  <w:i/>
                  <w:iCs/>
                  <w:noProof w:val="0"/>
                  <w:sz w:val="22"/>
                  <w:lang w:eastAsia="zh-CN"/>
                </w:rPr>
                <w:t>C22/61</w:t>
              </w:r>
            </w:hyperlink>
            <w:r w:rsidRPr="003A29E7">
              <w:rPr>
                <w:i/>
                <w:iCs/>
                <w:rtl/>
              </w:rPr>
              <w:t xml:space="preserve"> </w:t>
            </w:r>
            <w:hyperlink r:id="rId13" w:history="1">
              <w:r w:rsidRPr="00943521">
                <w:rPr>
                  <w:rStyle w:val="Hyperlink"/>
                  <w:rFonts w:ascii="Dubai" w:eastAsiaTheme="minorEastAsia" w:hAnsi="Dubai" w:cs="Dubai"/>
                  <w:i/>
                  <w:iCs/>
                  <w:noProof w:val="0"/>
                  <w:sz w:val="22"/>
                  <w:cs/>
                  <w:lang w:val="en-US" w:eastAsia="zh-CN"/>
                </w:rPr>
                <w:t>‎</w:t>
              </w:r>
            </w:hyperlink>
            <w:r w:rsidR="007E40A1" w:rsidRPr="005546CF">
              <w:rPr>
                <w:i/>
                <w:iCs/>
                <w:rtl/>
              </w:rPr>
              <w:t xml:space="preserve"> </w:t>
            </w:r>
          </w:p>
        </w:tc>
      </w:tr>
    </w:tbl>
    <w:p w14:paraId="196D199A" w14:textId="77777777" w:rsidR="00E61BE8" w:rsidRDefault="00E61BE8" w:rsidP="00E61BE8">
      <w:pPr>
        <w:rPr>
          <w:rtl/>
          <w:lang w:bidi="ar-EG"/>
        </w:rPr>
      </w:pPr>
    </w:p>
    <w:p w14:paraId="0456A9F0" w14:textId="77777777" w:rsidR="003A29E7" w:rsidRDefault="003A29E7" w:rsidP="00E61BE8">
      <w:pPr>
        <w:rPr>
          <w:rtl/>
          <w:lang w:bidi="ar-EG"/>
        </w:rPr>
        <w:sectPr w:rsidR="003A29E7" w:rsidSect="006F363C">
          <w:footerReference w:type="default" r:id="rId14"/>
          <w:headerReference w:type="first" r:id="rId15"/>
          <w:footerReference w:type="first" r:id="rId16"/>
          <w:type w:val="oddPage"/>
          <w:pgSz w:w="11907" w:h="16840" w:code="9"/>
          <w:pgMar w:top="1418" w:right="1418" w:bottom="1418" w:left="1418" w:header="709" w:footer="709" w:gutter="0"/>
          <w:cols w:space="708"/>
          <w:titlePg/>
          <w:docGrid w:linePitch="360"/>
        </w:sectPr>
      </w:pPr>
    </w:p>
    <w:p w14:paraId="1D0D6C35" w14:textId="77777777" w:rsidR="003A29E7" w:rsidRPr="003A29E7" w:rsidRDefault="003A29E7" w:rsidP="003A29E7">
      <w:pPr>
        <w:pStyle w:val="Annextitle"/>
        <w:rPr>
          <w:rtl/>
        </w:rPr>
      </w:pPr>
      <w:r w:rsidRPr="003A29E7">
        <w:rPr>
          <w:rtl/>
        </w:rPr>
        <w:lastRenderedPageBreak/>
        <w:t>تقارير وحدة التفتيش المشتركة ب</w:t>
      </w:r>
      <w:r w:rsidRPr="003A29E7">
        <w:rPr>
          <w:rFonts w:hint="cs"/>
          <w:rtl/>
          <w:lang w:bidi="ar-SA"/>
        </w:rPr>
        <w:t xml:space="preserve">شأن </w:t>
      </w:r>
      <w:r w:rsidRPr="003A29E7">
        <w:rPr>
          <w:rtl/>
        </w:rPr>
        <w:t xml:space="preserve">منظومة الأمم المتحدة ككل في الفترة </w:t>
      </w:r>
      <w:r w:rsidRPr="003A29E7">
        <w:rPr>
          <w:lang w:val="fr-CH" w:bidi="ar-EG"/>
        </w:rPr>
        <w:t>2024-2023</w:t>
      </w:r>
    </w:p>
    <w:tbl>
      <w:tblPr>
        <w:bidiVisual/>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98"/>
        <w:gridCol w:w="11596"/>
      </w:tblGrid>
      <w:tr w:rsidR="003A29E7" w:rsidRPr="003A29E7" w14:paraId="0E4EDD5B" w14:textId="77777777" w:rsidTr="00575C38">
        <w:trPr>
          <w:trHeight w:val="405"/>
          <w:jc w:val="center"/>
        </w:trPr>
        <w:tc>
          <w:tcPr>
            <w:tcW w:w="13994" w:type="dxa"/>
            <w:gridSpan w:val="2"/>
            <w:shd w:val="clear" w:color="auto" w:fill="FFFF00"/>
          </w:tcPr>
          <w:p w14:paraId="26FCE8E6" w14:textId="08D939EF" w:rsidR="003A29E7" w:rsidRPr="003A29E7" w:rsidRDefault="003A29E7" w:rsidP="003A29E7">
            <w:pPr>
              <w:pStyle w:val="Tablehead"/>
              <w:rPr>
                <w:lang w:bidi="ar-EG"/>
              </w:rPr>
            </w:pPr>
            <w:r w:rsidRPr="003A29E7">
              <w:rPr>
                <w:lang w:bidi="ar-EG"/>
              </w:rPr>
              <w:br w:type="page"/>
            </w:r>
            <w:r w:rsidRPr="003A29E7">
              <w:rPr>
                <w:lang w:bidi="ar-EG"/>
              </w:rPr>
              <w:br w:type="page"/>
            </w:r>
            <w:r w:rsidRPr="003A29E7">
              <w:rPr>
                <w:lang w:val="en-GB" w:bidi="ar-EG"/>
              </w:rPr>
              <w:t>JIU/REP/2024/4</w:t>
            </w:r>
            <w:r w:rsidR="008A582F">
              <w:rPr>
                <w:rFonts w:hint="cs"/>
                <w:rtl/>
                <w:lang w:val="en-GB" w:bidi="ar-EG"/>
              </w:rPr>
              <w:t xml:space="preserve"> </w:t>
            </w:r>
            <w:r w:rsidRPr="003A29E7">
              <w:rPr>
                <w:rtl/>
              </w:rPr>
              <w:t>‏</w:t>
            </w:r>
            <w:hyperlink r:id="rId17" w:history="1">
              <w:r w:rsidRPr="008A582F">
                <w:rPr>
                  <w:rStyle w:val="Hyperlink"/>
                  <w:rFonts w:ascii="Dubai" w:eastAsiaTheme="minorEastAsia" w:hAnsi="Dubai" w:cs="Dubai"/>
                  <w:noProof w:val="0"/>
                  <w:sz w:val="20"/>
                  <w:rtl/>
                  <w:lang w:val="en-US" w:eastAsia="zh-CN"/>
                </w:rPr>
                <w:t>استعراض تنفيذ مبدأ الاعتراف المتبادل ضمن منظومة الأمم المتحدة</w:t>
              </w:r>
            </w:hyperlink>
            <w:r w:rsidRPr="003A29E7">
              <w:rPr>
                <w:cs/>
              </w:rPr>
              <w:t>‎</w:t>
            </w:r>
            <w:r w:rsidRPr="003A29E7">
              <w:rPr>
                <w:rtl/>
              </w:rPr>
              <w:t xml:space="preserve"> </w:t>
            </w:r>
            <w:r w:rsidRPr="003A29E7">
              <w:rPr>
                <w:rtl/>
              </w:rPr>
              <w:br/>
            </w:r>
            <w:r w:rsidRPr="003A29E7">
              <w:rPr>
                <w:rFonts w:hint="cs"/>
                <w:rtl/>
              </w:rPr>
              <w:t xml:space="preserve">مسؤول الاتصال في الاتحاد: </w:t>
            </w:r>
            <w:r w:rsidRPr="003A29E7">
              <w:rPr>
                <w:lang w:bidi="ar-EG"/>
              </w:rPr>
              <w:t>Alassane Ba</w:t>
            </w:r>
          </w:p>
          <w:p w14:paraId="6ACB24C7" w14:textId="2BBC8F61" w:rsidR="003A29E7" w:rsidRPr="003A29E7" w:rsidRDefault="003A29E7" w:rsidP="003A29E7">
            <w:pPr>
              <w:pStyle w:val="Tablehead"/>
              <w:rPr>
                <w:lang w:bidi="ar-EG"/>
              </w:rPr>
            </w:pPr>
            <w:r w:rsidRPr="003A29E7">
              <w:rPr>
                <w:lang w:bidi="ar-EG"/>
              </w:rPr>
              <w:sym w:font="Symbol" w:char="F0B7"/>
            </w:r>
            <w:r w:rsidRPr="003A29E7">
              <w:rPr>
                <w:lang w:bidi="ar-EG"/>
              </w:rPr>
              <w:tab/>
            </w:r>
            <w:hyperlink r:id="rId18" w:history="1">
              <w:r w:rsidRPr="003A29E7">
                <w:rPr>
                  <w:rStyle w:val="Hyperlink"/>
                  <w:rFonts w:ascii="Dubai" w:eastAsiaTheme="minorEastAsia" w:hAnsi="Dubai" w:cs="Dubai" w:hint="cs"/>
                  <w:noProof w:val="0"/>
                  <w:sz w:val="22"/>
                  <w:rtl/>
                  <w:lang w:val="en-US" w:eastAsia="zh-CN"/>
                </w:rPr>
                <w:t>أبرز نقاط الاستعراض</w:t>
              </w:r>
            </w:hyperlink>
          </w:p>
        </w:tc>
      </w:tr>
      <w:tr w:rsidR="003A29E7" w:rsidRPr="003A29E7" w14:paraId="0C60253D" w14:textId="77777777" w:rsidTr="00575C38">
        <w:trPr>
          <w:trHeight w:val="570"/>
          <w:jc w:val="center"/>
        </w:trPr>
        <w:tc>
          <w:tcPr>
            <w:tcW w:w="2398" w:type="dxa"/>
            <w:shd w:val="clear" w:color="auto" w:fill="E1EBF7"/>
          </w:tcPr>
          <w:p w14:paraId="028EB7AA" w14:textId="77777777" w:rsidR="003A29E7" w:rsidRPr="007A3C69" w:rsidRDefault="003A29E7" w:rsidP="008A582F">
            <w:pPr>
              <w:pStyle w:val="Tabletexte"/>
              <w:jc w:val="right"/>
              <w:rPr>
                <w:b/>
                <w:bCs/>
                <w:lang w:val="en-GB" w:bidi="ar-EG"/>
              </w:rPr>
            </w:pPr>
            <w:r w:rsidRPr="007A3C69">
              <w:rPr>
                <w:rFonts w:hint="cs"/>
                <w:b/>
                <w:bCs/>
                <w:rtl/>
              </w:rPr>
              <w:t>التوصية موجهة إلى الهيئات التشريعية/الإدارية:</w:t>
            </w:r>
          </w:p>
        </w:tc>
        <w:tc>
          <w:tcPr>
            <w:tcW w:w="11596" w:type="dxa"/>
            <w:shd w:val="clear" w:color="auto" w:fill="FFFFFF"/>
          </w:tcPr>
          <w:p w14:paraId="3828B2CD" w14:textId="1484F8CA" w:rsidR="003A29E7" w:rsidRPr="007A3C69" w:rsidRDefault="003A29E7" w:rsidP="003A29E7">
            <w:pPr>
              <w:pStyle w:val="Tabletexte"/>
              <w:rPr>
                <w:lang w:val="en-GB" w:bidi="ar-EG"/>
              </w:rPr>
            </w:pPr>
            <w:r w:rsidRPr="007A3C69">
              <w:rPr>
                <w:b/>
                <w:bCs/>
                <w:highlight w:val="cyan"/>
                <w:rtl/>
              </w:rPr>
              <w:t>‏التوصية</w:t>
            </w:r>
            <w:r w:rsidRPr="007A3C69">
              <w:rPr>
                <w:rFonts w:hint="cs"/>
                <w:b/>
                <w:bCs/>
                <w:highlight w:val="cyan"/>
                <w:rtl/>
                <w:lang w:bidi="ar-EG"/>
              </w:rPr>
              <w:t xml:space="preserve"> </w:t>
            </w:r>
            <w:r w:rsidRPr="007A3C69">
              <w:rPr>
                <w:b/>
                <w:bCs/>
                <w:highlight w:val="cyan"/>
                <w:lang w:val="en-GB" w:bidi="ar-EG"/>
              </w:rPr>
              <w:t>5</w:t>
            </w:r>
            <w:r w:rsidRPr="007A3C69">
              <w:rPr>
                <w:rFonts w:hint="cs"/>
                <w:rtl/>
              </w:rPr>
              <w:t xml:space="preserve">: </w:t>
            </w:r>
            <w:r w:rsidRPr="007A3C69">
              <w:rPr>
                <w:rtl/>
              </w:rPr>
              <w:t>ينبغي للهيئات التشريعية والهيئات الإدارية في منظومة الأمم المتحدة أن تطلب، بحلول نهاية عام</w:t>
            </w:r>
            <w:r w:rsidR="00677E70" w:rsidRPr="007A3C69">
              <w:rPr>
                <w:rFonts w:hint="cs"/>
                <w:rtl/>
                <w:cs/>
              </w:rPr>
              <w:t xml:space="preserve"> </w:t>
            </w:r>
            <w:r w:rsidRPr="007A3C69">
              <w:rPr>
                <w:lang w:val="en-GB" w:bidi="ar-EG"/>
              </w:rPr>
              <w:t>2026</w:t>
            </w:r>
            <w:r w:rsidRPr="007A3C69">
              <w:rPr>
                <w:rtl/>
              </w:rPr>
              <w:t xml:space="preserve">، من الرؤساء التنفيذيين للمنظمات الموقعة على بيان الاعتراف المتبادل </w:t>
            </w:r>
            <w:r w:rsidR="0006712F" w:rsidRPr="00336CAE">
              <w:rPr>
                <w:rtl/>
              </w:rPr>
              <w:t>الذين</w:t>
            </w:r>
            <w:r w:rsidR="0006712F" w:rsidRPr="007A3C69">
              <w:rPr>
                <w:rtl/>
              </w:rPr>
              <w:t xml:space="preserve"> </w:t>
            </w:r>
            <w:r w:rsidRPr="007A3C69">
              <w:rPr>
                <w:rtl/>
              </w:rPr>
              <w:t xml:space="preserve">لم يفعلوا ذلك بعد، إدراج مكاسب الكفاءة الناتجة عن تنفيذ مبدأ الاعتراف المتبادل في تقاريرهم العادية لضمان </w:t>
            </w:r>
            <w:r w:rsidRPr="007A3C69">
              <w:rPr>
                <w:rFonts w:hint="cs"/>
                <w:rtl/>
              </w:rPr>
              <w:t>المراقبة</w:t>
            </w:r>
            <w:r w:rsidRPr="007A3C69">
              <w:rPr>
                <w:rtl/>
              </w:rPr>
              <w:t xml:space="preserve"> والإشراف المناسبين</w:t>
            </w:r>
            <w:r w:rsidRPr="007A3C69">
              <w:rPr>
                <w:lang w:val="en-GB" w:bidi="ar-EG"/>
              </w:rPr>
              <w:t>.</w:t>
            </w:r>
            <w:r w:rsidRPr="007A3C69">
              <w:rPr>
                <w:cs/>
              </w:rPr>
              <w:t>‎</w:t>
            </w:r>
          </w:p>
        </w:tc>
      </w:tr>
      <w:tr w:rsidR="00575C38" w:rsidRPr="003A29E7" w14:paraId="7FBD6724" w14:textId="77777777" w:rsidTr="00575C38">
        <w:trPr>
          <w:jc w:val="center"/>
        </w:trPr>
        <w:tc>
          <w:tcPr>
            <w:tcW w:w="2398" w:type="dxa"/>
            <w:shd w:val="clear" w:color="auto" w:fill="EAF1DD"/>
          </w:tcPr>
          <w:p w14:paraId="5F815991" w14:textId="77777777" w:rsidR="00575C38" w:rsidRPr="007A3C69" w:rsidRDefault="00575C38" w:rsidP="00575C38">
            <w:pPr>
              <w:pStyle w:val="Tabletexte"/>
              <w:jc w:val="right"/>
              <w:rPr>
                <w:b/>
                <w:bCs/>
                <w:lang w:val="en-GB" w:bidi="ar-EG"/>
              </w:rPr>
            </w:pPr>
            <w:r w:rsidRPr="007A3C69">
              <w:rPr>
                <w:rFonts w:hint="cs"/>
                <w:b/>
                <w:bCs/>
                <w:rtl/>
              </w:rPr>
              <w:t>الإجراء المطلوب:</w:t>
            </w:r>
          </w:p>
        </w:tc>
        <w:tc>
          <w:tcPr>
            <w:tcW w:w="11596" w:type="dxa"/>
          </w:tcPr>
          <w:p w14:paraId="005609AA" w14:textId="424EF1C3" w:rsidR="00575C38" w:rsidRPr="007A3C69" w:rsidRDefault="00575C38" w:rsidP="00575C38">
            <w:pPr>
              <w:pStyle w:val="Tabletexte"/>
              <w:rPr>
                <w:lang w:val="en-GB" w:bidi="ar-EG"/>
              </w:rPr>
            </w:pPr>
            <w:r w:rsidRPr="00575C38">
              <w:t>)</w:t>
            </w:r>
            <w:r w:rsidRPr="007A3C69">
              <w:rPr>
                <w:b/>
                <w:bCs/>
                <w:highlight w:val="green"/>
                <w:rtl/>
              </w:rPr>
              <w:t>قُبلت</w:t>
            </w:r>
            <w:r w:rsidRPr="007A3C69">
              <w:rPr>
                <w:rFonts w:hint="cs"/>
                <w:rtl/>
              </w:rPr>
              <w:t>،</w:t>
            </w:r>
            <w:r>
              <w:rPr>
                <w:rFonts w:hint="cs"/>
                <w:rtl/>
              </w:rPr>
              <w:t xml:space="preserve"> </w:t>
            </w:r>
            <w:r w:rsidRPr="007A3C69">
              <w:rPr>
                <w:rtl/>
              </w:rPr>
              <w:t>لم تُقبل</w:t>
            </w:r>
            <w:r w:rsidRPr="007A3C69">
              <w:rPr>
                <w:rFonts w:hint="cs"/>
                <w:rtl/>
              </w:rPr>
              <w:t>،</w:t>
            </w:r>
            <w:r>
              <w:rPr>
                <w:rFonts w:hint="cs"/>
                <w:rtl/>
              </w:rPr>
              <w:t xml:space="preserve"> </w:t>
            </w:r>
            <w:r w:rsidRPr="007A3C69">
              <w:rPr>
                <w:rtl/>
              </w:rPr>
              <w:t>ليست ذات صلة</w:t>
            </w:r>
            <w:r w:rsidRPr="007A3C69">
              <w:rPr>
                <w:rFonts w:hint="cs"/>
                <w:rtl/>
              </w:rPr>
              <w:t>،</w:t>
            </w:r>
            <w:r>
              <w:rPr>
                <w:rFonts w:hint="cs"/>
                <w:rtl/>
              </w:rPr>
              <w:t xml:space="preserve"> </w:t>
            </w:r>
            <w:r w:rsidRPr="007A3C69">
              <w:rPr>
                <w:rtl/>
              </w:rPr>
              <w:t>تتطلب مزيداً من النظر</w:t>
            </w:r>
            <w:r>
              <w:rPr>
                <w:rFonts w:hint="cs"/>
                <w:rtl/>
              </w:rPr>
              <w:t>)</w:t>
            </w:r>
          </w:p>
        </w:tc>
      </w:tr>
      <w:tr w:rsidR="00575C38" w:rsidRPr="003A29E7" w14:paraId="0BF26019" w14:textId="77777777" w:rsidTr="00575C38">
        <w:trPr>
          <w:jc w:val="center"/>
        </w:trPr>
        <w:tc>
          <w:tcPr>
            <w:tcW w:w="2398" w:type="dxa"/>
          </w:tcPr>
          <w:p w14:paraId="24F8608E" w14:textId="390D22AE" w:rsidR="00575C38" w:rsidRPr="007A3C69" w:rsidRDefault="00575C38" w:rsidP="00575C38">
            <w:pPr>
              <w:pStyle w:val="Tabletexte"/>
              <w:jc w:val="right"/>
              <w:rPr>
                <w:b/>
                <w:bCs/>
                <w:lang w:val="en-GB" w:bidi="ar-EG"/>
              </w:rPr>
            </w:pPr>
            <w:r w:rsidRPr="007A3C69">
              <w:rPr>
                <w:b/>
                <w:bCs/>
                <w:rtl/>
              </w:rPr>
              <w:t>تعليقات الاتحاد بشأن</w:t>
            </w:r>
            <w:r w:rsidRPr="007A3C69">
              <w:rPr>
                <w:rFonts w:hint="cs"/>
                <w:b/>
                <w:bCs/>
                <w:rtl/>
              </w:rPr>
              <w:t xml:space="preserve"> </w:t>
            </w:r>
            <w:r w:rsidRPr="007A3C69">
              <w:rPr>
                <w:b/>
                <w:bCs/>
                <w:rtl/>
              </w:rPr>
              <w:t>أهمية التوصية وآثارها على الموارد المالية والبشرية</w:t>
            </w:r>
            <w:r w:rsidRPr="007A3C69">
              <w:rPr>
                <w:rFonts w:hint="cs"/>
                <w:b/>
                <w:bCs/>
                <w:rtl/>
              </w:rPr>
              <w:t>:</w:t>
            </w:r>
          </w:p>
        </w:tc>
        <w:tc>
          <w:tcPr>
            <w:tcW w:w="11596" w:type="dxa"/>
          </w:tcPr>
          <w:p w14:paraId="679CDFEE" w14:textId="77777777" w:rsidR="00575C38" w:rsidRPr="007A3C69" w:rsidRDefault="00575C38" w:rsidP="00575C38">
            <w:pPr>
              <w:pStyle w:val="Tabletexte"/>
              <w:rPr>
                <w:rtl/>
              </w:rPr>
            </w:pPr>
            <w:r w:rsidRPr="007A3C69">
              <w:rPr>
                <w:rtl/>
              </w:rPr>
              <w:t>‏الاتحاد الدولي للاتصالات من الموقعين على بيان الاعتراف المتبادل</w:t>
            </w:r>
            <w:r w:rsidRPr="007A3C69">
              <w:rPr>
                <w:cs/>
              </w:rPr>
              <w:t>‎</w:t>
            </w:r>
            <w:r w:rsidRPr="007A3C69">
              <w:rPr>
                <w:rFonts w:hint="cs"/>
                <w:rtl/>
                <w:cs/>
              </w:rPr>
              <w:t>.</w:t>
            </w:r>
          </w:p>
          <w:p w14:paraId="08479E15" w14:textId="3CAE034B" w:rsidR="00575C38" w:rsidRPr="007A3C69" w:rsidRDefault="00575C38" w:rsidP="00575C38">
            <w:pPr>
              <w:pStyle w:val="Tabletexte"/>
              <w:rPr>
                <w:rtl/>
              </w:rPr>
            </w:pPr>
            <w:r w:rsidRPr="007A3C69">
              <w:rPr>
                <w:rtl/>
              </w:rPr>
              <w:t>‏ينبغي أن يقبل الاتحاد هذه التوصية وست</w:t>
            </w:r>
            <w:r w:rsidRPr="007A3C69">
              <w:rPr>
                <w:rFonts w:hint="cs"/>
                <w:rtl/>
              </w:rPr>
              <w:t>ُ</w:t>
            </w:r>
            <w:r w:rsidRPr="007A3C69">
              <w:rPr>
                <w:rtl/>
              </w:rPr>
              <w:t>ذكر في تقاريره</w:t>
            </w:r>
            <w:r w:rsidRPr="007A3C69">
              <w:rPr>
                <w:rFonts w:hint="cs"/>
                <w:rtl/>
              </w:rPr>
              <w:t>م</w:t>
            </w:r>
            <w:r w:rsidRPr="007A3C69">
              <w:rPr>
                <w:rtl/>
              </w:rPr>
              <w:t xml:space="preserve"> العادية مكاسب الكفاءة الناجمة عن تنفيذ مبدأ الاعتراف المتبادل</w:t>
            </w:r>
            <w:r w:rsidRPr="007A3C69">
              <w:rPr>
                <w:rFonts w:hint="cs"/>
                <w:rtl/>
              </w:rPr>
              <w:t>.</w:t>
            </w:r>
          </w:p>
          <w:p w14:paraId="3E883F54" w14:textId="3FEED298" w:rsidR="00575C38" w:rsidRPr="007A3C69" w:rsidRDefault="00575C38" w:rsidP="00575C38">
            <w:pPr>
              <w:pStyle w:val="Tabletexte"/>
              <w:rPr>
                <w:lang w:val="en-GB" w:bidi="ar-EG"/>
              </w:rPr>
            </w:pPr>
            <w:r w:rsidRPr="007A3C69">
              <w:rPr>
                <w:rtl/>
              </w:rPr>
              <w:t>تماشيا</w:t>
            </w:r>
            <w:r w:rsidRPr="007A3C69">
              <w:rPr>
                <w:rFonts w:hint="cs"/>
                <w:rtl/>
              </w:rPr>
              <w:t>ً</w:t>
            </w:r>
            <w:r w:rsidRPr="007A3C69">
              <w:rPr>
                <w:rtl/>
              </w:rPr>
              <w:t xml:space="preserve"> مع التوصية رقم</w:t>
            </w:r>
            <w:r w:rsidRPr="007A3C69">
              <w:rPr>
                <w:lang w:val="en-GB" w:bidi="ar-EG"/>
              </w:rPr>
              <w:t xml:space="preserve"> </w:t>
            </w:r>
            <w:r w:rsidRPr="007A3C69">
              <w:rPr>
                <w:cs/>
              </w:rPr>
              <w:t>‎</w:t>
            </w:r>
            <w:r w:rsidRPr="007A3C69">
              <w:rPr>
                <w:lang w:val="en-GB" w:bidi="ar-EG"/>
              </w:rPr>
              <w:t xml:space="preserve">2 </w:t>
            </w:r>
            <w:r w:rsidRPr="007A3C69">
              <w:rPr>
                <w:rtl/>
              </w:rPr>
              <w:t xml:space="preserve">‏ووضع المبدأ التوجيهي التشغيلي من </w:t>
            </w:r>
            <w:r w:rsidRPr="007A3C69">
              <w:rPr>
                <w:rFonts w:hint="cs"/>
                <w:rtl/>
              </w:rPr>
              <w:t>جانب</w:t>
            </w:r>
            <w:r w:rsidRPr="007A3C69">
              <w:rPr>
                <w:rtl/>
              </w:rPr>
              <w:t xml:space="preserve"> شبكة</w:t>
            </w:r>
            <w:r w:rsidRPr="007A3C69">
              <w:rPr>
                <w:rFonts w:hint="cs"/>
                <w:rtl/>
              </w:rPr>
              <w:t xml:space="preserve"> الموارد البشرية (</w:t>
            </w:r>
            <w:r w:rsidRPr="007A3C69">
              <w:rPr>
                <w:cs/>
              </w:rPr>
              <w:t>‎</w:t>
            </w:r>
            <w:r w:rsidRPr="007A3C69">
              <w:rPr>
                <w:lang w:val="en-GB" w:bidi="ar-EG"/>
              </w:rPr>
              <w:t>HRN</w:t>
            </w:r>
            <w:r w:rsidRPr="007A3C69">
              <w:rPr>
                <w:rFonts w:hint="cs"/>
                <w:rtl/>
              </w:rPr>
              <w:t xml:space="preserve">) </w:t>
            </w:r>
            <w:r w:rsidRPr="007A3C69">
              <w:rPr>
                <w:rtl/>
              </w:rPr>
              <w:t>‏التابعة لمجلس الرؤساء التنفيذيين، يتوقع الاتحاد استعمال بيان الاعتراف المتبادل لتحقيق مكاسب في الكفاءة وستجرى أعمال المشتريات من خلال شبكة المشتريات</w:t>
            </w:r>
            <w:r w:rsidRPr="007A3C69">
              <w:rPr>
                <w:lang w:val="en-GB" w:bidi="ar-EG"/>
              </w:rPr>
              <w:t>.</w:t>
            </w:r>
            <w:r w:rsidRPr="007A3C69">
              <w:rPr>
                <w:cs/>
              </w:rPr>
              <w:t>‎</w:t>
            </w:r>
          </w:p>
        </w:tc>
      </w:tr>
      <w:tr w:rsidR="00575C38" w:rsidRPr="003A29E7" w14:paraId="0BB636ED" w14:textId="77777777" w:rsidTr="00575C38">
        <w:trPr>
          <w:jc w:val="center"/>
        </w:trPr>
        <w:tc>
          <w:tcPr>
            <w:tcW w:w="2398" w:type="dxa"/>
          </w:tcPr>
          <w:p w14:paraId="6C5D45BE" w14:textId="47F84194" w:rsidR="00575C38" w:rsidRPr="007A3C69" w:rsidRDefault="00575C38" w:rsidP="00575C38">
            <w:pPr>
              <w:pStyle w:val="Tabletexte"/>
              <w:jc w:val="right"/>
              <w:rPr>
                <w:b/>
                <w:bCs/>
                <w:lang w:val="en-GB" w:bidi="ar-EG"/>
              </w:rPr>
            </w:pPr>
            <w:r w:rsidRPr="007A3C69">
              <w:rPr>
                <w:rFonts w:hint="cs"/>
                <w:b/>
                <w:bCs/>
                <w:rtl/>
              </w:rPr>
              <w:t xml:space="preserve">تعليقات مجلس الرؤساء التنفيذيين </w:t>
            </w:r>
            <w:r w:rsidRPr="007A3C69">
              <w:rPr>
                <w:b/>
                <w:bCs/>
                <w:lang w:bidi="ar-EG"/>
              </w:rPr>
              <w:t>(CEB)</w:t>
            </w:r>
            <w:r w:rsidRPr="007A3C69">
              <w:rPr>
                <w:rFonts w:hint="cs"/>
                <w:b/>
                <w:bCs/>
                <w:rtl/>
              </w:rPr>
              <w:t xml:space="preserve"> ل</w:t>
            </w:r>
            <w:r w:rsidRPr="007A3C69">
              <w:rPr>
                <w:b/>
                <w:bCs/>
                <w:rtl/>
              </w:rPr>
              <w:t>منظومة الأمم المتحدة ككل</w:t>
            </w:r>
            <w:r w:rsidRPr="007A3C69">
              <w:rPr>
                <w:rFonts w:hint="cs"/>
                <w:b/>
                <w:bCs/>
                <w:rtl/>
              </w:rPr>
              <w:t>:</w:t>
            </w:r>
          </w:p>
        </w:tc>
        <w:tc>
          <w:tcPr>
            <w:tcW w:w="11596" w:type="dxa"/>
          </w:tcPr>
          <w:p w14:paraId="51497FBC" w14:textId="77777777" w:rsidR="00575C38" w:rsidRPr="007A3C69" w:rsidRDefault="00575C38" w:rsidP="00575C38">
            <w:pPr>
              <w:pStyle w:val="Tabletexte"/>
              <w:rPr>
                <w:b/>
                <w:bCs/>
                <w:color w:val="FF0000"/>
                <w:lang w:val="en-GB" w:bidi="ar-EG"/>
              </w:rPr>
            </w:pPr>
            <w:r w:rsidRPr="007A3C69">
              <w:rPr>
                <w:rFonts w:hint="cs"/>
                <w:b/>
                <w:bCs/>
                <w:color w:val="FF0000"/>
                <w:rtl/>
              </w:rPr>
              <w:t>غير متاحة بعد</w:t>
            </w:r>
          </w:p>
        </w:tc>
      </w:tr>
      <w:tr w:rsidR="00575C38" w:rsidRPr="003A29E7" w14:paraId="4B920698" w14:textId="77777777" w:rsidTr="00575C38">
        <w:trPr>
          <w:jc w:val="center"/>
        </w:trPr>
        <w:tc>
          <w:tcPr>
            <w:tcW w:w="2398" w:type="dxa"/>
          </w:tcPr>
          <w:p w14:paraId="6865DD97" w14:textId="77777777" w:rsidR="00575C38" w:rsidRPr="007A3C69" w:rsidRDefault="00575C38" w:rsidP="00575C38">
            <w:pPr>
              <w:pStyle w:val="Tabletexte"/>
              <w:jc w:val="right"/>
              <w:rPr>
                <w:b/>
                <w:bCs/>
                <w:lang w:val="en-GB" w:bidi="ar-EG"/>
              </w:rPr>
            </w:pPr>
            <w:r w:rsidRPr="007A3C69">
              <w:rPr>
                <w:rFonts w:hint="cs"/>
                <w:b/>
                <w:bCs/>
                <w:rtl/>
              </w:rPr>
              <w:t>حالة التنفيذ:</w:t>
            </w:r>
          </w:p>
        </w:tc>
        <w:tc>
          <w:tcPr>
            <w:tcW w:w="11596" w:type="dxa"/>
          </w:tcPr>
          <w:p w14:paraId="26F2CC3D" w14:textId="77777777" w:rsidR="00575C38" w:rsidRPr="007A3C69" w:rsidRDefault="00575C38" w:rsidP="00575C38">
            <w:pPr>
              <w:pStyle w:val="Tabletexte"/>
              <w:rPr>
                <w:lang w:val="en-GB" w:bidi="ar-EG"/>
              </w:rPr>
            </w:pPr>
            <w:r w:rsidRPr="007A3C69">
              <w:rPr>
                <w:rFonts w:hint="cs"/>
                <w:rtl/>
              </w:rPr>
              <w:t>يجري تنفيذها</w:t>
            </w:r>
            <w:r w:rsidRPr="007A3C69">
              <w:rPr>
                <w:lang w:val="en-GB" w:bidi="ar-EG"/>
              </w:rPr>
              <w:t xml:space="preserve"> </w:t>
            </w:r>
          </w:p>
        </w:tc>
      </w:tr>
      <w:tr w:rsidR="00575C38" w:rsidRPr="003A29E7" w14:paraId="0B40563D" w14:textId="77777777" w:rsidTr="00575C38">
        <w:trPr>
          <w:trHeight w:val="405"/>
          <w:jc w:val="center"/>
        </w:trPr>
        <w:tc>
          <w:tcPr>
            <w:tcW w:w="13994" w:type="dxa"/>
            <w:gridSpan w:val="2"/>
            <w:shd w:val="clear" w:color="auto" w:fill="FFFF00"/>
          </w:tcPr>
          <w:p w14:paraId="5D7FD531" w14:textId="04202FF9" w:rsidR="00575C38" w:rsidRPr="003A29E7" w:rsidRDefault="00575C38" w:rsidP="00575C38">
            <w:pPr>
              <w:pStyle w:val="Tablehead"/>
              <w:rPr>
                <w:lang w:bidi="ar-EG"/>
              </w:rPr>
            </w:pPr>
            <w:r w:rsidRPr="003A29E7">
              <w:rPr>
                <w:lang w:val="en-GB" w:bidi="ar-EG"/>
              </w:rPr>
              <w:t>JIU/REP/2024/3</w:t>
            </w:r>
            <w:r>
              <w:rPr>
                <w:rFonts w:hint="cs"/>
                <w:rtl/>
                <w:lang w:val="en-GB" w:bidi="ar-EG"/>
              </w:rPr>
              <w:t xml:space="preserve"> </w:t>
            </w:r>
            <w:hyperlink r:id="rId19" w:history="1">
              <w:r w:rsidRPr="008A582F">
                <w:rPr>
                  <w:rStyle w:val="Hyperlink"/>
                  <w:rFonts w:ascii="Dubai" w:eastAsiaTheme="minorEastAsia" w:hAnsi="Dubai" w:cs="Dubai"/>
                  <w:noProof w:val="0"/>
                  <w:sz w:val="20"/>
                  <w:rtl/>
                  <w:lang w:val="en-US" w:eastAsia="zh-CN"/>
                </w:rPr>
                <w:t>(‏الجزء الأول) إعداد الميزانية في منظمات منظومة الأمم المتحدة الجزء الأول - تحليل مقارن</w:t>
              </w:r>
            </w:hyperlink>
            <w:r w:rsidRPr="003A29E7">
              <w:rPr>
                <w:rtl/>
              </w:rPr>
              <w:br/>
            </w:r>
            <w:r w:rsidRPr="003A29E7">
              <w:rPr>
                <w:cs/>
              </w:rPr>
              <w:t>‎</w:t>
            </w:r>
            <w:r w:rsidRPr="003A29E7">
              <w:rPr>
                <w:lang w:val="en-GB" w:bidi="ar-EG"/>
              </w:rPr>
              <w:t>JIU/REP/2024/3</w:t>
            </w:r>
            <w:r>
              <w:rPr>
                <w:rFonts w:hint="cs"/>
                <w:rtl/>
                <w:lang w:val="en-GB" w:bidi="ar-EG"/>
              </w:rPr>
              <w:t xml:space="preserve"> </w:t>
            </w:r>
            <w:hyperlink r:id="rId20" w:history="1">
              <w:r w:rsidRPr="008A582F">
                <w:rPr>
                  <w:rStyle w:val="Hyperlink"/>
                  <w:rFonts w:ascii="Dubai" w:eastAsiaTheme="minorEastAsia" w:hAnsi="Dubai" w:cs="Dubai"/>
                  <w:noProof w:val="0"/>
                  <w:sz w:val="20"/>
                  <w:rtl/>
                  <w:lang w:val="en-US" w:eastAsia="zh-CN"/>
                </w:rPr>
                <w:t>(</w:t>
              </w:r>
              <w:r w:rsidRPr="008A582F">
                <w:rPr>
                  <w:rStyle w:val="Hyperlink"/>
                  <w:rFonts w:ascii="Dubai" w:eastAsiaTheme="minorEastAsia" w:hAnsi="Dubai" w:cs="Dubai" w:hint="cs"/>
                  <w:noProof w:val="0"/>
                  <w:sz w:val="20"/>
                  <w:rtl/>
                  <w:lang w:val="en-US" w:eastAsia="zh-CN"/>
                </w:rPr>
                <w:t xml:space="preserve"> </w:t>
              </w:r>
              <w:r w:rsidRPr="008A582F">
                <w:rPr>
                  <w:rStyle w:val="Hyperlink"/>
                  <w:rFonts w:ascii="Dubai" w:eastAsiaTheme="minorEastAsia" w:hAnsi="Dubai" w:cs="Dubai"/>
                  <w:noProof w:val="0"/>
                  <w:sz w:val="20"/>
                  <w:rtl/>
                  <w:lang w:val="en-US" w:eastAsia="zh-CN"/>
                </w:rPr>
                <w:t>‏الجزء الثاني) إعداد الميزانية في منظمات منظومة الأمم المتحدة الجزء الثاني جداول مرجعية</w:t>
              </w:r>
            </w:hyperlink>
            <w:r w:rsidRPr="003A29E7">
              <w:rPr>
                <w:rtl/>
              </w:rPr>
              <w:br/>
            </w:r>
            <w:r w:rsidRPr="003A29E7">
              <w:rPr>
                <w:rFonts w:hint="cs"/>
                <w:rtl/>
              </w:rPr>
              <w:t xml:space="preserve">مسؤول الاتصال في الاتحاد: </w:t>
            </w:r>
            <w:r w:rsidRPr="003A29E7">
              <w:rPr>
                <w:lang w:bidi="ar-EG"/>
              </w:rPr>
              <w:t>Jean-Paul Lovato</w:t>
            </w:r>
          </w:p>
          <w:p w14:paraId="2657A421" w14:textId="71FCBB4A" w:rsidR="00575C38" w:rsidRPr="003A29E7" w:rsidRDefault="00575C38" w:rsidP="00575C38">
            <w:pPr>
              <w:pStyle w:val="Tablehead"/>
              <w:rPr>
                <w:lang w:val="en-GB" w:bidi="ar-EG"/>
              </w:rPr>
            </w:pPr>
            <w:r w:rsidRPr="003A29E7">
              <w:rPr>
                <w:lang w:bidi="ar-EG"/>
              </w:rPr>
              <w:sym w:font="Symbol" w:char="F0B7"/>
            </w:r>
            <w:r w:rsidRPr="003A29E7">
              <w:rPr>
                <w:lang w:bidi="ar-EG"/>
              </w:rPr>
              <w:tab/>
            </w:r>
            <w:hyperlink r:id="rId21" w:history="1">
              <w:r w:rsidRPr="003A29E7">
                <w:rPr>
                  <w:rStyle w:val="Hyperlink"/>
                  <w:rFonts w:ascii="Dubai" w:eastAsiaTheme="minorEastAsia" w:hAnsi="Dubai" w:cs="Dubai" w:hint="cs"/>
                  <w:noProof w:val="0"/>
                  <w:sz w:val="22"/>
                  <w:rtl/>
                  <w:lang w:val="en-US" w:eastAsia="zh-CN"/>
                </w:rPr>
                <w:t>أبرز نقاط الاستعراض</w:t>
              </w:r>
            </w:hyperlink>
          </w:p>
        </w:tc>
      </w:tr>
      <w:tr w:rsidR="00575C38" w:rsidRPr="003A29E7" w14:paraId="1EE0A0CA" w14:textId="77777777" w:rsidTr="00575C38">
        <w:trPr>
          <w:trHeight w:val="653"/>
          <w:jc w:val="center"/>
        </w:trPr>
        <w:tc>
          <w:tcPr>
            <w:tcW w:w="2398" w:type="dxa"/>
            <w:shd w:val="clear" w:color="auto" w:fill="E1EBF7"/>
          </w:tcPr>
          <w:p w14:paraId="3E392A3E" w14:textId="77777777" w:rsidR="00575C38" w:rsidRPr="008A582F" w:rsidRDefault="00575C38" w:rsidP="00575C38">
            <w:pPr>
              <w:pStyle w:val="Tabletexte"/>
              <w:jc w:val="right"/>
              <w:rPr>
                <w:b/>
                <w:bCs/>
                <w:lang w:val="en-GB" w:bidi="ar-EG"/>
              </w:rPr>
            </w:pPr>
            <w:r w:rsidRPr="008A582F">
              <w:rPr>
                <w:rFonts w:hint="cs"/>
                <w:b/>
                <w:bCs/>
                <w:rtl/>
              </w:rPr>
              <w:t>التوصية موجهة إلى الهيئات التشريعية/الإدارية:</w:t>
            </w:r>
          </w:p>
        </w:tc>
        <w:tc>
          <w:tcPr>
            <w:tcW w:w="11596" w:type="dxa"/>
            <w:shd w:val="clear" w:color="auto" w:fill="FFFFFF"/>
          </w:tcPr>
          <w:p w14:paraId="32165C53" w14:textId="1A586B60" w:rsidR="00575C38" w:rsidRPr="003A29E7" w:rsidRDefault="00575C38" w:rsidP="00575C38">
            <w:pPr>
              <w:pStyle w:val="Tabletexte"/>
              <w:rPr>
                <w:lang w:val="en-GB" w:bidi="ar-EG"/>
              </w:rPr>
            </w:pPr>
            <w:r w:rsidRPr="00936242">
              <w:rPr>
                <w:b/>
                <w:bCs/>
                <w:highlight w:val="cyan"/>
                <w:rtl/>
              </w:rPr>
              <w:t xml:space="preserve">‏التوصية </w:t>
            </w:r>
            <w:r w:rsidRPr="00936242">
              <w:rPr>
                <w:b/>
                <w:bCs/>
                <w:highlight w:val="cyan"/>
                <w:cs/>
              </w:rPr>
              <w:t>‎</w:t>
            </w:r>
            <w:r w:rsidRPr="00936242">
              <w:rPr>
                <w:b/>
                <w:bCs/>
                <w:highlight w:val="cyan"/>
                <w:lang w:val="en-GB" w:bidi="ar-EG"/>
              </w:rPr>
              <w:t>2</w:t>
            </w:r>
            <w:r w:rsidRPr="003A29E7">
              <w:rPr>
                <w:rFonts w:hint="cs"/>
                <w:rtl/>
              </w:rPr>
              <w:t>:</w:t>
            </w:r>
            <w:r w:rsidRPr="003A29E7">
              <w:rPr>
                <w:rtl/>
              </w:rPr>
              <w:t xml:space="preserve"> ‏ينبغي للهيئات التشريعية والهيئات الإدارية للمنظمات المشاركة في وحدة التفتيش المشتركة أن تطلب من الرؤساء التنفيذيين للمنظمات المعنية، بصفتهم أعضاء في مجلس الرؤساء التنفيذيين، القيام، بحلول نهاية عام </w:t>
            </w:r>
            <w:r w:rsidRPr="003A29E7">
              <w:rPr>
                <w:cs/>
              </w:rPr>
              <w:t>‎</w:t>
            </w:r>
            <w:r w:rsidRPr="003A29E7">
              <w:rPr>
                <w:lang w:val="en-GB" w:bidi="ar-EG"/>
              </w:rPr>
              <w:t>2027</w:t>
            </w:r>
            <w:r w:rsidRPr="003A29E7">
              <w:rPr>
                <w:rtl/>
              </w:rPr>
              <w:t>‏، بتحديث التصنيف المعياري لبنود</w:t>
            </w:r>
            <w:r w:rsidRPr="003A29E7">
              <w:rPr>
                <w:rFonts w:hint="cs"/>
                <w:rtl/>
              </w:rPr>
              <w:t xml:space="preserve"> </w:t>
            </w:r>
            <w:r w:rsidRPr="003A29E7">
              <w:rPr>
                <w:rtl/>
              </w:rPr>
              <w:t>الإنفاق وإتاحته لعامة الجمهور للاستخدام، ضمن جملة أمور، كوثيقة مرجعية في إعداد الميزانية.</w:t>
            </w:r>
            <w:r w:rsidRPr="003A29E7">
              <w:rPr>
                <w:cs/>
              </w:rPr>
              <w:t>‎</w:t>
            </w:r>
          </w:p>
        </w:tc>
      </w:tr>
      <w:tr w:rsidR="00575C38" w:rsidRPr="003A29E7" w14:paraId="41BC902E" w14:textId="77777777" w:rsidTr="00575C38">
        <w:trPr>
          <w:jc w:val="center"/>
        </w:trPr>
        <w:tc>
          <w:tcPr>
            <w:tcW w:w="2398" w:type="dxa"/>
            <w:shd w:val="clear" w:color="auto" w:fill="EAF1DD"/>
          </w:tcPr>
          <w:p w14:paraId="2A85278C" w14:textId="77777777" w:rsidR="00575C38" w:rsidRPr="008A582F" w:rsidRDefault="00575C38" w:rsidP="00575C38">
            <w:pPr>
              <w:pStyle w:val="Tabletexte"/>
              <w:jc w:val="right"/>
              <w:rPr>
                <w:b/>
                <w:bCs/>
                <w:lang w:val="en-GB" w:bidi="ar-EG"/>
              </w:rPr>
            </w:pPr>
            <w:r w:rsidRPr="008A582F">
              <w:rPr>
                <w:rFonts w:hint="cs"/>
                <w:b/>
                <w:bCs/>
                <w:rtl/>
              </w:rPr>
              <w:t>الإجراء المطلوب:</w:t>
            </w:r>
          </w:p>
        </w:tc>
        <w:tc>
          <w:tcPr>
            <w:tcW w:w="11596" w:type="dxa"/>
          </w:tcPr>
          <w:p w14:paraId="514AE83F" w14:textId="49B76228" w:rsidR="006C6E28" w:rsidRPr="006C6E28" w:rsidRDefault="00575C38" w:rsidP="007B7A3E">
            <w:pPr>
              <w:pStyle w:val="Tabletexte"/>
              <w:rPr>
                <w:lang w:val="en-GB" w:bidi="ar-EG"/>
              </w:rPr>
            </w:pPr>
            <w:r w:rsidRPr="00575C38">
              <w:t>)</w:t>
            </w:r>
            <w:r w:rsidRPr="007A3C69">
              <w:rPr>
                <w:b/>
                <w:bCs/>
                <w:highlight w:val="green"/>
                <w:rtl/>
              </w:rPr>
              <w:t>قُبلت</w:t>
            </w:r>
            <w:r w:rsidRPr="007A3C69">
              <w:rPr>
                <w:rFonts w:hint="cs"/>
                <w:rtl/>
              </w:rPr>
              <w:t>،</w:t>
            </w:r>
            <w:r>
              <w:rPr>
                <w:rFonts w:hint="cs"/>
                <w:rtl/>
              </w:rPr>
              <w:t xml:space="preserve"> </w:t>
            </w:r>
            <w:r w:rsidRPr="007A3C69">
              <w:rPr>
                <w:rtl/>
              </w:rPr>
              <w:t>لم تُقبل</w:t>
            </w:r>
            <w:r w:rsidRPr="007A3C69">
              <w:rPr>
                <w:rFonts w:hint="cs"/>
                <w:rtl/>
              </w:rPr>
              <w:t>،</w:t>
            </w:r>
            <w:r>
              <w:rPr>
                <w:rFonts w:hint="cs"/>
                <w:rtl/>
              </w:rPr>
              <w:t xml:space="preserve"> </w:t>
            </w:r>
            <w:r w:rsidRPr="007A3C69">
              <w:rPr>
                <w:rtl/>
              </w:rPr>
              <w:t>ليست ذات صلة</w:t>
            </w:r>
            <w:r w:rsidRPr="007A3C69">
              <w:rPr>
                <w:rFonts w:hint="cs"/>
                <w:rtl/>
              </w:rPr>
              <w:t>،</w:t>
            </w:r>
            <w:r>
              <w:rPr>
                <w:rFonts w:hint="cs"/>
                <w:rtl/>
              </w:rPr>
              <w:t xml:space="preserve"> </w:t>
            </w:r>
            <w:r w:rsidRPr="007A3C69">
              <w:rPr>
                <w:rtl/>
              </w:rPr>
              <w:t>تتطلب مزيداً من النظر</w:t>
            </w:r>
            <w:r>
              <w:rPr>
                <w:rFonts w:hint="cs"/>
                <w:rtl/>
              </w:rPr>
              <w:t>)</w:t>
            </w:r>
          </w:p>
        </w:tc>
      </w:tr>
      <w:tr w:rsidR="00575C38" w:rsidRPr="003A29E7" w14:paraId="6D3733DF" w14:textId="77777777" w:rsidTr="00575C38">
        <w:trPr>
          <w:jc w:val="center"/>
        </w:trPr>
        <w:tc>
          <w:tcPr>
            <w:tcW w:w="2398" w:type="dxa"/>
          </w:tcPr>
          <w:p w14:paraId="20A302A2" w14:textId="707CE80D" w:rsidR="00575C38" w:rsidRPr="008A582F" w:rsidRDefault="00575C38" w:rsidP="00575C38">
            <w:pPr>
              <w:pStyle w:val="Tabletexte"/>
              <w:jc w:val="right"/>
              <w:rPr>
                <w:b/>
                <w:bCs/>
                <w:lang w:val="en-GB" w:bidi="ar-EG"/>
              </w:rPr>
            </w:pPr>
            <w:r w:rsidRPr="008A582F">
              <w:rPr>
                <w:b/>
                <w:bCs/>
                <w:rtl/>
              </w:rPr>
              <w:lastRenderedPageBreak/>
              <w:t>تعليقات الاتحاد بشأن</w:t>
            </w:r>
            <w:r>
              <w:rPr>
                <w:rFonts w:hint="cs"/>
                <w:b/>
                <w:bCs/>
                <w:rtl/>
              </w:rPr>
              <w:t xml:space="preserve"> </w:t>
            </w:r>
            <w:r w:rsidRPr="008A582F">
              <w:rPr>
                <w:b/>
                <w:bCs/>
                <w:rtl/>
              </w:rPr>
              <w:t>أهمية التوصية وآثارها على الموارد المالية والبشرية</w:t>
            </w:r>
            <w:r>
              <w:rPr>
                <w:rFonts w:hint="cs"/>
                <w:b/>
                <w:bCs/>
                <w:rtl/>
              </w:rPr>
              <w:t>:</w:t>
            </w:r>
          </w:p>
        </w:tc>
        <w:tc>
          <w:tcPr>
            <w:tcW w:w="11596" w:type="dxa"/>
          </w:tcPr>
          <w:p w14:paraId="28A8C26A" w14:textId="47631A6D" w:rsidR="00575C38" w:rsidRPr="003A29E7" w:rsidRDefault="00575C38" w:rsidP="00575C38">
            <w:pPr>
              <w:pStyle w:val="Tabletexte"/>
              <w:rPr>
                <w:lang w:val="en-GB" w:bidi="ar-EG"/>
              </w:rPr>
            </w:pPr>
            <w:r w:rsidRPr="003A29E7">
              <w:rPr>
                <w:rtl/>
              </w:rPr>
              <w:t xml:space="preserve">‏يوجد بالفعل تصنيف معياري لبنود الإنفاق </w:t>
            </w:r>
            <w:r w:rsidRPr="003A29E7">
              <w:rPr>
                <w:rFonts w:hint="cs"/>
                <w:rtl/>
              </w:rPr>
              <w:t>ضمن</w:t>
            </w:r>
            <w:r w:rsidRPr="003A29E7">
              <w:rPr>
                <w:rtl/>
              </w:rPr>
              <w:t xml:space="preserve"> الاتحاد الدولي للاتصالات، وفقا</w:t>
            </w:r>
            <w:r>
              <w:rPr>
                <w:rFonts w:hint="cs"/>
                <w:rtl/>
              </w:rPr>
              <w:t>ً</w:t>
            </w:r>
            <w:r w:rsidRPr="003A29E7">
              <w:rPr>
                <w:rtl/>
              </w:rPr>
              <w:t xml:space="preserve"> للوائح المالية الحالية. بالإضافة إلى ذلك، </w:t>
            </w:r>
            <w:r w:rsidRPr="003A29E7">
              <w:rPr>
                <w:rFonts w:hint="cs"/>
                <w:rtl/>
              </w:rPr>
              <w:t>تتاح</w:t>
            </w:r>
            <w:r w:rsidRPr="003A29E7">
              <w:rPr>
                <w:rtl/>
              </w:rPr>
              <w:t xml:space="preserve"> البيانات المالية للجمهور بمجرد </w:t>
            </w:r>
            <w:r w:rsidRPr="003A29E7">
              <w:rPr>
                <w:rFonts w:hint="cs"/>
                <w:rtl/>
              </w:rPr>
              <w:t>أن ت</w:t>
            </w:r>
            <w:r w:rsidRPr="003A29E7">
              <w:rPr>
                <w:rtl/>
              </w:rPr>
              <w:t xml:space="preserve">عتمدها الهيئات </w:t>
            </w:r>
            <w:r w:rsidRPr="003A29E7">
              <w:rPr>
                <w:rFonts w:hint="cs"/>
                <w:rtl/>
              </w:rPr>
              <w:t>الإدارية</w:t>
            </w:r>
            <w:r w:rsidRPr="003A29E7">
              <w:rPr>
                <w:rtl/>
              </w:rPr>
              <w:t xml:space="preserve">. </w:t>
            </w:r>
            <w:r w:rsidRPr="003A29E7">
              <w:rPr>
                <w:rFonts w:hint="cs"/>
                <w:rtl/>
              </w:rPr>
              <w:t>و</w:t>
            </w:r>
            <w:r w:rsidRPr="003A29E7">
              <w:rPr>
                <w:rtl/>
              </w:rPr>
              <w:t xml:space="preserve">تُستخدم فئات الإنفاق في إعداد الميزانيات </w:t>
            </w:r>
            <w:r w:rsidRPr="003A29E7">
              <w:rPr>
                <w:rFonts w:hint="cs"/>
                <w:rtl/>
              </w:rPr>
              <w:t>ووضعها</w:t>
            </w:r>
            <w:r w:rsidR="00A319BB">
              <w:rPr>
                <w:rFonts w:hint="cs"/>
                <w:rtl/>
              </w:rPr>
              <w:t>.</w:t>
            </w:r>
          </w:p>
        </w:tc>
      </w:tr>
      <w:tr w:rsidR="00575C38" w:rsidRPr="003A29E7" w14:paraId="2B479B74" w14:textId="77777777" w:rsidTr="00575C38">
        <w:trPr>
          <w:jc w:val="center"/>
        </w:trPr>
        <w:tc>
          <w:tcPr>
            <w:tcW w:w="2398" w:type="dxa"/>
          </w:tcPr>
          <w:p w14:paraId="79CDEA45" w14:textId="02DF2174" w:rsidR="00575C38" w:rsidRPr="008A582F" w:rsidRDefault="00575C38" w:rsidP="00575C38">
            <w:pPr>
              <w:pStyle w:val="Tabletexte"/>
              <w:jc w:val="right"/>
              <w:rPr>
                <w:b/>
                <w:bCs/>
                <w:lang w:val="en-GB" w:bidi="ar-EG"/>
              </w:rPr>
            </w:pPr>
            <w:r w:rsidRPr="008A582F">
              <w:rPr>
                <w:rFonts w:hint="cs"/>
                <w:b/>
                <w:bCs/>
                <w:rtl/>
              </w:rPr>
              <w:t xml:space="preserve">تعليقات مجلس الرؤساء التنفيذيين </w:t>
            </w:r>
            <w:r w:rsidRPr="008A582F">
              <w:rPr>
                <w:b/>
                <w:bCs/>
                <w:lang w:bidi="ar-EG"/>
              </w:rPr>
              <w:t>(CEB)</w:t>
            </w:r>
            <w:r w:rsidRPr="008A582F">
              <w:rPr>
                <w:rFonts w:hint="cs"/>
                <w:b/>
                <w:bCs/>
                <w:rtl/>
              </w:rPr>
              <w:t xml:space="preserve"> ل</w:t>
            </w:r>
            <w:r w:rsidRPr="008A582F">
              <w:rPr>
                <w:b/>
                <w:bCs/>
                <w:rtl/>
              </w:rPr>
              <w:t>منظومة الأمم المتحدة ككل</w:t>
            </w:r>
            <w:r>
              <w:rPr>
                <w:rFonts w:hint="cs"/>
                <w:b/>
                <w:bCs/>
                <w:rtl/>
              </w:rPr>
              <w:t>:</w:t>
            </w:r>
          </w:p>
        </w:tc>
        <w:tc>
          <w:tcPr>
            <w:tcW w:w="11596" w:type="dxa"/>
          </w:tcPr>
          <w:p w14:paraId="6BA1476F" w14:textId="323717DB" w:rsidR="00575C38" w:rsidRPr="00F62E26" w:rsidRDefault="00575C38" w:rsidP="00575C38">
            <w:pPr>
              <w:pStyle w:val="Tabletexte"/>
              <w:rPr>
                <w:rtl/>
              </w:rPr>
            </w:pPr>
            <w:r w:rsidRPr="00F62E26">
              <w:rPr>
                <w:rFonts w:hint="cs"/>
                <w:rtl/>
              </w:rPr>
              <w:t>في حين أن هناك</w:t>
            </w:r>
            <w:r w:rsidRPr="00F62E26">
              <w:rPr>
                <w:rtl/>
              </w:rPr>
              <w:t xml:space="preserve"> تأييد جزئي </w:t>
            </w:r>
            <w:r w:rsidRPr="00F62E26">
              <w:rPr>
                <w:rFonts w:hint="cs"/>
                <w:rtl/>
              </w:rPr>
              <w:t>ل</w:t>
            </w:r>
            <w:r w:rsidRPr="00F62E26">
              <w:rPr>
                <w:rtl/>
              </w:rPr>
              <w:t>لتوصية الداعية إلى تحديث التصنيف المعياري لبنود الإنفاق لأغراض مرجعية، يُشير البعض إلى أن التصنيف المرجعي ينبغي أ</w:t>
            </w:r>
            <w:r w:rsidRPr="00F62E26">
              <w:rPr>
                <w:rFonts w:hint="cs"/>
                <w:rtl/>
              </w:rPr>
              <w:t>لا</w:t>
            </w:r>
            <w:r w:rsidRPr="00F62E26">
              <w:rPr>
                <w:rtl/>
              </w:rPr>
              <w:t xml:space="preserve"> يمنع المنظمات من تصميم مخطط حسابات نفقاتها لدعم وتسهيل </w:t>
            </w:r>
            <w:r w:rsidRPr="00F62E26">
              <w:rPr>
                <w:rFonts w:hint="cs"/>
                <w:rtl/>
              </w:rPr>
              <w:t>إعداد الميزانية</w:t>
            </w:r>
            <w:r w:rsidRPr="00F62E26">
              <w:rPr>
                <w:rtl/>
              </w:rPr>
              <w:t xml:space="preserve"> القائم على النتائج. إضافةً إلى ذلك، ترى عدة منظمات أن هذه التوصية مُنفذة بالفعل، بالإشارة إلى سياسة مشتركة لاسترداد التكاليف مُنسقة بين عدة منظمات، </w:t>
            </w:r>
            <w:r w:rsidRPr="00F62E26">
              <w:rPr>
                <w:rFonts w:hint="cs"/>
                <w:rtl/>
              </w:rPr>
              <w:t>و</w:t>
            </w:r>
            <w:r w:rsidRPr="00F62E26">
              <w:rPr>
                <w:rtl/>
              </w:rPr>
              <w:t xml:space="preserve">وافقت عليها المجالس التنفيذية لتلك </w:t>
            </w:r>
            <w:r w:rsidRPr="00F62E26">
              <w:rPr>
                <w:rFonts w:hint="cs"/>
                <w:rtl/>
              </w:rPr>
              <w:t>الجهات</w:t>
            </w:r>
            <w:r w:rsidRPr="00F62E26">
              <w:rPr>
                <w:rtl/>
              </w:rPr>
              <w:t xml:space="preserve"> بشكل مشترك</w:t>
            </w:r>
            <w:r w:rsidRPr="00F62E26">
              <w:rPr>
                <w:lang w:val="en-GB" w:bidi="ar-EG"/>
              </w:rPr>
              <w:t>.</w:t>
            </w:r>
          </w:p>
          <w:p w14:paraId="253E5C98" w14:textId="582BEF25" w:rsidR="00575C38" w:rsidRPr="00F62E26" w:rsidRDefault="00575C38" w:rsidP="00575C38">
            <w:pPr>
              <w:pStyle w:val="Tabletexte"/>
              <w:rPr>
                <w:rtl/>
              </w:rPr>
            </w:pPr>
            <w:r w:rsidRPr="00F62E26">
              <w:rPr>
                <w:rtl/>
              </w:rPr>
              <w:t xml:space="preserve">ويشير آخرون إلى أن فئات التكلفة مستمدة من مخطط الحسابات </w:t>
            </w:r>
            <w:r w:rsidRPr="00F62E26">
              <w:rPr>
                <w:rFonts w:hint="cs"/>
                <w:rtl/>
              </w:rPr>
              <w:t>وتبين</w:t>
            </w:r>
            <w:r w:rsidRPr="00F62E26">
              <w:rPr>
                <w:rtl/>
              </w:rPr>
              <w:t xml:space="preserve"> الاختصاصات المحددة للمنظمة، وأن محاولات المواءمة قد تتعارض مع أفضل ممارسات مخطط الحسابات. إضافةً إلى ذلك، شُدّد على التحد</w:t>
            </w:r>
            <w:r w:rsidR="00A319BB">
              <w:rPr>
                <w:rFonts w:hint="cs"/>
                <w:rtl/>
              </w:rPr>
              <w:t>ي</w:t>
            </w:r>
            <w:r w:rsidRPr="00F62E26">
              <w:rPr>
                <w:rtl/>
              </w:rPr>
              <w:t xml:space="preserve"> المتمثل في مواءمة تصنيف </w:t>
            </w:r>
            <w:r w:rsidRPr="00F62E26">
              <w:rPr>
                <w:rFonts w:hint="cs"/>
                <w:rtl/>
              </w:rPr>
              <w:t>بنود</w:t>
            </w:r>
            <w:r w:rsidRPr="00F62E26">
              <w:rPr>
                <w:rtl/>
              </w:rPr>
              <w:t xml:space="preserve"> الإنفاق بين مختلف منظمات الأمم المتحدة ذات الاختصاصات والأساليب التشغيلية المختلفة. وفي هذا الصدد، ينبغي استخدام أي تحديث مقترح للتصنيف </w:t>
            </w:r>
            <w:r w:rsidRPr="00F62E26">
              <w:rPr>
                <w:rFonts w:hint="cs"/>
                <w:rtl/>
              </w:rPr>
              <w:t>المعياري</w:t>
            </w:r>
            <w:r w:rsidRPr="00F62E26">
              <w:rPr>
                <w:rtl/>
              </w:rPr>
              <w:t xml:space="preserve"> </w:t>
            </w:r>
            <w:r w:rsidRPr="00F62E26">
              <w:rPr>
                <w:rFonts w:hint="cs"/>
                <w:rtl/>
              </w:rPr>
              <w:t>لبنود</w:t>
            </w:r>
            <w:r w:rsidRPr="00F62E26">
              <w:rPr>
                <w:rtl/>
              </w:rPr>
              <w:t xml:space="preserve"> الإنفاق في المقام الأول لأغراض إعداد التقارير بين الوكالات بدلاً من إعداد الميزانيات، مع مراعاة خصوصيات اختصاصات المنظمات </w:t>
            </w:r>
            <w:r w:rsidRPr="00F62E26">
              <w:rPr>
                <w:rFonts w:hint="cs"/>
                <w:rtl/>
              </w:rPr>
              <w:t>وطرائقها</w:t>
            </w:r>
            <w:r w:rsidRPr="00F62E26">
              <w:rPr>
                <w:rtl/>
              </w:rPr>
              <w:t xml:space="preserve"> التشغيلية</w:t>
            </w:r>
            <w:r w:rsidR="00A319BB">
              <w:rPr>
                <w:rFonts w:hint="cs"/>
                <w:rtl/>
              </w:rPr>
              <w:t>.</w:t>
            </w:r>
          </w:p>
          <w:p w14:paraId="64730304" w14:textId="1E42F1B8" w:rsidR="00575C38" w:rsidRPr="00F62E26" w:rsidRDefault="00575C38" w:rsidP="00575C38">
            <w:pPr>
              <w:pStyle w:val="Tabletexte"/>
              <w:rPr>
                <w:lang w:val="en-GB" w:bidi="ar-EG"/>
              </w:rPr>
            </w:pPr>
            <w:r w:rsidRPr="00F62E26">
              <w:rPr>
                <w:rtl/>
              </w:rPr>
              <w:t>وفيما يتعلق بالجدول الزمني للتنفيذ، تؤكد المنظمات أنها لا تستطيع الالتزام بالجدول الزمني المقترح لأن الأمر يتطلب اتفاقا</w:t>
            </w:r>
            <w:r w:rsidR="00A319BB">
              <w:rPr>
                <w:rFonts w:hint="cs"/>
                <w:rtl/>
              </w:rPr>
              <w:t>ً</w:t>
            </w:r>
            <w:r w:rsidRPr="00F62E26">
              <w:rPr>
                <w:rtl/>
              </w:rPr>
              <w:t xml:space="preserve"> جماعيا</w:t>
            </w:r>
            <w:r w:rsidR="00A319BB">
              <w:rPr>
                <w:rFonts w:hint="cs"/>
                <w:rtl/>
              </w:rPr>
              <w:t>ً</w:t>
            </w:r>
            <w:r w:rsidRPr="00F62E26">
              <w:rPr>
                <w:rtl/>
              </w:rPr>
              <w:t xml:space="preserve"> بين أعضاء شبكة</w:t>
            </w:r>
            <w:r w:rsidRPr="00F62E26">
              <w:rPr>
                <w:rFonts w:hint="cs"/>
                <w:rtl/>
              </w:rPr>
              <w:t xml:space="preserve"> الشؤون</w:t>
            </w:r>
            <w:r w:rsidRPr="00F62E26">
              <w:rPr>
                <w:rtl/>
              </w:rPr>
              <w:t xml:space="preserve"> المالية والميزانية وقد تستغرق العملية وقتا</w:t>
            </w:r>
            <w:r w:rsidR="009D10CF">
              <w:rPr>
                <w:rFonts w:hint="cs"/>
                <w:rtl/>
              </w:rPr>
              <w:t>ً</w:t>
            </w:r>
            <w:r w:rsidRPr="00F62E26">
              <w:rPr>
                <w:rtl/>
              </w:rPr>
              <w:t xml:space="preserve"> أطول.</w:t>
            </w:r>
          </w:p>
        </w:tc>
      </w:tr>
      <w:tr w:rsidR="00575C38" w:rsidRPr="003A29E7" w14:paraId="05B245A7" w14:textId="77777777" w:rsidTr="00575C38">
        <w:trPr>
          <w:jc w:val="center"/>
        </w:trPr>
        <w:tc>
          <w:tcPr>
            <w:tcW w:w="2398" w:type="dxa"/>
          </w:tcPr>
          <w:p w14:paraId="7523734D" w14:textId="77777777" w:rsidR="00575C38" w:rsidRPr="008A582F" w:rsidRDefault="00575C38" w:rsidP="00575C38">
            <w:pPr>
              <w:pStyle w:val="Tabletexte"/>
              <w:jc w:val="right"/>
              <w:rPr>
                <w:b/>
                <w:bCs/>
                <w:lang w:val="en-GB" w:bidi="ar-EG"/>
              </w:rPr>
            </w:pPr>
            <w:r w:rsidRPr="008A582F">
              <w:rPr>
                <w:rFonts w:hint="cs"/>
                <w:b/>
                <w:bCs/>
                <w:rtl/>
              </w:rPr>
              <w:t>حالة التنفيذ:</w:t>
            </w:r>
          </w:p>
        </w:tc>
        <w:tc>
          <w:tcPr>
            <w:tcW w:w="11596" w:type="dxa"/>
          </w:tcPr>
          <w:p w14:paraId="6C0B39B8" w14:textId="77777777" w:rsidR="00575C38" w:rsidRPr="003A29E7" w:rsidRDefault="00575C38" w:rsidP="00575C38">
            <w:pPr>
              <w:pStyle w:val="Tabletexte"/>
              <w:rPr>
                <w:lang w:val="en-GB" w:bidi="ar-EG"/>
              </w:rPr>
            </w:pPr>
            <w:r w:rsidRPr="003A29E7">
              <w:rPr>
                <w:rFonts w:hint="cs"/>
                <w:rtl/>
              </w:rPr>
              <w:t xml:space="preserve">ستنفَّذ </w:t>
            </w:r>
            <w:r w:rsidRPr="003A29E7">
              <w:rPr>
                <w:rtl/>
              </w:rPr>
              <w:t>في إطار التحول المالي الجاري حاليا</w:t>
            </w:r>
            <w:r w:rsidRPr="003A29E7">
              <w:rPr>
                <w:rFonts w:hint="cs"/>
                <w:rtl/>
              </w:rPr>
              <w:t>ً</w:t>
            </w:r>
            <w:r w:rsidRPr="003A29E7">
              <w:rPr>
                <w:rtl/>
              </w:rPr>
              <w:t xml:space="preserve"> في الاتحاد</w:t>
            </w:r>
            <w:r w:rsidRPr="003A29E7">
              <w:rPr>
                <w:rFonts w:hint="cs"/>
                <w:rtl/>
              </w:rPr>
              <w:t>.</w:t>
            </w:r>
          </w:p>
        </w:tc>
      </w:tr>
      <w:tr w:rsidR="00575C38" w:rsidRPr="003A29E7" w14:paraId="22299DAB" w14:textId="77777777" w:rsidTr="00575C38">
        <w:trPr>
          <w:trHeight w:val="129"/>
          <w:jc w:val="center"/>
        </w:trPr>
        <w:tc>
          <w:tcPr>
            <w:tcW w:w="13994" w:type="dxa"/>
            <w:gridSpan w:val="2"/>
            <w:shd w:val="clear" w:color="auto" w:fill="F2F2F2"/>
          </w:tcPr>
          <w:p w14:paraId="2326CA3F" w14:textId="77777777" w:rsidR="00575C38" w:rsidRPr="003A29E7" w:rsidRDefault="00575C38" w:rsidP="00575C38">
            <w:pPr>
              <w:pStyle w:val="Tabletexte"/>
              <w:rPr>
                <w:lang w:val="en-GB" w:bidi="ar-EG"/>
              </w:rPr>
            </w:pPr>
          </w:p>
        </w:tc>
      </w:tr>
      <w:tr w:rsidR="00575C38" w:rsidRPr="003A29E7" w14:paraId="0E51F27B" w14:textId="77777777" w:rsidTr="00575C38">
        <w:trPr>
          <w:trHeight w:val="251"/>
          <w:jc w:val="center"/>
        </w:trPr>
        <w:tc>
          <w:tcPr>
            <w:tcW w:w="2398" w:type="dxa"/>
            <w:shd w:val="clear" w:color="auto" w:fill="E1EBF7"/>
          </w:tcPr>
          <w:p w14:paraId="3192673D" w14:textId="77777777" w:rsidR="00575C38" w:rsidRPr="008A582F" w:rsidRDefault="00575C38" w:rsidP="00575C38">
            <w:pPr>
              <w:pStyle w:val="Tabletexte"/>
              <w:jc w:val="right"/>
              <w:rPr>
                <w:b/>
                <w:bCs/>
                <w:lang w:val="en-GB" w:bidi="ar-EG"/>
              </w:rPr>
            </w:pPr>
            <w:r w:rsidRPr="008A582F">
              <w:rPr>
                <w:rFonts w:hint="cs"/>
                <w:b/>
                <w:bCs/>
                <w:rtl/>
              </w:rPr>
              <w:t>التوصية موجهة إلى الهيئات التشريعية/الإدارية:</w:t>
            </w:r>
          </w:p>
        </w:tc>
        <w:tc>
          <w:tcPr>
            <w:tcW w:w="11596" w:type="dxa"/>
            <w:shd w:val="clear" w:color="auto" w:fill="FFFFFF"/>
          </w:tcPr>
          <w:p w14:paraId="588F58E3" w14:textId="77777777" w:rsidR="00575C38" w:rsidRPr="003A29E7" w:rsidRDefault="00575C38" w:rsidP="00575C38">
            <w:pPr>
              <w:pStyle w:val="Tabletexte"/>
              <w:rPr>
                <w:lang w:val="en-GB" w:bidi="ar-EG"/>
              </w:rPr>
            </w:pPr>
            <w:r w:rsidRPr="00936242">
              <w:rPr>
                <w:b/>
                <w:bCs/>
                <w:highlight w:val="cyan"/>
                <w:rtl/>
              </w:rPr>
              <w:t>التوصية 3</w:t>
            </w:r>
            <w:r w:rsidRPr="003A29E7">
              <w:rPr>
                <w:rtl/>
              </w:rPr>
              <w:t xml:space="preserve">: ينبغي </w:t>
            </w:r>
            <w:r w:rsidRPr="003A29E7">
              <w:rPr>
                <w:rFonts w:hint="cs"/>
                <w:rtl/>
              </w:rPr>
              <w:t>للهيئات</w:t>
            </w:r>
            <w:r w:rsidRPr="003A29E7">
              <w:rPr>
                <w:rtl/>
              </w:rPr>
              <w:t xml:space="preserve"> التشريعية والهيئات الإدارية للمنظمات المشاركة في وحدة التفتيش المشتركة أن تطلب من الرؤساء التنفيذيين للمنظمات المعنية الامتناع عن خفض مستوى التفاصيل المقدمة حالياً في سياق النظر في ميزانيتها، بدءاً من دورة الميزانية التالية، وذلك لضمان عملية صنع قرار ذات </w:t>
            </w:r>
            <w:r w:rsidRPr="003A29E7">
              <w:rPr>
                <w:rFonts w:hint="cs"/>
                <w:rtl/>
              </w:rPr>
              <w:t>مغزى</w:t>
            </w:r>
            <w:r w:rsidRPr="003A29E7">
              <w:rPr>
                <w:rtl/>
              </w:rPr>
              <w:t>.</w:t>
            </w:r>
          </w:p>
        </w:tc>
      </w:tr>
      <w:tr w:rsidR="00575C38" w:rsidRPr="003A29E7" w14:paraId="2F932771" w14:textId="77777777" w:rsidTr="00575C38">
        <w:trPr>
          <w:jc w:val="center"/>
        </w:trPr>
        <w:tc>
          <w:tcPr>
            <w:tcW w:w="2398" w:type="dxa"/>
            <w:shd w:val="clear" w:color="auto" w:fill="EAF1DD"/>
          </w:tcPr>
          <w:p w14:paraId="78D00F61" w14:textId="77777777" w:rsidR="00575C38" w:rsidRPr="008A582F" w:rsidRDefault="00575C38" w:rsidP="00575C38">
            <w:pPr>
              <w:pStyle w:val="Tabletexte"/>
              <w:jc w:val="right"/>
              <w:rPr>
                <w:b/>
                <w:bCs/>
                <w:lang w:val="en-GB" w:bidi="ar-EG"/>
              </w:rPr>
            </w:pPr>
            <w:r w:rsidRPr="008A582F">
              <w:rPr>
                <w:rFonts w:hint="cs"/>
                <w:b/>
                <w:bCs/>
                <w:rtl/>
              </w:rPr>
              <w:t>الإجراء المطلوب:</w:t>
            </w:r>
          </w:p>
        </w:tc>
        <w:tc>
          <w:tcPr>
            <w:tcW w:w="11596" w:type="dxa"/>
          </w:tcPr>
          <w:p w14:paraId="60EAED01" w14:textId="38E16172" w:rsidR="00575C38" w:rsidRPr="003A29E7" w:rsidRDefault="00575C38" w:rsidP="00575C38">
            <w:pPr>
              <w:pStyle w:val="Tabletexte"/>
              <w:rPr>
                <w:lang w:val="en-GB" w:bidi="ar-EG"/>
              </w:rPr>
            </w:pPr>
            <w:r w:rsidRPr="00575C38">
              <w:t>)</w:t>
            </w:r>
            <w:r w:rsidRPr="007A3C69">
              <w:rPr>
                <w:b/>
                <w:bCs/>
                <w:highlight w:val="green"/>
                <w:rtl/>
              </w:rPr>
              <w:t>قُبلت</w:t>
            </w:r>
            <w:r w:rsidRPr="007A3C69">
              <w:rPr>
                <w:rFonts w:hint="cs"/>
                <w:rtl/>
              </w:rPr>
              <w:t>،</w:t>
            </w:r>
            <w:r>
              <w:rPr>
                <w:rFonts w:hint="cs"/>
                <w:rtl/>
              </w:rPr>
              <w:t xml:space="preserve"> </w:t>
            </w:r>
            <w:r w:rsidRPr="007A3C69">
              <w:rPr>
                <w:rtl/>
              </w:rPr>
              <w:t>لم تُقبل</w:t>
            </w:r>
            <w:r w:rsidRPr="007A3C69">
              <w:rPr>
                <w:rFonts w:hint="cs"/>
                <w:rtl/>
              </w:rPr>
              <w:t>،</w:t>
            </w:r>
            <w:r>
              <w:rPr>
                <w:rFonts w:hint="cs"/>
                <w:rtl/>
              </w:rPr>
              <w:t xml:space="preserve"> </w:t>
            </w:r>
            <w:r w:rsidRPr="007A3C69">
              <w:rPr>
                <w:rtl/>
              </w:rPr>
              <w:t>ليست ذات صلة</w:t>
            </w:r>
            <w:r w:rsidRPr="007A3C69">
              <w:rPr>
                <w:rFonts w:hint="cs"/>
                <w:rtl/>
              </w:rPr>
              <w:t>،</w:t>
            </w:r>
            <w:r>
              <w:rPr>
                <w:rFonts w:hint="cs"/>
                <w:rtl/>
              </w:rPr>
              <w:t xml:space="preserve"> </w:t>
            </w:r>
            <w:r w:rsidRPr="007A3C69">
              <w:rPr>
                <w:rtl/>
              </w:rPr>
              <w:t>تتطلب مزيداً من النظر</w:t>
            </w:r>
            <w:r>
              <w:rPr>
                <w:rFonts w:hint="cs"/>
                <w:rtl/>
              </w:rPr>
              <w:t>)</w:t>
            </w:r>
          </w:p>
        </w:tc>
      </w:tr>
      <w:tr w:rsidR="00575C38" w:rsidRPr="003A29E7" w14:paraId="326FA669" w14:textId="77777777" w:rsidTr="00575C38">
        <w:trPr>
          <w:jc w:val="center"/>
        </w:trPr>
        <w:tc>
          <w:tcPr>
            <w:tcW w:w="2398" w:type="dxa"/>
          </w:tcPr>
          <w:p w14:paraId="73FD51ED" w14:textId="04D58630" w:rsidR="00575C38" w:rsidRPr="008A582F" w:rsidRDefault="00575C38" w:rsidP="00575C38">
            <w:pPr>
              <w:pStyle w:val="Tabletexte"/>
              <w:jc w:val="right"/>
              <w:rPr>
                <w:b/>
                <w:bCs/>
                <w:lang w:val="en-GB" w:bidi="ar-EG"/>
              </w:rPr>
            </w:pPr>
            <w:r w:rsidRPr="00A319BB">
              <w:rPr>
                <w:b/>
                <w:bCs/>
                <w:rtl/>
              </w:rPr>
              <w:t>تعليقات</w:t>
            </w:r>
            <w:r w:rsidRPr="008A582F">
              <w:rPr>
                <w:b/>
                <w:bCs/>
                <w:rtl/>
              </w:rPr>
              <w:t xml:space="preserve"> الاتحاد بشأن</w:t>
            </w:r>
            <w:r>
              <w:rPr>
                <w:rFonts w:hint="cs"/>
                <w:b/>
                <w:bCs/>
                <w:rtl/>
              </w:rPr>
              <w:t xml:space="preserve"> </w:t>
            </w:r>
            <w:r w:rsidRPr="008A582F">
              <w:rPr>
                <w:b/>
                <w:bCs/>
                <w:rtl/>
              </w:rPr>
              <w:t>أهمية التوصية وآثارها على الموارد المالية والبشرية</w:t>
            </w:r>
            <w:r>
              <w:rPr>
                <w:rFonts w:hint="cs"/>
                <w:b/>
                <w:bCs/>
                <w:rtl/>
              </w:rPr>
              <w:t>:</w:t>
            </w:r>
          </w:p>
        </w:tc>
        <w:tc>
          <w:tcPr>
            <w:tcW w:w="11596" w:type="dxa"/>
          </w:tcPr>
          <w:p w14:paraId="583CE024" w14:textId="5E13D224" w:rsidR="00575C38" w:rsidRPr="003A29E7" w:rsidRDefault="00575C38" w:rsidP="00575C38">
            <w:pPr>
              <w:pStyle w:val="Tabletexte"/>
              <w:rPr>
                <w:lang w:val="en-GB" w:bidi="ar-EG"/>
              </w:rPr>
            </w:pPr>
            <w:r w:rsidRPr="003A29E7">
              <w:rPr>
                <w:rtl/>
              </w:rPr>
              <w:t xml:space="preserve">يواصل الاتحاد الدولي للاتصالات تزويد أعضائه بمعلومات مفصلة </w:t>
            </w:r>
            <w:r w:rsidRPr="003A29E7">
              <w:rPr>
                <w:rFonts w:hint="cs"/>
                <w:rtl/>
              </w:rPr>
              <w:t>كجزء من استعراض</w:t>
            </w:r>
            <w:r w:rsidRPr="003A29E7">
              <w:rPr>
                <w:rtl/>
              </w:rPr>
              <w:t xml:space="preserve"> ميزانياته. وقد استمر </w:t>
            </w:r>
            <w:r w:rsidRPr="003A29E7">
              <w:rPr>
                <w:rFonts w:hint="cs"/>
                <w:rtl/>
              </w:rPr>
              <w:t xml:space="preserve">تقديم </w:t>
            </w:r>
            <w:r w:rsidRPr="003A29E7">
              <w:rPr>
                <w:rtl/>
              </w:rPr>
              <w:t xml:space="preserve">هذا المستوى من التفصيل، بل وتحسن. </w:t>
            </w:r>
            <w:r w:rsidRPr="003A29E7">
              <w:rPr>
                <w:rFonts w:hint="cs"/>
                <w:rtl/>
              </w:rPr>
              <w:t>وتقدم</w:t>
            </w:r>
            <w:r w:rsidRPr="003A29E7">
              <w:rPr>
                <w:rtl/>
              </w:rPr>
              <w:t xml:space="preserve"> هذه المعلومات التفصيلية لأعضائنا ضمانا</w:t>
            </w:r>
            <w:r>
              <w:rPr>
                <w:rFonts w:hint="cs"/>
                <w:rtl/>
              </w:rPr>
              <w:t>ً</w:t>
            </w:r>
            <w:r w:rsidRPr="003A29E7">
              <w:rPr>
                <w:rtl/>
              </w:rPr>
              <w:t xml:space="preserve"> لعملية اتخاذ القرار عند الموافقة على الميزانيات.</w:t>
            </w:r>
          </w:p>
        </w:tc>
      </w:tr>
      <w:tr w:rsidR="00575C38" w:rsidRPr="003A29E7" w14:paraId="2819C8D2" w14:textId="77777777" w:rsidTr="00575C38">
        <w:trPr>
          <w:jc w:val="center"/>
        </w:trPr>
        <w:tc>
          <w:tcPr>
            <w:tcW w:w="2398" w:type="dxa"/>
          </w:tcPr>
          <w:p w14:paraId="004FE21D" w14:textId="0E89843B" w:rsidR="00575C38" w:rsidRPr="008A582F" w:rsidRDefault="00575C38" w:rsidP="00575C38">
            <w:pPr>
              <w:pStyle w:val="Tabletexte"/>
              <w:jc w:val="right"/>
              <w:rPr>
                <w:b/>
                <w:bCs/>
                <w:lang w:val="en-GB" w:bidi="ar-EG"/>
              </w:rPr>
            </w:pPr>
            <w:r w:rsidRPr="008A582F">
              <w:rPr>
                <w:rFonts w:hint="cs"/>
                <w:b/>
                <w:bCs/>
                <w:rtl/>
              </w:rPr>
              <w:t xml:space="preserve">تعليقات مجلس الرؤساء التنفيذيين </w:t>
            </w:r>
            <w:r w:rsidRPr="008A582F">
              <w:rPr>
                <w:b/>
                <w:bCs/>
                <w:lang w:bidi="ar-EG"/>
              </w:rPr>
              <w:t>(CEB)</w:t>
            </w:r>
            <w:r w:rsidRPr="008A582F">
              <w:rPr>
                <w:rFonts w:hint="cs"/>
                <w:b/>
                <w:bCs/>
                <w:rtl/>
              </w:rPr>
              <w:t xml:space="preserve"> ل</w:t>
            </w:r>
            <w:r w:rsidRPr="008A582F">
              <w:rPr>
                <w:b/>
                <w:bCs/>
                <w:rtl/>
              </w:rPr>
              <w:t>منظومة الأمم المتحدة ككل</w:t>
            </w:r>
            <w:r>
              <w:rPr>
                <w:rFonts w:hint="cs"/>
                <w:b/>
                <w:bCs/>
                <w:rtl/>
              </w:rPr>
              <w:t>:</w:t>
            </w:r>
          </w:p>
        </w:tc>
        <w:tc>
          <w:tcPr>
            <w:tcW w:w="11596" w:type="dxa"/>
          </w:tcPr>
          <w:p w14:paraId="13A22F74" w14:textId="2F2E1E46" w:rsidR="00575C38" w:rsidRPr="003A29E7" w:rsidRDefault="00575C38" w:rsidP="007E40A1">
            <w:pPr>
              <w:pStyle w:val="Tabletexte"/>
              <w:rPr>
                <w:rtl/>
                <w:lang w:bidi="ar-SA"/>
              </w:rPr>
            </w:pPr>
            <w:r w:rsidRPr="003A29E7">
              <w:rPr>
                <w:rtl/>
              </w:rPr>
              <w:t>لا تعترض المنظمات عموما</w:t>
            </w:r>
            <w:r w:rsidR="00A319BB">
              <w:rPr>
                <w:rFonts w:hint="cs"/>
                <w:rtl/>
              </w:rPr>
              <w:t>ً</w:t>
            </w:r>
            <w:r w:rsidRPr="003A29E7">
              <w:rPr>
                <w:rtl/>
              </w:rPr>
              <w:t xml:space="preserve"> على التوصية، إلا أنها تُشير إلى أن مستوى المعلومات المطلوب ينبغي أن يُحدد بناءً على الاحتياجات لا على أساس مرجعي مُحدد مسبقا</w:t>
            </w:r>
            <w:r w:rsidR="00A319BB">
              <w:rPr>
                <w:rFonts w:hint="cs"/>
                <w:rtl/>
              </w:rPr>
              <w:t>ً</w:t>
            </w:r>
            <w:r w:rsidRPr="003A29E7">
              <w:rPr>
                <w:rtl/>
              </w:rPr>
              <w:t xml:space="preserve">، وأن تقليل مستوى التفاصيل لن يُقلل بالضرورة من الشفافية أو المساءلة. </w:t>
            </w:r>
            <w:r w:rsidRPr="003A29E7">
              <w:rPr>
                <w:rFonts w:hint="cs"/>
                <w:rtl/>
              </w:rPr>
              <w:t>وذُكر</w:t>
            </w:r>
            <w:r w:rsidRPr="003A29E7">
              <w:rPr>
                <w:rtl/>
              </w:rPr>
              <w:t xml:space="preserve"> </w:t>
            </w:r>
            <w:r w:rsidRPr="003A29E7">
              <w:rPr>
                <w:rFonts w:hint="cs"/>
                <w:rtl/>
              </w:rPr>
              <w:t>أيضاً</w:t>
            </w:r>
            <w:r w:rsidRPr="003A29E7">
              <w:rPr>
                <w:rtl/>
              </w:rPr>
              <w:t xml:space="preserve"> أن هذه التوصية قد تتعارض مع توصيات بعض الهيئات الإدارية التي دعت إلى ترشيد وتبسيط الوثائق المُقدمة إليها</w:t>
            </w:r>
            <w:r w:rsidRPr="003A29E7">
              <w:rPr>
                <w:lang w:val="en-GB" w:bidi="ar-EG"/>
              </w:rPr>
              <w:t>.</w:t>
            </w:r>
            <w:r w:rsidR="007E40A1">
              <w:rPr>
                <w:rFonts w:hint="cs"/>
                <w:rtl/>
                <w:lang w:val="en-GB" w:bidi="ar-EG"/>
              </w:rPr>
              <w:t xml:space="preserve"> </w:t>
            </w:r>
            <w:r w:rsidR="007E40A1" w:rsidRPr="007E40A1">
              <w:rPr>
                <w:rtl/>
                <w:lang w:val="en-GB" w:bidi="ar-SA"/>
              </w:rPr>
              <w:t>وترى بعض المنظمات أنه قد يلزم، في الظروف الاستثنائية (مثل تحديات السيولة)، اتخاذ تدابير مؤقتة من شأنها خفض تكاليف التوثيق عن طريق التخفيض المؤقت لمستوى التفاصيل</w:t>
            </w:r>
            <w:r w:rsidR="007E40A1" w:rsidRPr="007E40A1">
              <w:rPr>
                <w:lang w:bidi="ar-EG"/>
              </w:rPr>
              <w:t>.</w:t>
            </w:r>
          </w:p>
          <w:p w14:paraId="50034278" w14:textId="77777777" w:rsidR="00575C38" w:rsidRPr="003A29E7" w:rsidRDefault="00575C38" w:rsidP="00575C38">
            <w:pPr>
              <w:pStyle w:val="Tabletexte"/>
              <w:rPr>
                <w:lang w:val="en-GB" w:bidi="ar-EG"/>
              </w:rPr>
            </w:pPr>
            <w:r w:rsidRPr="003A29E7">
              <w:rPr>
                <w:rtl/>
              </w:rPr>
              <w:t xml:space="preserve">وترى </w:t>
            </w:r>
            <w:r w:rsidRPr="003A29E7">
              <w:rPr>
                <w:rFonts w:hint="cs"/>
                <w:rtl/>
              </w:rPr>
              <w:t>عدة</w:t>
            </w:r>
            <w:r w:rsidRPr="003A29E7">
              <w:rPr>
                <w:rtl/>
              </w:rPr>
              <w:t xml:space="preserve"> منظمات أن التوصية المقترحة قد </w:t>
            </w:r>
            <w:r w:rsidRPr="003A29E7">
              <w:rPr>
                <w:rFonts w:hint="cs"/>
                <w:rtl/>
              </w:rPr>
              <w:t>نُفذت</w:t>
            </w:r>
            <w:r w:rsidRPr="003A29E7">
              <w:rPr>
                <w:rtl/>
              </w:rPr>
              <w:t xml:space="preserve"> وتؤكد أن مستوى التفاصيل المقد</w:t>
            </w:r>
            <w:r w:rsidRPr="003A29E7">
              <w:rPr>
                <w:rFonts w:hint="cs"/>
                <w:rtl/>
              </w:rPr>
              <w:t>َّ</w:t>
            </w:r>
            <w:r w:rsidRPr="003A29E7">
              <w:rPr>
                <w:rtl/>
              </w:rPr>
              <w:t>مة بالفعل يعتبر كافياً.</w:t>
            </w:r>
          </w:p>
        </w:tc>
      </w:tr>
      <w:tr w:rsidR="00575C38" w:rsidRPr="003A29E7" w14:paraId="4DBCF559" w14:textId="77777777" w:rsidTr="00575C38">
        <w:trPr>
          <w:jc w:val="center"/>
        </w:trPr>
        <w:tc>
          <w:tcPr>
            <w:tcW w:w="2398" w:type="dxa"/>
          </w:tcPr>
          <w:p w14:paraId="0039FA6F" w14:textId="77777777" w:rsidR="00575C38" w:rsidRPr="008A582F" w:rsidRDefault="00575C38" w:rsidP="00575C38">
            <w:pPr>
              <w:pStyle w:val="Tabletexte"/>
              <w:jc w:val="right"/>
              <w:rPr>
                <w:b/>
                <w:bCs/>
                <w:lang w:val="en-GB" w:bidi="ar-EG"/>
              </w:rPr>
            </w:pPr>
            <w:r w:rsidRPr="008A582F">
              <w:rPr>
                <w:rFonts w:hint="cs"/>
                <w:b/>
                <w:bCs/>
                <w:rtl/>
              </w:rPr>
              <w:t>حالة التنفيذ:</w:t>
            </w:r>
          </w:p>
        </w:tc>
        <w:tc>
          <w:tcPr>
            <w:tcW w:w="11596" w:type="dxa"/>
          </w:tcPr>
          <w:p w14:paraId="4B491524" w14:textId="77777777" w:rsidR="00575C38" w:rsidRPr="003A29E7" w:rsidRDefault="00575C38" w:rsidP="00575C38">
            <w:pPr>
              <w:pStyle w:val="Tabletexte"/>
              <w:rPr>
                <w:lang w:val="en-GB" w:bidi="ar-EG"/>
              </w:rPr>
            </w:pPr>
            <w:r w:rsidRPr="003A29E7">
              <w:rPr>
                <w:rFonts w:hint="cs"/>
                <w:rtl/>
              </w:rPr>
              <w:t>يجري تنفيذها</w:t>
            </w:r>
            <w:r w:rsidRPr="003A29E7">
              <w:rPr>
                <w:rtl/>
              </w:rPr>
              <w:t>: ستتضمن ميزانية الاتحاد الدولي للاتصالات للفترة 2026-2027 مجموعات إضافية من المعلومات والتفاصيل مقارنة بالميزانيات السابقة.</w:t>
            </w:r>
          </w:p>
        </w:tc>
      </w:tr>
      <w:tr w:rsidR="00575C38" w:rsidRPr="003A29E7" w14:paraId="2C980F49" w14:textId="77777777" w:rsidTr="00575C38">
        <w:trPr>
          <w:trHeight w:val="405"/>
          <w:jc w:val="center"/>
        </w:trPr>
        <w:tc>
          <w:tcPr>
            <w:tcW w:w="13994" w:type="dxa"/>
            <w:gridSpan w:val="2"/>
            <w:shd w:val="clear" w:color="auto" w:fill="FFFF00"/>
          </w:tcPr>
          <w:p w14:paraId="651D3571" w14:textId="12A88A97" w:rsidR="00575C38" w:rsidRPr="00336CAE" w:rsidRDefault="00575C38" w:rsidP="00575C38">
            <w:pPr>
              <w:pStyle w:val="Tablehead"/>
              <w:rPr>
                <w:lang w:val="en-GB" w:bidi="ar-EG"/>
              </w:rPr>
            </w:pPr>
            <w:r w:rsidRPr="00336CAE">
              <w:rPr>
                <w:lang w:val="en-GB" w:bidi="ar-EG"/>
              </w:rPr>
              <w:lastRenderedPageBreak/>
              <w:t>JIU/REP/2024/2</w:t>
            </w:r>
            <w:r w:rsidRPr="00336CAE">
              <w:rPr>
                <w:rFonts w:hint="cs"/>
                <w:rtl/>
              </w:rPr>
              <w:t xml:space="preserve"> </w:t>
            </w:r>
            <w:hyperlink r:id="rId22" w:history="1">
              <w:r w:rsidRPr="00336CAE">
                <w:rPr>
                  <w:rStyle w:val="Hyperlink"/>
                  <w:rFonts w:ascii="Dubai" w:eastAsiaTheme="minorEastAsia" w:hAnsi="Dubai" w:cs="Dubai"/>
                  <w:noProof w:val="0"/>
                  <w:sz w:val="20"/>
                  <w:rtl/>
                  <w:lang w:val="en-US" w:eastAsia="zh-CN"/>
                </w:rPr>
                <w:t>استعراض تقارير وتوصيات وحدة التفتيش المشتركة</w:t>
              </w:r>
              <w:r w:rsidR="00626440" w:rsidRPr="00336CAE">
                <w:rPr>
                  <w:rStyle w:val="Hyperlink"/>
                  <w:rFonts w:ascii="Dubai" w:eastAsiaTheme="minorEastAsia" w:hAnsi="Dubai" w:cs="Dubai" w:hint="cs"/>
                  <w:noProof w:val="0"/>
                  <w:sz w:val="20"/>
                  <w:rtl/>
                  <w:lang w:val="en-US" w:eastAsia="zh-CN"/>
                </w:rPr>
                <w:t xml:space="preserve"> </w:t>
              </w:r>
              <w:r w:rsidRPr="00336CAE">
                <w:rPr>
                  <w:rStyle w:val="Hyperlink"/>
                  <w:rFonts w:ascii="Dubai" w:eastAsiaTheme="minorEastAsia" w:hAnsi="Dubai" w:cs="Dubai"/>
                  <w:noProof w:val="0"/>
                  <w:sz w:val="20"/>
                  <w:rtl/>
                  <w:lang w:val="en-US" w:eastAsia="zh-CN"/>
                </w:rPr>
                <w:t>والنظر فيها والإجراءات المتخَذة بشأنها</w:t>
              </w:r>
            </w:hyperlink>
            <w:r w:rsidR="00336CAE">
              <w:rPr>
                <w:rStyle w:val="Hyperlink"/>
                <w:rFonts w:ascii="Dubai" w:eastAsiaTheme="minorEastAsia" w:hAnsi="Dubai" w:cs="Dubai" w:hint="cs"/>
                <w:noProof w:val="0"/>
                <w:sz w:val="20"/>
                <w:rtl/>
                <w:lang w:val="en-US" w:eastAsia="zh-CN"/>
              </w:rPr>
              <w:t xml:space="preserve"> </w:t>
            </w:r>
            <w:r w:rsidR="001A6580" w:rsidRPr="00336CAE">
              <w:rPr>
                <w:rStyle w:val="Hyperlink"/>
                <w:rFonts w:ascii="Dubai" w:eastAsiaTheme="minorEastAsia" w:hAnsi="Dubai" w:cs="Dubai" w:hint="cs"/>
                <w:noProof w:val="0"/>
                <w:sz w:val="20"/>
                <w:rtl/>
                <w:lang w:val="en-US" w:eastAsia="zh-CN"/>
              </w:rPr>
              <w:t>ف</w:t>
            </w:r>
            <w:r w:rsidR="001A6580" w:rsidRPr="00336CAE">
              <w:rPr>
                <w:rStyle w:val="Hyperlink"/>
                <w:rFonts w:ascii="Dubai" w:hAnsi="Dubai" w:cs="Dubai" w:hint="cs"/>
                <w:sz w:val="20"/>
                <w:rtl/>
              </w:rPr>
              <w:t>ي منظمات منظومة الأمم المتحدة</w:t>
            </w:r>
            <w:r w:rsidRPr="00336CAE">
              <w:rPr>
                <w:rtl/>
              </w:rPr>
              <w:br/>
            </w:r>
            <w:r w:rsidRPr="00336CAE">
              <w:rPr>
                <w:rFonts w:hint="cs"/>
                <w:rtl/>
              </w:rPr>
              <w:t xml:space="preserve">مسؤول الاتصال في الاتحاد: </w:t>
            </w:r>
            <w:r w:rsidRPr="00336CAE">
              <w:rPr>
                <w:lang w:bidi="ar-EG"/>
              </w:rPr>
              <w:t>Mario Castro Grande</w:t>
            </w:r>
            <w:r w:rsidRPr="00336CAE">
              <w:rPr>
                <w:rtl/>
              </w:rPr>
              <w:br/>
            </w:r>
            <w:hyperlink r:id="rId23" w:history="1">
              <w:r w:rsidRPr="00336CAE">
                <w:rPr>
                  <w:rStyle w:val="Hyperlink"/>
                  <w:rFonts w:ascii="Dubai" w:eastAsiaTheme="minorEastAsia" w:hAnsi="Dubai" w:cs="Dubai" w:hint="cs"/>
                  <w:noProof w:val="0"/>
                  <w:sz w:val="22"/>
                  <w:rtl/>
                  <w:lang w:val="en-US" w:eastAsia="zh-CN"/>
                </w:rPr>
                <w:t>أبرز نقاط الاستعراض</w:t>
              </w:r>
            </w:hyperlink>
          </w:p>
        </w:tc>
      </w:tr>
      <w:tr w:rsidR="00575C38" w:rsidRPr="003A29E7" w14:paraId="41421BA7" w14:textId="77777777" w:rsidTr="00575C38">
        <w:trPr>
          <w:trHeight w:val="1112"/>
          <w:jc w:val="center"/>
        </w:trPr>
        <w:tc>
          <w:tcPr>
            <w:tcW w:w="2398" w:type="dxa"/>
            <w:shd w:val="clear" w:color="auto" w:fill="E1EBF7"/>
          </w:tcPr>
          <w:p w14:paraId="608F3830" w14:textId="77777777" w:rsidR="00575C38" w:rsidRPr="00A319BB" w:rsidRDefault="00575C38" w:rsidP="00575C38">
            <w:pPr>
              <w:pStyle w:val="Tabletexte"/>
              <w:jc w:val="right"/>
              <w:rPr>
                <w:b/>
                <w:bCs/>
                <w:lang w:val="en-GB" w:bidi="ar-EG"/>
              </w:rPr>
            </w:pPr>
            <w:r w:rsidRPr="00A319BB">
              <w:rPr>
                <w:rFonts w:hint="cs"/>
                <w:b/>
                <w:bCs/>
                <w:rtl/>
              </w:rPr>
              <w:t>التوصية موجهة إلى الهيئات التشريعية/الإدارية:</w:t>
            </w:r>
          </w:p>
        </w:tc>
        <w:tc>
          <w:tcPr>
            <w:tcW w:w="11596" w:type="dxa"/>
            <w:shd w:val="clear" w:color="auto" w:fill="FFFFFF"/>
          </w:tcPr>
          <w:p w14:paraId="716B6D04" w14:textId="2B718A14" w:rsidR="00575C38" w:rsidRPr="003A29E7" w:rsidRDefault="00575C38" w:rsidP="00575C38">
            <w:pPr>
              <w:pStyle w:val="Tabletexte"/>
              <w:rPr>
                <w:lang w:val="en-GB" w:bidi="ar-EG"/>
              </w:rPr>
            </w:pPr>
            <w:r w:rsidRPr="00936242">
              <w:rPr>
                <w:b/>
                <w:bCs/>
                <w:highlight w:val="cyan"/>
                <w:rtl/>
              </w:rPr>
              <w:t>التوصية 2</w:t>
            </w:r>
            <w:r w:rsidRPr="003A29E7">
              <w:rPr>
                <w:rtl/>
              </w:rPr>
              <w:t xml:space="preserve">: ينبغي </w:t>
            </w:r>
            <w:r w:rsidRPr="003A29E7">
              <w:rPr>
                <w:rFonts w:hint="cs"/>
                <w:rtl/>
              </w:rPr>
              <w:t>للهيئات</w:t>
            </w:r>
            <w:r w:rsidRPr="003A29E7">
              <w:rPr>
                <w:rtl/>
              </w:rPr>
              <w:t xml:space="preserve"> التشريعية والهيئات الإدارية </w:t>
            </w:r>
            <w:r w:rsidRPr="003A29E7">
              <w:rPr>
                <w:rFonts w:hint="cs"/>
                <w:rtl/>
              </w:rPr>
              <w:t>لمنظمات منظومة الأمم المتحدة</w:t>
            </w:r>
            <w:r w:rsidRPr="003A29E7">
              <w:rPr>
                <w:rtl/>
              </w:rPr>
              <w:t xml:space="preserve">، بحلول نهاية عام 2025، إعادة النظر في عملياتها المتعلقة بالنظر في تقارير وتوصيات وحدة التفتيش المشتركة، بما في ذلك اتخاذ القرارات بشأنها </w:t>
            </w:r>
            <w:r w:rsidRPr="003A29E7">
              <w:rPr>
                <w:rFonts w:hint="cs"/>
                <w:rtl/>
              </w:rPr>
              <w:t>ومراقبة</w:t>
            </w:r>
            <w:r w:rsidRPr="003A29E7">
              <w:rPr>
                <w:rtl/>
              </w:rPr>
              <w:t xml:space="preserve"> تنفيذ توصيات وحدة التفتيش المشتركة من السنوات السابقة، مع </w:t>
            </w:r>
            <w:r w:rsidRPr="003A29E7">
              <w:rPr>
                <w:rFonts w:hint="cs"/>
                <w:rtl/>
              </w:rPr>
              <w:t>أخذ</w:t>
            </w:r>
            <w:r w:rsidRPr="003A29E7">
              <w:rPr>
                <w:rtl/>
              </w:rPr>
              <w:t xml:space="preserve"> أمثلة الممارسات </w:t>
            </w:r>
            <w:r w:rsidR="00A319BB" w:rsidRPr="00336CAE">
              <w:rPr>
                <w:rtl/>
              </w:rPr>
              <w:t>الجيدة</w:t>
            </w:r>
            <w:r w:rsidR="00A319BB" w:rsidRPr="003A29E7">
              <w:rPr>
                <w:rtl/>
              </w:rPr>
              <w:t xml:space="preserve"> </w:t>
            </w:r>
            <w:r w:rsidRPr="003A29E7">
              <w:rPr>
                <w:rtl/>
              </w:rPr>
              <w:t xml:space="preserve">المحددة </w:t>
            </w:r>
            <w:r w:rsidRPr="003A29E7">
              <w:rPr>
                <w:rFonts w:hint="cs"/>
                <w:rtl/>
              </w:rPr>
              <w:t>ب</w:t>
            </w:r>
            <w:r w:rsidRPr="003A29E7">
              <w:rPr>
                <w:rtl/>
              </w:rPr>
              <w:t>هذا التقرير</w:t>
            </w:r>
            <w:r w:rsidRPr="003A29E7">
              <w:rPr>
                <w:rFonts w:hint="cs"/>
                <w:rtl/>
              </w:rPr>
              <w:t xml:space="preserve"> في الحسبان</w:t>
            </w:r>
            <w:r w:rsidRPr="003A29E7">
              <w:rPr>
                <w:rtl/>
              </w:rPr>
              <w:t>، حسب الاقتضاء.</w:t>
            </w:r>
          </w:p>
        </w:tc>
      </w:tr>
      <w:tr w:rsidR="00575C38" w:rsidRPr="003A29E7" w14:paraId="7FFF4AA1" w14:textId="77777777" w:rsidTr="00575C38">
        <w:trPr>
          <w:jc w:val="center"/>
        </w:trPr>
        <w:tc>
          <w:tcPr>
            <w:tcW w:w="2398" w:type="dxa"/>
            <w:shd w:val="clear" w:color="auto" w:fill="EAF1DD"/>
          </w:tcPr>
          <w:p w14:paraId="202BB069" w14:textId="77777777" w:rsidR="00575C38" w:rsidRPr="008A582F" w:rsidRDefault="00575C38" w:rsidP="00575C38">
            <w:pPr>
              <w:pStyle w:val="Tabletexte"/>
              <w:jc w:val="right"/>
              <w:rPr>
                <w:b/>
                <w:bCs/>
                <w:lang w:val="en-GB" w:bidi="ar-EG"/>
              </w:rPr>
            </w:pPr>
            <w:r w:rsidRPr="008A582F">
              <w:rPr>
                <w:rFonts w:hint="cs"/>
                <w:b/>
                <w:bCs/>
                <w:rtl/>
              </w:rPr>
              <w:t>الإجراء المطلوب:</w:t>
            </w:r>
          </w:p>
        </w:tc>
        <w:tc>
          <w:tcPr>
            <w:tcW w:w="11596" w:type="dxa"/>
          </w:tcPr>
          <w:p w14:paraId="471B5E59" w14:textId="748C329F" w:rsidR="00575C38" w:rsidRPr="003A29E7" w:rsidRDefault="00575C38" w:rsidP="00575C38">
            <w:pPr>
              <w:pStyle w:val="Tabletexte"/>
              <w:rPr>
                <w:lang w:val="en-GB" w:bidi="ar-EG"/>
              </w:rPr>
            </w:pPr>
            <w:r w:rsidRPr="00575C38">
              <w:t>)</w:t>
            </w:r>
            <w:r w:rsidRPr="007A3C69">
              <w:rPr>
                <w:b/>
                <w:bCs/>
                <w:highlight w:val="green"/>
                <w:rtl/>
              </w:rPr>
              <w:t>قُبلت</w:t>
            </w:r>
            <w:r w:rsidRPr="007A3C69">
              <w:rPr>
                <w:rFonts w:hint="cs"/>
                <w:rtl/>
              </w:rPr>
              <w:t>،</w:t>
            </w:r>
            <w:r>
              <w:rPr>
                <w:rFonts w:hint="cs"/>
                <w:rtl/>
              </w:rPr>
              <w:t xml:space="preserve"> </w:t>
            </w:r>
            <w:r w:rsidRPr="007A3C69">
              <w:rPr>
                <w:rtl/>
              </w:rPr>
              <w:t>لم تُقبل</w:t>
            </w:r>
            <w:r w:rsidRPr="007A3C69">
              <w:rPr>
                <w:rFonts w:hint="cs"/>
                <w:rtl/>
              </w:rPr>
              <w:t>،</w:t>
            </w:r>
            <w:r>
              <w:rPr>
                <w:rFonts w:hint="cs"/>
                <w:rtl/>
              </w:rPr>
              <w:t xml:space="preserve"> </w:t>
            </w:r>
            <w:r w:rsidRPr="007A3C69">
              <w:rPr>
                <w:rtl/>
              </w:rPr>
              <w:t>ليست ذات صلة</w:t>
            </w:r>
            <w:r w:rsidRPr="007A3C69">
              <w:rPr>
                <w:rFonts w:hint="cs"/>
                <w:rtl/>
              </w:rPr>
              <w:t>،</w:t>
            </w:r>
            <w:r>
              <w:rPr>
                <w:rFonts w:hint="cs"/>
                <w:rtl/>
              </w:rPr>
              <w:t xml:space="preserve"> </w:t>
            </w:r>
            <w:r w:rsidRPr="007A3C69">
              <w:rPr>
                <w:rtl/>
              </w:rPr>
              <w:t>تتطلب مزيداً من النظر</w:t>
            </w:r>
            <w:r>
              <w:rPr>
                <w:rFonts w:hint="cs"/>
                <w:rtl/>
              </w:rPr>
              <w:t>)</w:t>
            </w:r>
          </w:p>
        </w:tc>
      </w:tr>
      <w:tr w:rsidR="00575C38" w:rsidRPr="003A29E7" w14:paraId="7EB1362F" w14:textId="77777777" w:rsidTr="00575C38">
        <w:trPr>
          <w:trHeight w:val="835"/>
          <w:jc w:val="center"/>
        </w:trPr>
        <w:tc>
          <w:tcPr>
            <w:tcW w:w="2398" w:type="dxa"/>
          </w:tcPr>
          <w:p w14:paraId="2865FE43" w14:textId="2214826E" w:rsidR="00575C38" w:rsidRPr="008A582F" w:rsidRDefault="00575C38" w:rsidP="00575C38">
            <w:pPr>
              <w:pStyle w:val="Tabletexte"/>
              <w:jc w:val="right"/>
              <w:rPr>
                <w:b/>
                <w:bCs/>
                <w:lang w:val="en-GB" w:bidi="ar-EG"/>
              </w:rPr>
            </w:pPr>
            <w:r w:rsidRPr="008A582F">
              <w:rPr>
                <w:b/>
                <w:bCs/>
                <w:rtl/>
              </w:rPr>
              <w:t>تعليقات الاتحاد بشأن</w:t>
            </w:r>
            <w:r>
              <w:rPr>
                <w:rFonts w:hint="cs"/>
                <w:b/>
                <w:bCs/>
                <w:rtl/>
              </w:rPr>
              <w:t xml:space="preserve"> </w:t>
            </w:r>
            <w:r w:rsidRPr="008A582F">
              <w:rPr>
                <w:b/>
                <w:bCs/>
                <w:rtl/>
              </w:rPr>
              <w:t>أهمية التوصية وآثارها على الموارد المالية والبشرية</w:t>
            </w:r>
            <w:r>
              <w:rPr>
                <w:rFonts w:hint="cs"/>
                <w:b/>
                <w:bCs/>
                <w:rtl/>
              </w:rPr>
              <w:t>:</w:t>
            </w:r>
          </w:p>
        </w:tc>
        <w:tc>
          <w:tcPr>
            <w:tcW w:w="11596" w:type="dxa"/>
          </w:tcPr>
          <w:p w14:paraId="6BD80B4E" w14:textId="77777777" w:rsidR="00575C38" w:rsidRPr="003A29E7" w:rsidRDefault="00575C38" w:rsidP="00575C38">
            <w:pPr>
              <w:pStyle w:val="Tabletexte"/>
              <w:rPr>
                <w:rtl/>
              </w:rPr>
            </w:pPr>
            <w:r w:rsidRPr="003A29E7">
              <w:rPr>
                <w:rtl/>
              </w:rPr>
              <w:t xml:space="preserve">توصي أمانة الاتحاد الدولي للاتصالات بقبول التوصية، مشيرةً، شأنها شأن هيئات أخرى في منظومة الأمم المتحدة، إلى أنها تعتبر </w:t>
            </w:r>
            <w:r w:rsidRPr="003A29E7">
              <w:rPr>
                <w:rFonts w:hint="cs"/>
                <w:rtl/>
              </w:rPr>
              <w:t>العملية</w:t>
            </w:r>
            <w:r w:rsidRPr="003A29E7">
              <w:rPr>
                <w:rtl/>
              </w:rPr>
              <w:t xml:space="preserve"> والأنظمة المعمول بها كافية ولا تتطلب أي إجراءات إضافية. وترحب الأمانة بمزيد من التوجيهات إذا لزم الأمر.</w:t>
            </w:r>
          </w:p>
          <w:p w14:paraId="5A36ADAA" w14:textId="77777777" w:rsidR="00575C38" w:rsidRPr="003A29E7" w:rsidRDefault="00575C38" w:rsidP="00575C38">
            <w:pPr>
              <w:pStyle w:val="Tabletexte"/>
              <w:rPr>
                <w:lang w:val="en-GB" w:bidi="ar-EG"/>
              </w:rPr>
            </w:pPr>
            <w:r w:rsidRPr="003A29E7">
              <w:rPr>
                <w:rFonts w:hint="cs"/>
                <w:rtl/>
              </w:rPr>
              <w:t>و</w:t>
            </w:r>
            <w:r w:rsidRPr="003A29E7">
              <w:rPr>
                <w:rtl/>
              </w:rPr>
              <w:t>لا توجد آثار مالية أو بشرية إضافية في ظل الممارسة الحالية.</w:t>
            </w:r>
          </w:p>
        </w:tc>
      </w:tr>
      <w:tr w:rsidR="00575C38" w:rsidRPr="003A29E7" w14:paraId="3C86A97F" w14:textId="77777777" w:rsidTr="00575C38">
        <w:trPr>
          <w:jc w:val="center"/>
        </w:trPr>
        <w:tc>
          <w:tcPr>
            <w:tcW w:w="2398" w:type="dxa"/>
          </w:tcPr>
          <w:p w14:paraId="03397829" w14:textId="4AA1D6B8" w:rsidR="00575C38" w:rsidRPr="008A582F" w:rsidRDefault="00575C38" w:rsidP="00575C38">
            <w:pPr>
              <w:pStyle w:val="Tabletexte"/>
              <w:jc w:val="right"/>
              <w:rPr>
                <w:b/>
                <w:bCs/>
                <w:lang w:val="en-GB" w:bidi="ar-EG"/>
              </w:rPr>
            </w:pPr>
            <w:hyperlink r:id="rId24" w:history="1">
              <w:r w:rsidRPr="008A582F">
                <w:rPr>
                  <w:rStyle w:val="Hyperlink"/>
                  <w:rFonts w:ascii="Dubai" w:eastAsiaTheme="minorEastAsia" w:hAnsi="Dubai" w:cs="Dubai" w:hint="cs"/>
                  <w:b/>
                  <w:bCs/>
                  <w:noProof w:val="0"/>
                  <w:sz w:val="20"/>
                  <w:rtl/>
                  <w:lang w:val="en-US" w:eastAsia="zh-CN"/>
                </w:rPr>
                <w:t xml:space="preserve">تعليقات مجلس الرؤساء التنفيذيين </w:t>
              </w:r>
              <w:r w:rsidRPr="008A582F">
                <w:rPr>
                  <w:rStyle w:val="Hyperlink"/>
                  <w:rFonts w:ascii="Dubai" w:eastAsiaTheme="minorEastAsia" w:hAnsi="Dubai" w:cs="Dubai"/>
                  <w:b/>
                  <w:bCs/>
                  <w:noProof w:val="0"/>
                  <w:sz w:val="20"/>
                  <w:lang w:val="en-US" w:eastAsia="zh-CN" w:bidi="ar-EG"/>
                </w:rPr>
                <w:t>(CEB)</w:t>
              </w:r>
              <w:r w:rsidRPr="008A582F">
                <w:rPr>
                  <w:rStyle w:val="Hyperlink"/>
                  <w:rFonts w:ascii="Dubai" w:eastAsiaTheme="minorEastAsia" w:hAnsi="Dubai" w:cs="Dubai" w:hint="cs"/>
                  <w:b/>
                  <w:bCs/>
                  <w:noProof w:val="0"/>
                  <w:sz w:val="20"/>
                  <w:rtl/>
                  <w:lang w:val="en-US" w:eastAsia="zh-CN"/>
                </w:rPr>
                <w:t xml:space="preserve"> ل</w:t>
              </w:r>
              <w:r w:rsidRPr="008A582F">
                <w:rPr>
                  <w:rStyle w:val="Hyperlink"/>
                  <w:rFonts w:ascii="Dubai" w:eastAsiaTheme="minorEastAsia" w:hAnsi="Dubai" w:cs="Dubai"/>
                  <w:b/>
                  <w:bCs/>
                  <w:noProof w:val="0"/>
                  <w:sz w:val="20"/>
                  <w:rtl/>
                  <w:lang w:val="en-US" w:eastAsia="zh-CN"/>
                </w:rPr>
                <w:t>منظومة الأمم المتحدة ككل</w:t>
              </w:r>
            </w:hyperlink>
            <w:r w:rsidRPr="008A582F">
              <w:rPr>
                <w:rFonts w:hint="cs"/>
                <w:b/>
                <w:bCs/>
                <w:rtl/>
              </w:rPr>
              <w:t>:</w:t>
            </w:r>
          </w:p>
        </w:tc>
        <w:tc>
          <w:tcPr>
            <w:tcW w:w="11596" w:type="dxa"/>
          </w:tcPr>
          <w:p w14:paraId="4EC37C5C" w14:textId="77777777" w:rsidR="00575C38" w:rsidRPr="003A29E7" w:rsidRDefault="00575C38" w:rsidP="00575C38">
            <w:pPr>
              <w:pStyle w:val="Tabletexte"/>
              <w:rPr>
                <w:lang w:val="en-GB" w:bidi="ar-EG"/>
              </w:rPr>
            </w:pPr>
            <w:r w:rsidRPr="003A29E7">
              <w:rPr>
                <w:rFonts w:hint="cs"/>
                <w:rtl/>
              </w:rPr>
              <w:t>أبدت عدة</w:t>
            </w:r>
            <w:r w:rsidRPr="003A29E7">
              <w:rPr>
                <w:rtl/>
              </w:rPr>
              <w:t xml:space="preserve"> منظمات </w:t>
            </w:r>
            <w:r w:rsidRPr="003A29E7">
              <w:rPr>
                <w:rFonts w:hint="cs"/>
                <w:rtl/>
              </w:rPr>
              <w:t>استعدادها</w:t>
            </w:r>
            <w:r w:rsidRPr="003A29E7">
              <w:rPr>
                <w:rtl/>
              </w:rPr>
              <w:t xml:space="preserve"> للاستجابة لطلبات هيئاتها التشريعية وهيئاتها الإدارية بشأن أي تعديلات على آلية الإبلاغ الحالية المتعلقة بتقارير وتوصيات وحدة التفتيش المشتركة. وترى منظمات أخرى أن العمليات والأنظمة المعمول بها كافية ولا تتطلب أي إجراءات إضافية.</w:t>
            </w:r>
          </w:p>
        </w:tc>
      </w:tr>
      <w:tr w:rsidR="00575C38" w:rsidRPr="003A29E7" w14:paraId="1670DCBB" w14:textId="77777777" w:rsidTr="00575C38">
        <w:trPr>
          <w:jc w:val="center"/>
        </w:trPr>
        <w:tc>
          <w:tcPr>
            <w:tcW w:w="2398" w:type="dxa"/>
          </w:tcPr>
          <w:p w14:paraId="15212FFA" w14:textId="77777777" w:rsidR="00575C38" w:rsidRPr="008A582F" w:rsidRDefault="00575C38" w:rsidP="00575C38">
            <w:pPr>
              <w:pStyle w:val="Tabletexte"/>
              <w:jc w:val="right"/>
              <w:rPr>
                <w:b/>
                <w:bCs/>
                <w:lang w:val="en-GB" w:bidi="ar-EG"/>
              </w:rPr>
            </w:pPr>
            <w:r w:rsidRPr="008A582F">
              <w:rPr>
                <w:rFonts w:hint="cs"/>
                <w:b/>
                <w:bCs/>
                <w:rtl/>
              </w:rPr>
              <w:t>حالة التنفيذ:</w:t>
            </w:r>
          </w:p>
        </w:tc>
        <w:tc>
          <w:tcPr>
            <w:tcW w:w="11596" w:type="dxa"/>
          </w:tcPr>
          <w:p w14:paraId="353A3E32" w14:textId="77777777" w:rsidR="00575C38" w:rsidRPr="003A29E7" w:rsidRDefault="00575C38" w:rsidP="00575C38">
            <w:pPr>
              <w:pStyle w:val="Tabletexte"/>
              <w:rPr>
                <w:lang w:val="en-GB" w:bidi="ar-EG"/>
              </w:rPr>
            </w:pPr>
            <w:r w:rsidRPr="003A29E7">
              <w:rPr>
                <w:rFonts w:hint="cs"/>
                <w:rtl/>
              </w:rPr>
              <w:t>يجري تنفيذها</w:t>
            </w:r>
          </w:p>
        </w:tc>
      </w:tr>
      <w:tr w:rsidR="00575C38" w:rsidRPr="003A29E7" w14:paraId="43BDBE3F" w14:textId="77777777" w:rsidTr="00575C38">
        <w:trPr>
          <w:trHeight w:val="405"/>
          <w:jc w:val="center"/>
        </w:trPr>
        <w:tc>
          <w:tcPr>
            <w:tcW w:w="13994" w:type="dxa"/>
            <w:gridSpan w:val="2"/>
            <w:shd w:val="clear" w:color="auto" w:fill="FFFF00"/>
          </w:tcPr>
          <w:p w14:paraId="02D0C03D" w14:textId="7F953707" w:rsidR="00575C38" w:rsidRPr="003A29E7" w:rsidRDefault="00575C38" w:rsidP="00575C38">
            <w:pPr>
              <w:pStyle w:val="Tablehead"/>
              <w:rPr>
                <w:lang w:bidi="ar-EG"/>
              </w:rPr>
            </w:pPr>
            <w:r w:rsidRPr="003A29E7">
              <w:rPr>
                <w:lang w:bidi="ar-EG"/>
              </w:rPr>
              <w:t>JIU/REP/2023/9</w:t>
            </w:r>
            <w:r w:rsidRPr="003A29E7">
              <w:rPr>
                <w:rFonts w:hint="cs"/>
                <w:rtl/>
              </w:rPr>
              <w:t xml:space="preserve"> </w:t>
            </w:r>
            <w:hyperlink r:id="rId25" w:history="1">
              <w:r w:rsidRPr="008A582F">
                <w:rPr>
                  <w:rStyle w:val="Hyperlink"/>
                  <w:rFonts w:ascii="Dubai" w:eastAsiaTheme="minorEastAsia" w:hAnsi="Dubai" w:cs="Dubai"/>
                  <w:noProof w:val="0"/>
                  <w:sz w:val="20"/>
                  <w:rtl/>
                  <w:lang w:val="en-US" w:eastAsia="zh-CN"/>
                </w:rPr>
                <w:t>استعراض جودة وفعالية وكفاءة واستدامة خطط التأمين الصحي في منظمات منظومة الأمم المتحدة</w:t>
              </w:r>
            </w:hyperlink>
            <w:r w:rsidRPr="003A29E7">
              <w:rPr>
                <w:lang w:bidi="ar-EG"/>
              </w:rPr>
              <w:br/>
            </w:r>
            <w:r w:rsidRPr="003A29E7">
              <w:rPr>
                <w:rFonts w:hint="cs"/>
                <w:rtl/>
              </w:rPr>
              <w:t xml:space="preserve">مسؤولة الاتصال في الاتحاد: </w:t>
            </w:r>
            <w:r w:rsidRPr="003A29E7">
              <w:rPr>
                <w:lang w:bidi="ar-EG"/>
              </w:rPr>
              <w:t>Subira Suedi</w:t>
            </w:r>
          </w:p>
          <w:p w14:paraId="4294062D" w14:textId="0E9DDA9C" w:rsidR="00575C38" w:rsidRPr="003A29E7" w:rsidRDefault="00575C38" w:rsidP="00575C38">
            <w:pPr>
              <w:pStyle w:val="Tablehead"/>
              <w:rPr>
                <w:lang w:val="en-GB" w:bidi="ar-EG"/>
              </w:rPr>
            </w:pPr>
            <w:r w:rsidRPr="003A29E7">
              <w:rPr>
                <w:lang w:bidi="ar-EG"/>
              </w:rPr>
              <w:sym w:font="Symbol" w:char="F0B7"/>
            </w:r>
            <w:r w:rsidRPr="003A29E7">
              <w:rPr>
                <w:lang w:bidi="ar-EG"/>
              </w:rPr>
              <w:tab/>
            </w:r>
            <w:hyperlink r:id="rId26" w:history="1">
              <w:r w:rsidRPr="003A29E7">
                <w:rPr>
                  <w:rStyle w:val="Hyperlink"/>
                  <w:rFonts w:ascii="Dubai" w:eastAsiaTheme="minorEastAsia" w:hAnsi="Dubai" w:cs="Dubai" w:hint="cs"/>
                  <w:noProof w:val="0"/>
                  <w:sz w:val="22"/>
                  <w:rtl/>
                  <w:lang w:val="en-US" w:eastAsia="zh-CN"/>
                </w:rPr>
                <w:t>أبرز نقاط الاستعراض</w:t>
              </w:r>
            </w:hyperlink>
          </w:p>
        </w:tc>
      </w:tr>
      <w:tr w:rsidR="00575C38" w:rsidRPr="003A29E7" w14:paraId="27AE650C" w14:textId="77777777" w:rsidTr="00575C38">
        <w:trPr>
          <w:trHeight w:val="1112"/>
          <w:jc w:val="center"/>
        </w:trPr>
        <w:tc>
          <w:tcPr>
            <w:tcW w:w="2398" w:type="dxa"/>
            <w:shd w:val="clear" w:color="auto" w:fill="E1EBF7"/>
          </w:tcPr>
          <w:p w14:paraId="61383ED1" w14:textId="77777777" w:rsidR="00575C38" w:rsidRPr="008A582F" w:rsidRDefault="00575C38" w:rsidP="00575C38">
            <w:pPr>
              <w:pStyle w:val="Tabletexte"/>
              <w:jc w:val="right"/>
              <w:rPr>
                <w:b/>
                <w:bCs/>
                <w:lang w:val="en-GB" w:bidi="ar-EG"/>
              </w:rPr>
            </w:pPr>
            <w:r w:rsidRPr="00260E93">
              <w:rPr>
                <w:rFonts w:hint="cs"/>
                <w:b/>
                <w:bCs/>
                <w:rtl/>
              </w:rPr>
              <w:t>التوصية</w:t>
            </w:r>
            <w:r w:rsidRPr="008A582F">
              <w:rPr>
                <w:rFonts w:hint="cs"/>
                <w:b/>
                <w:bCs/>
                <w:rtl/>
              </w:rPr>
              <w:t xml:space="preserve"> موجهة إلى الهيئات التشريعية/الإدارية:</w:t>
            </w:r>
          </w:p>
        </w:tc>
        <w:tc>
          <w:tcPr>
            <w:tcW w:w="11596" w:type="dxa"/>
            <w:shd w:val="clear" w:color="auto" w:fill="FFFFFF"/>
          </w:tcPr>
          <w:p w14:paraId="45CEC027" w14:textId="28C91034" w:rsidR="00575C38" w:rsidRPr="003A29E7" w:rsidRDefault="00575C38" w:rsidP="00575C38">
            <w:pPr>
              <w:pStyle w:val="Tabletexte"/>
              <w:rPr>
                <w:lang w:val="en-GB" w:bidi="ar-EG"/>
              </w:rPr>
            </w:pPr>
            <w:r w:rsidRPr="00936242">
              <w:rPr>
                <w:b/>
                <w:bCs/>
                <w:highlight w:val="cyan"/>
                <w:rtl/>
              </w:rPr>
              <w:t xml:space="preserve">‏التوصية </w:t>
            </w:r>
            <w:r w:rsidRPr="00936242">
              <w:rPr>
                <w:b/>
                <w:bCs/>
                <w:highlight w:val="cyan"/>
                <w:cs/>
              </w:rPr>
              <w:t>‎</w:t>
            </w:r>
            <w:r w:rsidRPr="00936242">
              <w:rPr>
                <w:b/>
                <w:bCs/>
                <w:highlight w:val="cyan"/>
                <w:lang w:val="en-GB" w:bidi="ar-EG"/>
              </w:rPr>
              <w:t>7</w:t>
            </w:r>
            <w:r w:rsidRPr="003A29E7">
              <w:rPr>
                <w:rFonts w:hint="cs"/>
                <w:rtl/>
              </w:rPr>
              <w:t>:</w:t>
            </w:r>
            <w:r w:rsidRPr="003A29E7">
              <w:rPr>
                <w:rtl/>
              </w:rPr>
              <w:t xml:space="preserve"> ‏ينبغي للهيئات التشريعية و/أو الهيئات الإدارية في منظمات منظومة الأمم المتحدة التي لم توافق بعد على خطة لتمويل التزامات التأمين الصحي بعد انتهاء مدة الخدمة الناشئة عن وظائف ممولة من المساهمات المقررة أن تضع استراتيجية طويلة الأجل لهذا الغرض، على الأقل لتغطية التزامات التأمين الصحي بعد انتهاء مدة الخدمة لجميع الموظفين المعينين حديثا</w:t>
            </w:r>
            <w:r>
              <w:rPr>
                <w:rFonts w:hint="cs"/>
                <w:rtl/>
              </w:rPr>
              <w:t>ً</w:t>
            </w:r>
            <w:r w:rsidRPr="003A29E7">
              <w:rPr>
                <w:rtl/>
              </w:rPr>
              <w:t xml:space="preserve"> (الفقرة </w:t>
            </w:r>
            <w:r w:rsidRPr="003A29E7">
              <w:rPr>
                <w:cs/>
              </w:rPr>
              <w:t>‎</w:t>
            </w:r>
            <w:r w:rsidRPr="003A29E7">
              <w:rPr>
                <w:lang w:val="en-GB" w:bidi="ar-EG"/>
              </w:rPr>
              <w:t>234</w:t>
            </w:r>
            <w:r w:rsidRPr="003A29E7">
              <w:rPr>
                <w:rtl/>
              </w:rPr>
              <w:t>)</w:t>
            </w:r>
          </w:p>
        </w:tc>
      </w:tr>
      <w:tr w:rsidR="00575C38" w:rsidRPr="003A29E7" w14:paraId="3ABAD290" w14:textId="77777777" w:rsidTr="00575C38">
        <w:trPr>
          <w:jc w:val="center"/>
        </w:trPr>
        <w:tc>
          <w:tcPr>
            <w:tcW w:w="2398" w:type="dxa"/>
            <w:shd w:val="clear" w:color="auto" w:fill="EAF1DD"/>
          </w:tcPr>
          <w:p w14:paraId="68673EC5" w14:textId="77777777" w:rsidR="00575C38" w:rsidRPr="008A582F" w:rsidRDefault="00575C38" w:rsidP="00575C38">
            <w:pPr>
              <w:pStyle w:val="Tabletexte"/>
              <w:jc w:val="right"/>
              <w:rPr>
                <w:b/>
                <w:bCs/>
                <w:lang w:val="en-GB" w:bidi="ar-EG"/>
              </w:rPr>
            </w:pPr>
            <w:r w:rsidRPr="008A582F">
              <w:rPr>
                <w:rFonts w:hint="cs"/>
                <w:b/>
                <w:bCs/>
                <w:rtl/>
              </w:rPr>
              <w:t>الإجراء المطلوب:</w:t>
            </w:r>
          </w:p>
        </w:tc>
        <w:tc>
          <w:tcPr>
            <w:tcW w:w="11596" w:type="dxa"/>
          </w:tcPr>
          <w:p w14:paraId="5BDFFB5C" w14:textId="13A744FB" w:rsidR="00575C38" w:rsidRPr="003A29E7" w:rsidRDefault="00575C38" w:rsidP="00575C38">
            <w:pPr>
              <w:pStyle w:val="Tabletexte"/>
              <w:rPr>
                <w:lang w:val="en-GB" w:bidi="ar-EG"/>
              </w:rPr>
            </w:pPr>
            <w:r w:rsidRPr="00575C38">
              <w:t>)</w:t>
            </w:r>
            <w:r w:rsidRPr="007A3C69">
              <w:rPr>
                <w:b/>
                <w:bCs/>
                <w:highlight w:val="green"/>
                <w:rtl/>
              </w:rPr>
              <w:t>قُبلت</w:t>
            </w:r>
            <w:r w:rsidRPr="007A3C69">
              <w:rPr>
                <w:rFonts w:hint="cs"/>
                <w:rtl/>
              </w:rPr>
              <w:t>،</w:t>
            </w:r>
            <w:r>
              <w:rPr>
                <w:rFonts w:hint="cs"/>
                <w:rtl/>
              </w:rPr>
              <w:t xml:space="preserve"> </w:t>
            </w:r>
            <w:r w:rsidRPr="007A3C69">
              <w:rPr>
                <w:rtl/>
              </w:rPr>
              <w:t>لم تُقبل</w:t>
            </w:r>
            <w:r w:rsidRPr="007A3C69">
              <w:rPr>
                <w:rFonts w:hint="cs"/>
                <w:rtl/>
              </w:rPr>
              <w:t>،</w:t>
            </w:r>
            <w:r>
              <w:rPr>
                <w:rFonts w:hint="cs"/>
                <w:rtl/>
              </w:rPr>
              <w:t xml:space="preserve"> </w:t>
            </w:r>
            <w:r w:rsidRPr="007A3C69">
              <w:rPr>
                <w:rtl/>
              </w:rPr>
              <w:t>ليست ذات صلة</w:t>
            </w:r>
            <w:r w:rsidRPr="007A3C69">
              <w:rPr>
                <w:rFonts w:hint="cs"/>
                <w:rtl/>
              </w:rPr>
              <w:t>،</w:t>
            </w:r>
            <w:r>
              <w:rPr>
                <w:rFonts w:hint="cs"/>
                <w:rtl/>
              </w:rPr>
              <w:t xml:space="preserve"> </w:t>
            </w:r>
            <w:r w:rsidRPr="007A3C69">
              <w:rPr>
                <w:rtl/>
              </w:rPr>
              <w:t>تتطلب مزيداً من النظر</w:t>
            </w:r>
            <w:r>
              <w:rPr>
                <w:rFonts w:hint="cs"/>
                <w:rtl/>
              </w:rPr>
              <w:t>)</w:t>
            </w:r>
          </w:p>
        </w:tc>
      </w:tr>
      <w:tr w:rsidR="00575C38" w:rsidRPr="003A29E7" w14:paraId="09D649E0" w14:textId="77777777" w:rsidTr="00575C38">
        <w:trPr>
          <w:jc w:val="center"/>
        </w:trPr>
        <w:tc>
          <w:tcPr>
            <w:tcW w:w="2398" w:type="dxa"/>
          </w:tcPr>
          <w:p w14:paraId="47D5C20B" w14:textId="6E4F62D2" w:rsidR="00575C38" w:rsidRPr="008A582F" w:rsidRDefault="00575C38" w:rsidP="00575C38">
            <w:pPr>
              <w:pStyle w:val="Tabletexte"/>
              <w:jc w:val="right"/>
              <w:rPr>
                <w:b/>
                <w:bCs/>
                <w:lang w:val="en-GB" w:bidi="ar-EG"/>
              </w:rPr>
            </w:pPr>
            <w:r w:rsidRPr="008A582F">
              <w:rPr>
                <w:b/>
                <w:bCs/>
                <w:rtl/>
              </w:rPr>
              <w:t>تعليقات الاتحاد بشأن</w:t>
            </w:r>
            <w:r>
              <w:rPr>
                <w:rFonts w:hint="cs"/>
                <w:b/>
                <w:bCs/>
                <w:rtl/>
              </w:rPr>
              <w:t xml:space="preserve"> </w:t>
            </w:r>
            <w:r w:rsidRPr="008A582F">
              <w:rPr>
                <w:b/>
                <w:bCs/>
                <w:rtl/>
              </w:rPr>
              <w:t>أهمية التوصية وآثارها على الموارد المالية والبشرية</w:t>
            </w:r>
            <w:r>
              <w:rPr>
                <w:rFonts w:hint="cs"/>
                <w:b/>
                <w:bCs/>
                <w:rtl/>
              </w:rPr>
              <w:t>:</w:t>
            </w:r>
          </w:p>
        </w:tc>
        <w:tc>
          <w:tcPr>
            <w:tcW w:w="11596" w:type="dxa"/>
          </w:tcPr>
          <w:p w14:paraId="6E81EFB8" w14:textId="683B00C7" w:rsidR="00575C38" w:rsidRPr="003A29E7" w:rsidRDefault="00575C38" w:rsidP="00575C38">
            <w:pPr>
              <w:pStyle w:val="Tabletexte"/>
              <w:rPr>
                <w:lang w:val="en-GB" w:bidi="ar-EG"/>
              </w:rPr>
            </w:pPr>
            <w:r w:rsidRPr="003A29E7">
              <w:rPr>
                <w:rtl/>
              </w:rPr>
              <w:t>يواصل الاتحاد الدولي للاتصالات استكشاف آليات ممكنة لمعالجة التزامات التأمين الصحي بعد انتهاء الخدمة، وقد خصص</w:t>
            </w:r>
            <w:r w:rsidRPr="003A29E7">
              <w:rPr>
                <w:rFonts w:hint="cs"/>
                <w:rtl/>
              </w:rPr>
              <w:t>، إلى حين البت في هذا الأمر،</w:t>
            </w:r>
            <w:r w:rsidRPr="003A29E7">
              <w:rPr>
                <w:rtl/>
              </w:rPr>
              <w:t xml:space="preserve"> مبلغ مليون فرنك سويسري سنويا</w:t>
            </w:r>
            <w:r>
              <w:rPr>
                <w:rFonts w:hint="cs"/>
                <w:rtl/>
              </w:rPr>
              <w:t>ً</w:t>
            </w:r>
            <w:r w:rsidRPr="003A29E7">
              <w:rPr>
                <w:rtl/>
              </w:rPr>
              <w:t xml:space="preserve"> لتكملة صندوق التأمين الصحي بعد انتهاء الخدمة</w:t>
            </w:r>
            <w:r w:rsidRPr="003A29E7">
              <w:rPr>
                <w:rFonts w:hint="cs"/>
                <w:rtl/>
              </w:rPr>
              <w:t xml:space="preserve"> لديه</w:t>
            </w:r>
            <w:r w:rsidRPr="003A29E7">
              <w:rPr>
                <w:rtl/>
              </w:rPr>
              <w:t>. ولا يزال وضع استراتيجية طويلة الأجل صعبا</w:t>
            </w:r>
            <w:r w:rsidRPr="003A29E7">
              <w:rPr>
                <w:rFonts w:hint="cs"/>
                <w:rtl/>
              </w:rPr>
              <w:t>ً</w:t>
            </w:r>
            <w:r w:rsidRPr="003A29E7">
              <w:rPr>
                <w:rtl/>
              </w:rPr>
              <w:t xml:space="preserve"> في ظل حالة عدم اليقين المالي الحالية.</w:t>
            </w:r>
          </w:p>
        </w:tc>
      </w:tr>
      <w:tr w:rsidR="00575C38" w:rsidRPr="003A29E7" w14:paraId="492B37A2" w14:textId="77777777" w:rsidTr="00575C38">
        <w:trPr>
          <w:jc w:val="center"/>
        </w:trPr>
        <w:tc>
          <w:tcPr>
            <w:tcW w:w="2398" w:type="dxa"/>
          </w:tcPr>
          <w:p w14:paraId="7CDCDCBB" w14:textId="25169C09" w:rsidR="00575C38" w:rsidRPr="008A582F" w:rsidRDefault="00575C38" w:rsidP="00575C38">
            <w:pPr>
              <w:pStyle w:val="Tabletexte"/>
              <w:jc w:val="right"/>
              <w:rPr>
                <w:b/>
                <w:bCs/>
                <w:lang w:val="en-GB" w:bidi="ar-EG"/>
              </w:rPr>
            </w:pPr>
            <w:hyperlink r:id="rId27" w:history="1">
              <w:r w:rsidRPr="008A582F">
                <w:rPr>
                  <w:rStyle w:val="Hyperlink"/>
                  <w:rFonts w:ascii="Dubai" w:eastAsiaTheme="minorEastAsia" w:hAnsi="Dubai" w:cs="Dubai" w:hint="cs"/>
                  <w:b/>
                  <w:bCs/>
                  <w:noProof w:val="0"/>
                  <w:sz w:val="20"/>
                  <w:rtl/>
                  <w:lang w:val="en-US" w:eastAsia="zh-CN"/>
                </w:rPr>
                <w:t xml:space="preserve">تعليقات مجلس الرؤساء التنفيذيين </w:t>
              </w:r>
              <w:r w:rsidRPr="008A582F">
                <w:rPr>
                  <w:rStyle w:val="Hyperlink"/>
                  <w:rFonts w:ascii="Dubai" w:eastAsiaTheme="minorEastAsia" w:hAnsi="Dubai" w:cs="Dubai"/>
                  <w:b/>
                  <w:bCs/>
                  <w:noProof w:val="0"/>
                  <w:sz w:val="20"/>
                  <w:lang w:val="en-US" w:eastAsia="zh-CN" w:bidi="ar-EG"/>
                </w:rPr>
                <w:t>(CEB)</w:t>
              </w:r>
              <w:r w:rsidRPr="008A582F">
                <w:rPr>
                  <w:rStyle w:val="Hyperlink"/>
                  <w:rFonts w:ascii="Dubai" w:eastAsiaTheme="minorEastAsia" w:hAnsi="Dubai" w:cs="Dubai" w:hint="cs"/>
                  <w:b/>
                  <w:bCs/>
                  <w:noProof w:val="0"/>
                  <w:sz w:val="20"/>
                  <w:rtl/>
                  <w:lang w:val="en-US" w:eastAsia="zh-CN"/>
                </w:rPr>
                <w:t xml:space="preserve"> ل</w:t>
              </w:r>
              <w:r w:rsidRPr="008A582F">
                <w:rPr>
                  <w:rStyle w:val="Hyperlink"/>
                  <w:rFonts w:ascii="Dubai" w:eastAsiaTheme="minorEastAsia" w:hAnsi="Dubai" w:cs="Dubai"/>
                  <w:b/>
                  <w:bCs/>
                  <w:noProof w:val="0"/>
                  <w:sz w:val="20"/>
                  <w:rtl/>
                  <w:lang w:val="en-US" w:eastAsia="zh-CN"/>
                </w:rPr>
                <w:t>منظومة الأمم المتحدة ككل</w:t>
              </w:r>
            </w:hyperlink>
            <w:r w:rsidRPr="008A582F">
              <w:rPr>
                <w:rFonts w:hint="cs"/>
                <w:b/>
                <w:bCs/>
                <w:rtl/>
              </w:rPr>
              <w:t>:</w:t>
            </w:r>
          </w:p>
        </w:tc>
        <w:tc>
          <w:tcPr>
            <w:tcW w:w="11596" w:type="dxa"/>
          </w:tcPr>
          <w:p w14:paraId="400CE147" w14:textId="04FB2A5D" w:rsidR="00575C38" w:rsidRPr="003A29E7" w:rsidRDefault="00575C38" w:rsidP="00575C38">
            <w:pPr>
              <w:pStyle w:val="Tabletexte"/>
              <w:rPr>
                <w:lang w:val="en-GB" w:bidi="ar-EG"/>
              </w:rPr>
            </w:pPr>
            <w:r w:rsidRPr="003A29E7">
              <w:rPr>
                <w:rtl/>
              </w:rPr>
              <w:t>ي</w:t>
            </w:r>
            <w:r w:rsidR="00221DF2">
              <w:rPr>
                <w:rFonts w:hint="cs"/>
                <w:rtl/>
              </w:rPr>
              <w:t>ُ</w:t>
            </w:r>
            <w:r w:rsidRPr="003A29E7">
              <w:rPr>
                <w:rtl/>
              </w:rPr>
              <w:t xml:space="preserve">شير البعض إلى أن القيود المالية الحالية المفروضة على موازنة الميزانيات قد تعوق تنفيذ هذه التوصية؛ </w:t>
            </w:r>
            <w:r w:rsidRPr="003A29E7">
              <w:rPr>
                <w:rFonts w:hint="cs"/>
                <w:rtl/>
              </w:rPr>
              <w:t>ولكن</w:t>
            </w:r>
            <w:r w:rsidRPr="003A29E7">
              <w:rPr>
                <w:rtl/>
              </w:rPr>
              <w:t xml:space="preserve"> يجري استكشاف طرق مبتكرة لتمويل صندوق التأمين الصحي بعد الخدمة بهدف التخفيف من المخاطر المالية وعدم اليقين الناشئ عن تراكم الالتزامات غير الممولة وإدارتها.</w:t>
            </w:r>
          </w:p>
        </w:tc>
      </w:tr>
      <w:tr w:rsidR="00575C38" w:rsidRPr="003A29E7" w14:paraId="716D68A7" w14:textId="77777777" w:rsidTr="00575C38">
        <w:trPr>
          <w:jc w:val="center"/>
        </w:trPr>
        <w:tc>
          <w:tcPr>
            <w:tcW w:w="2398" w:type="dxa"/>
          </w:tcPr>
          <w:p w14:paraId="1A022FB3" w14:textId="77777777" w:rsidR="00575C38" w:rsidRPr="008A582F" w:rsidRDefault="00575C38" w:rsidP="00575C38">
            <w:pPr>
              <w:pStyle w:val="Tabletexte"/>
              <w:jc w:val="right"/>
              <w:rPr>
                <w:b/>
                <w:bCs/>
                <w:lang w:val="en-GB" w:bidi="ar-EG"/>
              </w:rPr>
            </w:pPr>
            <w:r w:rsidRPr="008A582F">
              <w:rPr>
                <w:rFonts w:hint="cs"/>
                <w:b/>
                <w:bCs/>
                <w:rtl/>
              </w:rPr>
              <w:lastRenderedPageBreak/>
              <w:t>حالة التنفيذ:</w:t>
            </w:r>
          </w:p>
        </w:tc>
        <w:tc>
          <w:tcPr>
            <w:tcW w:w="11596" w:type="dxa"/>
          </w:tcPr>
          <w:p w14:paraId="60ECA471" w14:textId="3A02AFEA" w:rsidR="00575C38" w:rsidRPr="003A29E7" w:rsidRDefault="007E40A1" w:rsidP="007E40A1">
            <w:pPr>
              <w:pStyle w:val="Tabletexte"/>
              <w:rPr>
                <w:lang w:val="en-GB" w:bidi="ar-EG"/>
              </w:rPr>
            </w:pPr>
            <w:r w:rsidRPr="007E40A1">
              <w:rPr>
                <w:rFonts w:hint="cs"/>
                <w:rtl/>
                <w:lang w:bidi="ar-SA"/>
              </w:rPr>
              <w:t>يجري تنفيذها</w:t>
            </w:r>
          </w:p>
        </w:tc>
      </w:tr>
      <w:tr w:rsidR="00575C38" w:rsidRPr="003A29E7" w14:paraId="20CDBC99" w14:textId="77777777" w:rsidTr="00575C38">
        <w:trPr>
          <w:trHeight w:val="405"/>
          <w:jc w:val="center"/>
        </w:trPr>
        <w:tc>
          <w:tcPr>
            <w:tcW w:w="13994" w:type="dxa"/>
            <w:gridSpan w:val="2"/>
            <w:shd w:val="clear" w:color="auto" w:fill="FFFF00"/>
          </w:tcPr>
          <w:p w14:paraId="0591C0CD" w14:textId="08F4E4D3" w:rsidR="00575C38" w:rsidRPr="003A29E7" w:rsidRDefault="00575C38" w:rsidP="00575C38">
            <w:pPr>
              <w:pStyle w:val="Tablehead"/>
              <w:rPr>
                <w:rtl/>
              </w:rPr>
            </w:pPr>
            <w:r w:rsidRPr="003A29E7">
              <w:rPr>
                <w:lang w:val="en-GB" w:bidi="ar-EG"/>
              </w:rPr>
              <w:t>JIU/REP/2023/8</w:t>
            </w:r>
            <w:r w:rsidRPr="003A29E7">
              <w:rPr>
                <w:rFonts w:hint="cs"/>
                <w:rtl/>
              </w:rPr>
              <w:t xml:space="preserve"> </w:t>
            </w:r>
            <w:hyperlink r:id="rId28" w:history="1">
              <w:r w:rsidRPr="008A582F">
                <w:rPr>
                  <w:rStyle w:val="Hyperlink"/>
                  <w:rFonts w:ascii="Dubai" w:eastAsiaTheme="minorEastAsia" w:hAnsi="Dubai" w:cs="Dubai"/>
                  <w:noProof w:val="0"/>
                  <w:sz w:val="20"/>
                  <w:rtl/>
                  <w:lang w:val="en-US" w:eastAsia="zh-CN"/>
                </w:rPr>
                <w:t xml:space="preserve">استعراض </w:t>
              </w:r>
              <w:r w:rsidRPr="008A582F">
                <w:rPr>
                  <w:rStyle w:val="Hyperlink"/>
                  <w:rFonts w:ascii="Dubai" w:eastAsiaTheme="minorEastAsia" w:hAnsi="Dubai" w:cs="Dubai" w:hint="cs"/>
                  <w:noProof w:val="0"/>
                  <w:sz w:val="20"/>
                  <w:rtl/>
                  <w:lang w:val="en-US" w:eastAsia="zh-CN"/>
                </w:rPr>
                <w:t xml:space="preserve">استخدام </w:t>
              </w:r>
              <w:r w:rsidRPr="008A582F">
                <w:rPr>
                  <w:rStyle w:val="Hyperlink"/>
                  <w:rFonts w:ascii="Dubai" w:eastAsiaTheme="minorEastAsia" w:hAnsi="Dubai" w:cs="Dubai"/>
                  <w:noProof w:val="0"/>
                  <w:sz w:val="20"/>
                  <w:rtl/>
                  <w:lang w:val="en-US" w:eastAsia="zh-CN"/>
                </w:rPr>
                <w:t>الأفراد من غير الموظفين وما يتصل ب</w:t>
              </w:r>
              <w:r w:rsidRPr="008A582F">
                <w:rPr>
                  <w:rStyle w:val="Hyperlink"/>
                  <w:rFonts w:ascii="Dubai" w:eastAsiaTheme="minorEastAsia" w:hAnsi="Dubai" w:cs="Dubai" w:hint="cs"/>
                  <w:noProof w:val="0"/>
                  <w:sz w:val="20"/>
                  <w:rtl/>
                  <w:lang w:val="en-US" w:eastAsia="zh-CN"/>
                </w:rPr>
                <w:t>ذلك</w:t>
              </w:r>
              <w:r w:rsidRPr="008A582F">
                <w:rPr>
                  <w:rStyle w:val="Hyperlink"/>
                  <w:rFonts w:ascii="Dubai" w:eastAsiaTheme="minorEastAsia" w:hAnsi="Dubai" w:cs="Dubai"/>
                  <w:noProof w:val="0"/>
                  <w:sz w:val="20"/>
                  <w:rtl/>
                  <w:lang w:val="en-US" w:eastAsia="zh-CN"/>
                </w:rPr>
                <w:t xml:space="preserve"> من </w:t>
              </w:r>
              <w:r w:rsidRPr="008A582F">
                <w:rPr>
                  <w:rStyle w:val="Hyperlink"/>
                  <w:rFonts w:ascii="Dubai" w:eastAsiaTheme="minorEastAsia" w:hAnsi="Dubai" w:cs="Dubai" w:hint="cs"/>
                  <w:noProof w:val="0"/>
                  <w:sz w:val="20"/>
                  <w:rtl/>
                  <w:lang w:val="en-US" w:eastAsia="zh-CN"/>
                </w:rPr>
                <w:t>طرائق</w:t>
              </w:r>
              <w:r w:rsidRPr="008A582F">
                <w:rPr>
                  <w:rStyle w:val="Hyperlink"/>
                  <w:rFonts w:ascii="Dubai" w:eastAsiaTheme="minorEastAsia" w:hAnsi="Dubai" w:cs="Dubai"/>
                  <w:noProof w:val="0"/>
                  <w:sz w:val="20"/>
                  <w:rtl/>
                  <w:lang w:val="en-US" w:eastAsia="zh-CN"/>
                </w:rPr>
                <w:t xml:space="preserve"> تعاقدية في منظمات منظومة الأمم المتحدة</w:t>
              </w:r>
            </w:hyperlink>
          </w:p>
          <w:p w14:paraId="439E3BC2" w14:textId="77777777" w:rsidR="00575C38" w:rsidRPr="003A29E7" w:rsidRDefault="00575C38" w:rsidP="00575C38">
            <w:pPr>
              <w:pStyle w:val="Tablehead"/>
              <w:rPr>
                <w:lang w:bidi="ar-EG"/>
              </w:rPr>
            </w:pPr>
            <w:r w:rsidRPr="003A29E7">
              <w:rPr>
                <w:rFonts w:hint="cs"/>
                <w:rtl/>
              </w:rPr>
              <w:t xml:space="preserve">مسؤولة الاتصال في الاتحاد: </w:t>
            </w:r>
            <w:r w:rsidRPr="003A29E7">
              <w:rPr>
                <w:lang w:bidi="ar-EG"/>
              </w:rPr>
              <w:t>Maria Traficanti</w:t>
            </w:r>
          </w:p>
          <w:p w14:paraId="28675FAA" w14:textId="64C6BE92" w:rsidR="00575C38" w:rsidRPr="003A29E7" w:rsidRDefault="00575C38" w:rsidP="00575C38">
            <w:pPr>
              <w:pStyle w:val="Tablehead"/>
              <w:rPr>
                <w:lang w:bidi="ar-EG"/>
              </w:rPr>
            </w:pPr>
            <w:r w:rsidRPr="003A29E7">
              <w:rPr>
                <w:lang w:bidi="ar-EG"/>
              </w:rPr>
              <w:sym w:font="Symbol" w:char="F0B7"/>
            </w:r>
            <w:r w:rsidRPr="003A29E7">
              <w:rPr>
                <w:lang w:bidi="ar-EG"/>
              </w:rPr>
              <w:tab/>
            </w:r>
            <w:hyperlink r:id="rId29" w:history="1">
              <w:r w:rsidRPr="003A29E7">
                <w:rPr>
                  <w:rStyle w:val="Hyperlink"/>
                  <w:rFonts w:ascii="Dubai" w:eastAsiaTheme="minorEastAsia" w:hAnsi="Dubai" w:cs="Dubai" w:hint="cs"/>
                  <w:noProof w:val="0"/>
                  <w:sz w:val="22"/>
                  <w:rtl/>
                  <w:lang w:val="en-US" w:eastAsia="zh-CN"/>
                </w:rPr>
                <w:t>أبرز نقاط الاستعراض</w:t>
              </w:r>
            </w:hyperlink>
          </w:p>
        </w:tc>
      </w:tr>
      <w:tr w:rsidR="00575C38" w:rsidRPr="003A29E7" w14:paraId="5D843E3A" w14:textId="77777777" w:rsidTr="00575C38">
        <w:trPr>
          <w:trHeight w:val="1112"/>
          <w:jc w:val="center"/>
        </w:trPr>
        <w:tc>
          <w:tcPr>
            <w:tcW w:w="2398" w:type="dxa"/>
            <w:shd w:val="clear" w:color="auto" w:fill="E1EBF7"/>
          </w:tcPr>
          <w:p w14:paraId="0FC90A22" w14:textId="77777777" w:rsidR="00575C38" w:rsidRPr="008A582F" w:rsidRDefault="00575C38" w:rsidP="00575C38">
            <w:pPr>
              <w:pStyle w:val="Tabletexte"/>
              <w:jc w:val="right"/>
              <w:rPr>
                <w:b/>
                <w:bCs/>
                <w:lang w:val="en-GB" w:bidi="ar-EG"/>
              </w:rPr>
            </w:pPr>
            <w:r w:rsidRPr="008A582F">
              <w:rPr>
                <w:rFonts w:hint="cs"/>
                <w:b/>
                <w:bCs/>
                <w:rtl/>
              </w:rPr>
              <w:t>التوصية موجهة إلى الهيئات التشريعية/الإدارية:</w:t>
            </w:r>
          </w:p>
        </w:tc>
        <w:tc>
          <w:tcPr>
            <w:tcW w:w="11596" w:type="dxa"/>
            <w:shd w:val="clear" w:color="auto" w:fill="FFFFFF"/>
          </w:tcPr>
          <w:p w14:paraId="2E9677F2" w14:textId="77777777" w:rsidR="00575C38" w:rsidRPr="003A29E7" w:rsidRDefault="00575C38" w:rsidP="00575C38">
            <w:pPr>
              <w:pStyle w:val="Tabletexte"/>
              <w:rPr>
                <w:lang w:val="en-GB" w:bidi="ar-EG"/>
              </w:rPr>
            </w:pPr>
            <w:r w:rsidRPr="00936242">
              <w:rPr>
                <w:b/>
                <w:bCs/>
                <w:highlight w:val="cyan"/>
                <w:rtl/>
              </w:rPr>
              <w:t>التوصية 5</w:t>
            </w:r>
            <w:r w:rsidRPr="003A29E7">
              <w:rPr>
                <w:rtl/>
              </w:rPr>
              <w:t>: ينبغي للهيئات التشريعية و/أو الإدارية لمنظمات منظومة الأمم المتحدة أن تطلب من الرؤساء التنفيذيين الذين لم يدرجوا بعد في تقاريرهم عن الموارد البشرية البيانات والمعلومات ذات الصلة بشأن استخدام الأفراد من غير الموظفين، مثل عدد الأفراد من غير الموظفين، وسنوات الخدمة، وموقع العمل، والجنسية والجنس، أن يفعلوا ذلك.</w:t>
            </w:r>
          </w:p>
        </w:tc>
      </w:tr>
      <w:tr w:rsidR="00575C38" w:rsidRPr="003A29E7" w14:paraId="32A5D797" w14:textId="77777777" w:rsidTr="00575C38">
        <w:trPr>
          <w:jc w:val="center"/>
        </w:trPr>
        <w:tc>
          <w:tcPr>
            <w:tcW w:w="2398" w:type="dxa"/>
            <w:shd w:val="clear" w:color="auto" w:fill="EAF1DD"/>
          </w:tcPr>
          <w:p w14:paraId="35542391" w14:textId="77777777" w:rsidR="00575C38" w:rsidRPr="008A582F" w:rsidRDefault="00575C38" w:rsidP="00575C38">
            <w:pPr>
              <w:pStyle w:val="Tabletexte"/>
              <w:jc w:val="right"/>
              <w:rPr>
                <w:b/>
                <w:bCs/>
                <w:lang w:val="en-GB" w:bidi="ar-EG"/>
              </w:rPr>
            </w:pPr>
            <w:r w:rsidRPr="008A582F">
              <w:rPr>
                <w:rFonts w:hint="cs"/>
                <w:b/>
                <w:bCs/>
                <w:rtl/>
              </w:rPr>
              <w:t>الإجراء المطلوب:</w:t>
            </w:r>
          </w:p>
        </w:tc>
        <w:tc>
          <w:tcPr>
            <w:tcW w:w="11596" w:type="dxa"/>
          </w:tcPr>
          <w:p w14:paraId="77E54C1C" w14:textId="62352DF5" w:rsidR="00575C38" w:rsidRPr="003A29E7" w:rsidRDefault="00575C38" w:rsidP="00575C38">
            <w:pPr>
              <w:pStyle w:val="Tabletexte"/>
              <w:rPr>
                <w:lang w:val="en-GB" w:bidi="ar-EG"/>
              </w:rPr>
            </w:pPr>
            <w:r w:rsidRPr="00575C38">
              <w:t>)</w:t>
            </w:r>
            <w:r w:rsidRPr="007A3C69">
              <w:rPr>
                <w:b/>
                <w:bCs/>
                <w:highlight w:val="green"/>
                <w:rtl/>
              </w:rPr>
              <w:t>قُبلت</w:t>
            </w:r>
            <w:r w:rsidRPr="007A3C69">
              <w:rPr>
                <w:rFonts w:hint="cs"/>
                <w:rtl/>
              </w:rPr>
              <w:t>،</w:t>
            </w:r>
            <w:r>
              <w:rPr>
                <w:rFonts w:hint="cs"/>
                <w:rtl/>
              </w:rPr>
              <w:t xml:space="preserve"> </w:t>
            </w:r>
            <w:r w:rsidRPr="007A3C69">
              <w:rPr>
                <w:rtl/>
              </w:rPr>
              <w:t>لم تُقبل</w:t>
            </w:r>
            <w:r w:rsidRPr="007A3C69">
              <w:rPr>
                <w:rFonts w:hint="cs"/>
                <w:rtl/>
              </w:rPr>
              <w:t>،</w:t>
            </w:r>
            <w:r>
              <w:rPr>
                <w:rFonts w:hint="cs"/>
                <w:rtl/>
              </w:rPr>
              <w:t xml:space="preserve"> </w:t>
            </w:r>
            <w:r w:rsidRPr="007A3C69">
              <w:rPr>
                <w:rtl/>
              </w:rPr>
              <w:t>ليست ذات صلة</w:t>
            </w:r>
            <w:r w:rsidRPr="007A3C69">
              <w:rPr>
                <w:rFonts w:hint="cs"/>
                <w:rtl/>
              </w:rPr>
              <w:t>،</w:t>
            </w:r>
            <w:r>
              <w:rPr>
                <w:rFonts w:hint="cs"/>
                <w:rtl/>
              </w:rPr>
              <w:t xml:space="preserve"> </w:t>
            </w:r>
            <w:r w:rsidRPr="007A3C69">
              <w:rPr>
                <w:rtl/>
              </w:rPr>
              <w:t>تتطلب مزيداً من النظر</w:t>
            </w:r>
            <w:r>
              <w:rPr>
                <w:rFonts w:hint="cs"/>
                <w:rtl/>
              </w:rPr>
              <w:t>)</w:t>
            </w:r>
          </w:p>
        </w:tc>
      </w:tr>
      <w:tr w:rsidR="00575C38" w:rsidRPr="003A29E7" w14:paraId="619A85DD" w14:textId="77777777" w:rsidTr="00575C38">
        <w:trPr>
          <w:jc w:val="center"/>
        </w:trPr>
        <w:tc>
          <w:tcPr>
            <w:tcW w:w="2398" w:type="dxa"/>
          </w:tcPr>
          <w:p w14:paraId="58DB168A" w14:textId="1BCB73D5" w:rsidR="00575C38" w:rsidRPr="008A582F" w:rsidRDefault="00575C38" w:rsidP="00575C38">
            <w:pPr>
              <w:pStyle w:val="Tabletexte"/>
              <w:jc w:val="right"/>
              <w:rPr>
                <w:b/>
                <w:bCs/>
                <w:lang w:val="en-GB" w:bidi="ar-EG"/>
              </w:rPr>
            </w:pPr>
            <w:r w:rsidRPr="008A582F">
              <w:rPr>
                <w:b/>
                <w:bCs/>
                <w:rtl/>
              </w:rPr>
              <w:t>تعليقات الاتحاد بشأن</w:t>
            </w:r>
            <w:r>
              <w:rPr>
                <w:rFonts w:hint="cs"/>
                <w:b/>
                <w:bCs/>
                <w:rtl/>
              </w:rPr>
              <w:t xml:space="preserve"> </w:t>
            </w:r>
            <w:r w:rsidRPr="008A582F">
              <w:rPr>
                <w:b/>
                <w:bCs/>
                <w:rtl/>
              </w:rPr>
              <w:t>أهمية التوصية وآثارها على الموارد المالية والبشرية</w:t>
            </w:r>
            <w:r>
              <w:rPr>
                <w:rFonts w:hint="cs"/>
                <w:b/>
                <w:bCs/>
                <w:rtl/>
              </w:rPr>
              <w:t>:</w:t>
            </w:r>
          </w:p>
        </w:tc>
        <w:tc>
          <w:tcPr>
            <w:tcW w:w="11596" w:type="dxa"/>
          </w:tcPr>
          <w:p w14:paraId="67FCA032" w14:textId="77777777" w:rsidR="00575C38" w:rsidRPr="003A29E7" w:rsidRDefault="00575C38" w:rsidP="00575C38">
            <w:pPr>
              <w:pStyle w:val="Tabletexte"/>
              <w:rPr>
                <w:lang w:val="en-GB" w:bidi="ar-EG"/>
              </w:rPr>
            </w:pPr>
            <w:r w:rsidRPr="003A29E7">
              <w:rPr>
                <w:rtl/>
              </w:rPr>
              <w:t xml:space="preserve">تتوفر بيانات عقود </w:t>
            </w:r>
            <w:r w:rsidRPr="003A29E7">
              <w:rPr>
                <w:rFonts w:hint="cs"/>
                <w:rtl/>
              </w:rPr>
              <w:t>الأفراد</w:t>
            </w:r>
            <w:r w:rsidRPr="003A29E7">
              <w:rPr>
                <w:rtl/>
              </w:rPr>
              <w:t xml:space="preserve"> غير الموظفين في تقرير الموارد البشرية </w:t>
            </w:r>
            <w:r w:rsidRPr="003A29E7">
              <w:rPr>
                <w:rFonts w:hint="cs"/>
                <w:rtl/>
              </w:rPr>
              <w:t>عن</w:t>
            </w:r>
            <w:r w:rsidRPr="003A29E7">
              <w:rPr>
                <w:rtl/>
              </w:rPr>
              <w:t xml:space="preserve"> تحليلات القوى العاملة. </w:t>
            </w:r>
            <w:r w:rsidRPr="003A29E7">
              <w:rPr>
                <w:rFonts w:hint="cs"/>
                <w:rtl/>
              </w:rPr>
              <w:t>ويجوز أن</w:t>
            </w:r>
            <w:r w:rsidRPr="003A29E7">
              <w:rPr>
                <w:rtl/>
              </w:rPr>
              <w:t xml:space="preserve"> تُدمج بيانات ومعلومات إضافية ذات صلة </w:t>
            </w:r>
            <w:r w:rsidRPr="003A29E7">
              <w:rPr>
                <w:rFonts w:hint="cs"/>
                <w:rtl/>
              </w:rPr>
              <w:t>عن</w:t>
            </w:r>
            <w:r w:rsidRPr="003A29E7">
              <w:rPr>
                <w:rtl/>
              </w:rPr>
              <w:t xml:space="preserve"> استخدام </w:t>
            </w:r>
            <w:r w:rsidRPr="003A29E7">
              <w:rPr>
                <w:rFonts w:hint="cs"/>
                <w:rtl/>
              </w:rPr>
              <w:t>الأفراد</w:t>
            </w:r>
            <w:r w:rsidRPr="003A29E7">
              <w:rPr>
                <w:rtl/>
              </w:rPr>
              <w:t xml:space="preserve"> غير الموظفين في لوحة المعلومات هذه عند الحاجة. </w:t>
            </w:r>
            <w:r w:rsidRPr="003A29E7">
              <w:rPr>
                <w:rFonts w:hint="cs"/>
                <w:rtl/>
              </w:rPr>
              <w:t>وستنفَّذ هذه التوصية</w:t>
            </w:r>
            <w:r w:rsidRPr="003A29E7">
              <w:rPr>
                <w:rtl/>
              </w:rPr>
              <w:t xml:space="preserve"> ضمن الموارد المالية والبشرية الحالية.</w:t>
            </w:r>
          </w:p>
        </w:tc>
      </w:tr>
      <w:tr w:rsidR="00575C38" w:rsidRPr="003A29E7" w14:paraId="42EB5122" w14:textId="77777777" w:rsidTr="00575C38">
        <w:trPr>
          <w:jc w:val="center"/>
        </w:trPr>
        <w:tc>
          <w:tcPr>
            <w:tcW w:w="2398" w:type="dxa"/>
          </w:tcPr>
          <w:p w14:paraId="000E581D" w14:textId="0B23812C" w:rsidR="00575C38" w:rsidRPr="008A582F" w:rsidRDefault="00575C38" w:rsidP="00575C38">
            <w:pPr>
              <w:pStyle w:val="Tabletexte"/>
              <w:jc w:val="right"/>
              <w:rPr>
                <w:b/>
                <w:bCs/>
                <w:lang w:val="en-GB" w:bidi="ar-EG"/>
              </w:rPr>
            </w:pPr>
            <w:hyperlink r:id="rId30" w:history="1">
              <w:r w:rsidRPr="008A582F">
                <w:rPr>
                  <w:rStyle w:val="Hyperlink"/>
                  <w:rFonts w:ascii="Dubai" w:eastAsiaTheme="minorEastAsia" w:hAnsi="Dubai" w:cs="Dubai" w:hint="cs"/>
                  <w:b/>
                  <w:bCs/>
                  <w:noProof w:val="0"/>
                  <w:sz w:val="20"/>
                  <w:rtl/>
                  <w:lang w:val="en-US" w:eastAsia="zh-CN"/>
                </w:rPr>
                <w:t xml:space="preserve">تعليقات مجلس الرؤساء التنفيذيين </w:t>
              </w:r>
              <w:r w:rsidRPr="008A582F">
                <w:rPr>
                  <w:rStyle w:val="Hyperlink"/>
                  <w:rFonts w:ascii="Dubai" w:eastAsiaTheme="minorEastAsia" w:hAnsi="Dubai" w:cs="Dubai"/>
                  <w:b/>
                  <w:bCs/>
                  <w:noProof w:val="0"/>
                  <w:sz w:val="20"/>
                  <w:lang w:val="en-US" w:eastAsia="zh-CN" w:bidi="ar-EG"/>
                </w:rPr>
                <w:t>(CEB)</w:t>
              </w:r>
              <w:r w:rsidRPr="008A582F">
                <w:rPr>
                  <w:rStyle w:val="Hyperlink"/>
                  <w:rFonts w:ascii="Dubai" w:eastAsiaTheme="minorEastAsia" w:hAnsi="Dubai" w:cs="Dubai" w:hint="cs"/>
                  <w:b/>
                  <w:bCs/>
                  <w:noProof w:val="0"/>
                  <w:sz w:val="20"/>
                  <w:rtl/>
                  <w:lang w:val="en-US" w:eastAsia="zh-CN"/>
                </w:rPr>
                <w:t xml:space="preserve"> ل</w:t>
              </w:r>
              <w:r w:rsidRPr="008A582F">
                <w:rPr>
                  <w:rStyle w:val="Hyperlink"/>
                  <w:rFonts w:ascii="Dubai" w:eastAsiaTheme="minorEastAsia" w:hAnsi="Dubai" w:cs="Dubai"/>
                  <w:b/>
                  <w:bCs/>
                  <w:noProof w:val="0"/>
                  <w:sz w:val="20"/>
                  <w:rtl/>
                  <w:lang w:val="en-US" w:eastAsia="zh-CN"/>
                </w:rPr>
                <w:t>منظومة الأمم المتحدة ككل</w:t>
              </w:r>
            </w:hyperlink>
            <w:r w:rsidRPr="008A582F">
              <w:rPr>
                <w:rFonts w:hint="cs"/>
                <w:b/>
                <w:bCs/>
                <w:rtl/>
              </w:rPr>
              <w:t>:</w:t>
            </w:r>
          </w:p>
        </w:tc>
        <w:tc>
          <w:tcPr>
            <w:tcW w:w="11596" w:type="dxa"/>
          </w:tcPr>
          <w:p w14:paraId="4157086F" w14:textId="29354ED8" w:rsidR="00575C38" w:rsidRPr="003A29E7" w:rsidRDefault="00575C38" w:rsidP="00575C38">
            <w:pPr>
              <w:pStyle w:val="Tabletexte"/>
              <w:rPr>
                <w:lang w:val="en-GB" w:bidi="ar-EG"/>
              </w:rPr>
            </w:pPr>
            <w:r w:rsidRPr="003A29E7">
              <w:rPr>
                <w:rtl/>
              </w:rPr>
              <w:t xml:space="preserve">تُصدر العديد من المنظمات بالفعل تقارير منتظمة بناءً على طلب هيئاتها الإدارية. وتُبذل جهودٌ بالفعل لتحسين </w:t>
            </w:r>
            <w:r w:rsidRPr="003A29E7">
              <w:rPr>
                <w:rFonts w:hint="cs"/>
                <w:rtl/>
              </w:rPr>
              <w:t>تيسر</w:t>
            </w:r>
            <w:r w:rsidRPr="003A29E7">
              <w:rPr>
                <w:rtl/>
              </w:rPr>
              <w:t xml:space="preserve"> البيانات وجودتها، مع العلم أن مُتغير "سنوات الخدمة" لا ينطبق تماما</w:t>
            </w:r>
            <w:r>
              <w:rPr>
                <w:rFonts w:hint="cs"/>
                <w:rtl/>
              </w:rPr>
              <w:t>ً</w:t>
            </w:r>
            <w:r w:rsidRPr="003A29E7">
              <w:rPr>
                <w:rtl/>
              </w:rPr>
              <w:t xml:space="preserve"> على </w:t>
            </w:r>
            <w:r w:rsidRPr="003A29E7">
              <w:rPr>
                <w:rFonts w:hint="cs"/>
                <w:rtl/>
              </w:rPr>
              <w:t>الأفراد</w:t>
            </w:r>
            <w:r w:rsidRPr="003A29E7">
              <w:rPr>
                <w:rtl/>
              </w:rPr>
              <w:t xml:space="preserve"> غير الموظفين، الذين </w:t>
            </w:r>
            <w:r w:rsidRPr="003A29E7">
              <w:rPr>
                <w:rFonts w:hint="cs"/>
                <w:rtl/>
              </w:rPr>
              <w:t>كثيراً</w:t>
            </w:r>
            <w:r w:rsidRPr="003A29E7">
              <w:rPr>
                <w:rtl/>
              </w:rPr>
              <w:t xml:space="preserve"> ما يُعيَّنون لفتراتٍ قصيرة. </w:t>
            </w:r>
            <w:r w:rsidRPr="003A29E7">
              <w:rPr>
                <w:rFonts w:hint="cs"/>
                <w:rtl/>
              </w:rPr>
              <w:t>ويذكَّر أيضاً</w:t>
            </w:r>
            <w:r w:rsidRPr="003A29E7">
              <w:rPr>
                <w:rtl/>
              </w:rPr>
              <w:t xml:space="preserve"> </w:t>
            </w:r>
            <w:r w:rsidRPr="003A29E7">
              <w:rPr>
                <w:rFonts w:hint="cs"/>
                <w:rtl/>
              </w:rPr>
              <w:t>ب</w:t>
            </w:r>
            <w:r w:rsidRPr="003A29E7">
              <w:rPr>
                <w:rtl/>
              </w:rPr>
              <w:t xml:space="preserve">أن طيف </w:t>
            </w:r>
            <w:r w:rsidRPr="003A29E7">
              <w:rPr>
                <w:rFonts w:hint="cs"/>
                <w:rtl/>
              </w:rPr>
              <w:t>طرائق</w:t>
            </w:r>
            <w:r w:rsidRPr="003A29E7">
              <w:rPr>
                <w:rtl/>
              </w:rPr>
              <w:t xml:space="preserve"> </w:t>
            </w:r>
            <w:r w:rsidRPr="003A29E7">
              <w:rPr>
                <w:rFonts w:hint="cs"/>
                <w:rtl/>
              </w:rPr>
              <w:t>الأفراد</w:t>
            </w:r>
            <w:r w:rsidRPr="003A29E7">
              <w:rPr>
                <w:rtl/>
              </w:rPr>
              <w:t xml:space="preserve"> غير الموظفين متنوعٌ للغاية، وقد لا</w:t>
            </w:r>
            <w:r w:rsidR="00221DF2">
              <w:rPr>
                <w:rFonts w:hint="cs"/>
                <w:rtl/>
              </w:rPr>
              <w:t> </w:t>
            </w:r>
            <w:r w:rsidRPr="003A29E7">
              <w:rPr>
                <w:rtl/>
              </w:rPr>
              <w:t>يُناسب</w:t>
            </w:r>
            <w:r w:rsidRPr="003A29E7">
              <w:rPr>
                <w:rFonts w:hint="cs"/>
                <w:rtl/>
              </w:rPr>
              <w:t>ه</w:t>
            </w:r>
            <w:r w:rsidRPr="003A29E7">
              <w:rPr>
                <w:rtl/>
              </w:rPr>
              <w:t xml:space="preserve"> إعداد تقارير شاملة ومعممة</w:t>
            </w:r>
            <w:r w:rsidRPr="003A29E7">
              <w:rPr>
                <w:rFonts w:hint="cs"/>
                <w:rtl/>
              </w:rPr>
              <w:t xml:space="preserve"> عنه</w:t>
            </w:r>
            <w:r w:rsidRPr="003A29E7">
              <w:rPr>
                <w:rtl/>
              </w:rPr>
              <w:t>.</w:t>
            </w:r>
          </w:p>
        </w:tc>
      </w:tr>
      <w:tr w:rsidR="00575C38" w:rsidRPr="003A29E7" w14:paraId="31FCB505" w14:textId="77777777" w:rsidTr="00575C38">
        <w:trPr>
          <w:jc w:val="center"/>
        </w:trPr>
        <w:tc>
          <w:tcPr>
            <w:tcW w:w="2398" w:type="dxa"/>
          </w:tcPr>
          <w:p w14:paraId="58945F6A" w14:textId="77777777" w:rsidR="00575C38" w:rsidRPr="008A582F" w:rsidRDefault="00575C38" w:rsidP="00575C38">
            <w:pPr>
              <w:pStyle w:val="Tabletexte"/>
              <w:jc w:val="right"/>
              <w:rPr>
                <w:b/>
                <w:bCs/>
                <w:lang w:val="en-GB" w:bidi="ar-EG"/>
              </w:rPr>
            </w:pPr>
            <w:r w:rsidRPr="008A582F">
              <w:rPr>
                <w:rFonts w:hint="cs"/>
                <w:b/>
                <w:bCs/>
                <w:rtl/>
              </w:rPr>
              <w:t>حالة التنفيذ:</w:t>
            </w:r>
          </w:p>
        </w:tc>
        <w:tc>
          <w:tcPr>
            <w:tcW w:w="11596" w:type="dxa"/>
          </w:tcPr>
          <w:p w14:paraId="4F1D4C16" w14:textId="77777777" w:rsidR="00575C38" w:rsidRPr="003A29E7" w:rsidRDefault="00575C38" w:rsidP="00575C38">
            <w:pPr>
              <w:pStyle w:val="Tabletexte"/>
              <w:rPr>
                <w:lang w:val="en-GB" w:bidi="ar-EG"/>
              </w:rPr>
            </w:pPr>
            <w:r w:rsidRPr="003A29E7">
              <w:rPr>
                <w:rFonts w:hint="cs"/>
                <w:rtl/>
              </w:rPr>
              <w:t>نُفذت</w:t>
            </w:r>
          </w:p>
        </w:tc>
      </w:tr>
    </w:tbl>
    <w:p w14:paraId="4D8DE87F" w14:textId="77777777" w:rsidR="00F50E3F" w:rsidRDefault="00D63735" w:rsidP="00D63735">
      <w:pPr>
        <w:spacing w:before="600"/>
        <w:jc w:val="center"/>
        <w:rPr>
          <w:rtl/>
          <w:lang w:bidi="ar-EG"/>
        </w:rPr>
      </w:pPr>
      <w:r>
        <w:rPr>
          <w:rFonts w:hint="cs"/>
          <w:rtl/>
          <w:lang w:bidi="ar-EG"/>
        </w:rPr>
        <w:t>ــــــــــــــــــــــــــــــــــــــــــــــــــــــــــــــــــــــــــــــــــــــــــــــــ</w:t>
      </w:r>
    </w:p>
    <w:sectPr w:rsidR="00F50E3F" w:rsidSect="003A29E7">
      <w:headerReference w:type="first" r:id="rId31"/>
      <w:footerReference w:type="first" r:id="rId32"/>
      <w:pgSz w:w="16840" w:h="11907" w:orient="landscape" w:code="9"/>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C23C75" w14:textId="77777777" w:rsidR="00147737" w:rsidRDefault="00147737" w:rsidP="006C3242">
      <w:pPr>
        <w:spacing w:before="0" w:line="240" w:lineRule="auto"/>
      </w:pPr>
      <w:r>
        <w:separator/>
      </w:r>
    </w:p>
  </w:endnote>
  <w:endnote w:type="continuationSeparator" w:id="0">
    <w:p w14:paraId="0AE97033" w14:textId="77777777" w:rsidR="00147737" w:rsidRDefault="00147737" w:rsidP="006C3242">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Dubai">
    <w:panose1 w:val="020B0503030403030204"/>
    <w:charset w:val="00"/>
    <w:family w:val="swiss"/>
    <w:pitch w:val="variable"/>
    <w:sig w:usb0="80002067" w:usb1="80000000" w:usb2="00000008" w:usb3="00000000" w:csb0="00000041" w:csb1="00000000"/>
  </w:font>
  <w:font w:name="Traditional Arabic">
    <w:panose1 w:val="02020603050405020304"/>
    <w:charset w:val="00"/>
    <w:family w:val="roman"/>
    <w:pitch w:val="variable"/>
    <w:sig w:usb0="00002003" w:usb1="80000000" w:usb2="00000008" w:usb3="00000000" w:csb0="00000041" w:csb1="00000000"/>
  </w:font>
  <w:font w:name="Avenir Nxt2 W1G Medium">
    <w:charset w:val="00"/>
    <w:family w:val="swiss"/>
    <w:notTrueType/>
    <w:pitch w:val="variable"/>
    <w:sig w:usb0="A00002EF"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1"/>
      <w:bidiVisual/>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31"/>
      <w:gridCol w:w="10957"/>
      <w:gridCol w:w="616"/>
    </w:tblGrid>
    <w:tr w:rsidR="00F50E3F" w:rsidRPr="007B0AA0" w14:paraId="20DFA201" w14:textId="77777777" w:rsidTr="001241C9">
      <w:trPr>
        <w:jc w:val="center"/>
      </w:trPr>
      <w:tc>
        <w:tcPr>
          <w:tcW w:w="868" w:type="pct"/>
          <w:vAlign w:val="center"/>
        </w:tcPr>
        <w:p w14:paraId="669E0BE9" w14:textId="17DFA90F" w:rsidR="00F50E3F" w:rsidRPr="007B0AA0" w:rsidRDefault="00943521" w:rsidP="00943521">
          <w:pPr>
            <w:tabs>
              <w:tab w:val="clear" w:pos="794"/>
            </w:tabs>
            <w:overflowPunct w:val="0"/>
            <w:autoSpaceDE w:val="0"/>
            <w:autoSpaceDN w:val="0"/>
            <w:bidi w:val="0"/>
            <w:adjustRightInd w:val="0"/>
            <w:spacing w:before="0" w:line="240" w:lineRule="auto"/>
            <w:jc w:val="right"/>
            <w:textAlignment w:val="baseline"/>
            <w:rPr>
              <w:rFonts w:ascii="Calibri" w:hAnsi="Calibri" w:cs="Arial"/>
              <w:noProof/>
              <w:sz w:val="18"/>
            </w:rPr>
          </w:pPr>
          <w:r w:rsidRPr="00943521">
            <w:rPr>
              <w:rFonts w:ascii="Calibri" w:hAnsi="Calibri" w:cs="Arial"/>
              <w:sz w:val="18"/>
              <w:szCs w:val="14"/>
              <w:lang w:val="en-US"/>
            </w:rPr>
            <w:t>2501101</w:t>
          </w:r>
        </w:p>
      </w:tc>
      <w:tc>
        <w:tcPr>
          <w:tcW w:w="3912" w:type="pct"/>
        </w:tcPr>
        <w:p w14:paraId="583BCC8C" w14:textId="434923FC" w:rsidR="00F50E3F" w:rsidRPr="007B0AA0" w:rsidRDefault="00F50E3F" w:rsidP="006F363C">
          <w:pPr>
            <w:tabs>
              <w:tab w:val="clear" w:pos="794"/>
              <w:tab w:val="left" w:pos="862"/>
              <w:tab w:val="right" w:pos="8505"/>
              <w:tab w:val="right" w:pos="9639"/>
            </w:tabs>
            <w:overflowPunct w:val="0"/>
            <w:autoSpaceDE w:val="0"/>
            <w:autoSpaceDN w:val="0"/>
            <w:adjustRightInd w:val="0"/>
            <w:spacing w:before="0" w:line="240" w:lineRule="auto"/>
            <w:jc w:val="right"/>
            <w:textAlignment w:val="baseline"/>
            <w:rPr>
              <w:rFonts w:ascii="Arial" w:hAnsi="Arial" w:cs="Arial"/>
              <w:b/>
              <w:bCs/>
              <w:color w:val="7F7F7F"/>
              <w:sz w:val="18"/>
              <w:szCs w:val="18"/>
            </w:rPr>
          </w:pPr>
          <w:r w:rsidRPr="007B0AA0">
            <w:rPr>
              <w:rFonts w:ascii="Calibri" w:hAnsi="Calibri" w:cs="Arial"/>
              <w:bCs/>
              <w:color w:val="7F7F7F"/>
              <w:sz w:val="18"/>
            </w:rPr>
            <w:t>C2</w:t>
          </w:r>
          <w:r w:rsidR="006F363C">
            <w:rPr>
              <w:rFonts w:ascii="Calibri" w:hAnsi="Calibri" w:cs="Arial"/>
              <w:bCs/>
              <w:color w:val="7F7F7F"/>
              <w:sz w:val="18"/>
            </w:rPr>
            <w:t>5</w:t>
          </w:r>
          <w:r w:rsidRPr="007B0AA0">
            <w:rPr>
              <w:rFonts w:ascii="Calibri" w:hAnsi="Calibri" w:cs="Arial"/>
              <w:bCs/>
              <w:color w:val="7F7F7F"/>
              <w:sz w:val="18"/>
            </w:rPr>
            <w:t>/</w:t>
          </w:r>
          <w:r w:rsidR="003A29E7">
            <w:rPr>
              <w:rFonts w:ascii="Calibri" w:hAnsi="Calibri" w:cs="Arial"/>
              <w:bCs/>
              <w:color w:val="7F7F7F"/>
              <w:sz w:val="18"/>
            </w:rPr>
            <w:t>57</w:t>
          </w:r>
          <w:r w:rsidRPr="007B0AA0">
            <w:rPr>
              <w:rFonts w:ascii="Calibri" w:hAnsi="Calibri" w:cs="Arial"/>
              <w:bCs/>
              <w:color w:val="7F7F7F"/>
              <w:sz w:val="18"/>
            </w:rPr>
            <w:t>-</w:t>
          </w:r>
          <w:r>
            <w:rPr>
              <w:rFonts w:ascii="Calibri" w:hAnsi="Calibri" w:cs="Arial"/>
              <w:bCs/>
              <w:color w:val="7F7F7F"/>
              <w:sz w:val="18"/>
            </w:rPr>
            <w:t>A</w:t>
          </w:r>
        </w:p>
      </w:tc>
      <w:tc>
        <w:tcPr>
          <w:tcW w:w="220" w:type="pct"/>
        </w:tcPr>
        <w:p w14:paraId="09230E13" w14:textId="77777777" w:rsidR="00F50E3F" w:rsidRPr="007B0AA0" w:rsidRDefault="00F50E3F" w:rsidP="006F363C">
          <w:pPr>
            <w:tabs>
              <w:tab w:val="clear" w:pos="794"/>
              <w:tab w:val="left" w:pos="862"/>
              <w:tab w:val="right" w:pos="8505"/>
              <w:tab w:val="right" w:pos="9639"/>
            </w:tabs>
            <w:overflowPunct w:val="0"/>
            <w:autoSpaceDE w:val="0"/>
            <w:autoSpaceDN w:val="0"/>
            <w:adjustRightInd w:val="0"/>
            <w:spacing w:before="0" w:line="240" w:lineRule="auto"/>
            <w:jc w:val="right"/>
            <w:textAlignment w:val="baseline"/>
            <w:rPr>
              <w:rFonts w:ascii="Calibri" w:hAnsi="Calibri" w:cs="Arial"/>
              <w:bCs/>
              <w:color w:val="7F7F7F"/>
              <w:sz w:val="18"/>
            </w:rPr>
          </w:pPr>
          <w:r w:rsidRPr="007B0AA0">
            <w:rPr>
              <w:rFonts w:ascii="Calibri" w:hAnsi="Calibri" w:cs="Arial"/>
              <w:color w:val="7F7F7F"/>
              <w:sz w:val="18"/>
            </w:rPr>
            <w:fldChar w:fldCharType="begin"/>
          </w:r>
          <w:r w:rsidRPr="007B0AA0">
            <w:rPr>
              <w:rFonts w:ascii="Calibri" w:hAnsi="Calibri" w:cs="Arial"/>
              <w:color w:val="7F7F7F"/>
              <w:sz w:val="18"/>
            </w:rPr>
            <w:instrText>PAGE</w:instrText>
          </w:r>
          <w:r w:rsidRPr="007B0AA0">
            <w:rPr>
              <w:rFonts w:ascii="Calibri" w:hAnsi="Calibri" w:cs="Arial"/>
              <w:color w:val="7F7F7F"/>
              <w:sz w:val="18"/>
            </w:rPr>
            <w:fldChar w:fldCharType="separate"/>
          </w:r>
          <w:r>
            <w:rPr>
              <w:rFonts w:cs="Arial"/>
              <w:color w:val="7F7F7F"/>
              <w:sz w:val="18"/>
            </w:rPr>
            <w:t>1</w:t>
          </w:r>
          <w:r w:rsidRPr="007B0AA0">
            <w:rPr>
              <w:rFonts w:ascii="Calibri" w:hAnsi="Calibri" w:cs="Arial"/>
              <w:noProof/>
              <w:color w:val="7F7F7F"/>
              <w:sz w:val="18"/>
            </w:rPr>
            <w:fldChar w:fldCharType="end"/>
          </w:r>
        </w:p>
      </w:tc>
    </w:tr>
  </w:tbl>
  <w:p w14:paraId="3E56D58F" w14:textId="77777777" w:rsidR="006C3242" w:rsidRPr="0026373E" w:rsidRDefault="006C3242" w:rsidP="00BA04B2">
    <w:pPr>
      <w:pStyle w:val="Footer"/>
      <w:tabs>
        <w:tab w:val="clear" w:pos="4153"/>
        <w:tab w:val="clear" w:pos="8306"/>
        <w:tab w:val="center" w:pos="5103"/>
        <w:tab w:val="right" w:pos="9639"/>
      </w:tabs>
      <w:rPr>
        <w:sz w:val="16"/>
        <w:szCs w:val="16"/>
        <w:lang w:val="fr-FR"/>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1"/>
      <w:bidiVisual/>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38"/>
      <w:gridCol w:w="6836"/>
      <w:gridCol w:w="397"/>
    </w:tblGrid>
    <w:tr w:rsidR="007B0AA0" w:rsidRPr="007B0AA0" w14:paraId="430B3ADF" w14:textId="77777777" w:rsidTr="00225ABB">
      <w:trPr>
        <w:jc w:val="center"/>
      </w:trPr>
      <w:tc>
        <w:tcPr>
          <w:tcW w:w="1013" w:type="pct"/>
          <w:vAlign w:val="center"/>
        </w:tcPr>
        <w:p w14:paraId="1C933647" w14:textId="77777777" w:rsidR="007B0AA0" w:rsidRPr="00660DEA" w:rsidRDefault="00660DEA" w:rsidP="00A67F05">
          <w:pPr>
            <w:tabs>
              <w:tab w:val="clear" w:pos="794"/>
            </w:tabs>
            <w:overflowPunct w:val="0"/>
            <w:autoSpaceDE w:val="0"/>
            <w:autoSpaceDN w:val="0"/>
            <w:bidi w:val="0"/>
            <w:adjustRightInd w:val="0"/>
            <w:spacing w:before="0" w:line="240" w:lineRule="auto"/>
            <w:jc w:val="right"/>
            <w:textAlignment w:val="baseline"/>
            <w:rPr>
              <w:rFonts w:ascii="Calibri" w:hAnsi="Calibri" w:cs="Arial"/>
              <w:noProof/>
              <w:color w:val="7F7F7F"/>
              <w:sz w:val="18"/>
            </w:rPr>
          </w:pPr>
          <w:hyperlink r:id="rId1" w:history="1">
            <w:r w:rsidRPr="00660DEA">
              <w:rPr>
                <w:rStyle w:val="Hyperlink"/>
              </w:rPr>
              <w:t>council.itu.int/2025</w:t>
            </w:r>
          </w:hyperlink>
        </w:p>
      </w:tc>
      <w:tc>
        <w:tcPr>
          <w:tcW w:w="3768" w:type="pct"/>
        </w:tcPr>
        <w:p w14:paraId="569609F3" w14:textId="374C3E91" w:rsidR="007B0AA0" w:rsidRPr="007B0AA0" w:rsidRDefault="007B0AA0" w:rsidP="006F363C">
          <w:pPr>
            <w:tabs>
              <w:tab w:val="clear" w:pos="794"/>
              <w:tab w:val="left" w:pos="862"/>
              <w:tab w:val="right" w:pos="8505"/>
              <w:tab w:val="right" w:pos="9639"/>
            </w:tabs>
            <w:overflowPunct w:val="0"/>
            <w:autoSpaceDE w:val="0"/>
            <w:autoSpaceDN w:val="0"/>
            <w:adjustRightInd w:val="0"/>
            <w:spacing w:before="0" w:line="240" w:lineRule="auto"/>
            <w:jc w:val="right"/>
            <w:textAlignment w:val="baseline"/>
            <w:rPr>
              <w:rFonts w:ascii="Arial" w:hAnsi="Arial" w:cs="Arial"/>
              <w:b/>
              <w:bCs/>
              <w:color w:val="7F7F7F"/>
              <w:sz w:val="18"/>
              <w:szCs w:val="18"/>
            </w:rPr>
          </w:pPr>
          <w:r w:rsidRPr="007B0AA0">
            <w:rPr>
              <w:rFonts w:ascii="Calibri" w:hAnsi="Calibri" w:cs="Arial"/>
              <w:bCs/>
              <w:color w:val="7F7F7F"/>
              <w:sz w:val="18"/>
            </w:rPr>
            <w:t>C2</w:t>
          </w:r>
          <w:r w:rsidR="006F363C">
            <w:rPr>
              <w:rFonts w:ascii="Calibri" w:hAnsi="Calibri" w:cs="Arial"/>
              <w:bCs/>
              <w:color w:val="7F7F7F"/>
              <w:sz w:val="18"/>
            </w:rPr>
            <w:t>5</w:t>
          </w:r>
          <w:r w:rsidRPr="007B0AA0">
            <w:rPr>
              <w:rFonts w:ascii="Calibri" w:hAnsi="Calibri" w:cs="Arial"/>
              <w:bCs/>
              <w:color w:val="7F7F7F"/>
              <w:sz w:val="18"/>
            </w:rPr>
            <w:t>/</w:t>
          </w:r>
          <w:r w:rsidR="003A29E7">
            <w:rPr>
              <w:rFonts w:ascii="Calibri" w:hAnsi="Calibri" w:cs="Arial"/>
              <w:bCs/>
              <w:color w:val="7F7F7F"/>
              <w:sz w:val="18"/>
            </w:rPr>
            <w:t>57</w:t>
          </w:r>
          <w:r w:rsidRPr="007B0AA0">
            <w:rPr>
              <w:rFonts w:ascii="Calibri" w:hAnsi="Calibri" w:cs="Arial"/>
              <w:bCs/>
              <w:color w:val="7F7F7F"/>
              <w:sz w:val="18"/>
            </w:rPr>
            <w:t>-</w:t>
          </w:r>
          <w:r>
            <w:rPr>
              <w:rFonts w:ascii="Calibri" w:hAnsi="Calibri" w:cs="Arial"/>
              <w:bCs/>
              <w:color w:val="7F7F7F"/>
              <w:sz w:val="18"/>
            </w:rPr>
            <w:t>A</w:t>
          </w:r>
        </w:p>
      </w:tc>
      <w:tc>
        <w:tcPr>
          <w:tcW w:w="220" w:type="pct"/>
        </w:tcPr>
        <w:p w14:paraId="5508860B" w14:textId="77777777" w:rsidR="007B0AA0" w:rsidRPr="007B0AA0" w:rsidRDefault="00F50E3F" w:rsidP="006F363C">
          <w:pPr>
            <w:tabs>
              <w:tab w:val="clear" w:pos="794"/>
              <w:tab w:val="left" w:pos="862"/>
              <w:tab w:val="right" w:pos="8505"/>
              <w:tab w:val="right" w:pos="9639"/>
            </w:tabs>
            <w:overflowPunct w:val="0"/>
            <w:autoSpaceDE w:val="0"/>
            <w:autoSpaceDN w:val="0"/>
            <w:adjustRightInd w:val="0"/>
            <w:spacing w:before="0" w:line="240" w:lineRule="auto"/>
            <w:jc w:val="right"/>
            <w:textAlignment w:val="baseline"/>
            <w:rPr>
              <w:rFonts w:ascii="Calibri" w:hAnsi="Calibri" w:cs="Arial"/>
              <w:bCs/>
              <w:color w:val="7F7F7F"/>
              <w:sz w:val="18"/>
            </w:rPr>
          </w:pPr>
          <w:r w:rsidRPr="007B0AA0">
            <w:rPr>
              <w:rFonts w:ascii="Calibri" w:hAnsi="Calibri" w:cs="Arial"/>
              <w:color w:val="7F7F7F"/>
              <w:sz w:val="18"/>
            </w:rPr>
            <w:fldChar w:fldCharType="begin"/>
          </w:r>
          <w:r w:rsidRPr="007B0AA0">
            <w:rPr>
              <w:rFonts w:ascii="Calibri" w:hAnsi="Calibri" w:cs="Arial"/>
              <w:color w:val="7F7F7F"/>
              <w:sz w:val="18"/>
            </w:rPr>
            <w:instrText>PAGE</w:instrText>
          </w:r>
          <w:r w:rsidRPr="007B0AA0">
            <w:rPr>
              <w:rFonts w:ascii="Calibri" w:hAnsi="Calibri" w:cs="Arial"/>
              <w:color w:val="7F7F7F"/>
              <w:sz w:val="18"/>
            </w:rPr>
            <w:fldChar w:fldCharType="separate"/>
          </w:r>
          <w:r>
            <w:rPr>
              <w:rFonts w:cs="Arial"/>
              <w:color w:val="7F7F7F"/>
              <w:sz w:val="18"/>
            </w:rPr>
            <w:t>1</w:t>
          </w:r>
          <w:r w:rsidRPr="007B0AA0">
            <w:rPr>
              <w:rFonts w:ascii="Calibri" w:hAnsi="Calibri" w:cs="Arial"/>
              <w:noProof/>
              <w:color w:val="7F7F7F"/>
              <w:sz w:val="18"/>
            </w:rPr>
            <w:fldChar w:fldCharType="end"/>
          </w:r>
        </w:p>
      </w:tc>
    </w:tr>
  </w:tbl>
  <w:p w14:paraId="20DE65EA" w14:textId="77777777" w:rsidR="0006468A" w:rsidRPr="007B0AA0" w:rsidRDefault="0006468A" w:rsidP="00BA04B2">
    <w:pPr>
      <w:pStyle w:val="Footer"/>
      <w:tabs>
        <w:tab w:val="clear" w:pos="4153"/>
        <w:tab w:val="clear" w:pos="8306"/>
        <w:tab w:val="center" w:pos="5103"/>
        <w:tab w:val="right" w:pos="9639"/>
      </w:tabs>
      <w:rPr>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1"/>
      <w:bidiVisual/>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75"/>
      <w:gridCol w:w="7097"/>
      <w:gridCol w:w="399"/>
    </w:tblGrid>
    <w:tr w:rsidR="006C6E28" w:rsidRPr="007B0AA0" w14:paraId="5CD56270" w14:textId="77777777" w:rsidTr="006064C2">
      <w:trPr>
        <w:jc w:val="center"/>
      </w:trPr>
      <w:tc>
        <w:tcPr>
          <w:tcW w:w="868" w:type="pct"/>
          <w:vAlign w:val="center"/>
        </w:tcPr>
        <w:p w14:paraId="0715B778" w14:textId="77777777" w:rsidR="006C6E28" w:rsidRPr="007B0AA0" w:rsidRDefault="006C6E28" w:rsidP="006C6E28">
          <w:pPr>
            <w:tabs>
              <w:tab w:val="clear" w:pos="794"/>
            </w:tabs>
            <w:overflowPunct w:val="0"/>
            <w:autoSpaceDE w:val="0"/>
            <w:autoSpaceDN w:val="0"/>
            <w:bidi w:val="0"/>
            <w:adjustRightInd w:val="0"/>
            <w:spacing w:before="0" w:line="240" w:lineRule="auto"/>
            <w:jc w:val="right"/>
            <w:textAlignment w:val="baseline"/>
            <w:rPr>
              <w:rFonts w:ascii="Calibri" w:hAnsi="Calibri" w:cs="Arial"/>
              <w:noProof/>
              <w:sz w:val="18"/>
            </w:rPr>
          </w:pPr>
          <w:r w:rsidRPr="00943521">
            <w:rPr>
              <w:rFonts w:ascii="Calibri" w:hAnsi="Calibri" w:cs="Arial"/>
              <w:sz w:val="18"/>
              <w:szCs w:val="14"/>
              <w:lang w:val="en-US"/>
            </w:rPr>
            <w:t>2501101</w:t>
          </w:r>
        </w:p>
      </w:tc>
      <w:tc>
        <w:tcPr>
          <w:tcW w:w="3912" w:type="pct"/>
        </w:tcPr>
        <w:p w14:paraId="672C3C46" w14:textId="77777777" w:rsidR="006C6E28" w:rsidRPr="007B0AA0" w:rsidRDefault="006C6E28" w:rsidP="006C6E28">
          <w:pPr>
            <w:tabs>
              <w:tab w:val="clear" w:pos="794"/>
              <w:tab w:val="left" w:pos="862"/>
              <w:tab w:val="right" w:pos="8505"/>
              <w:tab w:val="right" w:pos="9639"/>
            </w:tabs>
            <w:overflowPunct w:val="0"/>
            <w:autoSpaceDE w:val="0"/>
            <w:autoSpaceDN w:val="0"/>
            <w:adjustRightInd w:val="0"/>
            <w:spacing w:before="0" w:line="240" w:lineRule="auto"/>
            <w:jc w:val="right"/>
            <w:textAlignment w:val="baseline"/>
            <w:rPr>
              <w:rFonts w:ascii="Arial" w:hAnsi="Arial" w:cs="Arial"/>
              <w:b/>
              <w:bCs/>
              <w:color w:val="7F7F7F"/>
              <w:sz w:val="18"/>
              <w:szCs w:val="18"/>
            </w:rPr>
          </w:pPr>
          <w:r w:rsidRPr="007B0AA0">
            <w:rPr>
              <w:rFonts w:ascii="Calibri" w:hAnsi="Calibri" w:cs="Arial"/>
              <w:bCs/>
              <w:color w:val="7F7F7F"/>
              <w:sz w:val="18"/>
            </w:rPr>
            <w:t>C2</w:t>
          </w:r>
          <w:r>
            <w:rPr>
              <w:rFonts w:ascii="Calibri" w:hAnsi="Calibri" w:cs="Arial"/>
              <w:bCs/>
              <w:color w:val="7F7F7F"/>
              <w:sz w:val="18"/>
            </w:rPr>
            <w:t>5</w:t>
          </w:r>
          <w:r w:rsidRPr="007B0AA0">
            <w:rPr>
              <w:rFonts w:ascii="Calibri" w:hAnsi="Calibri" w:cs="Arial"/>
              <w:bCs/>
              <w:color w:val="7F7F7F"/>
              <w:sz w:val="18"/>
            </w:rPr>
            <w:t>/</w:t>
          </w:r>
          <w:r>
            <w:rPr>
              <w:rFonts w:ascii="Calibri" w:hAnsi="Calibri" w:cs="Arial"/>
              <w:bCs/>
              <w:color w:val="7F7F7F"/>
              <w:sz w:val="18"/>
            </w:rPr>
            <w:t>57</w:t>
          </w:r>
          <w:r w:rsidRPr="007B0AA0">
            <w:rPr>
              <w:rFonts w:ascii="Calibri" w:hAnsi="Calibri" w:cs="Arial"/>
              <w:bCs/>
              <w:color w:val="7F7F7F"/>
              <w:sz w:val="18"/>
            </w:rPr>
            <w:t>-</w:t>
          </w:r>
          <w:r>
            <w:rPr>
              <w:rFonts w:ascii="Calibri" w:hAnsi="Calibri" w:cs="Arial"/>
              <w:bCs/>
              <w:color w:val="7F7F7F"/>
              <w:sz w:val="18"/>
            </w:rPr>
            <w:t>A</w:t>
          </w:r>
        </w:p>
      </w:tc>
      <w:tc>
        <w:tcPr>
          <w:tcW w:w="220" w:type="pct"/>
        </w:tcPr>
        <w:p w14:paraId="271146C9" w14:textId="77777777" w:rsidR="006C6E28" w:rsidRPr="007B0AA0" w:rsidRDefault="006C6E28" w:rsidP="006C6E28">
          <w:pPr>
            <w:tabs>
              <w:tab w:val="clear" w:pos="794"/>
              <w:tab w:val="left" w:pos="862"/>
              <w:tab w:val="right" w:pos="8505"/>
              <w:tab w:val="right" w:pos="9639"/>
            </w:tabs>
            <w:overflowPunct w:val="0"/>
            <w:autoSpaceDE w:val="0"/>
            <w:autoSpaceDN w:val="0"/>
            <w:adjustRightInd w:val="0"/>
            <w:spacing w:before="0" w:line="240" w:lineRule="auto"/>
            <w:jc w:val="right"/>
            <w:textAlignment w:val="baseline"/>
            <w:rPr>
              <w:rFonts w:ascii="Calibri" w:hAnsi="Calibri" w:cs="Arial"/>
              <w:bCs/>
              <w:color w:val="7F7F7F"/>
              <w:sz w:val="18"/>
            </w:rPr>
          </w:pPr>
          <w:r w:rsidRPr="007B0AA0">
            <w:rPr>
              <w:rFonts w:ascii="Calibri" w:hAnsi="Calibri" w:cs="Arial"/>
              <w:color w:val="7F7F7F"/>
              <w:sz w:val="18"/>
            </w:rPr>
            <w:fldChar w:fldCharType="begin"/>
          </w:r>
          <w:r w:rsidRPr="007B0AA0">
            <w:rPr>
              <w:rFonts w:ascii="Calibri" w:hAnsi="Calibri" w:cs="Arial"/>
              <w:color w:val="7F7F7F"/>
              <w:sz w:val="18"/>
            </w:rPr>
            <w:instrText>PAGE</w:instrText>
          </w:r>
          <w:r w:rsidRPr="007B0AA0">
            <w:rPr>
              <w:rFonts w:ascii="Calibri" w:hAnsi="Calibri" w:cs="Arial"/>
              <w:color w:val="7F7F7F"/>
              <w:sz w:val="18"/>
            </w:rPr>
            <w:fldChar w:fldCharType="separate"/>
          </w:r>
          <w:r>
            <w:rPr>
              <w:rFonts w:cs="Arial"/>
              <w:color w:val="7F7F7F"/>
              <w:sz w:val="18"/>
            </w:rPr>
            <w:t>1</w:t>
          </w:r>
          <w:r w:rsidRPr="007B0AA0">
            <w:rPr>
              <w:rFonts w:ascii="Calibri" w:hAnsi="Calibri" w:cs="Arial"/>
              <w:noProof/>
              <w:color w:val="7F7F7F"/>
              <w:sz w:val="18"/>
            </w:rPr>
            <w:fldChar w:fldCharType="end"/>
          </w:r>
        </w:p>
      </w:tc>
    </w:tr>
  </w:tbl>
  <w:p w14:paraId="349AF3FE" w14:textId="77777777" w:rsidR="00A501AF" w:rsidRPr="0026373E" w:rsidRDefault="00A501AF" w:rsidP="00A501AF">
    <w:pPr>
      <w:pStyle w:val="Footer"/>
      <w:tabs>
        <w:tab w:val="clear" w:pos="4153"/>
        <w:tab w:val="clear" w:pos="8306"/>
        <w:tab w:val="center" w:pos="5103"/>
        <w:tab w:val="right" w:pos="9639"/>
      </w:tabs>
      <w:rPr>
        <w:sz w:val="16"/>
        <w:szCs w:val="16"/>
        <w:lang w:val="fr-F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94EFF3" w14:textId="77777777" w:rsidR="00147737" w:rsidRDefault="00147737" w:rsidP="006C3242">
      <w:pPr>
        <w:spacing w:before="0" w:line="240" w:lineRule="auto"/>
      </w:pPr>
      <w:r>
        <w:separator/>
      </w:r>
    </w:p>
  </w:footnote>
  <w:footnote w:type="continuationSeparator" w:id="0">
    <w:p w14:paraId="7D0F98F2" w14:textId="77777777" w:rsidR="00147737" w:rsidRDefault="00147737" w:rsidP="006C3242">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DC9E7C" w14:textId="77777777" w:rsidR="007B0AA0" w:rsidRDefault="007648A6" w:rsidP="00935AAC">
    <w:pPr>
      <w:pStyle w:val="Header"/>
      <w:spacing w:before="120" w:after="600"/>
    </w:pPr>
    <w:r w:rsidRPr="00802C2C">
      <w:rPr>
        <w:rFonts w:ascii="Avenir Nxt2 W1G Medium" w:eastAsia="Avenir Nxt2 W1G Medium" w:hAnsi="Avenir Nxt2 W1G Medium" w:cs="Avenir Nxt2 W1G Medium"/>
        <w:noProof/>
      </w:rPr>
      <mc:AlternateContent>
        <mc:Choice Requires="wps">
          <w:drawing>
            <wp:anchor distT="0" distB="0" distL="114300" distR="114300" simplePos="0" relativeHeight="251659264" behindDoc="0" locked="0" layoutInCell="1" allowOverlap="1" wp14:anchorId="12F8369E" wp14:editId="575405EB">
              <wp:simplePos x="0" y="0"/>
              <wp:positionH relativeFrom="page">
                <wp:posOffset>7453630</wp:posOffset>
              </wp:positionH>
              <wp:positionV relativeFrom="topMargin">
                <wp:posOffset>641294</wp:posOffset>
              </wp:positionV>
              <wp:extent cx="92075" cy="360680"/>
              <wp:effectExtent l="0" t="0" r="3175" b="1270"/>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2075" cy="360680"/>
                      </a:xfrm>
                      <a:prstGeom prst="rect">
                        <a:avLst/>
                      </a:prstGeom>
                      <a:solidFill>
                        <a:srgbClr val="009CD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C560860" id="Rectangle 5" o:spid="_x0000_s1026" style="position:absolute;margin-left:586.9pt;margin-top:50.5pt;width:7.25pt;height:28.4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op-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" fillcolor="#009cd5" stroked="f">
              <w10:wrap anchorx="page" anchory="margin"/>
            </v:rect>
          </w:pict>
        </mc:Fallback>
      </mc:AlternateContent>
    </w:r>
    <w:r w:rsidR="00420F8A">
      <w:rPr>
        <w:rFonts w:ascii="Avenir Nxt2 W1G Medium" w:eastAsia="Avenir Nxt2 W1G Medium" w:hAnsi="Avenir Nxt2 W1G Medium" w:cs="Avenir Nxt2 W1G Medium"/>
        <w:noProof/>
      </w:rPr>
      <w:drawing>
        <wp:inline distT="0" distB="0" distL="0" distR="0" wp14:anchorId="4D73DCE4" wp14:editId="70EDEC78">
          <wp:extent cx="2999433" cy="612775"/>
          <wp:effectExtent l="0" t="0" r="0" b="0"/>
          <wp:docPr id="1631567398" name="Picture 1" descr="A black background with blu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1567398" name="Picture 1" descr="A black background with blue text&#10;&#10;AI-generated content may be incorrect."/>
                  <pic:cNvPicPr/>
                </pic:nvPicPr>
                <pic:blipFill rotWithShape="1">
                  <a:blip r:embed="rId1">
                    <a:extLst>
                      <a:ext uri="{28A0092B-C50C-407E-A947-70E740481C1C}">
                        <a14:useLocalDpi xmlns:a14="http://schemas.microsoft.com/office/drawing/2010/main" val="0"/>
                      </a:ext>
                    </a:extLst>
                  </a:blip>
                  <a:srcRect r="18302"/>
                  <a:stretch/>
                </pic:blipFill>
                <pic:spPr bwMode="auto">
                  <a:xfrm>
                    <a:off x="0" y="0"/>
                    <a:ext cx="2999932" cy="612877"/>
                  </a:xfrm>
                  <a:prstGeom prst="rect">
                    <a:avLst/>
                  </a:prstGeom>
                  <a:ln>
                    <a:noFill/>
                  </a:ln>
                  <a:extLst>
                    <a:ext uri="{53640926-AAD7-44D8-BBD7-CCE9431645EC}">
                      <a14:shadowObscured xmlns:a14="http://schemas.microsoft.com/office/drawing/2010/main"/>
                    </a:ext>
                  </a:extLst>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90E97F" w14:textId="2B45F9E6" w:rsidR="00676BEC" w:rsidRDefault="00676BEC" w:rsidP="00935AAC">
    <w:pPr>
      <w:pStyle w:val="Header"/>
      <w:spacing w:before="120" w:after="6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BCC4D5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78CC19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E8648C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8866A6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F52F66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5EA1B6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4E4692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548CB7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3C27FB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CFCA243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92B3DD4"/>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838345589">
    <w:abstractNumId w:val="9"/>
  </w:num>
  <w:num w:numId="2" w16cid:durableId="1774472849">
    <w:abstractNumId w:val="7"/>
  </w:num>
  <w:num w:numId="3" w16cid:durableId="923494626">
    <w:abstractNumId w:val="6"/>
  </w:num>
  <w:num w:numId="4" w16cid:durableId="442574474">
    <w:abstractNumId w:val="5"/>
  </w:num>
  <w:num w:numId="5" w16cid:durableId="1628318554">
    <w:abstractNumId w:val="4"/>
  </w:num>
  <w:num w:numId="6" w16cid:durableId="2075542342">
    <w:abstractNumId w:val="8"/>
  </w:num>
  <w:num w:numId="7" w16cid:durableId="1174762821">
    <w:abstractNumId w:val="3"/>
  </w:num>
  <w:num w:numId="8" w16cid:durableId="201795547">
    <w:abstractNumId w:val="2"/>
  </w:num>
  <w:num w:numId="9" w16cid:durableId="355010693">
    <w:abstractNumId w:val="1"/>
  </w:num>
  <w:num w:numId="10" w16cid:durableId="844200481">
    <w:abstractNumId w:val="0"/>
  </w:num>
  <w:num w:numId="11" w16cid:durableId="11048383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1078"/>
    <w:rsid w:val="00032E96"/>
    <w:rsid w:val="0006468A"/>
    <w:rsid w:val="0006712F"/>
    <w:rsid w:val="00090574"/>
    <w:rsid w:val="000C1C0E"/>
    <w:rsid w:val="000C462D"/>
    <w:rsid w:val="000C548A"/>
    <w:rsid w:val="000F0593"/>
    <w:rsid w:val="001241C9"/>
    <w:rsid w:val="00147737"/>
    <w:rsid w:val="00191059"/>
    <w:rsid w:val="001A6580"/>
    <w:rsid w:val="001B6E2B"/>
    <w:rsid w:val="001C0169"/>
    <w:rsid w:val="001C0C21"/>
    <w:rsid w:val="001C5CDA"/>
    <w:rsid w:val="001D1D50"/>
    <w:rsid w:val="001D64C7"/>
    <w:rsid w:val="001D6745"/>
    <w:rsid w:val="001E446E"/>
    <w:rsid w:val="002154EE"/>
    <w:rsid w:val="00221DF2"/>
    <w:rsid w:val="00225ABB"/>
    <w:rsid w:val="002276D2"/>
    <w:rsid w:val="0023283D"/>
    <w:rsid w:val="00254393"/>
    <w:rsid w:val="00260E93"/>
    <w:rsid w:val="0026373E"/>
    <w:rsid w:val="00271C43"/>
    <w:rsid w:val="00290728"/>
    <w:rsid w:val="002978F4"/>
    <w:rsid w:val="002A7822"/>
    <w:rsid w:val="002B028D"/>
    <w:rsid w:val="002B7B06"/>
    <w:rsid w:val="002C3F32"/>
    <w:rsid w:val="002E6541"/>
    <w:rsid w:val="002F323D"/>
    <w:rsid w:val="002F5527"/>
    <w:rsid w:val="00334924"/>
    <w:rsid w:val="00336CAE"/>
    <w:rsid w:val="003409BC"/>
    <w:rsid w:val="00357185"/>
    <w:rsid w:val="00383829"/>
    <w:rsid w:val="003A29E7"/>
    <w:rsid w:val="003F4B29"/>
    <w:rsid w:val="004160C6"/>
    <w:rsid w:val="00420F8A"/>
    <w:rsid w:val="0042686F"/>
    <w:rsid w:val="004317D8"/>
    <w:rsid w:val="0043260A"/>
    <w:rsid w:val="00434183"/>
    <w:rsid w:val="00443869"/>
    <w:rsid w:val="00447F32"/>
    <w:rsid w:val="00473C40"/>
    <w:rsid w:val="00491BA9"/>
    <w:rsid w:val="004A4701"/>
    <w:rsid w:val="004B7334"/>
    <w:rsid w:val="004C508E"/>
    <w:rsid w:val="004D7ABE"/>
    <w:rsid w:val="004E11DC"/>
    <w:rsid w:val="005130DE"/>
    <w:rsid w:val="00513157"/>
    <w:rsid w:val="00525DDD"/>
    <w:rsid w:val="005409AC"/>
    <w:rsid w:val="005434E0"/>
    <w:rsid w:val="005546CF"/>
    <w:rsid w:val="0055516A"/>
    <w:rsid w:val="00575C38"/>
    <w:rsid w:val="0058491B"/>
    <w:rsid w:val="00592EA5"/>
    <w:rsid w:val="005A3170"/>
    <w:rsid w:val="005C2458"/>
    <w:rsid w:val="00626440"/>
    <w:rsid w:val="00645894"/>
    <w:rsid w:val="00652A60"/>
    <w:rsid w:val="00660DEA"/>
    <w:rsid w:val="00665BC1"/>
    <w:rsid w:val="00676BEC"/>
    <w:rsid w:val="00677396"/>
    <w:rsid w:val="00677E70"/>
    <w:rsid w:val="0069200F"/>
    <w:rsid w:val="006A65CB"/>
    <w:rsid w:val="006B12E5"/>
    <w:rsid w:val="006B7D9A"/>
    <w:rsid w:val="006C3242"/>
    <w:rsid w:val="006C6E28"/>
    <w:rsid w:val="006C7CC0"/>
    <w:rsid w:val="006F054A"/>
    <w:rsid w:val="006F363C"/>
    <w:rsid w:val="006F63F7"/>
    <w:rsid w:val="007025C7"/>
    <w:rsid w:val="00706D7A"/>
    <w:rsid w:val="00722F0D"/>
    <w:rsid w:val="0074420E"/>
    <w:rsid w:val="00757D3F"/>
    <w:rsid w:val="007648A6"/>
    <w:rsid w:val="0077110E"/>
    <w:rsid w:val="00783E26"/>
    <w:rsid w:val="00784EF7"/>
    <w:rsid w:val="007A3C69"/>
    <w:rsid w:val="007A6684"/>
    <w:rsid w:val="007B0AA0"/>
    <w:rsid w:val="007B7A3E"/>
    <w:rsid w:val="007C3BC7"/>
    <w:rsid w:val="007C3BCD"/>
    <w:rsid w:val="007C7989"/>
    <w:rsid w:val="007D4ACF"/>
    <w:rsid w:val="007E40A1"/>
    <w:rsid w:val="007F0787"/>
    <w:rsid w:val="00807BB7"/>
    <w:rsid w:val="00810B7B"/>
    <w:rsid w:val="00821078"/>
    <w:rsid w:val="0082358A"/>
    <w:rsid w:val="008235CD"/>
    <w:rsid w:val="008247DE"/>
    <w:rsid w:val="008339C0"/>
    <w:rsid w:val="00840B10"/>
    <w:rsid w:val="008513CB"/>
    <w:rsid w:val="00873851"/>
    <w:rsid w:val="00874E9F"/>
    <w:rsid w:val="00897C22"/>
    <w:rsid w:val="008A582F"/>
    <w:rsid w:val="008A7F84"/>
    <w:rsid w:val="0091702E"/>
    <w:rsid w:val="00923B0C"/>
    <w:rsid w:val="00924F46"/>
    <w:rsid w:val="00935AAC"/>
    <w:rsid w:val="00936242"/>
    <w:rsid w:val="0094021C"/>
    <w:rsid w:val="00943521"/>
    <w:rsid w:val="00952F86"/>
    <w:rsid w:val="00970E7B"/>
    <w:rsid w:val="00982B28"/>
    <w:rsid w:val="009B7EFE"/>
    <w:rsid w:val="009C5923"/>
    <w:rsid w:val="009D10CF"/>
    <w:rsid w:val="009D313F"/>
    <w:rsid w:val="00A319BB"/>
    <w:rsid w:val="00A37BF5"/>
    <w:rsid w:val="00A47A5A"/>
    <w:rsid w:val="00A47F2D"/>
    <w:rsid w:val="00A501AF"/>
    <w:rsid w:val="00A63AE6"/>
    <w:rsid w:val="00A6683B"/>
    <w:rsid w:val="00A67F05"/>
    <w:rsid w:val="00A97F94"/>
    <w:rsid w:val="00AA7EA2"/>
    <w:rsid w:val="00AE0EF3"/>
    <w:rsid w:val="00B03099"/>
    <w:rsid w:val="00B05BC8"/>
    <w:rsid w:val="00B30F5E"/>
    <w:rsid w:val="00B64B47"/>
    <w:rsid w:val="00B95654"/>
    <w:rsid w:val="00B97425"/>
    <w:rsid w:val="00B97F32"/>
    <w:rsid w:val="00BA04B2"/>
    <w:rsid w:val="00BC4C26"/>
    <w:rsid w:val="00BE405D"/>
    <w:rsid w:val="00C002DE"/>
    <w:rsid w:val="00C0602B"/>
    <w:rsid w:val="00C224DA"/>
    <w:rsid w:val="00C53BF8"/>
    <w:rsid w:val="00C66157"/>
    <w:rsid w:val="00C674FE"/>
    <w:rsid w:val="00C67501"/>
    <w:rsid w:val="00C75633"/>
    <w:rsid w:val="00CE2EE1"/>
    <w:rsid w:val="00CE3349"/>
    <w:rsid w:val="00CE36E5"/>
    <w:rsid w:val="00CE4360"/>
    <w:rsid w:val="00CF27F5"/>
    <w:rsid w:val="00CF3FFD"/>
    <w:rsid w:val="00D10CCF"/>
    <w:rsid w:val="00D13941"/>
    <w:rsid w:val="00D23F5F"/>
    <w:rsid w:val="00D25780"/>
    <w:rsid w:val="00D43F7D"/>
    <w:rsid w:val="00D63735"/>
    <w:rsid w:val="00D77D0F"/>
    <w:rsid w:val="00D91595"/>
    <w:rsid w:val="00DA1CF0"/>
    <w:rsid w:val="00DC1E02"/>
    <w:rsid w:val="00DC24B4"/>
    <w:rsid w:val="00DC5FB0"/>
    <w:rsid w:val="00DF16DC"/>
    <w:rsid w:val="00E24A8D"/>
    <w:rsid w:val="00E24EC4"/>
    <w:rsid w:val="00E36B80"/>
    <w:rsid w:val="00E45211"/>
    <w:rsid w:val="00E473C5"/>
    <w:rsid w:val="00E61BE8"/>
    <w:rsid w:val="00E643E1"/>
    <w:rsid w:val="00E74BC2"/>
    <w:rsid w:val="00E83FF1"/>
    <w:rsid w:val="00E92863"/>
    <w:rsid w:val="00E979B2"/>
    <w:rsid w:val="00EB796D"/>
    <w:rsid w:val="00F03AFF"/>
    <w:rsid w:val="00F058DC"/>
    <w:rsid w:val="00F100AA"/>
    <w:rsid w:val="00F24FC4"/>
    <w:rsid w:val="00F25214"/>
    <w:rsid w:val="00F2676C"/>
    <w:rsid w:val="00F363FE"/>
    <w:rsid w:val="00F37215"/>
    <w:rsid w:val="00F50E3F"/>
    <w:rsid w:val="00F62E26"/>
    <w:rsid w:val="00F84366"/>
    <w:rsid w:val="00F85019"/>
    <w:rsid w:val="00F85089"/>
    <w:rsid w:val="00F96D48"/>
    <w:rsid w:val="00F974C5"/>
    <w:rsid w:val="00FA3763"/>
    <w:rsid w:val="00FA6F46"/>
    <w:rsid w:val="00FC0E94"/>
    <w:rsid w:val="00FC4592"/>
    <w:rsid w:val="00FD527F"/>
    <w:rsid w:val="00FE5872"/>
    <w:rsid w:val="00FE7FC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2829868"/>
  <w15:chartTrackingRefBased/>
  <w15:docId w15:val="{EEBAE282-E01A-418A-890C-02377CE484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74C5"/>
    <w:pPr>
      <w:tabs>
        <w:tab w:val="left" w:pos="794"/>
      </w:tabs>
      <w:bidi/>
      <w:spacing w:before="120" w:after="0" w:line="192" w:lineRule="auto"/>
      <w:jc w:val="both"/>
    </w:pPr>
    <w:rPr>
      <w:rFonts w:ascii="Dubai" w:hAnsi="Dubai" w:cs="Dubai"/>
    </w:rPr>
  </w:style>
  <w:style w:type="paragraph" w:styleId="Heading1">
    <w:name w:val="heading 1"/>
    <w:basedOn w:val="Normal"/>
    <w:next w:val="Normal"/>
    <w:link w:val="Heading1Char"/>
    <w:uiPriority w:val="9"/>
    <w:qFormat/>
    <w:rsid w:val="00F974C5"/>
    <w:pPr>
      <w:keepNext/>
      <w:keepLines/>
      <w:spacing w:before="360"/>
      <w:ind w:left="794" w:hanging="794"/>
      <w:outlineLvl w:val="0"/>
    </w:pPr>
    <w:rPr>
      <w:rFonts w:eastAsiaTheme="majorEastAsia"/>
      <w:b/>
      <w:bCs/>
      <w:sz w:val="26"/>
      <w:szCs w:val="26"/>
    </w:rPr>
  </w:style>
  <w:style w:type="paragraph" w:styleId="Heading2">
    <w:name w:val="heading 2"/>
    <w:basedOn w:val="Normal"/>
    <w:next w:val="Normal"/>
    <w:link w:val="Heading2Char"/>
    <w:uiPriority w:val="9"/>
    <w:unhideWhenUsed/>
    <w:qFormat/>
    <w:rsid w:val="00F974C5"/>
    <w:pPr>
      <w:keepNext/>
      <w:keepLines/>
      <w:spacing w:before="300"/>
      <w:ind w:left="794" w:hanging="794"/>
      <w:outlineLvl w:val="1"/>
    </w:pPr>
    <w:rPr>
      <w:rFonts w:eastAsiaTheme="majorEastAsia"/>
      <w:b/>
      <w:bCs/>
      <w:sz w:val="24"/>
      <w:szCs w:val="24"/>
    </w:rPr>
  </w:style>
  <w:style w:type="paragraph" w:styleId="Heading3">
    <w:name w:val="heading 3"/>
    <w:basedOn w:val="Normal"/>
    <w:next w:val="Normal"/>
    <w:link w:val="Heading3Char"/>
    <w:uiPriority w:val="9"/>
    <w:unhideWhenUsed/>
    <w:qFormat/>
    <w:rsid w:val="00F974C5"/>
    <w:pPr>
      <w:keepNext/>
      <w:keepLines/>
      <w:spacing w:before="240"/>
      <w:ind w:left="794" w:hanging="794"/>
      <w:outlineLvl w:val="2"/>
    </w:pPr>
    <w:rPr>
      <w:rFonts w:eastAsiaTheme="majorEastAsia"/>
      <w:b/>
      <w:bCs/>
    </w:rPr>
  </w:style>
  <w:style w:type="paragraph" w:styleId="Heading4">
    <w:name w:val="heading 4"/>
    <w:basedOn w:val="Normal"/>
    <w:next w:val="Normal"/>
    <w:link w:val="Heading4Char"/>
    <w:uiPriority w:val="9"/>
    <w:unhideWhenUsed/>
    <w:qFormat/>
    <w:rsid w:val="00F974C5"/>
    <w:pPr>
      <w:keepNext/>
      <w:keepLines/>
      <w:spacing w:before="160"/>
      <w:ind w:left="794" w:hanging="794"/>
      <w:outlineLvl w:val="3"/>
    </w:pPr>
    <w:rPr>
      <w:rFonts w:eastAsiaTheme="majorEastAsia"/>
      <w:b/>
      <w:bCs/>
    </w:rPr>
  </w:style>
  <w:style w:type="paragraph" w:styleId="Heading5">
    <w:name w:val="heading 5"/>
    <w:basedOn w:val="Normal"/>
    <w:next w:val="Normal"/>
    <w:link w:val="Heading5Char"/>
    <w:uiPriority w:val="9"/>
    <w:unhideWhenUsed/>
    <w:qFormat/>
    <w:rsid w:val="00F974C5"/>
    <w:pPr>
      <w:keepNext/>
      <w:keepLines/>
      <w:ind w:left="1134" w:hanging="1134"/>
      <w:outlineLvl w:val="4"/>
    </w:pPr>
    <w:rPr>
      <w:rFonts w:eastAsiaTheme="majorEastAsia"/>
      <w:b/>
      <w:bCs/>
    </w:rPr>
  </w:style>
  <w:style w:type="paragraph" w:styleId="Heading6">
    <w:name w:val="heading 6"/>
    <w:basedOn w:val="Normal"/>
    <w:next w:val="Normal"/>
    <w:link w:val="Heading6Char"/>
    <w:uiPriority w:val="9"/>
    <w:unhideWhenUsed/>
    <w:qFormat/>
    <w:rsid w:val="00F974C5"/>
    <w:pPr>
      <w:keepNext/>
      <w:keepLines/>
      <w:spacing w:before="160"/>
      <w:ind w:left="1134" w:hanging="1134"/>
      <w:outlineLvl w:val="5"/>
    </w:pPr>
    <w:rPr>
      <w:rFonts w:eastAsiaTheme="majorEastAsia"/>
      <w:b/>
      <w:bCs/>
    </w:rPr>
  </w:style>
  <w:style w:type="paragraph" w:styleId="Heading7">
    <w:name w:val="heading 7"/>
    <w:basedOn w:val="Normal"/>
    <w:next w:val="Normal"/>
    <w:link w:val="Heading7Char"/>
    <w:uiPriority w:val="9"/>
    <w:unhideWhenUsed/>
    <w:qFormat/>
    <w:rsid w:val="00F974C5"/>
    <w:pPr>
      <w:keepNext/>
      <w:keepLines/>
      <w:spacing w:before="160"/>
      <w:ind w:left="1134" w:hanging="1134"/>
      <w:outlineLvl w:val="6"/>
    </w:pPr>
    <w:rPr>
      <w:rFonts w:eastAsiaTheme="majorEastAsia"/>
      <w:b/>
      <w:bCs/>
    </w:rPr>
  </w:style>
  <w:style w:type="paragraph" w:styleId="Heading8">
    <w:name w:val="heading 8"/>
    <w:basedOn w:val="Normal"/>
    <w:next w:val="Normal"/>
    <w:link w:val="Heading8Char"/>
    <w:uiPriority w:val="9"/>
    <w:unhideWhenUsed/>
    <w:qFormat/>
    <w:rsid w:val="00F974C5"/>
    <w:pPr>
      <w:keepNext/>
      <w:keepLines/>
      <w:spacing w:before="160"/>
      <w:ind w:left="1134" w:hanging="1134"/>
      <w:outlineLvl w:val="7"/>
    </w:pPr>
    <w:rPr>
      <w:rFonts w:eastAsiaTheme="majorEastAsia"/>
      <w:b/>
      <w:bCs/>
    </w:rPr>
  </w:style>
  <w:style w:type="paragraph" w:styleId="Heading9">
    <w:name w:val="heading 9"/>
    <w:basedOn w:val="Normal"/>
    <w:next w:val="Normal"/>
    <w:link w:val="Heading9Char"/>
    <w:uiPriority w:val="9"/>
    <w:unhideWhenUsed/>
    <w:qFormat/>
    <w:rsid w:val="00F974C5"/>
    <w:pPr>
      <w:keepNext/>
      <w:keepLines/>
      <w:spacing w:before="160"/>
      <w:ind w:left="1134" w:hanging="1134"/>
      <w:outlineLvl w:val="8"/>
    </w:pPr>
    <w:rPr>
      <w:rFonts w:eastAsiaTheme="majorEastAsia"/>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rsid w:val="007C3BC7"/>
    <w:pPr>
      <w:spacing w:after="0" w:line="240" w:lineRule="auto"/>
    </w:pPr>
    <w:rPr>
      <w:color w:val="FF0000"/>
    </w:rPr>
  </w:style>
  <w:style w:type="character" w:customStyle="1" w:styleId="Heading1Char">
    <w:name w:val="Heading 1 Char"/>
    <w:basedOn w:val="DefaultParagraphFont"/>
    <w:link w:val="Heading1"/>
    <w:uiPriority w:val="9"/>
    <w:rsid w:val="00F974C5"/>
    <w:rPr>
      <w:rFonts w:ascii="Dubai" w:eastAsiaTheme="majorEastAsia" w:hAnsi="Dubai" w:cs="Dubai"/>
      <w:b/>
      <w:bCs/>
      <w:sz w:val="26"/>
      <w:szCs w:val="26"/>
    </w:rPr>
  </w:style>
  <w:style w:type="character" w:customStyle="1" w:styleId="Heading2Char">
    <w:name w:val="Heading 2 Char"/>
    <w:basedOn w:val="DefaultParagraphFont"/>
    <w:link w:val="Heading2"/>
    <w:uiPriority w:val="9"/>
    <w:rsid w:val="00F974C5"/>
    <w:rPr>
      <w:rFonts w:ascii="Dubai" w:eastAsiaTheme="majorEastAsia" w:hAnsi="Dubai" w:cs="Dubai"/>
      <w:b/>
      <w:bCs/>
      <w:sz w:val="24"/>
      <w:szCs w:val="24"/>
    </w:rPr>
  </w:style>
  <w:style w:type="character" w:customStyle="1" w:styleId="Heading3Char">
    <w:name w:val="Heading 3 Char"/>
    <w:basedOn w:val="DefaultParagraphFont"/>
    <w:link w:val="Heading3"/>
    <w:uiPriority w:val="9"/>
    <w:rsid w:val="00F974C5"/>
    <w:rPr>
      <w:rFonts w:ascii="Dubai" w:eastAsiaTheme="majorEastAsia" w:hAnsi="Dubai" w:cs="Dubai"/>
      <w:b/>
      <w:bCs/>
    </w:rPr>
  </w:style>
  <w:style w:type="character" w:customStyle="1" w:styleId="Heading4Char">
    <w:name w:val="Heading 4 Char"/>
    <w:basedOn w:val="DefaultParagraphFont"/>
    <w:link w:val="Heading4"/>
    <w:uiPriority w:val="9"/>
    <w:rsid w:val="00F974C5"/>
    <w:rPr>
      <w:rFonts w:ascii="Dubai" w:eastAsiaTheme="majorEastAsia" w:hAnsi="Dubai" w:cs="Dubai"/>
      <w:b/>
      <w:bCs/>
    </w:rPr>
  </w:style>
  <w:style w:type="character" w:customStyle="1" w:styleId="Heading5Char">
    <w:name w:val="Heading 5 Char"/>
    <w:basedOn w:val="DefaultParagraphFont"/>
    <w:link w:val="Heading5"/>
    <w:uiPriority w:val="9"/>
    <w:rsid w:val="00F974C5"/>
    <w:rPr>
      <w:rFonts w:ascii="Dubai" w:eastAsiaTheme="majorEastAsia" w:hAnsi="Dubai" w:cs="Dubai"/>
      <w:b/>
      <w:bCs/>
    </w:rPr>
  </w:style>
  <w:style w:type="character" w:customStyle="1" w:styleId="Heading6Char">
    <w:name w:val="Heading 6 Char"/>
    <w:basedOn w:val="DefaultParagraphFont"/>
    <w:link w:val="Heading6"/>
    <w:uiPriority w:val="9"/>
    <w:rsid w:val="00F974C5"/>
    <w:rPr>
      <w:rFonts w:ascii="Dubai" w:eastAsiaTheme="majorEastAsia" w:hAnsi="Dubai" w:cs="Dubai"/>
      <w:b/>
      <w:bCs/>
    </w:rPr>
  </w:style>
  <w:style w:type="character" w:customStyle="1" w:styleId="Heading7Char">
    <w:name w:val="Heading 7 Char"/>
    <w:basedOn w:val="DefaultParagraphFont"/>
    <w:link w:val="Heading7"/>
    <w:uiPriority w:val="9"/>
    <w:rsid w:val="00F974C5"/>
    <w:rPr>
      <w:rFonts w:ascii="Dubai" w:eastAsiaTheme="majorEastAsia" w:hAnsi="Dubai" w:cs="Dubai"/>
      <w:b/>
      <w:bCs/>
    </w:rPr>
  </w:style>
  <w:style w:type="character" w:customStyle="1" w:styleId="Heading8Char">
    <w:name w:val="Heading 8 Char"/>
    <w:basedOn w:val="DefaultParagraphFont"/>
    <w:link w:val="Heading8"/>
    <w:uiPriority w:val="9"/>
    <w:rsid w:val="00F974C5"/>
    <w:rPr>
      <w:rFonts w:ascii="Dubai" w:eastAsiaTheme="majorEastAsia" w:hAnsi="Dubai" w:cs="Dubai"/>
      <w:b/>
      <w:bCs/>
    </w:rPr>
  </w:style>
  <w:style w:type="character" w:customStyle="1" w:styleId="Heading9Char">
    <w:name w:val="Heading 9 Char"/>
    <w:basedOn w:val="DefaultParagraphFont"/>
    <w:link w:val="Heading9"/>
    <w:uiPriority w:val="9"/>
    <w:rsid w:val="00F974C5"/>
    <w:rPr>
      <w:rFonts w:ascii="Dubai" w:eastAsiaTheme="majorEastAsia" w:hAnsi="Dubai" w:cs="Dubai"/>
      <w:b/>
      <w:bCs/>
    </w:rPr>
  </w:style>
  <w:style w:type="paragraph" w:customStyle="1" w:styleId="Headingi">
    <w:name w:val="Heading_i"/>
    <w:basedOn w:val="Normal"/>
    <w:qFormat/>
    <w:rsid w:val="00F974C5"/>
    <w:pPr>
      <w:keepNext/>
      <w:keepLines/>
      <w:spacing w:before="160"/>
    </w:pPr>
    <w:rPr>
      <w:i/>
      <w:iCs/>
    </w:rPr>
  </w:style>
  <w:style w:type="paragraph" w:customStyle="1" w:styleId="AgendaItem">
    <w:name w:val="Agenda Item"/>
    <w:basedOn w:val="Normal"/>
    <w:qFormat/>
    <w:rsid w:val="00F974C5"/>
    <w:pPr>
      <w:spacing w:before="360" w:after="120"/>
      <w:jc w:val="center"/>
    </w:pPr>
    <w:rPr>
      <w:sz w:val="26"/>
      <w:szCs w:val="26"/>
      <w:lang w:bidi="ar-SY"/>
    </w:rPr>
  </w:style>
  <w:style w:type="paragraph" w:customStyle="1" w:styleId="AnnexNo">
    <w:name w:val="Annex_No"/>
    <w:basedOn w:val="AgendaItem"/>
    <w:qFormat/>
    <w:rsid w:val="00F974C5"/>
  </w:style>
  <w:style w:type="paragraph" w:customStyle="1" w:styleId="Annextitle">
    <w:name w:val="Annex_title"/>
    <w:basedOn w:val="AnnexNo"/>
    <w:qFormat/>
    <w:rsid w:val="00F974C5"/>
    <w:pPr>
      <w:keepNext/>
      <w:keepLines/>
      <w:spacing w:before="120" w:after="360"/>
    </w:pPr>
    <w:rPr>
      <w:b/>
      <w:bCs/>
      <w:sz w:val="28"/>
      <w:szCs w:val="28"/>
    </w:rPr>
  </w:style>
  <w:style w:type="character" w:styleId="PlaceholderText">
    <w:name w:val="Placeholder Text"/>
    <w:basedOn w:val="DefaultParagraphFont"/>
    <w:uiPriority w:val="99"/>
    <w:semiHidden/>
    <w:rsid w:val="00DC24B4"/>
    <w:rPr>
      <w:color w:val="808080"/>
    </w:rPr>
  </w:style>
  <w:style w:type="paragraph" w:styleId="Footer">
    <w:name w:val="footer"/>
    <w:basedOn w:val="Normal"/>
    <w:link w:val="FooterChar"/>
    <w:rsid w:val="00F974C5"/>
    <w:pPr>
      <w:tabs>
        <w:tab w:val="center" w:pos="4153"/>
        <w:tab w:val="right" w:pos="8306"/>
      </w:tabs>
      <w:bidi w:val="0"/>
      <w:spacing w:before="0" w:line="240" w:lineRule="auto"/>
      <w:jc w:val="left"/>
    </w:pPr>
    <w:rPr>
      <w:rFonts w:eastAsia="Times New Roman"/>
      <w:sz w:val="20"/>
      <w:szCs w:val="20"/>
      <w:lang w:eastAsia="en-US"/>
    </w:rPr>
  </w:style>
  <w:style w:type="character" w:customStyle="1" w:styleId="FooterChar">
    <w:name w:val="Footer Char"/>
    <w:basedOn w:val="DefaultParagraphFont"/>
    <w:link w:val="Footer"/>
    <w:rsid w:val="00F974C5"/>
    <w:rPr>
      <w:rFonts w:ascii="Dubai" w:eastAsia="Times New Roman" w:hAnsi="Dubai" w:cs="Dubai"/>
      <w:sz w:val="20"/>
      <w:szCs w:val="20"/>
      <w:lang w:eastAsia="en-US"/>
    </w:rPr>
  </w:style>
  <w:style w:type="paragraph" w:customStyle="1" w:styleId="Referencetitle">
    <w:name w:val="Reference title"/>
    <w:basedOn w:val="Normal"/>
    <w:qFormat/>
    <w:rsid w:val="00F974C5"/>
    <w:pPr>
      <w:keepNext/>
      <w:spacing w:after="360"/>
      <w:jc w:val="center"/>
    </w:pPr>
    <w:rPr>
      <w:lang w:bidi="ar-SY"/>
    </w:rPr>
  </w:style>
  <w:style w:type="paragraph" w:customStyle="1" w:styleId="AppendixNo">
    <w:name w:val="Appendix_No"/>
    <w:basedOn w:val="Normal"/>
    <w:qFormat/>
    <w:rsid w:val="00F974C5"/>
    <w:pPr>
      <w:keepNext/>
      <w:keepLines/>
      <w:spacing w:before="360" w:after="120"/>
      <w:jc w:val="center"/>
    </w:pPr>
    <w:rPr>
      <w:sz w:val="26"/>
      <w:szCs w:val="26"/>
      <w:lang w:bidi="ar-SY"/>
    </w:rPr>
  </w:style>
  <w:style w:type="paragraph" w:customStyle="1" w:styleId="Appendixtitle">
    <w:name w:val="Appendix_title"/>
    <w:basedOn w:val="Normal"/>
    <w:qFormat/>
    <w:rsid w:val="00F974C5"/>
    <w:pPr>
      <w:keepNext/>
      <w:keepLines/>
      <w:spacing w:after="360"/>
      <w:jc w:val="center"/>
    </w:pPr>
    <w:rPr>
      <w:b/>
      <w:bCs/>
      <w:sz w:val="28"/>
      <w:szCs w:val="28"/>
    </w:rPr>
  </w:style>
  <w:style w:type="paragraph" w:customStyle="1" w:styleId="ArticleNo">
    <w:name w:val="Article_No"/>
    <w:basedOn w:val="Normal"/>
    <w:qFormat/>
    <w:rsid w:val="00F974C5"/>
    <w:pPr>
      <w:keepNext/>
      <w:keepLines/>
      <w:spacing w:after="360"/>
      <w:jc w:val="center"/>
    </w:pPr>
    <w:rPr>
      <w:sz w:val="26"/>
      <w:szCs w:val="26"/>
      <w:lang w:bidi="ar-SY"/>
    </w:rPr>
  </w:style>
  <w:style w:type="paragraph" w:customStyle="1" w:styleId="Articletitle">
    <w:name w:val="Article_title"/>
    <w:basedOn w:val="ArticleNo"/>
    <w:qFormat/>
    <w:rsid w:val="00F974C5"/>
    <w:rPr>
      <w:b/>
      <w:bCs/>
      <w:sz w:val="28"/>
      <w:szCs w:val="28"/>
    </w:rPr>
  </w:style>
  <w:style w:type="paragraph" w:customStyle="1" w:styleId="Call">
    <w:name w:val="Call"/>
    <w:basedOn w:val="Normal"/>
    <w:qFormat/>
    <w:rsid w:val="00F974C5"/>
    <w:pPr>
      <w:keepNext/>
      <w:spacing w:before="160"/>
      <w:ind w:left="1588" w:hanging="794"/>
    </w:pPr>
    <w:rPr>
      <w:i/>
      <w:iCs/>
    </w:rPr>
  </w:style>
  <w:style w:type="paragraph" w:customStyle="1" w:styleId="ChapterNo">
    <w:name w:val="Chapter_No"/>
    <w:basedOn w:val="Normal"/>
    <w:qFormat/>
    <w:rsid w:val="00F974C5"/>
    <w:pPr>
      <w:keepNext/>
      <w:keepLines/>
      <w:spacing w:before="600" w:after="120"/>
      <w:jc w:val="center"/>
    </w:pPr>
    <w:rPr>
      <w:sz w:val="28"/>
      <w:szCs w:val="28"/>
      <w:lang w:bidi="ar-SY"/>
    </w:rPr>
  </w:style>
  <w:style w:type="paragraph" w:customStyle="1" w:styleId="Chaptertitle">
    <w:name w:val="Chapter_title"/>
    <w:basedOn w:val="ChapterNo"/>
    <w:qFormat/>
    <w:rsid w:val="00F974C5"/>
    <w:pPr>
      <w:spacing w:before="120" w:after="600"/>
    </w:pPr>
    <w:rPr>
      <w:b/>
      <w:bCs/>
      <w:sz w:val="32"/>
      <w:szCs w:val="32"/>
    </w:rPr>
  </w:style>
  <w:style w:type="paragraph" w:styleId="Date">
    <w:name w:val="Date"/>
    <w:basedOn w:val="Normal"/>
    <w:next w:val="Normal"/>
    <w:link w:val="DateChar"/>
    <w:uiPriority w:val="99"/>
    <w:unhideWhenUsed/>
    <w:rsid w:val="00F974C5"/>
    <w:pPr>
      <w:keepNext/>
      <w:spacing w:after="120"/>
      <w:jc w:val="right"/>
    </w:pPr>
  </w:style>
  <w:style w:type="character" w:customStyle="1" w:styleId="DateChar">
    <w:name w:val="Date Char"/>
    <w:basedOn w:val="DefaultParagraphFont"/>
    <w:link w:val="Date"/>
    <w:uiPriority w:val="99"/>
    <w:rsid w:val="00F974C5"/>
    <w:rPr>
      <w:rFonts w:ascii="Dubai" w:hAnsi="Dubai" w:cs="Dubai"/>
    </w:rPr>
  </w:style>
  <w:style w:type="paragraph" w:customStyle="1" w:styleId="DecNo">
    <w:name w:val="Dec_No"/>
    <w:basedOn w:val="Normal"/>
    <w:qFormat/>
    <w:rsid w:val="00F974C5"/>
    <w:pPr>
      <w:keepNext/>
      <w:keepLines/>
      <w:spacing w:before="360"/>
      <w:jc w:val="center"/>
    </w:pPr>
    <w:rPr>
      <w:sz w:val="26"/>
      <w:szCs w:val="26"/>
    </w:rPr>
  </w:style>
  <w:style w:type="paragraph" w:customStyle="1" w:styleId="Dectitle">
    <w:name w:val="Dec_title"/>
    <w:basedOn w:val="DecNo"/>
    <w:qFormat/>
    <w:rsid w:val="00F974C5"/>
    <w:pPr>
      <w:spacing w:before="120" w:after="360"/>
    </w:pPr>
    <w:rPr>
      <w:b/>
      <w:bCs/>
      <w:sz w:val="28"/>
      <w:szCs w:val="28"/>
    </w:rPr>
  </w:style>
  <w:style w:type="paragraph" w:customStyle="1" w:styleId="enumlev1">
    <w:name w:val="enumlev1"/>
    <w:basedOn w:val="Normal"/>
    <w:qFormat/>
    <w:rsid w:val="00F974C5"/>
    <w:pPr>
      <w:spacing w:before="80"/>
      <w:ind w:left="794" w:hanging="794"/>
      <w:outlineLvl w:val="0"/>
    </w:pPr>
    <w:rPr>
      <w:lang w:bidi="ar-SY"/>
    </w:rPr>
  </w:style>
  <w:style w:type="paragraph" w:customStyle="1" w:styleId="enumlev2">
    <w:name w:val="enumlev2"/>
    <w:basedOn w:val="Normal"/>
    <w:next w:val="enumlev1"/>
    <w:qFormat/>
    <w:rsid w:val="00F974C5"/>
    <w:pPr>
      <w:spacing w:before="80"/>
      <w:ind w:left="1588" w:hanging="794"/>
      <w:outlineLvl w:val="1"/>
    </w:pPr>
  </w:style>
  <w:style w:type="paragraph" w:customStyle="1" w:styleId="enumlev3">
    <w:name w:val="enumlev3"/>
    <w:basedOn w:val="Normal"/>
    <w:qFormat/>
    <w:rsid w:val="008A7F84"/>
    <w:pPr>
      <w:spacing w:before="80"/>
      <w:ind w:left="2382" w:hanging="794"/>
      <w:outlineLvl w:val="2"/>
    </w:pPr>
    <w:rPr>
      <w:lang w:bidi="ar-SY"/>
    </w:rPr>
  </w:style>
  <w:style w:type="paragraph" w:customStyle="1" w:styleId="Figurelegend">
    <w:name w:val="Figure_legend"/>
    <w:basedOn w:val="Normal"/>
    <w:qFormat/>
    <w:rsid w:val="00F974C5"/>
    <w:pPr>
      <w:spacing w:before="60"/>
    </w:pPr>
    <w:rPr>
      <w:lang w:bidi="ar-SY"/>
    </w:rPr>
  </w:style>
  <w:style w:type="paragraph" w:styleId="FootnoteText">
    <w:name w:val="footnote text"/>
    <w:basedOn w:val="Normal"/>
    <w:link w:val="FootnoteTextChar"/>
    <w:uiPriority w:val="99"/>
    <w:semiHidden/>
    <w:unhideWhenUsed/>
    <w:qFormat/>
    <w:rsid w:val="002E6541"/>
    <w:pPr>
      <w:spacing w:before="60" w:line="168" w:lineRule="auto"/>
    </w:pPr>
    <w:rPr>
      <w:sz w:val="20"/>
      <w:szCs w:val="26"/>
    </w:rPr>
  </w:style>
  <w:style w:type="character" w:styleId="FootnoteReference">
    <w:name w:val="footnote reference"/>
    <w:aliases w:val="Footnote_Reference"/>
    <w:basedOn w:val="DefaultParagraphFont"/>
    <w:uiPriority w:val="99"/>
    <w:unhideWhenUsed/>
    <w:qFormat/>
    <w:rsid w:val="00F974C5"/>
    <w:rPr>
      <w:rFonts w:ascii="Dubai" w:hAnsi="Dubai" w:cs="Dubai"/>
      <w:b w:val="0"/>
      <w:bCs w:val="0"/>
      <w:i w:val="0"/>
      <w:iCs w:val="0"/>
      <w:caps w:val="0"/>
      <w:smallCaps w:val="0"/>
      <w:strike w:val="0"/>
      <w:dstrike w:val="0"/>
      <w:vanish w:val="0"/>
      <w:spacing w:val="0"/>
      <w:w w:val="100"/>
      <w:position w:val="6"/>
      <w:sz w:val="18"/>
      <w:szCs w:val="18"/>
      <w:vertAlign w:val="baseline"/>
    </w:rPr>
  </w:style>
  <w:style w:type="character" w:customStyle="1" w:styleId="FootnoteTextChar">
    <w:name w:val="Footnote Text Char"/>
    <w:basedOn w:val="DefaultParagraphFont"/>
    <w:link w:val="FootnoteText"/>
    <w:uiPriority w:val="99"/>
    <w:semiHidden/>
    <w:rsid w:val="002E6541"/>
    <w:rPr>
      <w:rFonts w:ascii="Calibri" w:hAnsi="Calibri" w:cs="Traditional Arabic"/>
      <w:sz w:val="20"/>
      <w:szCs w:val="26"/>
    </w:rPr>
  </w:style>
  <w:style w:type="paragraph" w:customStyle="1" w:styleId="Normalaftertitle">
    <w:name w:val="Normal after title"/>
    <w:basedOn w:val="Normal"/>
    <w:qFormat/>
    <w:rsid w:val="00F974C5"/>
    <w:pPr>
      <w:keepNext/>
      <w:spacing w:before="360"/>
    </w:pPr>
    <w:rPr>
      <w:lang w:bidi="ar-SY"/>
    </w:rPr>
  </w:style>
  <w:style w:type="paragraph" w:customStyle="1" w:styleId="Note">
    <w:name w:val="Note"/>
    <w:basedOn w:val="Normal"/>
    <w:qFormat/>
    <w:rsid w:val="00F974C5"/>
    <w:pPr>
      <w:spacing w:before="80"/>
    </w:pPr>
    <w:rPr>
      <w:sz w:val="20"/>
      <w:szCs w:val="20"/>
    </w:rPr>
  </w:style>
  <w:style w:type="paragraph" w:customStyle="1" w:styleId="Proposal">
    <w:name w:val="Proposal"/>
    <w:basedOn w:val="Note"/>
    <w:qFormat/>
    <w:rsid w:val="00F974C5"/>
    <w:pPr>
      <w:keepNext/>
      <w:spacing w:before="240"/>
    </w:pPr>
    <w:rPr>
      <w:b/>
      <w:bCs/>
      <w:sz w:val="22"/>
      <w:szCs w:val="22"/>
    </w:rPr>
  </w:style>
  <w:style w:type="paragraph" w:customStyle="1" w:styleId="Reasons">
    <w:name w:val="Reasons"/>
    <w:basedOn w:val="Normal"/>
    <w:qFormat/>
    <w:rsid w:val="00F974C5"/>
    <w:rPr>
      <w:b/>
      <w:bCs/>
    </w:rPr>
  </w:style>
  <w:style w:type="paragraph" w:customStyle="1" w:styleId="RecNo">
    <w:name w:val="Rec_No"/>
    <w:basedOn w:val="Normal"/>
    <w:qFormat/>
    <w:rsid w:val="00F974C5"/>
    <w:pPr>
      <w:keepNext/>
      <w:keepLines/>
      <w:spacing w:before="360" w:after="120"/>
      <w:jc w:val="center"/>
    </w:pPr>
    <w:rPr>
      <w:sz w:val="26"/>
      <w:szCs w:val="26"/>
    </w:rPr>
  </w:style>
  <w:style w:type="paragraph" w:customStyle="1" w:styleId="Rectitle">
    <w:name w:val="Rec_title"/>
    <w:basedOn w:val="Normal"/>
    <w:qFormat/>
    <w:rsid w:val="00F974C5"/>
    <w:pPr>
      <w:keepNext/>
      <w:keepLines/>
      <w:spacing w:after="360"/>
      <w:jc w:val="center"/>
    </w:pPr>
    <w:rPr>
      <w:b/>
      <w:bCs/>
      <w:sz w:val="28"/>
      <w:szCs w:val="28"/>
    </w:rPr>
  </w:style>
  <w:style w:type="paragraph" w:customStyle="1" w:styleId="Referencetexte">
    <w:name w:val="Reference texte"/>
    <w:basedOn w:val="Normal"/>
    <w:qFormat/>
    <w:rsid w:val="00F974C5"/>
  </w:style>
  <w:style w:type="paragraph" w:customStyle="1" w:styleId="PartNo">
    <w:name w:val="Part_No"/>
    <w:basedOn w:val="Normal"/>
    <w:qFormat/>
    <w:rsid w:val="00F974C5"/>
    <w:pPr>
      <w:keepNext/>
      <w:keepLines/>
      <w:spacing w:before="360" w:after="120"/>
      <w:jc w:val="center"/>
    </w:pPr>
    <w:rPr>
      <w:sz w:val="26"/>
      <w:szCs w:val="26"/>
    </w:rPr>
  </w:style>
  <w:style w:type="paragraph" w:customStyle="1" w:styleId="Parttitle">
    <w:name w:val="Part_title"/>
    <w:basedOn w:val="PartNo"/>
    <w:qFormat/>
    <w:rsid w:val="00F974C5"/>
    <w:pPr>
      <w:spacing w:before="120" w:after="360"/>
    </w:pPr>
    <w:rPr>
      <w:b/>
      <w:bCs/>
      <w:sz w:val="28"/>
      <w:szCs w:val="28"/>
    </w:rPr>
  </w:style>
  <w:style w:type="paragraph" w:customStyle="1" w:styleId="Reftitle">
    <w:name w:val="Ref_title"/>
    <w:basedOn w:val="Normal"/>
    <w:qFormat/>
    <w:rsid w:val="00F974C5"/>
    <w:pPr>
      <w:keepNext/>
      <w:keepLines/>
      <w:spacing w:before="480" w:after="240"/>
      <w:jc w:val="center"/>
    </w:pPr>
    <w:rPr>
      <w:b/>
      <w:bCs/>
      <w:sz w:val="28"/>
      <w:szCs w:val="28"/>
    </w:rPr>
  </w:style>
  <w:style w:type="paragraph" w:customStyle="1" w:styleId="Section1">
    <w:name w:val="Section_1"/>
    <w:basedOn w:val="Normal"/>
    <w:qFormat/>
    <w:rsid w:val="00F974C5"/>
    <w:pPr>
      <w:keepNext/>
      <w:spacing w:before="360" w:after="240"/>
      <w:jc w:val="center"/>
    </w:pPr>
    <w:rPr>
      <w:b/>
      <w:bCs/>
      <w:sz w:val="26"/>
      <w:szCs w:val="26"/>
      <w:lang w:bidi="ar-SY"/>
    </w:rPr>
  </w:style>
  <w:style w:type="paragraph" w:customStyle="1" w:styleId="Section2">
    <w:name w:val="Section_2"/>
    <w:basedOn w:val="Section1"/>
    <w:qFormat/>
    <w:rsid w:val="00F974C5"/>
    <w:pPr>
      <w:spacing w:before="240"/>
    </w:pPr>
    <w:rPr>
      <w:b w:val="0"/>
      <w:bCs w:val="0"/>
    </w:rPr>
  </w:style>
  <w:style w:type="paragraph" w:customStyle="1" w:styleId="SectionNo">
    <w:name w:val="Section_No"/>
    <w:basedOn w:val="Normal"/>
    <w:qFormat/>
    <w:rsid w:val="00F974C5"/>
    <w:pPr>
      <w:keepNext/>
      <w:keepLines/>
      <w:spacing w:before="360" w:after="120"/>
      <w:jc w:val="center"/>
    </w:pPr>
    <w:rPr>
      <w:sz w:val="26"/>
      <w:szCs w:val="26"/>
    </w:rPr>
  </w:style>
  <w:style w:type="paragraph" w:customStyle="1" w:styleId="Sectiontitle">
    <w:name w:val="Section title"/>
    <w:basedOn w:val="Normal"/>
    <w:qFormat/>
    <w:rsid w:val="00F974C5"/>
    <w:pPr>
      <w:keepNext/>
      <w:keepLines/>
      <w:spacing w:after="360"/>
      <w:jc w:val="center"/>
    </w:pPr>
    <w:rPr>
      <w:b/>
      <w:bCs/>
      <w:sz w:val="28"/>
      <w:szCs w:val="28"/>
      <w:lang w:bidi="ar-SY"/>
    </w:rPr>
  </w:style>
  <w:style w:type="paragraph" w:customStyle="1" w:styleId="Source">
    <w:name w:val="Source"/>
    <w:basedOn w:val="Normal"/>
    <w:qFormat/>
    <w:rsid w:val="007C3BCD"/>
    <w:pPr>
      <w:keepNext/>
      <w:keepLines/>
      <w:spacing w:before="840" w:after="120"/>
      <w:jc w:val="center"/>
    </w:pPr>
    <w:rPr>
      <w:b/>
      <w:bCs/>
      <w:sz w:val="32"/>
      <w:szCs w:val="32"/>
    </w:rPr>
  </w:style>
  <w:style w:type="paragraph" w:customStyle="1" w:styleId="FigureNo">
    <w:name w:val="Figure_No"/>
    <w:basedOn w:val="Normal"/>
    <w:qFormat/>
    <w:rsid w:val="00F974C5"/>
    <w:pPr>
      <w:keepNext/>
      <w:spacing w:before="240" w:after="120"/>
      <w:jc w:val="center"/>
    </w:pPr>
    <w:rPr>
      <w:lang w:bidi="ar-SY"/>
    </w:rPr>
  </w:style>
  <w:style w:type="paragraph" w:customStyle="1" w:styleId="Figuretitle">
    <w:name w:val="Figure_title"/>
    <w:basedOn w:val="Normal"/>
    <w:qFormat/>
    <w:rsid w:val="00F974C5"/>
    <w:pPr>
      <w:keepNext/>
      <w:spacing w:after="240"/>
      <w:jc w:val="center"/>
    </w:pPr>
    <w:rPr>
      <w:b/>
      <w:bCs/>
    </w:rPr>
  </w:style>
  <w:style w:type="paragraph" w:customStyle="1" w:styleId="TableNo">
    <w:name w:val="Table_No"/>
    <w:basedOn w:val="Normal"/>
    <w:qFormat/>
    <w:rsid w:val="00F974C5"/>
    <w:pPr>
      <w:keepNext/>
      <w:spacing w:before="240" w:after="120"/>
      <w:jc w:val="center"/>
    </w:pPr>
    <w:rPr>
      <w:lang w:bidi="ar-SY"/>
    </w:rPr>
  </w:style>
  <w:style w:type="paragraph" w:customStyle="1" w:styleId="Tabletitle">
    <w:name w:val="Table_title"/>
    <w:basedOn w:val="TableNo"/>
    <w:qFormat/>
    <w:rsid w:val="00F974C5"/>
    <w:pPr>
      <w:spacing w:before="120" w:after="240"/>
    </w:pPr>
    <w:rPr>
      <w:b/>
      <w:bCs/>
    </w:rPr>
  </w:style>
  <w:style w:type="paragraph" w:customStyle="1" w:styleId="Tablehead">
    <w:name w:val="Table_head"/>
    <w:basedOn w:val="Normal"/>
    <w:qFormat/>
    <w:rsid w:val="00F974C5"/>
    <w:pPr>
      <w:keepNext/>
      <w:spacing w:before="60" w:after="60" w:line="260" w:lineRule="exact"/>
      <w:jc w:val="center"/>
    </w:pPr>
    <w:rPr>
      <w:b/>
      <w:bCs/>
      <w:sz w:val="20"/>
      <w:szCs w:val="20"/>
    </w:rPr>
  </w:style>
  <w:style w:type="paragraph" w:customStyle="1" w:styleId="Tabletexte">
    <w:name w:val="Table_texte"/>
    <w:basedOn w:val="Normal"/>
    <w:qFormat/>
    <w:rsid w:val="00F974C5"/>
    <w:pPr>
      <w:spacing w:before="60" w:after="60" w:line="260" w:lineRule="exact"/>
    </w:pPr>
    <w:rPr>
      <w:sz w:val="20"/>
      <w:szCs w:val="20"/>
      <w:lang w:bidi="ar-SY"/>
    </w:rPr>
  </w:style>
  <w:style w:type="paragraph" w:customStyle="1" w:styleId="Title1">
    <w:name w:val="Title 1"/>
    <w:basedOn w:val="Normal"/>
    <w:qFormat/>
    <w:rsid w:val="007C3BCD"/>
    <w:pPr>
      <w:keepNext/>
      <w:spacing w:before="360" w:after="120"/>
      <w:jc w:val="center"/>
    </w:pPr>
    <w:rPr>
      <w:w w:val="120"/>
      <w:sz w:val="28"/>
      <w:szCs w:val="28"/>
    </w:rPr>
  </w:style>
  <w:style w:type="paragraph" w:customStyle="1" w:styleId="Title2">
    <w:name w:val="Title 2"/>
    <w:basedOn w:val="Normal"/>
    <w:qFormat/>
    <w:rsid w:val="00F974C5"/>
    <w:pPr>
      <w:keepNext/>
      <w:spacing w:before="240"/>
      <w:jc w:val="center"/>
    </w:pPr>
    <w:rPr>
      <w:w w:val="120"/>
      <w:sz w:val="26"/>
      <w:szCs w:val="26"/>
    </w:rPr>
  </w:style>
  <w:style w:type="paragraph" w:customStyle="1" w:styleId="Title3">
    <w:name w:val="Title 3"/>
    <w:basedOn w:val="Normal"/>
    <w:qFormat/>
    <w:rsid w:val="00F974C5"/>
    <w:pPr>
      <w:keepNext/>
      <w:spacing w:before="240"/>
      <w:jc w:val="center"/>
    </w:pPr>
    <w:rPr>
      <w:sz w:val="26"/>
      <w:szCs w:val="26"/>
    </w:rPr>
  </w:style>
  <w:style w:type="paragraph" w:styleId="TOC1">
    <w:name w:val="toc 1"/>
    <w:basedOn w:val="Normal"/>
    <w:next w:val="Normal"/>
    <w:autoRedefine/>
    <w:uiPriority w:val="39"/>
    <w:unhideWhenUsed/>
    <w:rsid w:val="00F974C5"/>
    <w:pPr>
      <w:ind w:left="720" w:hanging="720"/>
    </w:pPr>
  </w:style>
  <w:style w:type="paragraph" w:styleId="TOC2">
    <w:name w:val="toc 2"/>
    <w:basedOn w:val="Normal"/>
    <w:next w:val="Normal"/>
    <w:autoRedefine/>
    <w:uiPriority w:val="39"/>
    <w:unhideWhenUsed/>
    <w:rsid w:val="002978F4"/>
    <w:pPr>
      <w:ind w:left="1514" w:hanging="720"/>
    </w:pPr>
  </w:style>
  <w:style w:type="paragraph" w:styleId="TOC3">
    <w:name w:val="toc 3"/>
    <w:basedOn w:val="Normal"/>
    <w:next w:val="Normal"/>
    <w:autoRedefine/>
    <w:uiPriority w:val="39"/>
    <w:unhideWhenUsed/>
    <w:rsid w:val="002978F4"/>
    <w:pPr>
      <w:ind w:left="2308" w:hanging="720"/>
    </w:pPr>
  </w:style>
  <w:style w:type="paragraph" w:styleId="TOC4">
    <w:name w:val="toc 4"/>
    <w:basedOn w:val="Normal"/>
    <w:next w:val="Normal"/>
    <w:autoRedefine/>
    <w:uiPriority w:val="39"/>
    <w:unhideWhenUsed/>
    <w:rsid w:val="0023283D"/>
    <w:pPr>
      <w:ind w:left="3045" w:hanging="720"/>
    </w:pPr>
  </w:style>
  <w:style w:type="paragraph" w:styleId="TOC5">
    <w:name w:val="toc 5"/>
    <w:basedOn w:val="Normal"/>
    <w:next w:val="Normal"/>
    <w:autoRedefine/>
    <w:uiPriority w:val="39"/>
    <w:unhideWhenUsed/>
    <w:rsid w:val="0023283D"/>
    <w:pPr>
      <w:ind w:left="3782" w:hanging="720"/>
    </w:pPr>
  </w:style>
  <w:style w:type="paragraph" w:styleId="TOC6">
    <w:name w:val="toc 6"/>
    <w:basedOn w:val="Normal"/>
    <w:next w:val="Normal"/>
    <w:autoRedefine/>
    <w:uiPriority w:val="39"/>
    <w:unhideWhenUsed/>
    <w:rsid w:val="0023283D"/>
    <w:pPr>
      <w:ind w:left="4519" w:hanging="720"/>
    </w:pPr>
  </w:style>
  <w:style w:type="paragraph" w:styleId="TOC7">
    <w:name w:val="toc 7"/>
    <w:basedOn w:val="Normal"/>
    <w:next w:val="Normal"/>
    <w:autoRedefine/>
    <w:uiPriority w:val="39"/>
    <w:unhideWhenUsed/>
    <w:rsid w:val="0023283D"/>
    <w:pPr>
      <w:ind w:left="5256" w:hanging="720"/>
    </w:pPr>
  </w:style>
  <w:style w:type="paragraph" w:styleId="TOC8">
    <w:name w:val="toc 8"/>
    <w:basedOn w:val="Normal"/>
    <w:next w:val="Normal"/>
    <w:autoRedefine/>
    <w:uiPriority w:val="39"/>
    <w:unhideWhenUsed/>
    <w:rsid w:val="0023283D"/>
    <w:pPr>
      <w:ind w:left="6050" w:hanging="720"/>
    </w:pPr>
    <w:rPr>
      <w:lang w:bidi="ar-SY"/>
    </w:rPr>
  </w:style>
  <w:style w:type="paragraph" w:styleId="TOC9">
    <w:name w:val="toc 9"/>
    <w:basedOn w:val="Normal"/>
    <w:next w:val="Normal"/>
    <w:autoRedefine/>
    <w:uiPriority w:val="39"/>
    <w:unhideWhenUsed/>
    <w:rsid w:val="0023283D"/>
    <w:pPr>
      <w:ind w:left="6787" w:hanging="720"/>
    </w:pPr>
  </w:style>
  <w:style w:type="paragraph" w:customStyle="1" w:styleId="VolumeNo">
    <w:name w:val="Volume_No"/>
    <w:basedOn w:val="Normal"/>
    <w:qFormat/>
    <w:rsid w:val="00F974C5"/>
    <w:pPr>
      <w:keepNext/>
      <w:spacing w:before="360" w:after="120"/>
      <w:jc w:val="center"/>
    </w:pPr>
    <w:rPr>
      <w:sz w:val="26"/>
      <w:szCs w:val="26"/>
      <w:lang w:bidi="ar-SY"/>
    </w:rPr>
  </w:style>
  <w:style w:type="paragraph" w:customStyle="1" w:styleId="Volumetitle">
    <w:name w:val="Volume_title"/>
    <w:basedOn w:val="VolumeNo"/>
    <w:qFormat/>
    <w:rsid w:val="00F974C5"/>
    <w:pPr>
      <w:spacing w:before="120" w:after="360"/>
    </w:pPr>
    <w:rPr>
      <w:b/>
      <w:bCs/>
      <w:sz w:val="28"/>
      <w:szCs w:val="28"/>
    </w:rPr>
  </w:style>
  <w:style w:type="paragraph" w:customStyle="1" w:styleId="ResNo">
    <w:name w:val="Res_No"/>
    <w:basedOn w:val="Normal"/>
    <w:qFormat/>
    <w:rsid w:val="00F974C5"/>
    <w:pPr>
      <w:keepNext/>
      <w:keepLines/>
      <w:spacing w:before="360"/>
      <w:jc w:val="center"/>
    </w:pPr>
    <w:rPr>
      <w:sz w:val="26"/>
      <w:szCs w:val="26"/>
    </w:rPr>
  </w:style>
  <w:style w:type="paragraph" w:customStyle="1" w:styleId="Restitle">
    <w:name w:val="Res_title"/>
    <w:basedOn w:val="Normal"/>
    <w:qFormat/>
    <w:rsid w:val="00F974C5"/>
    <w:pPr>
      <w:keepNext/>
      <w:keepLines/>
      <w:spacing w:before="240"/>
      <w:jc w:val="center"/>
    </w:pPr>
    <w:rPr>
      <w:b/>
      <w:bCs/>
      <w:sz w:val="28"/>
      <w:szCs w:val="28"/>
      <w:lang w:bidi="ar-SY"/>
    </w:rPr>
  </w:style>
  <w:style w:type="paragraph" w:customStyle="1" w:styleId="OpinionNo">
    <w:name w:val="Opinion_No"/>
    <w:basedOn w:val="Normal"/>
    <w:qFormat/>
    <w:rsid w:val="00F974C5"/>
    <w:pPr>
      <w:keepNext/>
      <w:keepLines/>
      <w:spacing w:before="360" w:after="120"/>
      <w:jc w:val="center"/>
    </w:pPr>
    <w:rPr>
      <w:sz w:val="26"/>
      <w:szCs w:val="26"/>
    </w:rPr>
  </w:style>
  <w:style w:type="paragraph" w:customStyle="1" w:styleId="Opiniontitle">
    <w:name w:val="Opinion_title"/>
    <w:basedOn w:val="Normal"/>
    <w:qFormat/>
    <w:rsid w:val="00F974C5"/>
    <w:pPr>
      <w:keepNext/>
      <w:keepLines/>
      <w:spacing w:after="360"/>
      <w:jc w:val="center"/>
    </w:pPr>
    <w:rPr>
      <w:b/>
      <w:bCs/>
      <w:sz w:val="28"/>
      <w:szCs w:val="28"/>
    </w:rPr>
  </w:style>
  <w:style w:type="paragraph" w:styleId="Signature">
    <w:name w:val="Signature"/>
    <w:basedOn w:val="Normal"/>
    <w:link w:val="SignatureChar"/>
    <w:uiPriority w:val="99"/>
    <w:semiHidden/>
    <w:unhideWhenUsed/>
    <w:qFormat/>
    <w:rsid w:val="008235CD"/>
    <w:pPr>
      <w:spacing w:before="1440"/>
      <w:jc w:val="left"/>
    </w:pPr>
  </w:style>
  <w:style w:type="character" w:customStyle="1" w:styleId="SignatureChar">
    <w:name w:val="Signature Char"/>
    <w:basedOn w:val="DefaultParagraphFont"/>
    <w:link w:val="Signature"/>
    <w:uiPriority w:val="99"/>
    <w:semiHidden/>
    <w:rsid w:val="008235CD"/>
    <w:rPr>
      <w:rFonts w:ascii="Calibri" w:hAnsi="Calibri" w:cs="Traditional Arabic"/>
      <w:szCs w:val="30"/>
    </w:rPr>
  </w:style>
  <w:style w:type="table" w:styleId="TableGrid">
    <w:name w:val="Table Grid"/>
    <w:basedOn w:val="TableNormal"/>
    <w:uiPriority w:val="39"/>
    <w:rsid w:val="002907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974C5"/>
    <w:pPr>
      <w:tabs>
        <w:tab w:val="center" w:pos="4680"/>
        <w:tab w:val="right" w:pos="9360"/>
      </w:tabs>
      <w:spacing w:before="0" w:line="240" w:lineRule="auto"/>
    </w:pPr>
  </w:style>
  <w:style w:type="character" w:customStyle="1" w:styleId="HeaderChar">
    <w:name w:val="Header Char"/>
    <w:basedOn w:val="DefaultParagraphFont"/>
    <w:link w:val="Header"/>
    <w:uiPriority w:val="99"/>
    <w:rsid w:val="00F974C5"/>
    <w:rPr>
      <w:rFonts w:ascii="Dubai" w:hAnsi="Dubai" w:cs="Dubai"/>
    </w:rPr>
  </w:style>
  <w:style w:type="character" w:styleId="Hyperlink">
    <w:name w:val="Hyperlink"/>
    <w:basedOn w:val="DefaultParagraphFont"/>
    <w:uiPriority w:val="99"/>
    <w:unhideWhenUsed/>
    <w:rsid w:val="0006712F"/>
    <w:rPr>
      <w:rFonts w:ascii="Calibri" w:eastAsia="Calibri" w:hAnsi="Calibri" w:cs="Arial"/>
      <w:noProof/>
      <w:color w:val="5B9BD5" w:themeColor="accent1"/>
      <w:sz w:val="18"/>
      <w:u w:val="single"/>
      <w:lang w:val="en-GB" w:eastAsia="en-US"/>
    </w:rPr>
  </w:style>
  <w:style w:type="character" w:styleId="BookTitle">
    <w:name w:val="Book Title"/>
    <w:basedOn w:val="DefaultParagraphFont"/>
    <w:uiPriority w:val="33"/>
    <w:rsid w:val="007C3BC7"/>
    <w:rPr>
      <w:b/>
      <w:bCs/>
      <w:i/>
      <w:iCs/>
      <w:color w:val="FF0000"/>
      <w:spacing w:val="5"/>
    </w:rPr>
  </w:style>
  <w:style w:type="character" w:styleId="Emphasis">
    <w:name w:val="Emphasis"/>
    <w:basedOn w:val="DefaultParagraphFont"/>
    <w:uiPriority w:val="20"/>
    <w:rsid w:val="007C3BC7"/>
    <w:rPr>
      <w:i/>
      <w:iCs/>
      <w:color w:val="FF0000"/>
    </w:rPr>
  </w:style>
  <w:style w:type="paragraph" w:customStyle="1" w:styleId="Footnotetexte">
    <w:name w:val="Footnote_texte"/>
    <w:basedOn w:val="Normal"/>
    <w:qFormat/>
    <w:rsid w:val="00F974C5"/>
    <w:pPr>
      <w:tabs>
        <w:tab w:val="clear" w:pos="794"/>
        <w:tab w:val="left" w:pos="397"/>
      </w:tabs>
      <w:spacing w:before="60" w:line="168" w:lineRule="auto"/>
      <w:ind w:left="397" w:hanging="397"/>
    </w:pPr>
    <w:rPr>
      <w:sz w:val="20"/>
      <w:szCs w:val="20"/>
    </w:rPr>
  </w:style>
  <w:style w:type="character" w:styleId="IntenseEmphasis">
    <w:name w:val="Intense Emphasis"/>
    <w:basedOn w:val="DefaultParagraphFont"/>
    <w:uiPriority w:val="21"/>
    <w:rsid w:val="007C3BC7"/>
    <w:rPr>
      <w:i/>
      <w:iCs/>
      <w:color w:val="FF0000"/>
    </w:rPr>
  </w:style>
  <w:style w:type="paragraph" w:styleId="IntenseQuote">
    <w:name w:val="Intense Quote"/>
    <w:basedOn w:val="Normal"/>
    <w:next w:val="Normal"/>
    <w:link w:val="IntenseQuoteChar"/>
    <w:uiPriority w:val="30"/>
    <w:rsid w:val="007C3BC7"/>
    <w:pPr>
      <w:pBdr>
        <w:top w:val="single" w:sz="4" w:space="10" w:color="5B9BD5" w:themeColor="accent1"/>
        <w:bottom w:val="single" w:sz="4" w:space="10" w:color="5B9BD5" w:themeColor="accent1"/>
      </w:pBdr>
      <w:spacing w:before="360" w:after="360"/>
      <w:ind w:left="864" w:right="864"/>
      <w:jc w:val="center"/>
    </w:pPr>
    <w:rPr>
      <w:i/>
      <w:iCs/>
      <w:color w:val="FF0000"/>
    </w:rPr>
  </w:style>
  <w:style w:type="character" w:customStyle="1" w:styleId="IntenseQuoteChar">
    <w:name w:val="Intense Quote Char"/>
    <w:basedOn w:val="DefaultParagraphFont"/>
    <w:link w:val="IntenseQuote"/>
    <w:uiPriority w:val="30"/>
    <w:rsid w:val="007C3BC7"/>
    <w:rPr>
      <w:rFonts w:ascii="Calibri" w:hAnsi="Calibri" w:cs="Traditional Arabic"/>
      <w:i/>
      <w:iCs/>
      <w:color w:val="FF0000"/>
      <w:szCs w:val="30"/>
    </w:rPr>
  </w:style>
  <w:style w:type="character" w:styleId="IntenseReference">
    <w:name w:val="Intense Reference"/>
    <w:basedOn w:val="DefaultParagraphFont"/>
    <w:uiPriority w:val="32"/>
    <w:rsid w:val="007C3BC7"/>
    <w:rPr>
      <w:b/>
      <w:bCs/>
      <w:smallCaps/>
      <w:color w:val="FF0000"/>
      <w:spacing w:val="5"/>
    </w:rPr>
  </w:style>
  <w:style w:type="paragraph" w:styleId="ListParagraph">
    <w:name w:val="List Paragraph"/>
    <w:basedOn w:val="Normal"/>
    <w:uiPriority w:val="34"/>
    <w:rsid w:val="00F974C5"/>
    <w:pPr>
      <w:spacing w:before="80"/>
      <w:ind w:left="720"/>
      <w:contextualSpacing/>
    </w:pPr>
  </w:style>
  <w:style w:type="paragraph" w:styleId="Quote">
    <w:name w:val="Quote"/>
    <w:basedOn w:val="Normal"/>
    <w:next w:val="Normal"/>
    <w:link w:val="QuoteChar"/>
    <w:uiPriority w:val="29"/>
    <w:rsid w:val="007C3BC7"/>
    <w:pPr>
      <w:spacing w:before="200" w:after="160"/>
      <w:ind w:left="864" w:right="864"/>
      <w:jc w:val="center"/>
    </w:pPr>
    <w:rPr>
      <w:i/>
      <w:iCs/>
      <w:color w:val="FF0000"/>
    </w:rPr>
  </w:style>
  <w:style w:type="character" w:customStyle="1" w:styleId="QuoteChar">
    <w:name w:val="Quote Char"/>
    <w:basedOn w:val="DefaultParagraphFont"/>
    <w:link w:val="Quote"/>
    <w:uiPriority w:val="29"/>
    <w:rsid w:val="007C3BC7"/>
    <w:rPr>
      <w:rFonts w:ascii="Calibri" w:hAnsi="Calibri" w:cs="Traditional Arabic"/>
      <w:i/>
      <w:iCs/>
      <w:color w:val="FF0000"/>
      <w:szCs w:val="30"/>
    </w:rPr>
  </w:style>
  <w:style w:type="character" w:styleId="Strong">
    <w:name w:val="Strong"/>
    <w:basedOn w:val="DefaultParagraphFont"/>
    <w:uiPriority w:val="22"/>
    <w:rsid w:val="007C3BC7"/>
    <w:rPr>
      <w:b/>
      <w:bCs/>
      <w:color w:val="FF0000"/>
    </w:rPr>
  </w:style>
  <w:style w:type="paragraph" w:styleId="Subtitle">
    <w:name w:val="Subtitle"/>
    <w:basedOn w:val="Normal"/>
    <w:next w:val="Normal"/>
    <w:link w:val="SubtitleChar"/>
    <w:uiPriority w:val="11"/>
    <w:rsid w:val="007C3BC7"/>
    <w:pPr>
      <w:numPr>
        <w:ilvl w:val="1"/>
      </w:numPr>
      <w:spacing w:after="160"/>
    </w:pPr>
    <w:rPr>
      <w:rFonts w:asciiTheme="minorHAnsi" w:hAnsiTheme="minorHAnsi" w:cstheme="minorBidi"/>
      <w:color w:val="FF0000"/>
      <w:spacing w:val="15"/>
    </w:rPr>
  </w:style>
  <w:style w:type="character" w:customStyle="1" w:styleId="SubtitleChar">
    <w:name w:val="Subtitle Char"/>
    <w:basedOn w:val="DefaultParagraphFont"/>
    <w:link w:val="Subtitle"/>
    <w:uiPriority w:val="11"/>
    <w:rsid w:val="007C3BC7"/>
    <w:rPr>
      <w:color w:val="FF0000"/>
      <w:spacing w:val="15"/>
    </w:rPr>
  </w:style>
  <w:style w:type="character" w:styleId="SubtleEmphasis">
    <w:name w:val="Subtle Emphasis"/>
    <w:basedOn w:val="DefaultParagraphFont"/>
    <w:uiPriority w:val="19"/>
    <w:rsid w:val="007C3BC7"/>
    <w:rPr>
      <w:i/>
      <w:iCs/>
      <w:color w:val="FF0000"/>
    </w:rPr>
  </w:style>
  <w:style w:type="character" w:styleId="SubtleReference">
    <w:name w:val="Subtle Reference"/>
    <w:basedOn w:val="DefaultParagraphFont"/>
    <w:uiPriority w:val="31"/>
    <w:rsid w:val="007C3BC7"/>
    <w:rPr>
      <w:smallCaps/>
      <w:color w:val="FF0000"/>
    </w:rPr>
  </w:style>
  <w:style w:type="paragraph" w:customStyle="1" w:styleId="Tablelegend">
    <w:name w:val="Table_legend"/>
    <w:basedOn w:val="Normal"/>
    <w:qFormat/>
    <w:rsid w:val="00F974C5"/>
    <w:pPr>
      <w:spacing w:before="80"/>
    </w:pPr>
    <w:rPr>
      <w:lang w:bidi="ar-SY"/>
    </w:rPr>
  </w:style>
  <w:style w:type="paragraph" w:customStyle="1" w:styleId="Headingb">
    <w:name w:val="Heading_b"/>
    <w:basedOn w:val="Normal"/>
    <w:qFormat/>
    <w:rsid w:val="008339C0"/>
    <w:pPr>
      <w:keepNext/>
      <w:spacing w:before="240"/>
      <w:ind w:left="1134" w:hanging="1134"/>
    </w:pPr>
    <w:rPr>
      <w:b/>
      <w:bCs/>
      <w:sz w:val="24"/>
      <w:szCs w:val="24"/>
    </w:rPr>
  </w:style>
  <w:style w:type="table" w:styleId="GridTable5Dark-Accent1">
    <w:name w:val="Grid Table 5 Dark Accent 1"/>
    <w:basedOn w:val="TableNormal"/>
    <w:uiPriority w:val="50"/>
    <w:rsid w:val="00E61BE8"/>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paragraph" w:customStyle="1" w:styleId="Subtitle0">
    <w:name w:val="Sub_title"/>
    <w:basedOn w:val="Normal"/>
    <w:qFormat/>
    <w:rsid w:val="007B0AA0"/>
    <w:pPr>
      <w:spacing w:after="120"/>
    </w:pPr>
    <w:rPr>
      <w:sz w:val="30"/>
      <w:szCs w:val="30"/>
      <w:lang w:bidi="ar-EG"/>
    </w:rPr>
  </w:style>
  <w:style w:type="table" w:customStyle="1" w:styleId="TableGrid1">
    <w:name w:val="Table Grid1"/>
    <w:basedOn w:val="TableNormal"/>
    <w:next w:val="TableGrid"/>
    <w:uiPriority w:val="39"/>
    <w:rsid w:val="007B0AA0"/>
    <w:pPr>
      <w:spacing w:after="0" w:line="240" w:lineRule="auto"/>
    </w:pPr>
    <w:rPr>
      <w:rFonts w:eastAsia="Calibri"/>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660DEA"/>
    <w:rPr>
      <w:color w:val="605E5C"/>
      <w:shd w:val="clear" w:color="auto" w:fill="E1DFDD"/>
    </w:rPr>
  </w:style>
  <w:style w:type="character" w:styleId="FollowedHyperlink">
    <w:name w:val="FollowedHyperlink"/>
    <w:basedOn w:val="DefaultParagraphFont"/>
    <w:uiPriority w:val="99"/>
    <w:semiHidden/>
    <w:unhideWhenUsed/>
    <w:rsid w:val="00943521"/>
    <w:rPr>
      <w:color w:val="954F72" w:themeColor="followedHyperlink"/>
      <w:u w:val="single"/>
    </w:rPr>
  </w:style>
  <w:style w:type="paragraph" w:styleId="Revision">
    <w:name w:val="Revision"/>
    <w:hidden/>
    <w:uiPriority w:val="99"/>
    <w:semiHidden/>
    <w:rsid w:val="0006712F"/>
    <w:pPr>
      <w:spacing w:after="0" w:line="240" w:lineRule="auto"/>
    </w:pPr>
    <w:rPr>
      <w:rFonts w:ascii="Dubai" w:hAnsi="Dubai" w:cs="Duba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6412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itu.int/md/S22-CL-C-0061/en" TargetMode="External"/><Relationship Id="rId18" Type="http://schemas.openxmlformats.org/officeDocument/2006/relationships/hyperlink" Target="https://www.unjiu.org/sites/www.unjiu.org/files/jiu-rep-2024-4_review_highlights.pdf" TargetMode="External"/><Relationship Id="rId26" Type="http://schemas.openxmlformats.org/officeDocument/2006/relationships/hyperlink" Target="https://www.unjiu.org/sites/www.unjiu.org/files/jiu-rep-2023-9_review_highlights.pdf" TargetMode="External"/><Relationship Id="rId3" Type="http://schemas.openxmlformats.org/officeDocument/2006/relationships/styles" Target="styles.xml"/><Relationship Id="rId21" Type="http://schemas.openxmlformats.org/officeDocument/2006/relationships/hyperlink" Target="https://www.unjiu.org/sites/www.unjiu.org/files/review_highlights_jiu_rep_2024_3_parts_i_and_ii_0.pdf"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itu.int/md/S22-CL-C-0061/en" TargetMode="External"/><Relationship Id="rId17" Type="http://schemas.openxmlformats.org/officeDocument/2006/relationships/hyperlink" Target="https://www.unjiu.org/sites/www.unjiu.org/files/jiu_rep_2024_4_english.pdf" TargetMode="External"/><Relationship Id="rId25" Type="http://schemas.openxmlformats.org/officeDocument/2006/relationships/hyperlink" Target="https://www.unjiu.org/sites/www.unjiu.org/files/jiu_rep_2023_9_english.pdf"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hyperlink" Target="https://www.unjiu.org/sites/www.unjiu.org/files/jiu_rep_2024_3_part_ii_english.pdf" TargetMode="External"/><Relationship Id="rId29" Type="http://schemas.openxmlformats.org/officeDocument/2006/relationships/hyperlink" Target="https://www.unjiu.org/sites/www.unjiu.org/files/jiu-rep-2023-8_review_highlights_appendix_0.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tu.int/md/S23-CL-C-0057/en" TargetMode="External"/><Relationship Id="rId24" Type="http://schemas.openxmlformats.org/officeDocument/2006/relationships/hyperlink" Target="https://www.unjiu.org/sites/www.unjiu.org/files/a-79-717-add1-e.pdf" TargetMode="External"/><Relationship Id="rId32"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hyperlink" Target="https://www.unjiu.org/sites/www.unjiu.org/files/jiu-rep-2014-2_review_highlights.pdf" TargetMode="External"/><Relationship Id="rId28" Type="http://schemas.openxmlformats.org/officeDocument/2006/relationships/hyperlink" Target="https://www.unjiu.org/sites/www.unjiu.org/files/jiu_rep_2023_8_english_0.pdf" TargetMode="External"/><Relationship Id="rId10" Type="http://schemas.openxmlformats.org/officeDocument/2006/relationships/hyperlink" Target="https://www.itu.int/md/S23-CL-C-0057/en" TargetMode="External"/><Relationship Id="rId19" Type="http://schemas.openxmlformats.org/officeDocument/2006/relationships/hyperlink" Target="https://www.unjiu.org/sites/www.unjiu.org/files/jiu_rep_2024_3_part_i_english_0.pdf" TargetMode="External"/><Relationship Id="rId31"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s://www.itu.int/md/S24-CL-C-0057/en" TargetMode="External"/><Relationship Id="rId14" Type="http://schemas.openxmlformats.org/officeDocument/2006/relationships/footer" Target="footer1.xml"/><Relationship Id="rId22" Type="http://schemas.openxmlformats.org/officeDocument/2006/relationships/hyperlink" Target="https://www.unjiu.org/sites/www.unjiu.org/files/jiu_rep_2024_2_0.pdf" TargetMode="External"/><Relationship Id="rId27" Type="http://schemas.openxmlformats.org/officeDocument/2006/relationships/hyperlink" Target="https://www.unjiu.org/sites/www.unjiu.org/files/a_79_695_add1-ar.pdf" TargetMode="External"/><Relationship Id="rId30" Type="http://schemas.openxmlformats.org/officeDocument/2006/relationships/hyperlink" Target="https://www.unjiu.org/sites/www.unjiu.org/files/a_79_694_add1-ar.pdf" TargetMode="External"/><Relationship Id="rId8" Type="http://schemas.openxmlformats.org/officeDocument/2006/relationships/hyperlink" Target="https://www.itu.int/md/S24-CL-C-0057/en"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council.itu.int/2025/e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D:\Work\ITU\03%20Third%20Contract%20Work%20(05-05-2025%20---%2027-06-2025\05%20May\09\2501101A\Typing\PA_Council%202025.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428108-4966-4581-8805-B68FC03556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PA_Council 2025.dotx</Template>
  <TotalTime>0</TotalTime>
  <Pages>5</Pages>
  <Words>1586</Words>
  <Characters>9083</Characters>
  <Application>Microsoft Office Word</Application>
  <DocSecurity>0</DocSecurity>
  <Lines>176</Lines>
  <Paragraphs>95</Paragraphs>
  <ScaleCrop>false</ScaleCrop>
  <HeadingPairs>
    <vt:vector size="2" baseType="variant">
      <vt:variant>
        <vt:lpstr>Title</vt:lpstr>
      </vt:variant>
      <vt:variant>
        <vt:i4>1</vt:i4>
      </vt:variant>
    </vt:vector>
  </HeadingPairs>
  <TitlesOfParts>
    <vt:vector size="1" baseType="lpstr">
      <vt:lpstr/>
    </vt:vector>
  </TitlesOfParts>
  <Company>International Telecommunication Union</Company>
  <LinksUpToDate>false</LinksUpToDate>
  <CharactersWithSpaces>10580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JIU reports on United Nations system-wide issues for 2023-2024 and recommendations to legislative bodies</dc:title>
  <dc:subject>ITU Council 2025</dc:subject>
  <cp:keywords>C2025, C25, Council-25</cp:keywords>
  <dc:description/>
  <dcterms:created xsi:type="dcterms:W3CDTF">2025-05-22T13:48:00Z</dcterms:created>
  <dcterms:modified xsi:type="dcterms:W3CDTF">2025-05-22T13:48:00Z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4764bc0ed8aab6cc3f228418da0bf4d692034987165b3c327d8e9737cd820415</vt:lpwstr>
  </property>
</Properties>
</file>